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Date of report (Date of earliest event reported): October 10, 2003</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Eastman Kodak Company</w:t>
      </w:r>
    </w:p>
    <w:p>
      <w:pPr>
        <w:ind w:left="15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3460" w:val="left"/>
          <w:tab w:leader="none" w:pos="5680" w:val="left"/>
        </w:tabs>
        <w:rPr>
          <w:sz w:val="20"/>
          <w:szCs w:val="20"/>
          <w:color w:val="auto"/>
        </w:rPr>
      </w:pPr>
      <w:r>
        <w:rPr>
          <w:rFonts w:ascii="Courier New" w:cs="Courier New" w:eastAsia="Courier New" w:hAnsi="Courier New"/>
          <w:sz w:val="18"/>
          <w:szCs w:val="18"/>
          <w:color w:val="auto"/>
        </w:rPr>
        <w:t>New Jersey</w:t>
      </w:r>
      <w:r>
        <w:rPr>
          <w:sz w:val="20"/>
          <w:szCs w:val="20"/>
          <w:color w:val="auto"/>
        </w:rPr>
        <w:tab/>
      </w:r>
      <w:r>
        <w:rPr>
          <w:rFonts w:ascii="Courier New" w:cs="Courier New" w:eastAsia="Courier New" w:hAnsi="Courier New"/>
          <w:sz w:val="18"/>
          <w:szCs w:val="18"/>
          <w:color w:val="auto"/>
        </w:rPr>
        <w:t>1-87</w:t>
      </w:r>
      <w:r>
        <w:rPr>
          <w:sz w:val="20"/>
          <w:szCs w:val="20"/>
          <w:color w:val="auto"/>
        </w:rPr>
        <w:tab/>
      </w:r>
      <w:r>
        <w:rPr>
          <w:rFonts w:ascii="Courier New" w:cs="Courier New" w:eastAsia="Courier New" w:hAnsi="Courier New"/>
          <w:sz w:val="16"/>
          <w:szCs w:val="16"/>
          <w:color w:val="auto"/>
        </w:rPr>
        <w:t>16-0417150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right="2839"/>
        <w:spacing w:after="0" w:line="290" w:lineRule="auto"/>
        <w:rPr>
          <w:sz w:val="20"/>
          <w:szCs w:val="20"/>
          <w:color w:val="auto"/>
        </w:rPr>
      </w:pPr>
      <w:r>
        <w:rPr>
          <w:rFonts w:ascii="Courier New" w:cs="Courier New" w:eastAsia="Courier New" w:hAnsi="Courier New"/>
          <w:sz w:val="16"/>
          <w:szCs w:val="16"/>
          <w:color w:val="auto"/>
        </w:rPr>
        <w:t>(State or Other Jurisdiction       (Commission           (IRS Employer of Incorporation)             File Number)     Identification No.)</w:t>
      </w:r>
    </w:p>
    <w:p>
      <w:pPr>
        <w:spacing w:after="0" w:line="367"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343 State Street,</w:t>
      </w:r>
    </w:p>
    <w:p>
      <w:pPr>
        <w:ind w:left="2960"/>
        <w:spacing w:after="0" w:line="238" w:lineRule="auto"/>
        <w:rPr>
          <w:sz w:val="20"/>
          <w:szCs w:val="20"/>
          <w:color w:val="auto"/>
        </w:rPr>
      </w:pPr>
      <w:r>
        <w:rPr>
          <w:rFonts w:ascii="Courier New" w:cs="Courier New" w:eastAsia="Courier New" w:hAnsi="Courier New"/>
          <w:sz w:val="18"/>
          <w:szCs w:val="18"/>
          <w:color w:val="auto"/>
        </w:rPr>
        <w:t>Rochester, New York 14650</w:t>
      </w:r>
    </w:p>
    <w:p>
      <w:pPr>
        <w:ind w:left="1060"/>
        <w:spacing w:after="0"/>
        <w:rPr>
          <w:sz w:val="20"/>
          <w:szCs w:val="20"/>
          <w:color w:val="auto"/>
        </w:rPr>
      </w:pPr>
      <w:r>
        <w:rPr>
          <w:rFonts w:ascii="Courier New" w:cs="Courier New" w:eastAsia="Courier New" w:hAnsi="Courier New"/>
          <w:sz w:val="18"/>
          <w:szCs w:val="18"/>
          <w:color w:val="auto"/>
        </w:rPr>
        <w:t>(Address of Principal Executive Office) (Zip Code)</w:t>
      </w:r>
    </w:p>
    <w:p>
      <w:pPr>
        <w:spacing w:after="0" w:line="200" w:lineRule="exact"/>
        <w:rPr>
          <w:sz w:val="24"/>
          <w:szCs w:val="24"/>
          <w:color w:val="auto"/>
        </w:rPr>
      </w:pPr>
    </w:p>
    <w:p>
      <w:pPr>
        <w:spacing w:after="0" w:line="209"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Registrant's telephone number, including area code (585) 724-4000</w:t>
      </w:r>
    </w:p>
    <w:p>
      <w:pPr>
        <w:spacing w:after="0" w:line="16" w:lineRule="exact"/>
        <w:rPr>
          <w:sz w:val="24"/>
          <w:szCs w:val="24"/>
          <w:color w:val="auto"/>
        </w:rPr>
      </w:pPr>
    </w:p>
    <w:p>
      <w:pPr>
        <w:ind w:left="612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 and Regulation FD Disclosure.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October 10, 2003, the Registrant completed the offering and</w:t>
      </w:r>
    </w:p>
    <w:p>
      <w:pPr>
        <w:spacing w:after="0"/>
        <w:tabs>
          <w:tab w:leader="none" w:pos="5680" w:val="left"/>
        </w:tabs>
        <w:rPr>
          <w:sz w:val="20"/>
          <w:szCs w:val="20"/>
          <w:color w:val="auto"/>
        </w:rPr>
      </w:pPr>
      <w:r>
        <w:rPr>
          <w:rFonts w:ascii="Courier New" w:cs="Courier New" w:eastAsia="Courier New" w:hAnsi="Courier New"/>
          <w:sz w:val="18"/>
          <w:szCs w:val="18"/>
          <w:color w:val="auto"/>
        </w:rPr>
        <w:t>sale of $500 million of 7.25% Senior Notes due 2013.</w:t>
      </w:r>
      <w:r>
        <w:rPr>
          <w:sz w:val="20"/>
          <w:szCs w:val="20"/>
          <w:color w:val="auto"/>
        </w:rPr>
        <w:tab/>
      </w:r>
      <w:r>
        <w:rPr>
          <w:rFonts w:ascii="Courier New" w:cs="Courier New" w:eastAsia="Courier New" w:hAnsi="Courier New"/>
          <w:sz w:val="16"/>
          <w:szCs w:val="16"/>
          <w:color w:val="auto"/>
        </w:rPr>
        <w:t>The 7.25%</w:t>
      </w:r>
    </w:p>
    <w:p>
      <w:pPr>
        <w:spacing w:after="0"/>
        <w:rPr>
          <w:sz w:val="20"/>
          <w:szCs w:val="20"/>
          <w:color w:val="auto"/>
        </w:rPr>
      </w:pPr>
      <w:r>
        <w:rPr>
          <w:rFonts w:ascii="Courier New" w:cs="Courier New" w:eastAsia="Courier New" w:hAnsi="Courier New"/>
          <w:sz w:val="18"/>
          <w:szCs w:val="18"/>
          <w:color w:val="auto"/>
        </w:rPr>
        <w:t>Senior Notes were issued under an Indenture dated as of January 1,</w:t>
      </w:r>
    </w:p>
    <w:p>
      <w:pPr>
        <w:spacing w:after="0" w:line="237" w:lineRule="auto"/>
        <w:rPr>
          <w:sz w:val="20"/>
          <w:szCs w:val="20"/>
          <w:color w:val="auto"/>
        </w:rPr>
      </w:pPr>
      <w:r>
        <w:rPr>
          <w:rFonts w:ascii="Courier New" w:cs="Courier New" w:eastAsia="Courier New" w:hAnsi="Courier New"/>
          <w:sz w:val="18"/>
          <w:szCs w:val="18"/>
          <w:color w:val="auto"/>
        </w:rPr>
        <w:t>1988 between the Registrant and The Bank of New York, as trustee</w:t>
      </w:r>
    </w:p>
    <w:p>
      <w:pPr>
        <w:spacing w:after="0" w:line="238" w:lineRule="auto"/>
        <w:rPr>
          <w:sz w:val="20"/>
          <w:szCs w:val="20"/>
          <w:color w:val="auto"/>
        </w:rPr>
      </w:pPr>
      <w:r>
        <w:rPr>
          <w:rFonts w:ascii="Courier New" w:cs="Courier New" w:eastAsia="Courier New" w:hAnsi="Courier New"/>
          <w:sz w:val="18"/>
          <w:szCs w:val="18"/>
          <w:color w:val="auto"/>
        </w:rPr>
        <w:t>(the "Trustee"), as supplemented by a First Supplemental</w:t>
      </w:r>
    </w:p>
    <w:p>
      <w:pPr>
        <w:spacing w:after="0"/>
        <w:rPr>
          <w:sz w:val="20"/>
          <w:szCs w:val="20"/>
          <w:color w:val="auto"/>
        </w:rPr>
      </w:pPr>
      <w:r>
        <w:rPr>
          <w:rFonts w:ascii="Courier New" w:cs="Courier New" w:eastAsia="Courier New" w:hAnsi="Courier New"/>
          <w:sz w:val="18"/>
          <w:szCs w:val="18"/>
          <w:color w:val="auto"/>
        </w:rPr>
        <w:t>Indenture thereto dated as of September 6, 1991, a Second</w:t>
      </w:r>
    </w:p>
    <w:p>
      <w:pPr>
        <w:spacing w:after="0" w:line="237" w:lineRule="auto"/>
        <w:rPr>
          <w:sz w:val="20"/>
          <w:szCs w:val="20"/>
          <w:color w:val="auto"/>
        </w:rPr>
      </w:pPr>
      <w:r>
        <w:rPr>
          <w:rFonts w:ascii="Courier New" w:cs="Courier New" w:eastAsia="Courier New" w:hAnsi="Courier New"/>
          <w:sz w:val="18"/>
          <w:szCs w:val="18"/>
          <w:color w:val="auto"/>
        </w:rPr>
        <w:t>Supplemental Indenture thereto dated as of September 20, 1991, a</w:t>
      </w:r>
    </w:p>
    <w:p>
      <w:pPr>
        <w:spacing w:after="0"/>
        <w:rPr>
          <w:sz w:val="20"/>
          <w:szCs w:val="20"/>
          <w:color w:val="auto"/>
        </w:rPr>
      </w:pPr>
      <w:r>
        <w:rPr>
          <w:rFonts w:ascii="Courier New" w:cs="Courier New" w:eastAsia="Courier New" w:hAnsi="Courier New"/>
          <w:sz w:val="18"/>
          <w:szCs w:val="18"/>
          <w:color w:val="auto"/>
        </w:rPr>
        <w:t>Third Supplemental Indenture thereto dated as of January 26,</w:t>
      </w:r>
    </w:p>
    <w:p>
      <w:pPr>
        <w:spacing w:after="0" w:line="237" w:lineRule="auto"/>
        <w:rPr>
          <w:sz w:val="20"/>
          <w:szCs w:val="20"/>
          <w:color w:val="auto"/>
        </w:rPr>
      </w:pPr>
      <w:r>
        <w:rPr>
          <w:rFonts w:ascii="Courier New" w:cs="Courier New" w:eastAsia="Courier New" w:hAnsi="Courier New"/>
          <w:sz w:val="18"/>
          <w:szCs w:val="18"/>
          <w:color w:val="auto"/>
        </w:rPr>
        <w:t>1993, a Fourth Supplemental Indenture thereto dated as of March 1,</w:t>
      </w:r>
    </w:p>
    <w:p>
      <w:pPr>
        <w:spacing w:after="0"/>
        <w:rPr>
          <w:sz w:val="20"/>
          <w:szCs w:val="20"/>
          <w:color w:val="auto"/>
        </w:rPr>
      </w:pPr>
      <w:r>
        <w:rPr>
          <w:rFonts w:ascii="Courier New" w:cs="Courier New" w:eastAsia="Courier New" w:hAnsi="Courier New"/>
          <w:sz w:val="18"/>
          <w:szCs w:val="18"/>
          <w:color w:val="auto"/>
        </w:rPr>
        <w:t>1993 and a Fifth Supplemental Indenture thereto dated as of</w:t>
      </w:r>
    </w:p>
    <w:p>
      <w:pPr>
        <w:spacing w:after="0"/>
        <w:tabs>
          <w:tab w:leader="none" w:pos="6000" w:val="left"/>
        </w:tabs>
        <w:rPr>
          <w:sz w:val="20"/>
          <w:szCs w:val="20"/>
          <w:color w:val="auto"/>
        </w:rPr>
      </w:pPr>
      <w:r>
        <w:rPr>
          <w:rFonts w:ascii="Courier New" w:cs="Courier New" w:eastAsia="Courier New" w:hAnsi="Courier New"/>
          <w:sz w:val="18"/>
          <w:szCs w:val="18"/>
          <w:color w:val="auto"/>
        </w:rPr>
        <w:t>October 10, 2003 (as so supplemented, the "Indenture").</w:t>
      </w:r>
      <w:r>
        <w:rPr>
          <w:sz w:val="20"/>
          <w:szCs w:val="20"/>
          <w:color w:val="auto"/>
        </w:rPr>
        <w:tab/>
      </w:r>
      <w:r>
        <w:rPr>
          <w:rFonts w:ascii="Courier New" w:cs="Courier New" w:eastAsia="Courier New" w:hAnsi="Courier New"/>
          <w:sz w:val="16"/>
          <w:szCs w:val="16"/>
          <w:color w:val="auto"/>
        </w:rPr>
        <w:t>The</w:t>
      </w:r>
    </w:p>
    <w:p>
      <w:pPr>
        <w:spacing w:after="0" w:line="238" w:lineRule="auto"/>
        <w:rPr>
          <w:sz w:val="20"/>
          <w:szCs w:val="20"/>
          <w:color w:val="auto"/>
        </w:rPr>
      </w:pPr>
      <w:r>
        <w:rPr>
          <w:rFonts w:ascii="Courier New" w:cs="Courier New" w:eastAsia="Courier New" w:hAnsi="Courier New"/>
          <w:sz w:val="18"/>
          <w:szCs w:val="18"/>
          <w:color w:val="auto"/>
        </w:rPr>
        <w:t>foregoing offering of senior notes was made pursuant to the</w:t>
      </w:r>
    </w:p>
    <w:p>
      <w:pPr>
        <w:spacing w:after="0"/>
        <w:rPr>
          <w:sz w:val="20"/>
          <w:szCs w:val="20"/>
          <w:color w:val="auto"/>
        </w:rPr>
      </w:pPr>
      <w:r>
        <w:rPr>
          <w:rFonts w:ascii="Courier New" w:cs="Courier New" w:eastAsia="Courier New" w:hAnsi="Courier New"/>
          <w:sz w:val="18"/>
          <w:szCs w:val="18"/>
          <w:color w:val="auto"/>
        </w:rPr>
        <w:t>Registrant's Registration Statement on Form S-3 (File No. 333-</w:t>
      </w:r>
    </w:p>
    <w:p>
      <w:pPr>
        <w:spacing w:after="0" w:line="237" w:lineRule="auto"/>
        <w:rPr>
          <w:sz w:val="20"/>
          <w:szCs w:val="20"/>
          <w:color w:val="auto"/>
        </w:rPr>
      </w:pPr>
      <w:r>
        <w:rPr>
          <w:rFonts w:ascii="Courier New" w:cs="Courier New" w:eastAsia="Courier New" w:hAnsi="Courier New"/>
          <w:sz w:val="18"/>
          <w:szCs w:val="18"/>
          <w:color w:val="auto"/>
        </w:rPr>
        <w:t>108562); and the Registrant has filed with the Securities and</w:t>
      </w:r>
    </w:p>
    <w:p>
      <w:pPr>
        <w:spacing w:after="0"/>
        <w:rPr>
          <w:sz w:val="20"/>
          <w:szCs w:val="20"/>
          <w:color w:val="auto"/>
        </w:rPr>
      </w:pPr>
      <w:r>
        <w:rPr>
          <w:rFonts w:ascii="Courier New" w:cs="Courier New" w:eastAsia="Courier New" w:hAnsi="Courier New"/>
          <w:sz w:val="18"/>
          <w:szCs w:val="18"/>
          <w:color w:val="auto"/>
        </w:rPr>
        <w:t>Exchange Commission a final Prospectus Supplement pursuant to</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Rule 424(b)(2) under the Securities Act of 1933 relating to such offering. The Registrant is filing as exhibits to this Current Report on Form 8-K certain agreements and instruments related to the foregoing transaction, and the pro forma ratio of earnings to fixed charges, which was calculated</w:t>
      </w:r>
    </w:p>
    <w:p>
      <w:pPr>
        <w:spacing w:after="0" w:line="1" w:lineRule="exact"/>
        <w:rPr>
          <w:sz w:val="20"/>
          <w:szCs w:val="20"/>
          <w:color w:val="auto"/>
        </w:rPr>
      </w:pPr>
    </w:p>
    <w:p>
      <w:pPr>
        <w:ind w:right="3359"/>
        <w:spacing w:after="0" w:line="268" w:lineRule="auto"/>
        <w:rPr>
          <w:sz w:val="20"/>
          <w:szCs w:val="20"/>
          <w:color w:val="auto"/>
        </w:rPr>
      </w:pPr>
      <w:r>
        <w:rPr>
          <w:rFonts w:ascii="Courier New" w:cs="Courier New" w:eastAsia="Courier New" w:hAnsi="Courier New"/>
          <w:sz w:val="16"/>
          <w:szCs w:val="16"/>
          <w:color w:val="auto"/>
        </w:rPr>
        <w:t>to reflect this transaction and the concurrent sale, in a private placement to qualified institutional buyers, pursuant to Rule 144A under the Securities Act of 1933, of the Registrant's</w:t>
      </w:r>
    </w:p>
    <w:p>
      <w:pPr>
        <w:spacing w:after="0" w:line="1"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3.375% Convertible Senior Notes due 2033, as the combined proceeds from both offerings will be used to retire debt presently outstanding. These documents are listed on the exhibit list under Item 7 of this Form 8-K.</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w:t>
      </w:r>
    </w:p>
    <w:p>
      <w:pPr>
        <w:spacing w:after="0" w:line="207" w:lineRule="exact"/>
        <w:rPr>
          <w:sz w:val="20"/>
          <w:szCs w:val="20"/>
          <w:color w:val="auto"/>
        </w:rPr>
      </w:pPr>
    </w:p>
    <w:p>
      <w:pPr>
        <w:ind w:left="640" w:right="303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Underwriting Agreement, dated October 7, 2003, among Eastman Kodak Company and Citigroup Global Markets Inc. and Lehman Brothers Inc., acting severally on behalf of themselves and the other several underwriters named therein, relating to the offering and sale of $500 million of 7.25% Senior Notes due 2013.</w:t>
      </w: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(4) H.</w:t>
      </w:r>
      <w:r>
        <w:rPr>
          <w:sz w:val="20"/>
          <w:szCs w:val="20"/>
          <w:color w:val="auto"/>
        </w:rPr>
        <w:tab/>
      </w:r>
      <w:r>
        <w:rPr>
          <w:rFonts w:ascii="Courier New" w:cs="Courier New" w:eastAsia="Courier New" w:hAnsi="Courier New"/>
          <w:sz w:val="16"/>
          <w:szCs w:val="16"/>
          <w:color w:val="auto"/>
        </w:rPr>
        <w:t>Form of the 7.25% Senior Notes due 2013.</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(99)</w:t>
      </w:r>
      <w:r>
        <w:rPr>
          <w:sz w:val="20"/>
          <w:szCs w:val="20"/>
          <w:color w:val="auto"/>
        </w:rPr>
        <w:tab/>
      </w:r>
      <w:r>
        <w:rPr>
          <w:rFonts w:ascii="Courier New" w:cs="Courier New" w:eastAsia="Courier New" w:hAnsi="Courier New"/>
          <w:sz w:val="16"/>
          <w:szCs w:val="16"/>
          <w:color w:val="auto"/>
        </w:rPr>
        <w:t>Computation of Pro Forma Ratio of Earnings to Fixed Charges.</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EASTMAN KODAK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James M. Quinn</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James M.Quinn</w:t>
      </w:r>
    </w:p>
    <w:p>
      <w:pPr>
        <w:ind w:left="4740"/>
        <w:spacing w:after="0" w:line="237" w:lineRule="auto"/>
        <w:rPr>
          <w:sz w:val="20"/>
          <w:szCs w:val="20"/>
          <w:color w:val="auto"/>
        </w:rPr>
      </w:pPr>
      <w:r>
        <w:rPr>
          <w:rFonts w:ascii="Courier New" w:cs="Courier New" w:eastAsia="Courier New" w:hAnsi="Courier New"/>
          <w:sz w:val="18"/>
          <w:szCs w:val="18"/>
          <w:color w:val="auto"/>
        </w:rPr>
        <w:t>Title: Assistant General</w:t>
      </w:r>
    </w:p>
    <w:p>
      <w:pPr>
        <w:spacing w:after="0" w:line="5"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Counsel, Secretary</w:t>
      </w:r>
    </w:p>
    <w:p>
      <w:pPr>
        <w:spacing w:after="0" w:line="21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October 10, 2003</w:t>
      </w:r>
    </w:p>
    <w:p>
      <w:pPr>
        <w:sectPr>
          <w:pgSz w:w="11900" w:h="16838" w:orient="portrait"/>
          <w:cols w:equalWidth="0" w:num="1">
            <w:col w:w="10219"/>
          </w:cols>
          <w:pgMar w:left="240" w:top="312" w:right="1440" w:bottom="1440" w:gutter="0" w:footer="0" w:header="0"/>
        </w:sectPr>
      </w:pPr>
    </w:p>
    <w:bookmarkStart w:id="3" w:name="page4"/>
    <w:bookmarkEnd w:id="3"/>
    <w:p>
      <w:pPr>
        <w:ind w:left="4860"/>
        <w:spacing w:after="0"/>
        <w:rPr>
          <w:sz w:val="20"/>
          <w:szCs w:val="20"/>
          <w:color w:val="auto"/>
        </w:rPr>
      </w:pPr>
      <w:r>
        <w:rPr>
          <w:rFonts w:ascii="Courier New" w:cs="Courier New" w:eastAsia="Courier New" w:hAnsi="Courier New"/>
          <w:sz w:val="18"/>
          <w:szCs w:val="18"/>
          <w:color w:val="auto"/>
        </w:rPr>
        <w:t>Exhibit (1)</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EASTMAN KODAK COMPANY</w:t>
      </w:r>
    </w:p>
    <w:p>
      <w:pPr>
        <w:ind w:left="2000"/>
        <w:spacing w:after="0" w:line="238" w:lineRule="auto"/>
        <w:rPr>
          <w:sz w:val="20"/>
          <w:szCs w:val="20"/>
          <w:color w:val="auto"/>
        </w:rPr>
      </w:pPr>
      <w:r>
        <w:rPr>
          <w:rFonts w:ascii="Courier New" w:cs="Courier New" w:eastAsia="Courier New" w:hAnsi="Courier New"/>
          <w:sz w:val="18"/>
          <w:szCs w:val="18"/>
          <w:color w:val="auto"/>
        </w:rPr>
        <w:t>(a New Jersey corporation)</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Debt Securities</w:t>
      </w:r>
    </w:p>
    <w:p>
      <w:pPr>
        <w:spacing w:after="0" w:line="200" w:lineRule="exact"/>
        <w:rPr>
          <w:sz w:val="20"/>
          <w:szCs w:val="20"/>
          <w:color w:val="auto"/>
        </w:r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UNDERWRITING AGREEMENT</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Dated:</w:t>
        <w:tab/>
        <w:t>October 7, 2003</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Eastman Kodak Company</w:t>
      </w:r>
    </w:p>
    <w:p>
      <w:pPr>
        <w:ind w:left="540"/>
        <w:spacing w:after="0" w:line="238" w:lineRule="auto"/>
        <w:rPr>
          <w:sz w:val="20"/>
          <w:szCs w:val="20"/>
          <w:color w:val="auto"/>
        </w:rPr>
      </w:pPr>
      <w:r>
        <w:rPr>
          <w:rFonts w:ascii="Courier New" w:cs="Courier New" w:eastAsia="Courier New" w:hAnsi="Courier New"/>
          <w:sz w:val="18"/>
          <w:szCs w:val="18"/>
          <w:color w:val="auto"/>
        </w:rPr>
        <w:t>343 State Street</w:t>
      </w:r>
    </w:p>
    <w:p>
      <w:pPr>
        <w:ind w:left="540"/>
        <w:spacing w:after="0"/>
        <w:rPr>
          <w:sz w:val="20"/>
          <w:szCs w:val="20"/>
          <w:color w:val="auto"/>
        </w:rPr>
      </w:pPr>
      <w:r>
        <w:rPr>
          <w:rFonts w:ascii="Courier New" w:cs="Courier New" w:eastAsia="Courier New" w:hAnsi="Courier New"/>
          <w:sz w:val="18"/>
          <w:szCs w:val="18"/>
          <w:color w:val="auto"/>
        </w:rPr>
        <w:t>Rochester, New York 14650-0218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3779" w:firstLine="527"/>
        <w:spacing w:after="0" w:line="270" w:lineRule="auto"/>
        <w:rPr>
          <w:sz w:val="20"/>
          <w:szCs w:val="20"/>
          <w:color w:val="auto"/>
        </w:rPr>
      </w:pPr>
      <w:r>
        <w:rPr>
          <w:rFonts w:ascii="Courier New" w:cs="Courier New" w:eastAsia="Courier New" w:hAnsi="Courier New"/>
          <w:sz w:val="16"/>
          <w:szCs w:val="16"/>
          <w:color w:val="auto"/>
        </w:rPr>
        <w:t>We (the "Managers") are acting on behalf of the underwriters (including ourselves) named below (the "Underwriters"), and we understand that Eastman Kodak Company, a New Jersey corporation (the "Company"), proposes to issue and sell $500,000,000 aggregate principal amount of its 7.25% Senior Notes due 2013 (the "Underwriters' Securities"). The Company may at its option create and issue additional securities with the same terms as the Underwriters' Securities being purchased and sold pursuant to this Underwriting Agreement so that the additional securities will form a single series with the Underwriters' Securities.</w:t>
      </w:r>
    </w:p>
    <w:p>
      <w:pPr>
        <w:spacing w:after="0" w:line="392"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Subject to the terms and conditions set forth or incorporated by reference herein, the Company agrees to sell, and the Underwriters severally agree to purchase, the principal amount of Underwriters' Securities set forth opposite their names below at the purchase price set forth below.</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540" w:type="dxa"/>
            <w:vAlign w:val="bottom"/>
          </w:tcPr>
          <w:p>
            <w:pPr>
              <w:ind w:left="540"/>
              <w:spacing w:after="0"/>
              <w:rPr>
                <w:sz w:val="20"/>
                <w:szCs w:val="20"/>
                <w:color w:val="auto"/>
              </w:rPr>
            </w:pPr>
            <w:r>
              <w:rPr>
                <w:rFonts w:ascii="Courier New" w:cs="Courier New" w:eastAsia="Courier New" w:hAnsi="Courier New"/>
                <w:sz w:val="18"/>
                <w:szCs w:val="18"/>
                <w:color w:val="auto"/>
              </w:rPr>
              <w:t>Underwriter</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Principal</w:t>
            </w:r>
          </w:p>
        </w:tc>
      </w:tr>
      <w:tr>
        <w:trPr>
          <w:trHeight w:val="203"/>
        </w:trPr>
        <w:tc>
          <w:tcPr>
            <w:tcW w:w="4540" w:type="dxa"/>
            <w:vAlign w:val="bottom"/>
          </w:tcPr>
          <w:p>
            <w:pPr>
              <w:spacing w:after="0"/>
              <w:rPr>
                <w:sz w:val="17"/>
                <w:szCs w:val="17"/>
                <w:color w:val="auto"/>
              </w:rPr>
            </w:pP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Amount</w:t>
            </w:r>
          </w:p>
        </w:tc>
      </w:tr>
      <w:tr>
        <w:trPr>
          <w:trHeight w:val="405"/>
        </w:trPr>
        <w:tc>
          <w:tcPr>
            <w:tcW w:w="4540" w:type="dxa"/>
            <w:vAlign w:val="bottom"/>
          </w:tcPr>
          <w:p>
            <w:pPr>
              <w:ind w:left="540"/>
              <w:spacing w:after="0"/>
              <w:rPr>
                <w:sz w:val="20"/>
                <w:szCs w:val="20"/>
                <w:color w:val="auto"/>
              </w:rPr>
            </w:pPr>
            <w:r>
              <w:rPr>
                <w:rFonts w:ascii="Courier New" w:cs="Courier New" w:eastAsia="Courier New" w:hAnsi="Courier New"/>
                <w:sz w:val="18"/>
                <w:szCs w:val="18"/>
                <w:color w:val="auto"/>
              </w:rPr>
              <w:t>Citigroup Global Markets Inc.</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$ 200,000,000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Lehman Brothers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Scotia Capital (USA)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BNP Paribas Securities Corp.</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HSBC Securities (USA)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Morgan Stanley &amp; Co. Incorporated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Deutsche Bank Securities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U.S. Bancorp Piper Jaffray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ABN AMRO Incorporated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Barclays Bank PLC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BNY Capital Markets,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ING Financial Markets LLC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McDonald Investments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Mizuho International plc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PNC Capital Markets, Inc.</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203"/>
        </w:trPr>
        <w:tc>
          <w:tcPr>
            <w:tcW w:w="45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Daiwa Securities SMBC Europe Limited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5,000,000</w:t>
            </w:r>
          </w:p>
        </w:tc>
      </w:tr>
      <w:tr>
        <w:trPr>
          <w:trHeight w:val="405"/>
        </w:trPr>
        <w:tc>
          <w:tcPr>
            <w:tcW w:w="45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$ 500,000,000</w:t>
            </w:r>
          </w:p>
        </w:tc>
      </w:tr>
    </w:tbl>
    <w:p>
      <w:pPr>
        <w:spacing w:after="0" w:line="207" w:lineRule="exact"/>
        <w:rPr>
          <w:sz w:val="20"/>
          <w:szCs w:val="20"/>
          <w:color w:val="auto"/>
        </w:rPr>
      </w:pPr>
    </w:p>
    <w:p>
      <w:pPr>
        <w:jc w:val="both"/>
        <w:ind w:right="4619" w:firstLine="527"/>
        <w:spacing w:after="0" w:line="279" w:lineRule="auto"/>
        <w:rPr>
          <w:sz w:val="20"/>
          <w:szCs w:val="20"/>
          <w:color w:val="auto"/>
        </w:rPr>
      </w:pPr>
      <w:r>
        <w:rPr>
          <w:rFonts w:ascii="Courier New" w:cs="Courier New" w:eastAsia="Courier New" w:hAnsi="Courier New"/>
          <w:sz w:val="16"/>
          <w:szCs w:val="16"/>
          <w:color w:val="auto"/>
        </w:rPr>
        <w:t>The Underwriters will pay for such Underwriters' Securities in same day funds upon delivery thereof to Citigroup Global Markets Inc. on the Closing Date.</w:t>
      </w:r>
    </w:p>
    <w:p>
      <w:pPr>
        <w:spacing w:after="0" w:line="381"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The Underwriters' Securities shall have the following terms:</w:t>
      </w:r>
    </w:p>
    <w:p>
      <w:pPr>
        <w:sectPr>
          <w:pgSz w:w="11900" w:h="16838" w:orient="portrait"/>
          <w:cols w:equalWidth="0" w:num="1">
            <w:col w:w="10219"/>
          </w:cols>
          <w:pgMar w:left="240" w:top="136" w:right="1440" w:bottom="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7.25% Senior Notes due 2013</w:t>
      </w:r>
    </w:p>
    <w:p>
      <w:pPr>
        <w:spacing w:after="0" w:line="200"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Unsecured and unsubordinated</w:t>
      </w:r>
    </w:p>
    <w:p>
      <w:pPr>
        <w:spacing w:after="0" w:line="216" w:lineRule="exact"/>
        <w:rPr>
          <w:sz w:val="20"/>
          <w:szCs w:val="20"/>
          <w:color w:val="auto"/>
        </w:rPr>
      </w:pPr>
    </w:p>
    <w:p>
      <w:pPr>
        <w:sectPr>
          <w:pgSz w:w="11900" w:h="16838" w:orient="portrait"/>
          <w:cols w:equalWidth="0" w:num="2">
            <w:col w:w="2440" w:space="720"/>
            <w:col w:w="7059"/>
          </w:cols>
          <w:pgMar w:left="24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$500,000,000</w:t>
      </w:r>
    </w:p>
    <w:p>
      <w:pPr>
        <w:sectPr>
          <w:pgSz w:w="11900" w:h="16838" w:orient="portrait"/>
          <w:cols w:equalWidth="0" w:num="2">
            <w:col w:w="2860" w:space="300"/>
            <w:col w:w="7059"/>
          </w:cols>
          <w:pgMar w:left="240" w:top="136"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20"/>
                <w:szCs w:val="20"/>
                <w:color w:val="auto"/>
              </w:rPr>
            </w:pPr>
            <w:r>
              <w:rPr>
                <w:rFonts w:ascii="Courier New" w:cs="Courier New" w:eastAsia="Courier New" w:hAnsi="Courier New"/>
                <w:sz w:val="18"/>
                <w:szCs w:val="18"/>
                <w:color w:val="auto"/>
              </w:rPr>
              <w:t>Denomination:</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$1,000 and integral multiples</w:t>
            </w:r>
          </w:p>
        </w:tc>
      </w:tr>
      <w:tr>
        <w:trPr>
          <w:trHeight w:val="203"/>
        </w:trPr>
        <w:tc>
          <w:tcPr>
            <w:tcW w:w="29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$1,000</w:t>
            </w:r>
          </w:p>
        </w:tc>
        <w:tc>
          <w:tcPr>
            <w:tcW w:w="13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Currency of payment:</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U.S. dollars</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Interest rate:</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7.25% per year</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Interest payment dates:</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Each May 15 and November 15,</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beginning on May 15, 2004.</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(Interest accrues from October</w:t>
            </w:r>
          </w:p>
        </w:tc>
      </w:tr>
      <w:tr>
        <w:trPr>
          <w:trHeight w:val="203"/>
        </w:trPr>
        <w:tc>
          <w:tcPr>
            <w:tcW w:w="29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 2003).</w:t>
            </w:r>
          </w:p>
        </w:tc>
        <w:tc>
          <w:tcPr>
            <w:tcW w:w="13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Regular record dates:</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May 1 and November 1</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Stated maturity:</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November 15, 2013</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Redemption provisions:</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Sinking fund requirements:</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Listing requirements:</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Fixed or Variable Price</w:t>
            </w:r>
          </w:p>
        </w:tc>
        <w:tc>
          <w:tcPr>
            <w:tcW w:w="2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2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Offering:</w:t>
            </w:r>
          </w:p>
        </w:tc>
        <w:tc>
          <w:tcPr>
            <w:tcW w:w="3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Fixed Price Offering</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Public offering price:</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99.879% of the principal amount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Purchase price:</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99.229% of the principal amount</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Form:</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Book-entry form</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Other terms and conditions:</w:t>
            </w:r>
          </w:p>
        </w:tc>
        <w:tc>
          <w:tcPr>
            <w:tcW w:w="2100" w:type="dxa"/>
            <w:vAlign w:val="bottom"/>
          </w:tcPr>
          <w:p>
            <w:pPr>
              <w:ind w:left="200"/>
              <w:spacing w:after="0"/>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24"/>
                <w:szCs w:val="24"/>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Closing Date and location:</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10:00 a.m., October 10, 2003 at</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the offices of Sidley Austin</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Brown &amp; Wood llp, 787 Seventh</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Avenue, New York, New York</w:t>
            </w:r>
          </w:p>
        </w:tc>
      </w:tr>
      <w:tr>
        <w:trPr>
          <w:trHeight w:val="203"/>
        </w:trPr>
        <w:tc>
          <w:tcPr>
            <w:tcW w:w="29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10019.</w:t>
            </w:r>
          </w:p>
        </w:tc>
        <w:tc>
          <w:tcPr>
            <w:tcW w:w="1380" w:type="dxa"/>
            <w:vAlign w:val="bottom"/>
          </w:tcPr>
          <w:p>
            <w:pPr>
              <w:spacing w:after="0"/>
              <w:rPr>
                <w:sz w:val="17"/>
                <w:szCs w:val="17"/>
                <w:color w:val="auto"/>
              </w:rPr>
            </w:pP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Notices:</w:t>
            </w:r>
          </w:p>
        </w:tc>
        <w:tc>
          <w:tcPr>
            <w:tcW w:w="34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All communications hereunder</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will be in writing and</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effective only on receipt, and,</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if sent to the Managers, will</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be mailed, delivered or</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telefaxed to Citigroup Global</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Markets Inc., Attention:</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General Counsel, 388 Greenwich</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Street, New York, New York</w:t>
            </w:r>
          </w:p>
        </w:tc>
      </w:tr>
      <w:tr>
        <w:trPr>
          <w:trHeight w:val="203"/>
        </w:trPr>
        <w:tc>
          <w:tcPr>
            <w:tcW w:w="29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6"/>
              </w:rPr>
              <w:t>10013 (Fax Number:</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(212) 816-</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7912), and to Lehman Brothers</w:t>
            </w:r>
          </w:p>
        </w:tc>
      </w:tr>
      <w:tr>
        <w:trPr>
          <w:trHeight w:val="203"/>
        </w:trPr>
        <w:tc>
          <w:tcPr>
            <w:tcW w:w="2960" w:type="dxa"/>
            <w:vAlign w:val="bottom"/>
          </w:tcPr>
          <w:p>
            <w:pPr>
              <w:spacing w:after="0"/>
              <w:rPr>
                <w:sz w:val="17"/>
                <w:szCs w:val="17"/>
                <w:color w:val="auto"/>
              </w:rPr>
            </w:pPr>
          </w:p>
        </w:tc>
        <w:tc>
          <w:tcPr>
            <w:tcW w:w="2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 Attention:</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Debt Capital</w:t>
            </w:r>
          </w:p>
        </w:tc>
      </w:tr>
      <w:tr>
        <w:trPr>
          <w:trHeight w:val="203"/>
        </w:trPr>
        <w:tc>
          <w:tcPr>
            <w:tcW w:w="2960" w:type="dxa"/>
            <w:vAlign w:val="bottom"/>
          </w:tcPr>
          <w:p>
            <w:pPr>
              <w:spacing w:after="0"/>
              <w:rPr>
                <w:sz w:val="17"/>
                <w:szCs w:val="17"/>
                <w:color w:val="auto"/>
              </w:rPr>
            </w:pPr>
          </w:p>
        </w:tc>
        <w:tc>
          <w:tcPr>
            <w:tcW w:w="34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Markets, Consumer Products</w:t>
            </w:r>
          </w:p>
        </w:tc>
      </w:tr>
    </w:tbl>
    <w:p>
      <w:pPr>
        <w:ind w:left="3160"/>
        <w:spacing w:after="0" w:line="238" w:lineRule="auto"/>
        <w:rPr>
          <w:sz w:val="20"/>
          <w:szCs w:val="20"/>
          <w:color w:val="auto"/>
        </w:rPr>
      </w:pPr>
      <w:r>
        <w:rPr>
          <w:rFonts w:ascii="Courier New" w:cs="Courier New" w:eastAsia="Courier New" w:hAnsi="Courier New"/>
          <w:sz w:val="18"/>
          <w:szCs w:val="18"/>
          <w:color w:val="auto"/>
        </w:rPr>
        <w:t>Group, 745 Seventh Ave, New</w:t>
      </w:r>
    </w:p>
    <w:p>
      <w:pPr>
        <w:ind w:left="3160"/>
        <w:spacing w:after="0"/>
        <w:rPr>
          <w:sz w:val="20"/>
          <w:szCs w:val="20"/>
          <w:color w:val="auto"/>
        </w:rPr>
      </w:pPr>
      <w:r>
        <w:rPr>
          <w:rFonts w:ascii="Courier New" w:cs="Courier New" w:eastAsia="Courier New" w:hAnsi="Courier New"/>
          <w:sz w:val="18"/>
          <w:szCs w:val="18"/>
          <w:color w:val="auto"/>
        </w:rPr>
        <w:t>York, NY 10019 with a copy to</w:t>
      </w:r>
    </w:p>
    <w:p>
      <w:pPr>
        <w:ind w:left="3160"/>
        <w:spacing w:after="0" w:line="237" w:lineRule="auto"/>
        <w:rPr>
          <w:sz w:val="20"/>
          <w:szCs w:val="20"/>
          <w:color w:val="auto"/>
        </w:rPr>
      </w:pPr>
      <w:r>
        <w:rPr>
          <w:rFonts w:ascii="Courier New" w:cs="Courier New" w:eastAsia="Courier New" w:hAnsi="Courier New"/>
          <w:sz w:val="18"/>
          <w:szCs w:val="18"/>
          <w:color w:val="auto"/>
        </w:rPr>
        <w:t>General Counsel and Syndicate</w:t>
      </w:r>
    </w:p>
    <w:p>
      <w:pPr>
        <w:ind w:left="3160"/>
        <w:spacing w:after="0" w:line="238" w:lineRule="auto"/>
        <w:rPr>
          <w:sz w:val="20"/>
          <w:szCs w:val="20"/>
          <w:color w:val="auto"/>
        </w:rPr>
      </w:pPr>
      <w:r>
        <w:rPr>
          <w:rFonts w:ascii="Courier New" w:cs="Courier New" w:eastAsia="Courier New" w:hAnsi="Courier New"/>
          <w:sz w:val="18"/>
          <w:szCs w:val="18"/>
          <w:color w:val="auto"/>
        </w:rPr>
        <w:t>Registration, 399 Park Avenue,</w:t>
      </w:r>
    </w:p>
    <w:p>
      <w:pPr>
        <w:ind w:left="3160"/>
        <w:spacing w:after="0"/>
        <w:rPr>
          <w:sz w:val="20"/>
          <w:szCs w:val="20"/>
          <w:color w:val="auto"/>
        </w:rPr>
      </w:pPr>
      <w:r>
        <w:rPr>
          <w:rFonts w:ascii="Courier New" w:cs="Courier New" w:eastAsia="Courier New" w:hAnsi="Courier New"/>
          <w:sz w:val="18"/>
          <w:szCs w:val="18"/>
          <w:color w:val="auto"/>
        </w:rPr>
        <w:t>New York, New York 10022 (Fax</w:t>
      </w:r>
    </w:p>
    <w:p>
      <w:pPr>
        <w:ind w:left="3160"/>
        <w:spacing w:after="0" w:line="237" w:lineRule="auto"/>
        <w:tabs>
          <w:tab w:leader="none" w:pos="4100" w:val="left"/>
        </w:tabs>
        <w:rPr>
          <w:sz w:val="20"/>
          <w:szCs w:val="20"/>
          <w:color w:val="auto"/>
        </w:rPr>
      </w:pPr>
      <w:r>
        <w:rPr>
          <w:rFonts w:ascii="Courier New" w:cs="Courier New" w:eastAsia="Courier New" w:hAnsi="Courier New"/>
          <w:sz w:val="18"/>
          <w:szCs w:val="18"/>
          <w:color w:val="auto"/>
        </w:rPr>
        <w:t>Number:</w:t>
        <w:tab/>
        <w:t>(212) 526-0943), or,</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if sent to the Company, will be</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mailed, delivered or telefaxed</w:t>
      </w:r>
    </w:p>
    <w:p>
      <w:pPr>
        <w:ind w:left="3160"/>
        <w:spacing w:after="0" w:line="238" w:lineRule="auto"/>
        <w:rPr>
          <w:sz w:val="20"/>
          <w:szCs w:val="20"/>
          <w:color w:val="auto"/>
        </w:rPr>
      </w:pPr>
      <w:r>
        <w:rPr>
          <w:rFonts w:ascii="Courier New" w:cs="Courier New" w:eastAsia="Courier New" w:hAnsi="Courier New"/>
          <w:sz w:val="18"/>
          <w:szCs w:val="18"/>
          <w:color w:val="auto"/>
        </w:rPr>
        <w:t>to Eastman Kodak Company, 343</w:t>
      </w:r>
    </w:p>
    <w:p>
      <w:pPr>
        <w:ind w:left="3160"/>
        <w:spacing w:after="0"/>
        <w:rPr>
          <w:sz w:val="20"/>
          <w:szCs w:val="20"/>
          <w:color w:val="auto"/>
        </w:rPr>
      </w:pPr>
      <w:r>
        <w:rPr>
          <w:rFonts w:ascii="Courier New" w:cs="Courier New" w:eastAsia="Courier New" w:hAnsi="Courier New"/>
          <w:sz w:val="18"/>
          <w:szCs w:val="18"/>
          <w:color w:val="auto"/>
        </w:rPr>
        <w:t>State Street, Rochester, New</w:t>
      </w:r>
    </w:p>
    <w:p>
      <w:pPr>
        <w:ind w:left="3160"/>
        <w:spacing w:after="0" w:line="237" w:lineRule="auto"/>
        <w:rPr>
          <w:sz w:val="20"/>
          <w:szCs w:val="20"/>
          <w:color w:val="auto"/>
        </w:rPr>
      </w:pPr>
      <w:r>
        <w:rPr>
          <w:rFonts w:ascii="Courier New" w:cs="Courier New" w:eastAsia="Courier New" w:hAnsi="Courier New"/>
          <w:sz w:val="18"/>
          <w:szCs w:val="18"/>
          <w:color w:val="auto"/>
        </w:rPr>
        <w:t>York 14650-0218, Attention:</w:t>
      </w:r>
    </w:p>
    <w:p>
      <w:pPr>
        <w:ind w:left="3160"/>
        <w:spacing w:after="0" w:line="238" w:lineRule="auto"/>
        <w:rPr>
          <w:sz w:val="20"/>
          <w:szCs w:val="20"/>
          <w:color w:val="auto"/>
        </w:rPr>
      </w:pPr>
      <w:r>
        <w:rPr>
          <w:rFonts w:ascii="Courier New" w:cs="Courier New" w:eastAsia="Courier New" w:hAnsi="Courier New"/>
          <w:sz w:val="18"/>
          <w:szCs w:val="18"/>
          <w:color w:val="auto"/>
        </w:rPr>
        <w:t>Office of the Corporate</w:t>
      </w:r>
    </w:p>
    <w:p>
      <w:pPr>
        <w:ind w:left="3160"/>
        <w:spacing w:after="0"/>
        <w:tabs>
          <w:tab w:leader="none" w:pos="5260" w:val="left"/>
        </w:tabs>
        <w:rPr>
          <w:sz w:val="20"/>
          <w:szCs w:val="20"/>
          <w:color w:val="auto"/>
        </w:rPr>
      </w:pPr>
      <w:r>
        <w:rPr>
          <w:rFonts w:ascii="Courier New" w:cs="Courier New" w:eastAsia="Courier New" w:hAnsi="Courier New"/>
          <w:sz w:val="18"/>
          <w:szCs w:val="18"/>
          <w:color w:val="auto"/>
        </w:rPr>
        <w:t>Secretary (Fax No:</w:t>
      </w:r>
      <w:r>
        <w:rPr>
          <w:sz w:val="20"/>
          <w:szCs w:val="20"/>
          <w:color w:val="auto"/>
        </w:rPr>
        <w:tab/>
      </w:r>
      <w:r>
        <w:rPr>
          <w:rFonts w:ascii="Courier New" w:cs="Courier New" w:eastAsia="Courier New" w:hAnsi="Courier New"/>
          <w:sz w:val="16"/>
          <w:szCs w:val="16"/>
          <w:color w:val="auto"/>
        </w:rPr>
        <w:t>(585) 724-</w:t>
      </w:r>
    </w:p>
    <w:p>
      <w:pPr>
        <w:ind w:left="3160"/>
        <w:spacing w:after="0" w:line="237" w:lineRule="auto"/>
        <w:rPr>
          <w:sz w:val="20"/>
          <w:szCs w:val="20"/>
          <w:color w:val="auto"/>
        </w:rPr>
      </w:pPr>
      <w:r>
        <w:rPr>
          <w:rFonts w:ascii="Courier New" w:cs="Courier New" w:eastAsia="Courier New" w:hAnsi="Courier New"/>
          <w:sz w:val="18"/>
          <w:szCs w:val="18"/>
          <w:color w:val="auto"/>
        </w:rPr>
        <w:t>9549).</w:t>
      </w:r>
    </w:p>
    <w:p>
      <w:pPr>
        <w:spacing w:after="0" w:line="207" w:lineRule="exact"/>
        <w:rPr>
          <w:sz w:val="20"/>
          <w:szCs w:val="20"/>
          <w:color w:val="auto"/>
        </w:rPr>
      </w:pPr>
    </w:p>
    <w:p>
      <w:pPr>
        <w:ind w:right="3779" w:firstLine="527"/>
        <w:spacing w:after="0" w:line="270" w:lineRule="auto"/>
        <w:rPr>
          <w:sz w:val="20"/>
          <w:szCs w:val="20"/>
          <w:color w:val="auto"/>
        </w:rPr>
      </w:pPr>
      <w:r>
        <w:rPr>
          <w:rFonts w:ascii="Courier New" w:cs="Courier New" w:eastAsia="Courier New" w:hAnsi="Courier New"/>
          <w:sz w:val="16"/>
          <w:szCs w:val="16"/>
          <w:color w:val="auto"/>
        </w:rPr>
        <w:t>All of the provisions contained in the document attached as Annex I hereto entitled "Eastman Kodak Company Underwriting Agreement Standard Provisions (Debt)" dated September 5, 2003 (the "Standard Provisions") are hereby incorporated by reference in their entirety herein and shall be deemed to be a part of this Underwriting Agreement to the same extent as if such provisions had been set forth in full herein. Capitalized terms used herein and not otherwise defined herein have the meanings specified in the Standard Provisions or the Prospectus Supplement dated October 7, 2003 relating to the Underwriters' Securities. Each reference to Underwriters in the Standard Provisions so incorporated herein by reference shall be deemed to refer to the Underwriters as defined in this Underwriting Agreement.</w:t>
      </w:r>
    </w:p>
    <w:p>
      <w:pPr>
        <w:sectPr>
          <w:pgSz w:w="11900" w:h="16838" w:orient="portrait"/>
          <w:cols w:equalWidth="0" w:num="1">
            <w:col w:w="10219"/>
          </w:cols>
          <w:pgMar w:left="240" w:top="136" w:right="1440" w:bottom="0" w:gutter="0" w:footer="0" w:header="0"/>
        </w:sectPr>
      </w:pPr>
    </w:p>
    <w:bookmarkStart w:id="5" w:name="page6"/>
    <w:bookmarkEnd w:id="5"/>
    <w:p>
      <w:pPr>
        <w:jc w:val="both"/>
        <w:ind w:right="4419" w:firstLine="527"/>
        <w:spacing w:after="0" w:line="236" w:lineRule="auto"/>
        <w:rPr>
          <w:sz w:val="20"/>
          <w:szCs w:val="20"/>
          <w:color w:val="auto"/>
        </w:rPr>
      </w:pPr>
      <w:r>
        <w:rPr>
          <w:rFonts w:ascii="Courier New" w:cs="Courier New" w:eastAsia="Courier New" w:hAnsi="Courier New"/>
          <w:sz w:val="18"/>
          <w:szCs w:val="18"/>
          <w:color w:val="auto"/>
        </w:rPr>
        <w:t>Please accept this offer by signing a copy of this Underwriting Agreement in the space set forth below and returning the signed copy to us.</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Very truly yours,</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Acting severally on behalf of themselves</w:t>
      </w:r>
    </w:p>
    <w:p>
      <w:pPr>
        <w:spacing w:after="0" w:line="21"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and the several Underwriters named herein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CITIGROUP GLOBAL MARKETS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w:t>
      </w:r>
    </w:p>
    <w:p>
      <w:pPr>
        <w:ind w:left="232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4"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LEHMAN BROTHERS INC.</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By</w:t>
      </w:r>
    </w:p>
    <w:p>
      <w:pPr>
        <w:ind w:left="232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Accepted: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EASTMAN KODAK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_________________________________________</w:t>
      </w:r>
    </w:p>
    <w:p>
      <w:pPr>
        <w:ind w:left="220"/>
        <w:spacing w:after="0" w:line="238" w:lineRule="auto"/>
        <w:rPr>
          <w:sz w:val="20"/>
          <w:szCs w:val="20"/>
          <w:color w:val="auto"/>
        </w:rPr>
      </w:pPr>
      <w:r>
        <w:rPr>
          <w:rFonts w:ascii="Courier New" w:cs="Courier New" w:eastAsia="Courier New" w:hAnsi="Courier New"/>
          <w:sz w:val="18"/>
          <w:szCs w:val="18"/>
          <w:color w:val="auto"/>
        </w:rPr>
        <w:t>Authorized Signatory</w:t>
      </w:r>
    </w:p>
    <w:p>
      <w:pPr>
        <w:sectPr>
          <w:pgSz w:w="11900" w:h="16838" w:orient="portrait"/>
          <w:cols w:equalWidth="0" w:num="1">
            <w:col w:w="10219"/>
          </w:cols>
          <w:pgMar w:left="240" w:top="344" w:right="1440" w:bottom="1440" w:gutter="0" w:footer="0" w:header="0"/>
        </w:sectPr>
      </w:pPr>
    </w:p>
    <w:bookmarkStart w:id="6" w:name="page7"/>
    <w:bookmarkEnd w:id="6"/>
    <w:p>
      <w:pPr>
        <w:ind w:left="5280"/>
        <w:spacing w:after="0"/>
        <w:rPr>
          <w:sz w:val="20"/>
          <w:szCs w:val="20"/>
          <w:color w:val="auto"/>
        </w:rPr>
      </w:pPr>
      <w:r>
        <w:rPr>
          <w:rFonts w:ascii="Courier New" w:cs="Courier New" w:eastAsia="Courier New" w:hAnsi="Courier New"/>
          <w:sz w:val="16"/>
          <w:szCs w:val="16"/>
          <w:color w:val="auto"/>
        </w:rPr>
        <w:t>Exhibit (4) H.</w:t>
      </w:r>
    </w:p>
    <w:p>
      <w:pPr>
        <w:sectPr>
          <w:pgSz w:w="11900" w:h="16838" w:orient="portrait"/>
          <w:cols w:equalWidth="0" w:num="1">
            <w:col w:w="10219"/>
          </w:cols>
          <w:pgMar w:left="240" w:top="142" w:right="1440" w:bottom="542" w:gutter="0" w:footer="0" w:header="0"/>
        </w:sectPr>
      </w:pPr>
    </w:p>
    <w:p>
      <w:pPr>
        <w:spacing w:after="0" w:line="200" w:lineRule="exact"/>
        <w:rPr>
          <w:sz w:val="20"/>
          <w:szCs w:val="20"/>
          <w:color w:val="auto"/>
        </w:rPr>
      </w:pPr>
    </w:p>
    <w:p>
      <w:pPr>
        <w:spacing w:after="0" w:line="226" w:lineRule="exact"/>
        <w:rPr>
          <w:sz w:val="20"/>
          <w:szCs w:val="20"/>
          <w:color w:val="auto"/>
        </w:rPr>
      </w:pPr>
    </w:p>
    <w:p>
      <w:pPr>
        <w:ind w:right="340"/>
        <w:spacing w:after="0" w:line="558" w:lineRule="auto"/>
        <w:rPr>
          <w:sz w:val="20"/>
          <w:szCs w:val="20"/>
          <w:color w:val="auto"/>
        </w:rPr>
      </w:pPr>
      <w:r>
        <w:rPr>
          <w:rFonts w:ascii="Courier New" w:cs="Courier New" w:eastAsia="Courier New" w:hAnsi="Courier New"/>
          <w:sz w:val="16"/>
          <w:szCs w:val="16"/>
          <w:color w:val="auto"/>
        </w:rPr>
        <w:t>REGISTERED No. FX-01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EASTMAN KODAK COMPANY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7.25% SENIOR NOTE DUE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$500,000,000</w:t>
      </w:r>
    </w:p>
    <w:p>
      <w:pPr>
        <w:spacing w:after="0" w:line="238" w:lineRule="auto"/>
        <w:rPr>
          <w:sz w:val="20"/>
          <w:szCs w:val="20"/>
          <w:color w:val="auto"/>
        </w:rPr>
      </w:pPr>
      <w:r>
        <w:rPr>
          <w:rFonts w:ascii="Courier New" w:cs="Courier New" w:eastAsia="Courier New" w:hAnsi="Courier New"/>
          <w:sz w:val="18"/>
          <w:szCs w:val="18"/>
          <w:color w:val="auto"/>
        </w:rPr>
        <w:t>CUSIP:</w:t>
      </w:r>
    </w:p>
    <w:p>
      <w:pPr>
        <w:spacing w:after="0"/>
        <w:rPr>
          <w:sz w:val="20"/>
          <w:szCs w:val="20"/>
          <w:color w:val="auto"/>
        </w:rPr>
      </w:pPr>
      <w:r>
        <w:rPr>
          <w:rFonts w:ascii="Courier New" w:cs="Courier New" w:eastAsia="Courier New" w:hAnsi="Courier New"/>
          <w:sz w:val="18"/>
          <w:szCs w:val="18"/>
          <w:color w:val="auto"/>
        </w:rPr>
        <w:t>277461BD0</w:t>
      </w:r>
    </w:p>
    <w:p>
      <w:pPr>
        <w:spacing w:after="0" w:line="237" w:lineRule="auto"/>
        <w:rPr>
          <w:sz w:val="20"/>
          <w:szCs w:val="20"/>
          <w:color w:val="auto"/>
        </w:rPr>
      </w:pPr>
      <w:r>
        <w:rPr>
          <w:rFonts w:ascii="Courier New" w:cs="Courier New" w:eastAsia="Courier New" w:hAnsi="Courier New"/>
          <w:sz w:val="18"/>
          <w:szCs w:val="18"/>
          <w:color w:val="auto"/>
        </w:rPr>
        <w:t>ISIN:</w:t>
      </w:r>
    </w:p>
    <w:p>
      <w:pPr>
        <w:spacing w:after="0" w:line="238" w:lineRule="auto"/>
        <w:rPr>
          <w:sz w:val="20"/>
          <w:szCs w:val="20"/>
          <w:color w:val="auto"/>
        </w:rPr>
      </w:pPr>
      <w:r>
        <w:rPr>
          <w:rFonts w:ascii="Courier New" w:cs="Courier New" w:eastAsia="Courier New" w:hAnsi="Courier New"/>
          <w:sz w:val="18"/>
          <w:szCs w:val="18"/>
          <w:color w:val="auto"/>
        </w:rPr>
        <w:t>US277461BD00</w:t>
      </w:r>
    </w:p>
    <w:p>
      <w:pPr>
        <w:spacing w:after="0" w:line="200" w:lineRule="exact"/>
        <w:rPr>
          <w:sz w:val="20"/>
          <w:szCs w:val="20"/>
          <w:color w:val="auto"/>
        </w:rPr>
      </w:pPr>
    </w:p>
    <w:p>
      <w:pPr>
        <w:sectPr>
          <w:pgSz w:w="11900" w:h="16838" w:orient="portrait"/>
          <w:cols w:equalWidth="0" w:num="3">
            <w:col w:w="1400" w:space="720"/>
            <w:col w:w="2740" w:space="420"/>
            <w:col w:w="4939"/>
          </w:cols>
          <w:pgMar w:left="240" w:top="142" w:right="1440" w:bottom="542" w:gutter="0" w:footer="0" w:header="0"/>
          <w:type w:val="continuous"/>
        </w:sectPr>
      </w:pPr>
    </w:p>
    <w:p>
      <w:pPr>
        <w:spacing w:after="0" w:line="8" w:lineRule="exact"/>
        <w:rPr>
          <w:sz w:val="20"/>
          <w:szCs w:val="20"/>
          <w:color w:val="auto"/>
        </w:rPr>
      </w:pPr>
    </w:p>
    <w:p>
      <w:pPr>
        <w:ind w:right="3779" w:firstLine="527"/>
        <w:spacing w:after="0" w:line="238" w:lineRule="auto"/>
        <w:rPr>
          <w:sz w:val="20"/>
          <w:szCs w:val="20"/>
          <w:color w:val="auto"/>
        </w:rPr>
      </w:pPr>
      <w:r>
        <w:rPr>
          <w:rFonts w:ascii="Courier New" w:cs="Courier New" w:eastAsia="Courier New" w:hAnsi="Courier New"/>
          <w:sz w:val="18"/>
          <w:szCs w:val="18"/>
          <w:color w:val="auto"/>
        </w:rPr>
        <w:t>UNLESS THIS CERTIFICATE IS PRESENTED BY AN AUTHORIZED REPRESENTATIVE OF THE DEPOSITORY TRUST COMPANY (55 WATER STREET, NEW YORK, NEW YORK), A NEW YORK CORPORATION ("DTC" OR THE "DEPOSITARY")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SINCE THE REGISTERED OWNER HEREOF, CEDE &amp; CO., HAS AN INTEREST HEREIN. UNLESS AND UNTIL IT IS EXCHANGED IN WHOLE OR IN PART FOR THE SECURITIES REPRESENTED HEREBY IN DEFINITIVE FORM, THIS GLOBAL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7" w:lineRule="exact"/>
        <w:rPr>
          <w:sz w:val="20"/>
          <w:szCs w:val="20"/>
          <w:color w:val="auto"/>
        </w:rPr>
      </w:pPr>
    </w:p>
    <w:p>
      <w:pPr>
        <w:ind w:right="3779" w:firstLine="527"/>
        <w:spacing w:after="0" w:line="268" w:lineRule="auto"/>
        <w:rPr>
          <w:sz w:val="20"/>
          <w:szCs w:val="20"/>
          <w:color w:val="auto"/>
        </w:rPr>
      </w:pPr>
      <w:r>
        <w:rPr>
          <w:rFonts w:ascii="Courier New" w:cs="Courier New" w:eastAsia="Courier New" w:hAnsi="Courier New"/>
          <w:sz w:val="16"/>
          <w:szCs w:val="16"/>
          <w:color w:val="auto"/>
        </w:rPr>
        <w:t>EASTMAN KODAK COMPANY, a corporation duly organized and existing under the laws of the State of New Jersey (herein referred to as the "Company", which term includes any successor corporation under the Indenture referred to on the reverse hereof), for value received, hereby promises to pay to CEDE &amp; CO., or registered assigns, the principal sum of FIVE HUNDRED MILLION DOLLARS ($500,000,000) on November 15, 2013 (the "Maturity Date") and to pay accrued interest on said principal sum at the rate of 7.25% per annum from October 10, 2003 (the "Original Issue Date") or from the most recent date to which interest has been paid or duly provided for, semiannually in arrears on May 15 and November 15 of each year (each an "Interest Payment Date") and on the Maturity Date, until said principal sum is paid or duly provided for in accordance with the terms hereof. Interest on this Note will be computed on the basis of a 360-day year consisting of twelve 30-day months. The interest so payable, and punctually paid or duly provided for, on any Interest Payment Date will, as provided in the Indenture referred to on the reverse hereof, be paid to the Person in whose name this Note (or one or more Predecessor Securities) is registered at the close of business on the Regular Record Date for such interest, which, in the case of any Interest Payment Date shall be the May 1 or November 1 (whether or not a Business Day) immediately preceding such Interest Payment Date; provided, however, that any interest payable on the Maturity Date shall be paid to the same Person to whom the principal of this Note is payable. Notwithstanding the foregoing, if this Note is issued between a Regular Record Date and the related Interest Payment Date or on an Interest Payment Date, the interest so payable for the period from the Original Issue Date to such Interest Payment Date shall be paid on the Interest Payment Date following the next succeeding Regular Record Date to the Registered Holder hereof on such next succeeding Regular Record Date. Any interest not punctually paid or duly provided for shall forthwith cease to be payable to the Registered Holder hereof on the related Regular Record Date, and may be paid to the Person in whose name this Note (or one or more Predecessor Securities) is registered at the close of business on a Special Record Date for the payment of such Defaulted Interest to be fixed by the Trustee, notice whereof shall be given to Holders of Notes not less than ten days prior to such Special Record Date, or may be paid at any time in any other lawful manner not inconsistent with the requirements of any securities exchange on which the Notes may be listed, and upon such notice as may be required by such exchange, all as more fully provided in said Indenture. For purposes of this Note, "Business Day", when used with respect to any Place of Payment, means each Monday, Tuesday, Wednesday, Thursday and Friday which is not a day on which banking institutions in</w:t>
      </w:r>
    </w:p>
    <w:p>
      <w:pPr>
        <w:sectPr>
          <w:pgSz w:w="11900" w:h="16838" w:orient="portrait"/>
          <w:cols w:equalWidth="0" w:num="1">
            <w:col w:w="10219"/>
          </w:cols>
          <w:pgMar w:left="240" w:top="142" w:right="1440" w:bottom="542" w:gutter="0" w:footer="0" w:header="0"/>
          <w:type w:val="continuous"/>
        </w:sectPr>
      </w:pPr>
    </w:p>
    <w:bookmarkStart w:id="7" w:name="page8"/>
    <w:bookmarkEnd w:id="7"/>
    <w:p>
      <w:pPr>
        <w:ind w:right="3999"/>
        <w:spacing w:after="0" w:line="235" w:lineRule="auto"/>
        <w:rPr>
          <w:sz w:val="20"/>
          <w:szCs w:val="20"/>
          <w:color w:val="auto"/>
        </w:rPr>
      </w:pPr>
      <w:r>
        <w:rPr>
          <w:rFonts w:ascii="Courier New" w:cs="Courier New" w:eastAsia="Courier New" w:hAnsi="Courier New"/>
          <w:sz w:val="18"/>
          <w:szCs w:val="18"/>
          <w:color w:val="auto"/>
        </w:rPr>
        <w:t>that place of payment are authorized or obligated by law to close.</w:t>
      </w:r>
    </w:p>
    <w:p>
      <w:pPr>
        <w:spacing w:after="0" w:line="208"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Payment of the principal of and interest on this Note will be made at the office or agency of the Company maintained for that purpose in the Borough of Manhattan, the City and State of New York, in such coin or currency of the United States of America as at the time of payment is legal tender for payment of public and private debts.</w:t>
      </w:r>
    </w:p>
    <w:p>
      <w:pPr>
        <w:spacing w:after="0" w:line="210" w:lineRule="exact"/>
        <w:rPr>
          <w:sz w:val="20"/>
          <w:szCs w:val="20"/>
          <w:color w:val="auto"/>
        </w:rPr>
      </w:pPr>
    </w:p>
    <w:p>
      <w:pPr>
        <w:ind w:right="3999" w:firstLine="527"/>
        <w:spacing w:after="0" w:line="237" w:lineRule="auto"/>
        <w:rPr>
          <w:sz w:val="20"/>
          <w:szCs w:val="20"/>
          <w:color w:val="auto"/>
        </w:rPr>
      </w:pPr>
      <w:r>
        <w:rPr>
          <w:rFonts w:ascii="Courier New" w:cs="Courier New" w:eastAsia="Courier New" w:hAnsi="Courier New"/>
          <w:sz w:val="18"/>
          <w:szCs w:val="18"/>
          <w:color w:val="auto"/>
        </w:rPr>
        <w:t>REFERENCE IS HEREBY MADE TO THE FURTHER PROVISIONS OF THIS NOTE SET FORTH ON THE REVERSE HEREOF, AND SUCH FURTHER PROVISIONS SHALL FOR ALL PURPOSES HAVE THE SAME EFFECT AS THOUGH FULLY SET FORTH IN THIS PLACE.</w:t>
      </w:r>
    </w:p>
    <w:p>
      <w:pPr>
        <w:spacing w:after="0" w:line="207" w:lineRule="exact"/>
        <w:rPr>
          <w:sz w:val="20"/>
          <w:szCs w:val="20"/>
          <w:color w:val="auto"/>
        </w:rPr>
      </w:pPr>
    </w:p>
    <w:p>
      <w:pPr>
        <w:jc w:val="both"/>
        <w:ind w:right="3899" w:firstLine="527"/>
        <w:spacing w:after="0" w:line="279" w:lineRule="auto"/>
        <w:rPr>
          <w:sz w:val="20"/>
          <w:szCs w:val="20"/>
          <w:color w:val="auto"/>
        </w:rPr>
      </w:pPr>
      <w:r>
        <w:rPr>
          <w:rFonts w:ascii="Courier New" w:cs="Courier New" w:eastAsia="Courier New" w:hAnsi="Courier New"/>
          <w:sz w:val="16"/>
          <w:szCs w:val="16"/>
          <w:color w:val="auto"/>
        </w:rPr>
        <w:t>This Note shall not become valid or obligatory for any purpose unless and until this Note has been authenticated by The Bank of New York, or its successor, as Trustee.</w:t>
      </w:r>
    </w:p>
    <w:p>
      <w:pPr>
        <w:spacing w:after="0" w:line="178" w:lineRule="exact"/>
        <w:rPr>
          <w:sz w:val="20"/>
          <w:szCs w:val="20"/>
          <w:color w:val="auto"/>
        </w:rPr>
      </w:pPr>
    </w:p>
    <w:p>
      <w:pPr>
        <w:jc w:val="both"/>
        <w:ind w:right="3899" w:firstLine="527"/>
        <w:spacing w:after="0" w:line="235" w:lineRule="auto"/>
        <w:rPr>
          <w:sz w:val="20"/>
          <w:szCs w:val="20"/>
          <w:color w:val="auto"/>
        </w:rPr>
      </w:pPr>
      <w:r>
        <w:rPr>
          <w:rFonts w:ascii="Courier New" w:cs="Courier New" w:eastAsia="Courier New" w:hAnsi="Courier New"/>
          <w:sz w:val="18"/>
          <w:szCs w:val="18"/>
          <w:color w:val="auto"/>
        </w:rPr>
        <w:t>IN WITNESS WHEREOF, the Company has caused this Note to be executed under its corporate seal.</w:t>
      </w:r>
    </w:p>
    <w:p>
      <w:pPr>
        <w:spacing w:after="0" w:line="203"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8"/>
          <w:szCs w:val="18"/>
          <w:color w:val="auto"/>
        </w:rPr>
        <w:t>[Seal]</w:t>
      </w:r>
      <w:r>
        <w:rPr>
          <w:sz w:val="20"/>
          <w:szCs w:val="20"/>
          <w:color w:val="auto"/>
        </w:rPr>
        <w:tab/>
      </w:r>
      <w:r>
        <w:rPr>
          <w:rFonts w:ascii="Courier New" w:cs="Courier New" w:eastAsia="Courier New" w:hAnsi="Courier New"/>
          <w:sz w:val="18"/>
          <w:szCs w:val="18"/>
          <w:color w:val="auto"/>
        </w:rPr>
        <w:t>EASTMAN KODAK COMPANY</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Attest:</w:t>
      </w:r>
    </w:p>
    <w:p>
      <w:pPr>
        <w:ind w:left="390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October 10, 2003</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CERTIFICATE OF AUTHENTICATION</w:t>
      </w:r>
    </w:p>
    <w:p>
      <w:pPr>
        <w:spacing w:after="0" w:line="207" w:lineRule="exact"/>
        <w:rPr>
          <w:sz w:val="20"/>
          <w:szCs w:val="20"/>
          <w:color w:val="auto"/>
        </w:rPr>
      </w:pPr>
    </w:p>
    <w:p>
      <w:pPr>
        <w:ind w:right="4519" w:firstLine="527"/>
        <w:spacing w:after="0" w:line="235" w:lineRule="auto"/>
        <w:rPr>
          <w:sz w:val="20"/>
          <w:szCs w:val="20"/>
          <w:color w:val="auto"/>
        </w:rPr>
      </w:pPr>
      <w:r>
        <w:rPr>
          <w:rFonts w:ascii="Courier New" w:cs="Courier New" w:eastAsia="Courier New" w:hAnsi="Courier New"/>
          <w:sz w:val="18"/>
          <w:szCs w:val="18"/>
          <w:color w:val="auto"/>
        </w:rPr>
        <w:t>This is one of the Notes issued under the within-mentioned Indenture.</w:t>
      </w:r>
    </w:p>
    <w:p>
      <w:pPr>
        <w:spacing w:after="0" w:line="200" w:lineRule="exact"/>
        <w:rPr>
          <w:sz w:val="20"/>
          <w:szCs w:val="20"/>
          <w:color w:val="auto"/>
        </w:rPr>
      </w:pPr>
    </w:p>
    <w:p>
      <w:pPr>
        <w:spacing w:after="0" w:line="205"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THE BANK OF NEW YORK</w:t>
      </w:r>
    </w:p>
    <w:p>
      <w:pPr>
        <w:ind w:left="370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3700"/>
        <w:spacing w:after="0" w:line="238" w:lineRule="auto"/>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EASTMAN KODAK COMPANY</w:t>
      </w:r>
    </w:p>
    <w:p>
      <w:pPr>
        <w:ind w:left="2000"/>
        <w:spacing w:after="0" w:line="238" w:lineRule="auto"/>
        <w:rPr>
          <w:sz w:val="20"/>
          <w:szCs w:val="20"/>
          <w:color w:val="auto"/>
        </w:rPr>
      </w:pPr>
      <w:r>
        <w:rPr>
          <w:rFonts w:ascii="Courier New" w:cs="Courier New" w:eastAsia="Courier New" w:hAnsi="Courier New"/>
          <w:sz w:val="18"/>
          <w:szCs w:val="18"/>
          <w:color w:val="auto"/>
        </w:rPr>
        <w:t>7.25% SENIOR NOTE DUE 2013</w:t>
      </w:r>
    </w:p>
    <w:p>
      <w:pPr>
        <w:spacing w:after="0" w:line="207" w:lineRule="exact"/>
        <w:rPr>
          <w:sz w:val="20"/>
          <w:szCs w:val="20"/>
          <w:color w:val="auto"/>
        </w:rPr>
      </w:pPr>
    </w:p>
    <w:p>
      <w:pPr>
        <w:ind w:right="3779" w:firstLine="527"/>
        <w:spacing w:after="0" w:line="238" w:lineRule="auto"/>
        <w:rPr>
          <w:sz w:val="20"/>
          <w:szCs w:val="20"/>
          <w:color w:val="auto"/>
        </w:rPr>
      </w:pPr>
      <w:r>
        <w:rPr>
          <w:rFonts w:ascii="Courier New" w:cs="Courier New" w:eastAsia="Courier New" w:hAnsi="Courier New"/>
          <w:sz w:val="18"/>
          <w:szCs w:val="18"/>
          <w:color w:val="auto"/>
        </w:rPr>
        <w:t>This 7.25% Senior Note due 2013 is one of a series of duly authorized debt securities of the Company (the "Securities") issued or to be issued in one or more series under an indenture dated as of January 1, 1988, as supplemented by a First Supplemental Indenture thereto dated as of September 6, 1991, a Second Supplemental Indenture thereto dated as of September 20, 1991, a Third Supplemental Indenture thereto dated as of January 26, 1993, a Fourth Supplemental Indenture thereto dated as of March 1, 1993 and a Fifth Supplemental Indenture thereto dated as of October 10, 2003 (as so supplemented, the "Indenture"), between the Company and The Bank of New York, as trustee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w:t>
      </w:r>
    </w:p>
    <w:p>
      <w:pPr>
        <w:spacing w:after="0" w:line="210"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The Notes are issuable only in registered form without coupons in denominations of $1,000 and any integral multiple thereof. As provided in the Indenture and subject to certain limitations therein set forth, this Note is exchangeable for a like aggregate principal amount of Notes of different authorized denominations, as requested by the Person surrendering the same.</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interest payable hereon on each Interest Payment</w:t>
      </w:r>
    </w:p>
    <w:p>
      <w:pPr>
        <w:sectPr>
          <w:pgSz w:w="11900" w:h="16838" w:orient="portrait"/>
          <w:cols w:equalWidth="0" w:num="1">
            <w:col w:w="10219"/>
          </w:cols>
          <w:pgMar w:left="240" w:top="142" w:right="1440" w:bottom="0" w:gutter="0" w:footer="0" w:header="0"/>
        </w:sectPr>
      </w:pPr>
    </w:p>
    <w:bookmarkStart w:id="8" w:name="page9"/>
    <w:bookmarkEnd w:id="8"/>
    <w:p>
      <w:pPr>
        <w:ind w:right="3779"/>
        <w:spacing w:after="0" w:line="237" w:lineRule="auto"/>
        <w:rPr>
          <w:sz w:val="20"/>
          <w:szCs w:val="20"/>
          <w:color w:val="auto"/>
        </w:rPr>
      </w:pPr>
      <w:r>
        <w:rPr>
          <w:rFonts w:ascii="Courier New" w:cs="Courier New" w:eastAsia="Courier New" w:hAnsi="Courier New"/>
          <w:sz w:val="18"/>
          <w:szCs w:val="18"/>
          <w:color w:val="auto"/>
        </w:rPr>
        <w:t>Date shall include interest accrued through the day before such Interest Payment Date. Any payments otherwise required to be made on this Note on a date that is not a Business Day need not be made on such date, but may be made on the next succeeding Business Day with the same force and effect as if made on such date, and no additional interest shall accrue as a result of such delayed payment.</w:t>
      </w:r>
    </w:p>
    <w:p>
      <w:pPr>
        <w:spacing w:after="0" w:line="211" w:lineRule="exact"/>
        <w:rPr>
          <w:sz w:val="20"/>
          <w:szCs w:val="20"/>
          <w:color w:val="auto"/>
        </w:rPr>
      </w:pPr>
    </w:p>
    <w:p>
      <w:pPr>
        <w:ind w:right="3779" w:firstLine="527"/>
        <w:spacing w:after="0" w:line="236" w:lineRule="auto"/>
        <w:rPr>
          <w:sz w:val="20"/>
          <w:szCs w:val="20"/>
          <w:color w:val="auto"/>
        </w:rPr>
      </w:pPr>
      <w:r>
        <w:rPr>
          <w:rFonts w:ascii="Courier New" w:cs="Courier New" w:eastAsia="Courier New" w:hAnsi="Courier New"/>
          <w:sz w:val="18"/>
          <w:szCs w:val="18"/>
          <w:color w:val="auto"/>
        </w:rPr>
        <w:t>This Note is not subject to any sinking fund, redemption at the option of the Company or prepayment at the option of the Holder.</w:t>
      </w:r>
    </w:p>
    <w:p>
      <w:pPr>
        <w:spacing w:after="0" w:line="209"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Ownership of beneficial interests herein will be limited to participants in the Depositary or Persons that hold interests through such participants, and the transfer of beneficial interests herein will be effected only through records maintained by the Depositary (with respect to interests of participants in the Depositary) or by participants in the Depositary or Persons that may hold interests through such participants (with respect to Persons other than participants in the Depositary).</w:t>
      </w:r>
    </w:p>
    <w:p>
      <w:pPr>
        <w:spacing w:after="0" w:line="214" w:lineRule="exact"/>
        <w:rPr>
          <w:sz w:val="20"/>
          <w:szCs w:val="20"/>
          <w:color w:val="auto"/>
        </w:rPr>
      </w:pPr>
    </w:p>
    <w:p>
      <w:pPr>
        <w:ind w:right="3779" w:firstLine="527"/>
        <w:spacing w:after="0" w:line="269" w:lineRule="auto"/>
        <w:rPr>
          <w:sz w:val="20"/>
          <w:szCs w:val="20"/>
          <w:color w:val="auto"/>
        </w:rPr>
      </w:pPr>
      <w:r>
        <w:rPr>
          <w:rFonts w:ascii="Courier New" w:cs="Courier New" w:eastAsia="Courier New" w:hAnsi="Courier New"/>
          <w:sz w:val="16"/>
          <w:szCs w:val="16"/>
          <w:color w:val="auto"/>
        </w:rPr>
        <w:t>This Note is exchangeable only if (x) the Depositary notifies the Company that it is unwilling or unable to continue as Depositary for this Note or if at any time the Depositary ceases to be in good standing under the Securities Exchange Act of 1934 and the Company does not appoint a successor Depositary within 90 days after the Company receives such notice or becomes aware that such Depositary is no longer in good standing, or (y) the Company in its sole discretion determines that this Note shall be exchanged for Certificated Notes in definitive form, provided that the definitive Notes so issued in exchange for this Note shall be in authorized denominations and be of like aggregate principal amount and tenor and terms as the portion of this Note to be exchanged. Except as provided above, owners of beneficial interests in this Note will not be entitled to have this Note or Notes represented by this Note registered in their names or receive physical delivery of Notes in definitive form and will not be considered the Holders hereof for any purpose under the Indenture.</w:t>
      </w:r>
    </w:p>
    <w:p>
      <w:pPr>
        <w:spacing w:after="0" w:line="200" w:lineRule="exact"/>
        <w:rPr>
          <w:sz w:val="20"/>
          <w:szCs w:val="20"/>
          <w:color w:val="auto"/>
        </w:rPr>
      </w:pPr>
    </w:p>
    <w:p>
      <w:pPr>
        <w:spacing w:after="0" w:line="398" w:lineRule="exact"/>
        <w:rPr>
          <w:sz w:val="20"/>
          <w:szCs w:val="20"/>
          <w:color w:val="auto"/>
        </w:rPr>
      </w:pPr>
    </w:p>
    <w:p>
      <w:pPr>
        <w:ind w:right="3779" w:firstLine="527"/>
        <w:spacing w:after="0" w:line="270"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Note is registrable on the Security Register of the Company, upon surrender of this Note for registration of transfer at the office or agency of the Company in the Borough of Manhattan, the City and State of New York (if so required by the Company, the Security Registrar or the Trustee), duly endorsed by, or accompanied by a written instrument of transfer in form satisfactory to the Company, the Security Registrar and the Trustee duly executed by the Holder hereof or his attorney duly authorized in writing, and thereupon one or more new Notes of this series, of authorized denominations and for the same aggregate principal amount and like tenor, will be issued to the designated transferee or transferees.</w:t>
      </w:r>
    </w:p>
    <w:p>
      <w:pPr>
        <w:spacing w:after="0" w:line="388"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 except as provided in the Indenture.</w:t>
      </w:r>
    </w:p>
    <w:p>
      <w:pPr>
        <w:spacing w:after="0" w:line="209"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Prior to due presentment of this Note for registration of transfer, the Company, the Trustee and any agent of the Company or of the Trustee may treat the Person in whose name this Note is registered as the Holder hereof for all purposes, whether or not this Note be overdue, and neither the Company, the Trustee nor such agent shall be affected by notice to the contrary.</w:t>
      </w:r>
    </w:p>
    <w:p>
      <w:pPr>
        <w:spacing w:after="0" w:line="211"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If an Event of Default with respect to the Securities of this series shall have occurred and be continuing, the principal of all the Securities of this series may be declared due and payable in the manner and with the effect provided in the Indenture. Certain events of bankruptcy or insolvency are Events of Default which shall result in the Notes becoming due and payable immediately upon the occurrence of such Events of Default.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case this Note shall at any time become mutilated,</w:t>
      </w:r>
    </w:p>
    <w:p>
      <w:pPr>
        <w:sectPr>
          <w:pgSz w:w="11900" w:h="16838" w:orient="portrait"/>
          <w:cols w:equalWidth="0" w:num="1">
            <w:col w:w="10219"/>
          </w:cols>
          <w:pgMar w:left="240" w:top="142" w:right="1440" w:bottom="0" w:gutter="0" w:footer="0" w:header="0"/>
        </w:sectPr>
      </w:pPr>
    </w:p>
    <w:bookmarkStart w:id="9" w:name="page10"/>
    <w:bookmarkEnd w:id="9"/>
    <w:p>
      <w:pPr>
        <w:ind w:right="3779"/>
        <w:spacing w:after="0" w:line="237" w:lineRule="auto"/>
        <w:rPr>
          <w:sz w:val="20"/>
          <w:szCs w:val="20"/>
          <w:color w:val="auto"/>
        </w:rPr>
      </w:pPr>
      <w:r>
        <w:rPr>
          <w:rFonts w:ascii="Courier New" w:cs="Courier New" w:eastAsia="Courier New" w:hAnsi="Courier New"/>
          <w:sz w:val="18"/>
          <w:szCs w:val="18"/>
          <w:color w:val="auto"/>
        </w:rPr>
        <w:t>destroyed, stolen or lost and this Note or evidence of the loss, theft or destruction hereof (together with such indemnity and such other documents or proof as may be required by the Company or the Trustee) shall be delivered to the principal corporate trust office of the Trustee, a new Note of like tenor and principal amount will be issued by the Company in exchange for, or in lieu of, this Note. All expenses and reasonable charges associated with procuring such indemnity and with the preparation, authentication and delivery of a new Note shall be borne by the Holder of this Note.</w:t>
      </w:r>
    </w:p>
    <w:p>
      <w:pPr>
        <w:spacing w:after="0" w:line="216" w:lineRule="exact"/>
        <w:rPr>
          <w:sz w:val="20"/>
          <w:szCs w:val="20"/>
          <w:color w:val="auto"/>
        </w:rPr>
      </w:pPr>
    </w:p>
    <w:p>
      <w:pPr>
        <w:ind w:right="3779" w:firstLine="527"/>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aggregate principal amount of the Securities at the time Outstanding of each series to be affected. The Indenture also contains provisions permitting the Holders of specified percentages in aggregate principal amount of the Securities of any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200" w:lineRule="exact"/>
        <w:rPr>
          <w:sz w:val="20"/>
          <w:szCs w:val="20"/>
          <w:color w:val="auto"/>
        </w:rPr>
      </w:pPr>
    </w:p>
    <w:p>
      <w:pPr>
        <w:spacing w:after="0" w:line="397" w:lineRule="exact"/>
        <w:rPr>
          <w:sz w:val="20"/>
          <w:szCs w:val="20"/>
          <w:color w:val="auto"/>
        </w:rPr>
      </w:pPr>
    </w:p>
    <w:p>
      <w:pPr>
        <w:ind w:right="3779" w:firstLine="527"/>
        <w:spacing w:after="0" w:line="237" w:lineRule="auto"/>
        <w:rPr>
          <w:sz w:val="20"/>
          <w:szCs w:val="20"/>
          <w:color w:val="auto"/>
        </w:rPr>
      </w:pPr>
      <w:r>
        <w:rPr>
          <w:rFonts w:ascii="Courier New" w:cs="Courier New" w:eastAsia="Courier New" w:hAnsi="Courier New"/>
          <w:sz w:val="18"/>
          <w:szCs w:val="18"/>
          <w:color w:val="auto"/>
        </w:rPr>
        <w:t>Holders of Securities may not enforce their rights pursuant to the Indenture or the Securities except as provided in the Indenture. No reference herein to the Indenture and no provision of this Note or of the Indenture shall alter or impair the obligation of the Company, which is absolute and unconditional, to pay the principal of (and premium, if any) and interest on this Note at the times, place and rate, and in the coin or currency, herein prescribed.</w:t>
      </w:r>
    </w:p>
    <w:p>
      <w:pPr>
        <w:spacing w:after="0" w:line="214" w:lineRule="exact"/>
        <w:rPr>
          <w:sz w:val="20"/>
          <w:szCs w:val="20"/>
          <w:color w:val="auto"/>
        </w:rPr>
      </w:pPr>
    </w:p>
    <w:p>
      <w:pPr>
        <w:ind w:right="3899" w:firstLine="527"/>
        <w:spacing w:after="0" w:line="237" w:lineRule="auto"/>
        <w:rPr>
          <w:sz w:val="20"/>
          <w:szCs w:val="20"/>
          <w:color w:val="auto"/>
        </w:rPr>
      </w:pPr>
      <w:r>
        <w:rPr>
          <w:rFonts w:ascii="Courier New" w:cs="Courier New" w:eastAsia="Courier New" w:hAnsi="Courier New"/>
          <w:sz w:val="18"/>
          <w:szCs w:val="18"/>
          <w:color w:val="auto"/>
        </w:rPr>
        <w:t>THIS NOTE SHALL BE DEEMED TO BE A CONTRACT MADE AND TO BE PERFORMED SOLELY IN THE STATE OF NEW YORK, AND FOR ALL PURPOSES SHALL BE GOVERNED BY, AND CONSTRUED IN ACCORDANCE WITH, THE LAWS OF SAID STATE WITHOUT REGARD TO THE CONFLICTS OF LAW RULES OF SAID STATE.</w:t>
      </w:r>
    </w:p>
    <w:p>
      <w:pPr>
        <w:spacing w:after="0" w:line="209" w:lineRule="exact"/>
        <w:rPr>
          <w:sz w:val="20"/>
          <w:szCs w:val="20"/>
          <w:color w:val="auto"/>
        </w:rPr>
      </w:pPr>
    </w:p>
    <w:p>
      <w:pPr>
        <w:jc w:val="both"/>
        <w:ind w:right="4199" w:firstLine="527"/>
        <w:spacing w:after="0" w:line="236" w:lineRule="auto"/>
        <w:rPr>
          <w:sz w:val="20"/>
          <w:szCs w:val="20"/>
          <w:color w:val="auto"/>
        </w:rPr>
      </w:pPr>
      <w:r>
        <w:rPr>
          <w:rFonts w:ascii="Courier New" w:cs="Courier New" w:eastAsia="Courier New" w:hAnsi="Courier New"/>
          <w:sz w:val="18"/>
          <w:szCs w:val="18"/>
          <w:color w:val="auto"/>
        </w:rPr>
        <w:t>All terms used in this Note that are defined in the Indenture shall have the meanings assigned to them in the Indenture.</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ABBREVIATIONS</w:t>
      </w:r>
    </w:p>
    <w:p>
      <w:pPr>
        <w:spacing w:after="0" w:line="4"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ectPr>
          <w:pgSz w:w="11900" w:h="16838" w:orient="portrait"/>
          <w:cols w:equalWidth="0" w:num="1">
            <w:col w:w="10219"/>
          </w:cols>
          <w:pgMar w:left="240" w:top="142" w:right="1440" w:bottom="0" w:gutter="0" w:footer="0" w:header="0"/>
        </w:sectPr>
      </w:pP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TEN CON -</w:t>
      </w:r>
      <w:r>
        <w:rPr>
          <w:sz w:val="20"/>
          <w:szCs w:val="20"/>
          <w:color w:val="auto"/>
        </w:rPr>
        <w:tab/>
      </w:r>
      <w:r>
        <w:rPr>
          <w:rFonts w:ascii="Courier New" w:cs="Courier New" w:eastAsia="Courier New" w:hAnsi="Courier New"/>
          <w:sz w:val="16"/>
          <w:szCs w:val="16"/>
          <w:color w:val="auto"/>
        </w:rPr>
        <w:t>as tenants in common</w:t>
      </w:r>
    </w:p>
    <w:p>
      <w:pPr>
        <w:spacing w:after="0"/>
        <w:tabs>
          <w:tab w:leader="none" w:pos="1140" w:val="left"/>
        </w:tabs>
        <w:rPr>
          <w:sz w:val="20"/>
          <w:szCs w:val="20"/>
          <w:color w:val="auto"/>
        </w:rPr>
      </w:pPr>
      <w:r>
        <w:rPr>
          <w:rFonts w:ascii="Courier New" w:cs="Courier New" w:eastAsia="Courier New" w:hAnsi="Courier New"/>
          <w:sz w:val="18"/>
          <w:szCs w:val="18"/>
          <w:color w:val="auto"/>
        </w:rPr>
        <w:t>TEN ENT -</w:t>
      </w:r>
      <w:r>
        <w:rPr>
          <w:sz w:val="20"/>
          <w:szCs w:val="20"/>
          <w:color w:val="auto"/>
        </w:rPr>
        <w:tab/>
      </w:r>
      <w:r>
        <w:rPr>
          <w:rFonts w:ascii="Courier New" w:cs="Courier New" w:eastAsia="Courier New" w:hAnsi="Courier New"/>
          <w:sz w:val="16"/>
          <w:szCs w:val="16"/>
          <w:color w:val="auto"/>
        </w:rPr>
        <w:t>as tenants by the</w:t>
      </w:r>
    </w:p>
    <w:p>
      <w:pPr>
        <w:ind w:left="1280"/>
        <w:spacing w:after="0"/>
        <w:rPr>
          <w:sz w:val="20"/>
          <w:szCs w:val="20"/>
          <w:color w:val="auto"/>
        </w:rPr>
      </w:pPr>
      <w:r>
        <w:rPr>
          <w:rFonts w:ascii="Courier New" w:cs="Courier New" w:eastAsia="Courier New" w:hAnsi="Courier New"/>
          <w:sz w:val="18"/>
          <w:szCs w:val="18"/>
          <w:color w:val="auto"/>
        </w:rPr>
        <w:t>entireties</w:t>
      </w:r>
    </w:p>
    <w:p>
      <w:pPr>
        <w:spacing w:after="0"/>
        <w:tabs>
          <w:tab w:leader="none" w:pos="840" w:val="left"/>
          <w:tab w:leader="none" w:pos="1140" w:val="left"/>
        </w:tabs>
        <w:rPr>
          <w:sz w:val="20"/>
          <w:szCs w:val="20"/>
          <w:color w:val="auto"/>
        </w:rPr>
      </w:pPr>
      <w:r>
        <w:rPr>
          <w:rFonts w:ascii="Courier New" w:cs="Courier New" w:eastAsia="Courier New" w:hAnsi="Courier New"/>
          <w:sz w:val="18"/>
          <w:szCs w:val="18"/>
          <w:color w:val="auto"/>
        </w:rPr>
        <w:t>JT TEN</w:t>
        <w:tab/>
        <w:t>-</w:t>
      </w:r>
      <w:r>
        <w:rPr>
          <w:sz w:val="20"/>
          <w:szCs w:val="20"/>
          <w:color w:val="auto"/>
        </w:rPr>
        <w:tab/>
      </w:r>
      <w:r>
        <w:rPr>
          <w:rFonts w:ascii="Courier New" w:cs="Courier New" w:eastAsia="Courier New" w:hAnsi="Courier New"/>
          <w:sz w:val="16"/>
          <w:szCs w:val="16"/>
          <w:color w:val="auto"/>
        </w:rPr>
        <w:t>as joint tenants</w:t>
      </w:r>
    </w:p>
    <w:p>
      <w:pPr>
        <w:ind w:left="1280"/>
        <w:spacing w:after="0" w:line="238" w:lineRule="auto"/>
        <w:rPr>
          <w:sz w:val="20"/>
          <w:szCs w:val="20"/>
          <w:color w:val="auto"/>
        </w:rPr>
      </w:pPr>
      <w:r>
        <w:rPr>
          <w:rFonts w:ascii="Courier New" w:cs="Courier New" w:eastAsia="Courier New" w:hAnsi="Courier New"/>
          <w:sz w:val="18"/>
          <w:szCs w:val="18"/>
          <w:color w:val="auto"/>
        </w:rPr>
        <w:t>with right of</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survivorship and not</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as tenants in common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UNIF GIFT MIN ACT-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__Custodian__</w:t>
      </w:r>
    </w:p>
    <w:p>
      <w:pPr>
        <w:spacing w:after="0" w:line="20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(Cust)</w:t>
        <w:tab/>
        <w:t>(Minor)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Uniform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Gifts to Minors</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Act</w:t>
      </w:r>
    </w:p>
    <w:p>
      <w:pPr>
        <w:spacing w:after="0" w:line="206" w:lineRule="exact"/>
        <w:rPr>
          <w:sz w:val="20"/>
          <w:szCs w:val="20"/>
          <w:color w:val="auto"/>
        </w:rPr>
      </w:pPr>
    </w:p>
    <w:p>
      <w:pPr>
        <w:sectPr>
          <w:pgSz w:w="11900" w:h="16838" w:orient="portrait"/>
          <w:cols w:equalWidth="0" w:num="3">
            <w:col w:w="3380" w:space="200"/>
            <w:col w:w="1900" w:space="220"/>
            <w:col w:w="4519"/>
          </w:cols>
          <w:pgMar w:left="240" w:top="142" w:right="1440" w:bottom="0" w:gutter="0" w:footer="0" w:header="0"/>
          <w:type w:val="continuous"/>
        </w:sectPr>
      </w:pPr>
    </w:p>
    <w:p>
      <w:pPr>
        <w:ind w:left="6120"/>
        <w:spacing w:after="0"/>
        <w:rPr>
          <w:sz w:val="20"/>
          <w:szCs w:val="20"/>
          <w:color w:val="auto"/>
        </w:rPr>
      </w:pPr>
      <w:r>
        <w:rPr>
          <w:rFonts w:ascii="Courier New" w:cs="Courier New" w:eastAsia="Courier New" w:hAnsi="Courier New"/>
          <w:sz w:val="16"/>
          <w:szCs w:val="16"/>
          <w:color w:val="auto"/>
        </w:rPr>
        <w:t>(State)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Additional abbreviations may also be used though not in the</w:t>
      </w:r>
    </w:p>
    <w:p>
      <w:pPr>
        <w:ind w:left="2860"/>
        <w:spacing w:after="0" w:line="238" w:lineRule="auto"/>
        <w:rPr>
          <w:sz w:val="20"/>
          <w:szCs w:val="20"/>
          <w:color w:val="auto"/>
        </w:rPr>
      </w:pPr>
      <w:r>
        <w:rPr>
          <w:rFonts w:ascii="Courier New" w:cs="Courier New" w:eastAsia="Courier New" w:hAnsi="Courier New"/>
          <w:sz w:val="18"/>
          <w:szCs w:val="18"/>
          <w:color w:val="auto"/>
        </w:rPr>
        <w:t>above list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ASSIGNMENT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 the undersigned hereby sell(s), assign(s)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transfer(s) unto</w:t>
      </w:r>
    </w:p>
    <w:p>
      <w:pPr>
        <w:sectPr>
          <w:pgSz w:w="11900" w:h="16838" w:orient="portrait"/>
          <w:cols w:equalWidth="0" w:num="1">
            <w:col w:w="10219"/>
          </w:cols>
          <w:pgMar w:left="240" w:top="142" w:right="1440" w:bottom="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Please insert Social Security or Other</w:t>
      </w:r>
    </w:p>
    <w:p>
      <w:pPr>
        <w:spacing w:after="0" w:line="238" w:lineRule="auto"/>
        <w:rPr>
          <w:sz w:val="20"/>
          <w:szCs w:val="20"/>
          <w:color w:val="auto"/>
        </w:rPr>
      </w:pPr>
      <w:r>
        <w:rPr>
          <w:rFonts w:ascii="Courier New" w:cs="Courier New" w:eastAsia="Courier New" w:hAnsi="Courier New"/>
          <w:sz w:val="18"/>
          <w:szCs w:val="18"/>
          <w:color w:val="auto"/>
        </w:rPr>
        <w:t>Identifying Number of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Please Print or Type Name and Address Including Zip Code of</w:t>
      </w:r>
    </w:p>
    <w:p>
      <w:pPr>
        <w:jc w:val="center"/>
        <w:ind w:right="3479"/>
        <w:spacing w:after="0" w:line="238" w:lineRule="auto"/>
        <w:rPr>
          <w:sz w:val="20"/>
          <w:szCs w:val="20"/>
          <w:color w:val="auto"/>
        </w:rPr>
      </w:pPr>
      <w:r>
        <w:rPr>
          <w:rFonts w:ascii="Courier New" w:cs="Courier New" w:eastAsia="Courier New" w:hAnsi="Courier New"/>
          <w:sz w:val="18"/>
          <w:szCs w:val="18"/>
          <w:color w:val="auto"/>
        </w:rPr>
        <w:t>Assignee</w:t>
      </w:r>
    </w:p>
    <w:p>
      <w:pPr>
        <w:spacing w:after="0" w:line="200" w:lineRule="exact"/>
        <w:rPr>
          <w:sz w:val="20"/>
          <w:szCs w:val="20"/>
          <w:color w:val="auto"/>
        </w:rPr>
      </w:pPr>
    </w:p>
    <w:p>
      <w:pPr>
        <w:spacing w:after="0" w:line="210"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the within Note and all rights thereunder, hereby irrevocably constituting and appointing</w:t>
      </w:r>
    </w:p>
    <w:p>
      <w:pPr>
        <w:spacing w:after="0" w:line="200" w:lineRule="exact"/>
        <w:rPr>
          <w:sz w:val="20"/>
          <w:szCs w:val="20"/>
          <w:color w:val="auto"/>
        </w:rPr>
      </w:pPr>
    </w:p>
    <w:p>
      <w:pPr>
        <w:spacing w:after="0" w:line="211"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attorney to transfer such Note on the books of Eastman Kodak Company with full power of substitution in the premises.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jc w:val="cente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NOTICE: The signature to this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assignment must correspond with</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the name as it appears upon the</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face of the Note in every</w:t>
      </w:r>
    </w:p>
    <w:p>
      <w:pPr>
        <w:ind w:left="3480"/>
        <w:spacing w:after="0" w:line="238" w:lineRule="auto"/>
        <w:rPr>
          <w:sz w:val="20"/>
          <w:szCs w:val="20"/>
          <w:color w:val="auto"/>
        </w:rPr>
      </w:pPr>
      <w:r>
        <w:rPr>
          <w:rFonts w:ascii="Courier New" w:cs="Courier New" w:eastAsia="Courier New" w:hAnsi="Courier New"/>
          <w:sz w:val="18"/>
          <w:szCs w:val="18"/>
          <w:color w:val="auto"/>
        </w:rPr>
        <w:t>particular, without alteration</w:t>
      </w:r>
    </w:p>
    <w:p>
      <w:pPr>
        <w:ind w:left="3480"/>
        <w:spacing w:after="0"/>
        <w:rPr>
          <w:sz w:val="20"/>
          <w:szCs w:val="20"/>
          <w:color w:val="auto"/>
        </w:rPr>
      </w:pPr>
      <w:r>
        <w:rPr>
          <w:rFonts w:ascii="Courier New" w:cs="Courier New" w:eastAsia="Courier New" w:hAnsi="Courier New"/>
          <w:sz w:val="18"/>
          <w:szCs w:val="18"/>
          <w:color w:val="auto"/>
        </w:rPr>
        <w:t>or enlargement or any change</w:t>
      </w:r>
    </w:p>
    <w:p>
      <w:pPr>
        <w:ind w:left="3480"/>
        <w:spacing w:after="0" w:line="237" w:lineRule="auto"/>
        <w:rPr>
          <w:sz w:val="20"/>
          <w:szCs w:val="20"/>
          <w:color w:val="auto"/>
        </w:rPr>
      </w:pPr>
      <w:r>
        <w:rPr>
          <w:rFonts w:ascii="Courier New" w:cs="Courier New" w:eastAsia="Courier New" w:hAnsi="Courier New"/>
          <w:sz w:val="18"/>
          <w:szCs w:val="18"/>
          <w:color w:val="auto"/>
        </w:rPr>
        <w:t>whatsoever.</w:t>
      </w:r>
    </w:p>
    <w:p>
      <w:pPr>
        <w:sectPr>
          <w:pgSz w:w="11900" w:h="16838" w:orient="portrait"/>
          <w:cols w:equalWidth="0" w:num="1">
            <w:col w:w="10219"/>
          </w:cols>
          <w:pgMar w:left="240" w:top="136"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480" w:type="dxa"/>
            <w:vAlign w:val="bottom"/>
          </w:tcPr>
          <w:p>
            <w:pPr>
              <w:ind w:left="120"/>
              <w:spacing w:after="0"/>
              <w:rPr>
                <w:sz w:val="20"/>
                <w:szCs w:val="20"/>
                <w:color w:val="auto"/>
              </w:rPr>
            </w:pPr>
            <w:r>
              <w:rPr>
                <w:rFonts w:ascii="Courier New" w:cs="Courier New" w:eastAsia="Courier New" w:hAnsi="Courier New"/>
                <w:sz w:val="18"/>
                <w:szCs w:val="18"/>
                <w:color w:val="auto"/>
              </w:rPr>
              <w:t>1</w:t>
            </w: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5"/>
              </w:rPr>
              <w:t>Exhibit (99)</w:t>
            </w:r>
          </w:p>
        </w:tc>
      </w:tr>
      <w:tr>
        <w:trPr>
          <w:trHeight w:val="405"/>
        </w:trPr>
        <w:tc>
          <w:tcPr>
            <w:tcW w:w="6220" w:type="dxa"/>
            <w:vAlign w:val="bottom"/>
            <w:gridSpan w:val="2"/>
          </w:tcPr>
          <w:p>
            <w:pPr>
              <w:spacing w:after="0"/>
              <w:rPr>
                <w:sz w:val="20"/>
                <w:szCs w:val="20"/>
                <w:color w:val="auto"/>
              </w:rPr>
            </w:pPr>
            <w:r>
              <w:rPr>
                <w:rFonts w:ascii="Courier New" w:cs="Courier New" w:eastAsia="Courier New" w:hAnsi="Courier New"/>
                <w:sz w:val="18"/>
                <w:szCs w:val="18"/>
                <w:color w:val="auto"/>
              </w:rPr>
              <w:t>Eastman Kodak Company and Subsidiary Companies</w:t>
            </w:r>
          </w:p>
        </w:tc>
        <w:tc>
          <w:tcPr>
            <w:tcW w:w="1380" w:type="dxa"/>
            <w:vAlign w:val="bottom"/>
          </w:tcPr>
          <w:p>
            <w:pPr>
              <w:spacing w:after="0"/>
              <w:rPr>
                <w:sz w:val="24"/>
                <w:szCs w:val="24"/>
                <w:color w:val="auto"/>
              </w:rPr>
            </w:pPr>
          </w:p>
        </w:tc>
      </w:tr>
      <w:tr>
        <w:trPr>
          <w:trHeight w:val="203"/>
        </w:trPr>
        <w:tc>
          <w:tcPr>
            <w:tcW w:w="6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Computation of Pro Forma Ratio of Earnings to Fixed Charges</w:t>
            </w:r>
          </w:p>
        </w:tc>
        <w:tc>
          <w:tcPr>
            <w:tcW w:w="13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 millions, except for ratios)</w:t>
            </w: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05"/>
        </w:trPr>
        <w:tc>
          <w:tcPr>
            <w:tcW w:w="4480" w:type="dxa"/>
            <w:vAlign w:val="bottom"/>
          </w:tcPr>
          <w:p>
            <w:pPr>
              <w:spacing w:after="0"/>
              <w:rPr>
                <w:sz w:val="24"/>
                <w:szCs w:val="24"/>
                <w:color w:val="auto"/>
              </w:rPr>
            </w:pPr>
          </w:p>
        </w:tc>
        <w:tc>
          <w:tcPr>
            <w:tcW w:w="174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Six Months</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Year</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Ended</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June 30,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2003</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2002</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Earnings from continuing operations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before provision for income taxes</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$ 108</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$ 946</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Adjustments: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Minority interest in income/(loss)</w:t>
            </w: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subsidiaries with fixed charges</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Undistributed loss/(earnings) of equity</w:t>
            </w: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method investees</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23</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107</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71</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component of rental expense (1)</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27</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Amortization of capitalized interest</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Earnings as adjusted</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$ 250</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$1,324</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Fixed charges: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expense</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71</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Interest component of rental expense (1)</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27</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Capitalized interest</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fixed charges</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  99</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$ 229</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Pro forma adjustments: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Estimated net increase in interest</w:t>
            </w: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 from refinancing</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ind w:left="220"/>
              <w:spacing w:after="0"/>
              <w:rPr>
                <w:sz w:val="20"/>
                <w:szCs w:val="20"/>
                <w:color w:val="auto"/>
              </w:rPr>
            </w:pPr>
            <w:r>
              <w:rPr>
                <w:rFonts w:ascii="Courier New" w:cs="Courier New" w:eastAsia="Courier New" w:hAnsi="Courier New"/>
                <w:sz w:val="18"/>
                <w:szCs w:val="18"/>
                <w:color w:val="auto"/>
              </w:rPr>
              <w:t>Total pro forma fixed charges</w:t>
            </w:r>
          </w:p>
        </w:tc>
        <w:tc>
          <w:tcPr>
            <w:tcW w:w="17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$ 112</w:t>
            </w:r>
          </w:p>
        </w:tc>
        <w:tc>
          <w:tcPr>
            <w:tcW w:w="1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$ 254</w:t>
            </w:r>
          </w:p>
        </w:tc>
      </w:tr>
      <w:tr>
        <w:trPr>
          <w:trHeight w:val="203"/>
        </w:trPr>
        <w:tc>
          <w:tcPr>
            <w:tcW w:w="4480" w:type="dxa"/>
            <w:vAlign w:val="bottom"/>
          </w:tcPr>
          <w:p>
            <w:pPr>
              <w:spacing w:after="0"/>
              <w:rPr>
                <w:sz w:val="17"/>
                <w:szCs w:val="17"/>
                <w:color w:val="auto"/>
              </w:rPr>
            </w:pP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Pro forma ratio of earnings to fixed</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charges</w:t>
            </w:r>
          </w:p>
        </w:tc>
        <w:tc>
          <w:tcPr>
            <w:tcW w:w="17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2.2x</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5.2x</w:t>
            </w:r>
          </w:p>
        </w:tc>
      </w:tr>
    </w:tbl>
    <w:p>
      <w:pPr>
        <w:spacing w:after="0" w:line="200" w:lineRule="exact"/>
        <w:rPr>
          <w:sz w:val="20"/>
          <w:szCs w:val="20"/>
          <w:color w:val="auto"/>
        </w:rPr>
      </w:pPr>
    </w:p>
    <w:p>
      <w:pPr>
        <w:spacing w:after="0" w:line="209" w:lineRule="exact"/>
        <w:rPr>
          <w:sz w:val="20"/>
          <w:szCs w:val="20"/>
          <w:color w:val="auto"/>
        </w:rPr>
      </w:pPr>
    </w:p>
    <w:p>
      <w:pPr>
        <w:ind w:left="540" w:right="2619" w:hanging="532"/>
        <w:spacing w:after="0" w:line="236"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component of rental expense is estimated to equal 1/3 of such expense, which is considered a reasonable approximation of the interest factor.</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2019-12-13T00:32:30Z</dcterms:created>
  <dcterms:modified xsi:type="dcterms:W3CDTF">2019-12-13T00:32:30Z</dcterms:modified>
</cp:coreProperties>
</file>