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1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10"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Date of report (Date of earliest event reported): January 30, 2005</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Eastman Kodak Company</w:t>
      </w:r>
    </w:p>
    <w:p>
      <w:pPr>
        <w:ind w:left="158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4000" w:val="left"/>
          <w:tab w:leader="none" w:pos="6200" w:val="left"/>
        </w:tabs>
        <w:rPr>
          <w:sz w:val="20"/>
          <w:szCs w:val="20"/>
          <w:color w:val="auto"/>
        </w:rPr>
      </w:pPr>
      <w:r>
        <w:rPr>
          <w:rFonts w:ascii="Courier New" w:cs="Courier New" w:eastAsia="Courier New" w:hAnsi="Courier New"/>
          <w:sz w:val="18"/>
          <w:szCs w:val="18"/>
          <w:color w:val="auto"/>
        </w:rPr>
        <w:t>New Jersey</w:t>
      </w:r>
      <w:r>
        <w:rPr>
          <w:sz w:val="20"/>
          <w:szCs w:val="20"/>
          <w:color w:val="auto"/>
        </w:rPr>
        <w:tab/>
      </w:r>
      <w:r>
        <w:rPr>
          <w:rFonts w:ascii="Courier New" w:cs="Courier New" w:eastAsia="Courier New" w:hAnsi="Courier New"/>
          <w:sz w:val="18"/>
          <w:szCs w:val="18"/>
          <w:color w:val="auto"/>
        </w:rPr>
        <w:t>1-87</w:t>
      </w:r>
      <w:r>
        <w:rPr>
          <w:sz w:val="20"/>
          <w:szCs w:val="20"/>
          <w:color w:val="auto"/>
        </w:rPr>
        <w:tab/>
      </w:r>
      <w:r>
        <w:rPr>
          <w:rFonts w:ascii="Courier New" w:cs="Courier New" w:eastAsia="Courier New" w:hAnsi="Courier New"/>
          <w:sz w:val="16"/>
          <w:szCs w:val="16"/>
          <w:color w:val="auto"/>
        </w:rPr>
        <w:t>16-0417150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680" w:val="left"/>
          <w:tab w:leader="none" w:pos="600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420"/>
        <w:spacing w:after="0"/>
        <w:tabs>
          <w:tab w:leader="none" w:pos="3560" w:val="left"/>
          <w:tab w:leader="none" w:pos="546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343 State Street,</w:t>
      </w:r>
    </w:p>
    <w:p>
      <w:pPr>
        <w:ind w:left="2960"/>
        <w:spacing w:after="0" w:line="238" w:lineRule="auto"/>
        <w:rPr>
          <w:sz w:val="20"/>
          <w:szCs w:val="20"/>
          <w:color w:val="auto"/>
        </w:rPr>
      </w:pPr>
      <w:r>
        <w:rPr>
          <w:rFonts w:ascii="Courier New" w:cs="Courier New" w:eastAsia="Courier New" w:hAnsi="Courier New"/>
          <w:sz w:val="18"/>
          <w:szCs w:val="18"/>
          <w:color w:val="auto"/>
        </w:rPr>
        <w:t>Rochester, New York 14650</w:t>
      </w:r>
    </w:p>
    <w:p>
      <w:pPr>
        <w:ind w:left="1280"/>
        <w:spacing w:after="0"/>
        <w:rPr>
          <w:sz w:val="20"/>
          <w:szCs w:val="20"/>
          <w:color w:val="auto"/>
        </w:rPr>
      </w:pPr>
      <w:r>
        <w:rPr>
          <w:rFonts w:ascii="Courier New" w:cs="Courier New" w:eastAsia="Courier New" w:hAnsi="Courier New"/>
          <w:sz w:val="18"/>
          <w:szCs w:val="18"/>
          <w:color w:val="auto"/>
        </w:rPr>
        <w:t>(Address of Principal Executive Office) (Zip Code)</w:t>
      </w:r>
    </w:p>
    <w:p>
      <w:pPr>
        <w:spacing w:after="0" w:line="200" w:lineRule="exact"/>
        <w:rPr>
          <w:sz w:val="24"/>
          <w:szCs w:val="24"/>
          <w:color w:val="auto"/>
        </w:rPr>
      </w:pPr>
    </w:p>
    <w:p>
      <w:pPr>
        <w:spacing w:after="0" w:line="209"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Registrant's telephone number, including area code (585) 724-4000</w:t>
      </w:r>
    </w:p>
    <w:p>
      <w:pPr>
        <w:spacing w:after="0" w:line="16" w:lineRule="exact"/>
        <w:rPr>
          <w:sz w:val="24"/>
          <w:szCs w:val="24"/>
          <w:color w:val="auto"/>
        </w:rPr>
      </w:pPr>
    </w:p>
    <w:p>
      <w:pPr>
        <w:ind w:left="6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9"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540" w:right="2839" w:hanging="532"/>
        <w:spacing w:after="0" w:line="235" w:lineRule="auto"/>
        <w:tabs>
          <w:tab w:leader="none" w:pos="32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540" w:right="2839" w:hanging="532"/>
        <w:spacing w:after="0" w:line="235" w:lineRule="auto"/>
        <w:tabs>
          <w:tab w:leader="none" w:pos="32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Securities Act (17 CFR 240.14a-12)</w:t>
      </w:r>
    </w:p>
    <w:p>
      <w:pPr>
        <w:spacing w:after="0" w:line="208" w:lineRule="exact"/>
        <w:rPr>
          <w:sz w:val="24"/>
          <w:szCs w:val="24"/>
          <w:color w:val="auto"/>
        </w:rPr>
      </w:pPr>
    </w:p>
    <w:p>
      <w:pPr>
        <w:ind w:left="540" w:right="2939" w:hanging="532"/>
        <w:spacing w:after="0" w:line="235" w:lineRule="auto"/>
        <w:tabs>
          <w:tab w:leader="none" w:pos="32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540" w:right="2619" w:hanging="532"/>
        <w:spacing w:after="0" w:line="235" w:lineRule="auto"/>
        <w:tabs>
          <w:tab w:leader="none" w:pos="32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13e-4(c)under the Exchange Act (17 CFR 240.13e-4(c))</w:t>
      </w:r>
    </w:p>
    <w:p>
      <w:pPr>
        <w:sectPr>
          <w:pgSz w:w="11900" w:h="16838" w:orient="portrait"/>
          <w:cols w:equalWidth="0" w:num="1">
            <w:col w:w="10219"/>
          </w:cols>
          <w:pgMar w:left="240" w:top="622" w:right="1440" w:bottom="144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1.01</w:t>
      </w:r>
      <w:r>
        <w:rPr>
          <w:sz w:val="20"/>
          <w:szCs w:val="20"/>
          <w:color w:val="auto"/>
        </w:rPr>
        <w:tab/>
      </w:r>
      <w:r>
        <w:rPr>
          <w:rFonts w:ascii="Courier New" w:cs="Courier New" w:eastAsia="Courier New" w:hAnsi="Courier New"/>
          <w:sz w:val="16"/>
          <w:szCs w:val="16"/>
          <w:color w:val="auto"/>
        </w:rPr>
        <w:t>Entry into a Material Definitive Agreement</w:t>
      </w:r>
    </w:p>
    <w:p>
      <w:pPr>
        <w:spacing w:after="0" w:line="207" w:lineRule="exact"/>
        <w:rPr>
          <w:sz w:val="20"/>
          <w:szCs w:val="20"/>
          <w:color w:val="auto"/>
        </w:rPr>
      </w:pPr>
    </w:p>
    <w:p>
      <w:pPr>
        <w:ind w:right="2739"/>
        <w:spacing w:after="0" w:line="270" w:lineRule="auto"/>
        <w:rPr>
          <w:sz w:val="20"/>
          <w:szCs w:val="20"/>
          <w:color w:val="auto"/>
        </w:rPr>
      </w:pPr>
      <w:r>
        <w:rPr>
          <w:rFonts w:ascii="Courier New" w:cs="Courier New" w:eastAsia="Courier New" w:hAnsi="Courier New"/>
          <w:sz w:val="16"/>
          <w:szCs w:val="16"/>
          <w:color w:val="auto"/>
        </w:rPr>
        <w:t>Eastman Kodak Company, a New Jersey corporation ("Kodak") has entered into an Arrangement Agreement dated January 30, 2005 (the "Agreement"), with Creo Inc., a Canada Business Corporations Act corporation ("Creo"), pursuant to which Kodak, through an acquisition subsidiary, will acquire all of the outstanding common shares of Creo pursuant to a statutory plan of arrangement (the "Arrangement"). Under the terms of the Agreement, which has been approved by Kodak's and Creo's respective boards of directors, Kodak will pay approximately U.S. $980 million in cash, or U.S. $16.50 per common share, for all the outstanding shares of Creo, on a fully diluted basis. Creo is a global company and leading provider of workflow software used by printers to manage efficiently the movement of text, graphics and images from the computer screen to the printing press. Based in Vancouver, Canada, Creo trades on NASDAQ (CREO) and the TSX (CRE).</w:t>
      </w:r>
    </w:p>
    <w:p>
      <w:pPr>
        <w:spacing w:after="0" w:line="388" w:lineRule="exact"/>
        <w:rPr>
          <w:sz w:val="20"/>
          <w:szCs w:val="20"/>
          <w:color w:val="auto"/>
        </w:rPr>
      </w:pPr>
    </w:p>
    <w:p>
      <w:pPr>
        <w:ind w:right="2739"/>
        <w:spacing w:after="0" w:line="270" w:lineRule="auto"/>
        <w:rPr>
          <w:sz w:val="20"/>
          <w:szCs w:val="20"/>
          <w:color w:val="auto"/>
        </w:rPr>
      </w:pPr>
      <w:r>
        <w:rPr>
          <w:rFonts w:ascii="Courier New" w:cs="Courier New" w:eastAsia="Courier New" w:hAnsi="Courier New"/>
          <w:sz w:val="16"/>
          <w:szCs w:val="16"/>
          <w:color w:val="auto"/>
        </w:rPr>
        <w:t>Kodak and Creo have made customary representations, warranties and covenants in the Agreement, including, among others, covenants by Creo to conduct its business in the ordinary course consistent with past practice during the interim period between the execution of the Agreement and consummation of the Arrangement. In addition, Creo has made certain additional customary covenants, including, among others, covenants not to: (i) solicit proposals relating to alternative acquisition proposals, or (ii) subject to certain exceptions, enter into discussions concerning or provide confidential information in connection with alternative acquisition proposals. Consummation of the transactions contemplated by the Agreement is conditioned upon, among other things, (1) performance of covenants, (2) accuracy of representations and warranties, (3) receipt of all required regulatory approvals, (4) absence of any law or order making the Arrangement illegal or prohibiting the consummation of the Arrangement,</w:t>
      </w:r>
    </w:p>
    <w:p>
      <w:pPr>
        <w:spacing w:after="0" w:line="184" w:lineRule="exact"/>
        <w:rPr>
          <w:sz w:val="20"/>
          <w:szCs w:val="20"/>
          <w:color w:val="auto"/>
        </w:rPr>
      </w:pPr>
    </w:p>
    <w:p>
      <w:pPr>
        <w:jc w:val="both"/>
        <w:ind w:right="293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dissent rights with respect to not more than 12.5% of the common shares of Creo in connection with the Arrangement, (6) the approval of Creo's shareholders, and (7) approval from the Ontario Superior Court of Justice (Commercial List).</w:t>
      </w:r>
    </w:p>
    <w:p>
      <w:pPr>
        <w:spacing w:after="0" w:line="207"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closing of the transactions contemplated by the Agreement is scheduled to take place three business days following the satisfaction or waiver of the closing conditions. Either party may terminate the Agreement if the closing does not occur on or before September 30, 2005. The Agreement contains certain additional termination rights for both Kodak and Creo and further provides that, upon termination of the Agreement under specified circumstances, Creo must pay Kodak a termination fee equal to $31.5 million plus reimbursement of certain transaction expenses incurred by Kodak.</w:t>
      </w:r>
    </w:p>
    <w:p>
      <w:pPr>
        <w:spacing w:after="0" w:line="214"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A copy of the January 31, 2005 press release related to this agreement is attached hereto as Exhibit (99.1).</w:t>
      </w:r>
    </w:p>
    <w:p>
      <w:pPr>
        <w:sectPr>
          <w:pgSz w:w="11900" w:h="16838" w:orient="portrait"/>
          <w:cols w:equalWidth="0" w:num="1">
            <w:col w:w="10219"/>
          </w:cols>
          <w:pgMar w:left="240" w:top="312" w:right="1440" w:bottom="1440"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Exhibit</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Eastman Kodak Company press release dated January 31, 2005.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EASTMAN KODAK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2619"/>
        <w:spacing w:after="0"/>
        <w:rPr>
          <w:sz w:val="20"/>
          <w:szCs w:val="20"/>
          <w:color w:val="auto"/>
        </w:rPr>
      </w:pPr>
      <w:r>
        <w:rPr>
          <w:rFonts w:ascii="Courier New" w:cs="Courier New" w:eastAsia="Courier New" w:hAnsi="Courier New"/>
          <w:sz w:val="18"/>
          <w:szCs w:val="18"/>
          <w:color w:val="auto"/>
        </w:rPr>
        <w:t>By: /s/ Richard G. Brown, Jr.</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Richard G. Brown, Jr.</w:t>
      </w:r>
    </w:p>
    <w:p>
      <w:pPr>
        <w:ind w:left="4540"/>
        <w:spacing w:after="0" w:line="238" w:lineRule="auto"/>
        <w:rPr>
          <w:sz w:val="20"/>
          <w:szCs w:val="20"/>
          <w:color w:val="auto"/>
        </w:rPr>
      </w:pPr>
      <w:r>
        <w:rPr>
          <w:rFonts w:ascii="Courier New" w:cs="Courier New" w:eastAsia="Courier New" w:hAnsi="Courier New"/>
          <w:sz w:val="18"/>
          <w:szCs w:val="18"/>
          <w:color w:val="auto"/>
        </w:rPr>
        <w:t>Controller</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 2005</w:t>
      </w:r>
    </w:p>
    <w:p>
      <w:pPr>
        <w:sectPr>
          <w:pgSz w:w="11900" w:h="16838" w:orient="portrait"/>
          <w:cols w:equalWidth="0" w:num="1">
            <w:col w:w="10219"/>
          </w:cols>
          <w:pgMar w:left="240" w:top="312" w:right="1440" w:bottom="1440" w:gutter="0" w:footer="0" w:header="0"/>
        </w:sectPr>
      </w:pPr>
    </w:p>
    <w:bookmarkStart w:id="3" w:name="page4"/>
    <w:bookmarkEnd w:id="3"/>
    <w:p>
      <w:pPr>
        <w:ind w:left="1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EASTMAN KODAK COMPANY</w:t>
      </w:r>
    </w:p>
    <w:p>
      <w:pPr>
        <w:ind w:left="3060"/>
        <w:spacing w:after="0" w:line="238" w:lineRule="auto"/>
        <w:rPr>
          <w:sz w:val="20"/>
          <w:szCs w:val="20"/>
          <w:color w:val="auto"/>
        </w:rPr>
      </w:pPr>
      <w:r>
        <w:rPr>
          <w:rFonts w:ascii="Courier New" w:cs="Courier New" w:eastAsia="Courier New" w:hAnsi="Courier New"/>
          <w:sz w:val="18"/>
          <w:szCs w:val="18"/>
          <w:color w:val="auto"/>
        </w:rPr>
        <w:t>INDEX TO EXHIBIT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Eastman Kodak Company press release dated January 31, 2005.</w:t>
      </w:r>
    </w:p>
    <w:p>
      <w:pPr>
        <w:sectPr>
          <w:pgSz w:w="11900" w:h="16838" w:orient="portrait"/>
          <w:cols w:equalWidth="0" w:num="1">
            <w:col w:w="10219"/>
          </w:cols>
          <w:pgMar w:left="240" w:top="31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20" w:type="dxa"/>
            <w:vAlign w:val="bottom"/>
          </w:tcPr>
          <w:p>
            <w:pPr>
              <w:ind w:left="1740"/>
              <w:spacing w:after="0"/>
              <w:rPr>
                <w:sz w:val="20"/>
                <w:szCs w:val="20"/>
                <w:color w:val="auto"/>
              </w:rPr>
            </w:pPr>
            <w:r>
              <w:rPr>
                <w:rFonts w:ascii="Courier New" w:cs="Courier New" w:eastAsia="Courier New" w:hAnsi="Courier New"/>
                <w:sz w:val="18"/>
                <w:szCs w:val="18"/>
                <w:color w:val="auto"/>
                <w:w w:val="96"/>
              </w:rPr>
              <w:t>Exhibit (99.1)</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EASTMAN KODAK COMPANY</w:t>
            </w:r>
          </w:p>
        </w:tc>
        <w:tc>
          <w:tcPr>
            <w:tcW w:w="322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Media Contacts:</w:t>
            </w:r>
          </w:p>
        </w:tc>
        <w:tc>
          <w:tcPr>
            <w:tcW w:w="15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03"/>
        </w:trPr>
        <w:tc>
          <w:tcPr>
            <w:tcW w:w="1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Financial</w:t>
            </w:r>
          </w:p>
        </w:tc>
        <w:tc>
          <w:tcPr>
            <w:tcW w:w="158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Gerard Meuchner</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585-724-4513</w:t>
            </w:r>
          </w:p>
        </w:tc>
        <w:tc>
          <w:tcPr>
            <w:tcW w:w="3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gerard.meuchner@kodak.com</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Lanzillo</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585-781-5481</w:t>
            </w:r>
          </w:p>
        </w:tc>
        <w:tc>
          <w:tcPr>
            <w:tcW w:w="3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david.lanzillo@kodak.com</w:t>
            </w:r>
          </w:p>
        </w:tc>
      </w:tr>
      <w:tr>
        <w:trPr>
          <w:trHeight w:val="405"/>
        </w:trPr>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rPr>
              <w:t>Trade</w:t>
            </w:r>
          </w:p>
        </w:tc>
        <w:tc>
          <w:tcPr>
            <w:tcW w:w="15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Anthony Sanzio</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585-724-0423</w:t>
            </w:r>
          </w:p>
        </w:tc>
        <w:tc>
          <w:tcPr>
            <w:tcW w:w="3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anthony.sanzio@kodak.com</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Ken Kadet</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612-573-3108</w:t>
            </w:r>
          </w:p>
        </w:tc>
        <w:tc>
          <w:tcPr>
            <w:tcW w:w="3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kadetk@fleishman.com</w:t>
            </w:r>
          </w:p>
        </w:tc>
      </w:tr>
      <w:tr>
        <w:trPr>
          <w:trHeight w:val="405"/>
        </w:trPr>
        <w:tc>
          <w:tcPr>
            <w:tcW w:w="3320" w:type="dxa"/>
            <w:vAlign w:val="bottom"/>
            <w:gridSpan w:val="2"/>
          </w:tcPr>
          <w:p>
            <w:pPr>
              <w:spacing w:after="0"/>
              <w:rPr>
                <w:sz w:val="20"/>
                <w:szCs w:val="20"/>
                <w:color w:val="auto"/>
              </w:rPr>
            </w:pPr>
            <w:r>
              <w:rPr>
                <w:rFonts w:ascii="Courier New" w:cs="Courier New" w:eastAsia="Courier New" w:hAnsi="Courier New"/>
                <w:sz w:val="18"/>
                <w:szCs w:val="18"/>
                <w:color w:val="auto"/>
              </w:rPr>
              <w:t>Investor Relations Contacts:</w:t>
            </w:r>
          </w:p>
        </w:tc>
        <w:tc>
          <w:tcPr>
            <w:tcW w:w="3220" w:type="dxa"/>
            <w:vAlign w:val="bottom"/>
          </w:tcPr>
          <w:p>
            <w:pPr>
              <w:spacing w:after="0"/>
              <w:rPr>
                <w:sz w:val="24"/>
                <w:szCs w:val="24"/>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Don Flick</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585-724-4352</w:t>
            </w:r>
          </w:p>
        </w:tc>
        <w:tc>
          <w:tcPr>
            <w:tcW w:w="3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donald.flick@kodak.com</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Carol Wilke</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585-724-6791</w:t>
            </w:r>
          </w:p>
        </w:tc>
        <w:tc>
          <w:tcPr>
            <w:tcW w:w="3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carol.wilke@kodak.com</w:t>
            </w:r>
          </w:p>
        </w:tc>
      </w:tr>
      <w:tr>
        <w:trPr>
          <w:trHeight w:val="203"/>
        </w:trPr>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Patty Yahn-Urlaub 585-724-4683</w:t>
            </w:r>
          </w:p>
        </w:tc>
        <w:tc>
          <w:tcPr>
            <w:tcW w:w="3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patty.yahn-urlaub@kodak.com</w:t>
            </w:r>
          </w:p>
        </w:tc>
      </w:tr>
    </w:tbl>
    <w:p>
      <w:pPr>
        <w:spacing w:after="0" w:line="200" w:lineRule="exact"/>
        <w:rPr>
          <w:sz w:val="20"/>
          <w:szCs w:val="20"/>
          <w:color w:val="auto"/>
        </w:rPr>
      </w:pPr>
    </w:p>
    <w:p>
      <w:pPr>
        <w:spacing w:after="0" w:line="209" w:lineRule="exact"/>
        <w:rPr>
          <w:sz w:val="20"/>
          <w:szCs w:val="20"/>
          <w:color w:val="auto"/>
        </w:rPr>
      </w:pPr>
    </w:p>
    <w:p>
      <w:pPr>
        <w:ind w:right="4519"/>
        <w:spacing w:after="0" w:line="279" w:lineRule="auto"/>
        <w:rPr>
          <w:sz w:val="20"/>
          <w:szCs w:val="20"/>
          <w:color w:val="auto"/>
        </w:rPr>
      </w:pPr>
      <w:r>
        <w:rPr>
          <w:rFonts w:ascii="Courier New" w:cs="Courier New" w:eastAsia="Courier New" w:hAnsi="Courier New"/>
          <w:sz w:val="16"/>
          <w:szCs w:val="16"/>
          <w:color w:val="auto"/>
        </w:rPr>
        <w:t>Kodak Announces Agreement to Acquire Creo Inc. Transaction Accretive to Earnings in 2006; Strengthens Position in Graphic Communications Market</w:t>
      </w:r>
    </w:p>
    <w:p>
      <w:pPr>
        <w:spacing w:after="0" w:line="381"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ROCHESTER, N.Y., Jan. 31 - Eastman Kodak Company (NYSE: EK) today announced that it has entered into a definitive agreement to acquire Creo Inc. (NASDAQ: CREO, TSX: CRE), a premier supplier of prepress systems used by commercial printers worldwide.</w:t>
      </w:r>
    </w:p>
    <w:p>
      <w:pPr>
        <w:spacing w:after="0" w:line="6" w:lineRule="exact"/>
        <w:rPr>
          <w:sz w:val="20"/>
          <w:szCs w:val="20"/>
          <w:color w:val="auto"/>
        </w:rPr>
      </w:pPr>
    </w:p>
    <w:p>
      <w:pPr>
        <w:ind w:right="3679" w:firstLine="211"/>
        <w:spacing w:after="0" w:line="237" w:lineRule="auto"/>
        <w:rPr>
          <w:sz w:val="20"/>
          <w:szCs w:val="20"/>
          <w:color w:val="auto"/>
        </w:rPr>
      </w:pPr>
      <w:r>
        <w:rPr>
          <w:rFonts w:ascii="Courier New" w:cs="Courier New" w:eastAsia="Courier New" w:hAnsi="Courier New"/>
          <w:sz w:val="18"/>
          <w:szCs w:val="18"/>
          <w:color w:val="auto"/>
        </w:rPr>
        <w:t>Based in Vancouver, Canada, Creo is the world's No. 1 provider of workflow software used by printers to manage efficiently the movement of text, graphics and images from the computer screen to the printing press. By adding Creo to its already impressive line-up of digital and traditional printing products and solutions, Kodak's Graphic Communications Group (GCG) reinforces its status as a leading industry participant able to provide customers with all the products and services they need to be successful in a blended production environment, where digital, traditional and hybrid print jobs are converging.</w:t>
      </w:r>
    </w:p>
    <w:p>
      <w:pPr>
        <w:spacing w:after="0" w:line="13" w:lineRule="exact"/>
        <w:rPr>
          <w:sz w:val="20"/>
          <w:szCs w:val="20"/>
          <w:color w:val="auto"/>
        </w:rPr>
      </w:pPr>
    </w:p>
    <w:p>
      <w:pPr>
        <w:ind w:right="3679" w:firstLine="211"/>
        <w:spacing w:after="0" w:line="271" w:lineRule="auto"/>
        <w:rPr>
          <w:sz w:val="20"/>
          <w:szCs w:val="20"/>
          <w:color w:val="auto"/>
        </w:rPr>
      </w:pPr>
      <w:r>
        <w:rPr>
          <w:rFonts w:ascii="Courier New" w:cs="Courier New" w:eastAsia="Courier New" w:hAnsi="Courier New"/>
          <w:sz w:val="16"/>
          <w:szCs w:val="16"/>
          <w:color w:val="auto"/>
        </w:rPr>
        <w:t>Under the terms of the agreement, Kodak will pay approximately $980 million in cash, or $16.50 per share, for all the outstanding shares of Creo, on a fully diluted basis. Creo presently has approximately $85 million of cash on its balance sheet and no debt. The transaction, which has been approved by Kodak's and Creo's respective boards of directors, is to be carried out by statutory plan of arrangement under Canadian law and is subject to regulatory approvals, the approval of Creo's shareholders, and court approval.</w:t>
      </w:r>
    </w:p>
    <w:p>
      <w:pPr>
        <w:spacing w:after="0" w:line="186" w:lineRule="exact"/>
        <w:rPr>
          <w:sz w:val="20"/>
          <w:szCs w:val="20"/>
          <w:color w:val="auto"/>
        </w:rPr>
      </w:pPr>
    </w:p>
    <w:p>
      <w:pPr>
        <w:ind w:right="3679" w:firstLine="211"/>
        <w:spacing w:after="0" w:line="275" w:lineRule="auto"/>
        <w:rPr>
          <w:sz w:val="20"/>
          <w:szCs w:val="20"/>
          <w:color w:val="auto"/>
        </w:rPr>
      </w:pPr>
      <w:r>
        <w:rPr>
          <w:rFonts w:ascii="Courier New" w:cs="Courier New" w:eastAsia="Courier New" w:hAnsi="Courier New"/>
          <w:sz w:val="16"/>
          <w:szCs w:val="16"/>
          <w:color w:val="auto"/>
        </w:rPr>
        <w:t>"Graphic Communications represents one of the three pillars of Kodak's digitally oriented growth strategy," said Daniel A. Carp, Kodak's Chairman and Chief Executive Officer. "The purchase of Creo strengthens that pillar, and essentially</w:t>
      </w:r>
    </w:p>
    <w:p>
      <w:pPr>
        <w:spacing w:after="0" w:line="35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concludes the company's acquisition plan, announced in September 2003."</w:t>
      </w:r>
    </w:p>
    <w:p>
      <w:pPr>
        <w:spacing w:after="0" w:line="6" w:lineRule="exact"/>
        <w:rPr>
          <w:sz w:val="20"/>
          <w:szCs w:val="20"/>
          <w:color w:val="auto"/>
        </w:rPr>
      </w:pPr>
    </w:p>
    <w:p>
      <w:pPr>
        <w:ind w:right="3679" w:firstLine="211"/>
        <w:spacing w:after="0" w:line="271" w:lineRule="auto"/>
        <w:rPr>
          <w:sz w:val="20"/>
          <w:szCs w:val="20"/>
          <w:color w:val="auto"/>
        </w:rPr>
      </w:pPr>
      <w:r>
        <w:rPr>
          <w:rFonts w:ascii="Courier New" w:cs="Courier New" w:eastAsia="Courier New" w:hAnsi="Courier New"/>
          <w:sz w:val="16"/>
          <w:szCs w:val="16"/>
          <w:color w:val="auto"/>
        </w:rPr>
        <w:t>"While this acquisition will result in some modest earnings dilution for the remainder of 2005, we remain committed to our operational earnings guidance range of $2.60 to $2.90 per share for 2005," Carp said. "We believe we have opportunities to achieve cost and revenue synergies by combining Creo with our existing businesses. We have every intention of building on this acquisition to increase shareholder value."</w:t>
      </w:r>
    </w:p>
    <w:p>
      <w:pPr>
        <w:spacing w:after="0" w:line="1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2006 Commitments Reinforced</w:t>
      </w:r>
    </w:p>
    <w:p>
      <w:pPr>
        <w:spacing w:after="0" w:line="207" w:lineRule="exact"/>
        <w:rPr>
          <w:sz w:val="20"/>
          <w:szCs w:val="20"/>
          <w:color w:val="auto"/>
        </w:rPr>
      </w:pPr>
    </w:p>
    <w:p>
      <w:pPr>
        <w:ind w:right="3679" w:firstLine="211"/>
        <w:spacing w:after="0" w:line="268" w:lineRule="auto"/>
        <w:rPr>
          <w:sz w:val="20"/>
          <w:szCs w:val="20"/>
          <w:color w:val="auto"/>
        </w:rPr>
      </w:pPr>
      <w:r>
        <w:rPr>
          <w:rFonts w:ascii="Courier New" w:cs="Courier New" w:eastAsia="Courier New" w:hAnsi="Courier New"/>
          <w:sz w:val="16"/>
          <w:szCs w:val="16"/>
          <w:color w:val="auto"/>
        </w:rPr>
        <w:t>For 2006, Kodak expects that Creo will add at least 5 cents to per-share operational earnings, driven by cost savings and revenue growth available to the combined entity. In 2006, Kodak also expects approximately $700 million of incremental revenue from Creo, whose sales in the 2004 fiscal year totaled $636 million and whose gross margins exceed 40%.</w:t>
      </w:r>
    </w:p>
    <w:p>
      <w:pPr>
        <w:spacing w:after="0" w:line="1" w:lineRule="exact"/>
        <w:rPr>
          <w:sz w:val="20"/>
          <w:szCs w:val="20"/>
          <w:color w:val="auto"/>
        </w:rPr>
      </w:pPr>
    </w:p>
    <w:p>
      <w:pPr>
        <w:ind w:right="3679" w:firstLine="211"/>
        <w:spacing w:after="0" w:line="272" w:lineRule="auto"/>
        <w:rPr>
          <w:sz w:val="20"/>
          <w:szCs w:val="20"/>
          <w:color w:val="auto"/>
        </w:rPr>
      </w:pPr>
      <w:r>
        <w:rPr>
          <w:rFonts w:ascii="Courier New" w:cs="Courier New" w:eastAsia="Courier New" w:hAnsi="Courier New"/>
          <w:sz w:val="16"/>
          <w:szCs w:val="16"/>
          <w:color w:val="auto"/>
        </w:rPr>
        <w:t>"While we are very pleased with the assets that currently comprise our Graphic Communications Group, the Creo acquisition offers us the opportunity to strengthen our position in the market," said Antonio M. Perez, Kodak's President and Chief Operating Officer. "As the pioneer of digital prepress systems and the leader in workflow, Creo will</w:t>
      </w:r>
    </w:p>
    <w:p>
      <w:pPr>
        <w:sectPr>
          <w:pgSz w:w="11900" w:h="16838" w:orient="portrait"/>
          <w:cols w:equalWidth="0" w:num="1">
            <w:col w:w="10219"/>
          </w:cols>
          <w:pgMar w:left="240" w:top="339" w:right="1440" w:bottom="0" w:gutter="0" w:footer="0" w:header="0"/>
        </w:sectPr>
      </w:pPr>
    </w:p>
    <w:bookmarkStart w:id="5" w:name="page6"/>
    <w:bookmarkEnd w:id="5"/>
    <w:p>
      <w:pPr>
        <w:ind w:right="3679"/>
        <w:spacing w:after="0" w:line="237" w:lineRule="auto"/>
        <w:rPr>
          <w:sz w:val="20"/>
          <w:szCs w:val="20"/>
          <w:color w:val="auto"/>
        </w:rPr>
      </w:pPr>
      <w:r>
        <w:rPr>
          <w:rFonts w:ascii="Courier New" w:cs="Courier New" w:eastAsia="Courier New" w:hAnsi="Courier New"/>
          <w:sz w:val="18"/>
          <w:szCs w:val="18"/>
          <w:color w:val="auto"/>
        </w:rPr>
        <w:t>accelerate our effort to bring more products to market sooner, for the benefit of our customers and our shareholders. With this move, we are more confident than ever in our ability to meet or exceed our operational earnings guidance of $3.00 per share in 2006."</w:t>
      </w:r>
    </w:p>
    <w:p>
      <w:pPr>
        <w:spacing w:after="0" w:line="6" w:lineRule="exact"/>
        <w:rPr>
          <w:sz w:val="20"/>
          <w:szCs w:val="20"/>
          <w:color w:val="auto"/>
        </w:rPr>
      </w:pPr>
    </w:p>
    <w:p>
      <w:pPr>
        <w:ind w:right="3779" w:firstLine="211"/>
        <w:spacing w:after="0" w:line="237" w:lineRule="auto"/>
        <w:rPr>
          <w:sz w:val="20"/>
          <w:szCs w:val="20"/>
          <w:color w:val="auto"/>
        </w:rPr>
      </w:pPr>
      <w:r>
        <w:rPr>
          <w:rFonts w:ascii="Courier New" w:cs="Courier New" w:eastAsia="Courier New" w:hAnsi="Courier New"/>
          <w:sz w:val="18"/>
          <w:szCs w:val="18"/>
          <w:color w:val="auto"/>
        </w:rPr>
        <w:t>"Creo will benefit from this transaction because Kodak brings them the size and scale necessary to increase their presence in the market," Perez said. "Kodak will benefit because we will be able to offer end-to-end solutions with a broader suite of products from Creo, and to capitalize on the synergies this creates across GCG."</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Strategic Benefits</w:t>
      </w:r>
    </w:p>
    <w:p>
      <w:pPr>
        <w:spacing w:after="0" w:line="207" w:lineRule="exact"/>
        <w:rPr>
          <w:sz w:val="20"/>
          <w:szCs w:val="20"/>
          <w:color w:val="auto"/>
        </w:rPr>
      </w:pPr>
    </w:p>
    <w:p>
      <w:pPr>
        <w:ind w:right="3679" w:firstLine="211"/>
        <w:spacing w:after="0" w:line="237" w:lineRule="auto"/>
        <w:rPr>
          <w:sz w:val="20"/>
          <w:szCs w:val="20"/>
          <w:color w:val="auto"/>
        </w:rPr>
      </w:pPr>
      <w:r>
        <w:rPr>
          <w:rFonts w:ascii="Courier New" w:cs="Courier New" w:eastAsia="Courier New" w:hAnsi="Courier New"/>
          <w:sz w:val="18"/>
          <w:szCs w:val="18"/>
          <w:color w:val="auto"/>
        </w:rPr>
        <w:t>Creo will provide Kodak with an innovative digital pre-press product portfolio and established relationships in the commercial printing segment, the largest market opportunity within the graphic communications industry. Creo has more than 25,000 customers and offices in 30 countries worldwide.</w:t>
      </w:r>
    </w:p>
    <w:p>
      <w:pPr>
        <w:sectPr>
          <w:pgSz w:w="11900" w:h="16838" w:orient="portrait"/>
          <w:cols w:equalWidth="0" w:num="1">
            <w:col w:w="10219"/>
          </w:cols>
          <w:pgMar w:left="240" w:top="142" w:right="1440" w:bottom="1440" w:gutter="0" w:footer="0" w:header="0"/>
        </w:sectPr>
      </w:pPr>
    </w:p>
    <w:bookmarkStart w:id="6" w:name="page7"/>
    <w:bookmarkEnd w:id="6"/>
    <w:p>
      <w:pPr>
        <w:ind w:left="1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3679" w:firstLine="211"/>
        <w:spacing w:after="0" w:line="237" w:lineRule="auto"/>
        <w:rPr>
          <w:sz w:val="20"/>
          <w:szCs w:val="20"/>
          <w:color w:val="auto"/>
        </w:rPr>
      </w:pPr>
      <w:r>
        <w:rPr>
          <w:rFonts w:ascii="Courier New" w:cs="Courier New" w:eastAsia="Courier New" w:hAnsi="Courier New"/>
          <w:sz w:val="18"/>
          <w:szCs w:val="18"/>
          <w:color w:val="auto"/>
        </w:rPr>
        <w:t>The proposed transaction follows the announcement on January 12 that Kodak has entered into an agreement to become the sole owner of Kodak Polychrome Graphics (KPG), its joint venture with Sun Chemical Corporation. KPG is the world's leading supplier of digital and conventional lithographic plates, digital color proofing products, and graphic arts films, with strong worldwide distribution.</w:t>
      </w:r>
    </w:p>
    <w:p>
      <w:pPr>
        <w:spacing w:after="0" w:line="9" w:lineRule="exact"/>
        <w:rPr>
          <w:sz w:val="20"/>
          <w:szCs w:val="20"/>
          <w:color w:val="auto"/>
        </w:rPr>
      </w:pPr>
    </w:p>
    <w:p>
      <w:pPr>
        <w:ind w:right="3779" w:firstLine="211"/>
        <w:spacing w:after="0" w:line="237" w:lineRule="auto"/>
        <w:rPr>
          <w:sz w:val="20"/>
          <w:szCs w:val="20"/>
          <w:color w:val="auto"/>
        </w:rPr>
      </w:pPr>
      <w:r>
        <w:rPr>
          <w:rFonts w:ascii="Courier New" w:cs="Courier New" w:eastAsia="Courier New" w:hAnsi="Courier New"/>
          <w:sz w:val="18"/>
          <w:szCs w:val="18"/>
          <w:color w:val="auto"/>
        </w:rPr>
        <w:t>"Creo's product line complements the work already underway at Kodak," said James Langley, President of Graphic Communications Group and Senior Vice President, Eastman Kodak Company. "Commercial printers use Creo's products in tandem with those sold by KPG; combining Kodak's, KPG's and Creo's portfolios will give customers what they want - a single supplier for their graphic communications needs. We will be able to marry our digital presses with Creo's prepress offerings, including their market-leading workflow, to accelerate growth."</w:t>
      </w:r>
    </w:p>
    <w:p>
      <w:pPr>
        <w:spacing w:after="0" w:line="12" w:lineRule="exact"/>
        <w:rPr>
          <w:sz w:val="20"/>
          <w:szCs w:val="20"/>
          <w:color w:val="auto"/>
        </w:rPr>
      </w:pPr>
    </w:p>
    <w:p>
      <w:pPr>
        <w:ind w:right="3779" w:firstLine="211"/>
        <w:spacing w:after="0" w:line="237" w:lineRule="auto"/>
        <w:rPr>
          <w:sz w:val="20"/>
          <w:szCs w:val="20"/>
          <w:color w:val="auto"/>
        </w:rPr>
      </w:pPr>
      <w:r>
        <w:rPr>
          <w:rFonts w:ascii="Courier New" w:cs="Courier New" w:eastAsia="Courier New" w:hAnsi="Courier New"/>
          <w:sz w:val="18"/>
          <w:szCs w:val="18"/>
          <w:color w:val="auto"/>
        </w:rPr>
        <w:t>"Creo is highly respected in its industry, and its customers, especially users of its leading workflow software, are loyal to its products because printers prefer to remain with software programs once they are installed and work successfully," Langley said.</w:t>
      </w:r>
    </w:p>
    <w:p>
      <w:pPr>
        <w:spacing w:after="0" w:line="6" w:lineRule="exact"/>
        <w:rPr>
          <w:sz w:val="20"/>
          <w:szCs w:val="20"/>
          <w:color w:val="auto"/>
        </w:rPr>
      </w:pPr>
    </w:p>
    <w:p>
      <w:pPr>
        <w:ind w:right="3679" w:firstLine="211"/>
        <w:spacing w:after="0" w:line="275" w:lineRule="auto"/>
        <w:rPr>
          <w:sz w:val="20"/>
          <w:szCs w:val="20"/>
          <w:color w:val="auto"/>
        </w:rPr>
      </w:pPr>
      <w:r>
        <w:rPr>
          <w:rFonts w:ascii="Courier New" w:cs="Courier New" w:eastAsia="Courier New" w:hAnsi="Courier New"/>
          <w:sz w:val="16"/>
          <w:szCs w:val="16"/>
          <w:color w:val="auto"/>
        </w:rPr>
        <w:t>Upon the closing of the transaction and the completion of the organizational structure of Kodak's Graphic Communications Group (GCG), Creo's operations will become part of the Graphics Solutions &amp; Services operating unit of GCG.</w:t>
      </w:r>
    </w:p>
    <w:p>
      <w:pPr>
        <w:spacing w:after="0" w:line="17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Financing</w:t>
      </w:r>
    </w:p>
    <w:p>
      <w:pPr>
        <w:spacing w:after="0" w:line="207" w:lineRule="exact"/>
        <w:rPr>
          <w:sz w:val="20"/>
          <w:szCs w:val="20"/>
          <w:color w:val="auto"/>
        </w:rPr>
      </w:pPr>
    </w:p>
    <w:p>
      <w:pPr>
        <w:ind w:right="3679" w:firstLine="211"/>
        <w:spacing w:after="0" w:line="237" w:lineRule="auto"/>
        <w:rPr>
          <w:sz w:val="20"/>
          <w:szCs w:val="20"/>
          <w:color w:val="auto"/>
        </w:rPr>
      </w:pPr>
      <w:r>
        <w:rPr>
          <w:rFonts w:ascii="Courier New" w:cs="Courier New" w:eastAsia="Courier New" w:hAnsi="Courier New"/>
          <w:sz w:val="18"/>
          <w:szCs w:val="18"/>
          <w:color w:val="auto"/>
        </w:rPr>
        <w:t>Kodak ended 2004 with $1.255 billion in cash on its balance sheet and a debt-to-capital ratio of 37.9%. The company's debt decreased by $927 million in 2004, to $2.321 billion. Based on the strength of its balance sheet, Kodak intends to pay for the acquisition by issuing debt.</w:t>
      </w:r>
    </w:p>
    <w:p>
      <w:pPr>
        <w:spacing w:after="0" w:line="6" w:lineRule="exact"/>
        <w:rPr>
          <w:sz w:val="20"/>
          <w:szCs w:val="20"/>
          <w:color w:val="auto"/>
        </w:rPr>
      </w:pPr>
    </w:p>
    <w:p>
      <w:pPr>
        <w:ind w:right="3679" w:firstLine="211"/>
        <w:spacing w:after="0" w:line="237" w:lineRule="auto"/>
        <w:rPr>
          <w:sz w:val="20"/>
          <w:szCs w:val="20"/>
          <w:color w:val="auto"/>
        </w:rPr>
      </w:pPr>
      <w:r>
        <w:rPr>
          <w:rFonts w:ascii="Courier New" w:cs="Courier New" w:eastAsia="Courier New" w:hAnsi="Courier New"/>
          <w:sz w:val="18"/>
          <w:szCs w:val="18"/>
          <w:color w:val="auto"/>
        </w:rPr>
        <w:t>"We have every confidence that we will have ready access to the debt markets to finance this acquisition," said Robert Brust, Kodak's Chief Financial Officer. "The debt incurred for this purchase will keep us well within our financial covenants with our commercial banks, and we intend to return to our current debt levels in 2007 as other debt outstanding matures. What's more, we have already factored into our earnings guidance the associated financing cost."</w:t>
      </w:r>
    </w:p>
    <w:p>
      <w:pPr>
        <w:sectPr>
          <w:pgSz w:w="11900" w:h="16838" w:orient="portrait"/>
          <w:cols w:equalWidth="0" w:num="1">
            <w:col w:w="10219"/>
          </w:cols>
          <w:pgMar w:left="240" w:top="312" w:right="1440" w:bottom="1440" w:gutter="0" w:footer="0" w:header="0"/>
        </w:sectPr>
      </w:pPr>
    </w:p>
    <w:bookmarkStart w:id="7" w:name="page8"/>
    <w:bookmarkEnd w:id="7"/>
    <w:p>
      <w:pPr>
        <w:ind w:left="1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Conference Call Information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Kodak has scheduled a conference call to discuss the</w:t>
      </w:r>
    </w:p>
    <w:p>
      <w:pPr>
        <w:spacing w:after="0" w:line="238" w:lineRule="auto"/>
        <w:rPr>
          <w:sz w:val="20"/>
          <w:szCs w:val="20"/>
          <w:color w:val="auto"/>
        </w:rPr>
      </w:pPr>
      <w:r>
        <w:rPr>
          <w:rFonts w:ascii="Courier New" w:cs="Courier New" w:eastAsia="Courier New" w:hAnsi="Courier New"/>
          <w:sz w:val="18"/>
          <w:szCs w:val="18"/>
          <w:color w:val="auto"/>
        </w:rPr>
        <w:t>acquisition. Hosted by Dan Carp and key members of Kodak</w:t>
      </w:r>
    </w:p>
    <w:p>
      <w:pPr>
        <w:spacing w:after="0"/>
        <w:rPr>
          <w:sz w:val="20"/>
          <w:szCs w:val="20"/>
          <w:color w:val="auto"/>
        </w:rPr>
      </w:pPr>
      <w:r>
        <w:rPr>
          <w:rFonts w:ascii="Courier New" w:cs="Courier New" w:eastAsia="Courier New" w:hAnsi="Courier New"/>
          <w:sz w:val="18"/>
          <w:szCs w:val="18"/>
          <w:color w:val="auto"/>
        </w:rPr>
        <w:t>management, the call will take place on January 31, 2005, at</w:t>
      </w:r>
    </w:p>
    <w:p>
      <w:pPr>
        <w:spacing w:after="0"/>
        <w:tabs>
          <w:tab w:leader="none" w:pos="1780" w:val="left"/>
        </w:tabs>
        <w:rPr>
          <w:sz w:val="20"/>
          <w:szCs w:val="20"/>
          <w:color w:val="auto"/>
        </w:rPr>
      </w:pPr>
      <w:r>
        <w:rPr>
          <w:rFonts w:ascii="Courier New" w:cs="Courier New" w:eastAsia="Courier New" w:hAnsi="Courier New"/>
          <w:sz w:val="18"/>
          <w:szCs w:val="18"/>
          <w:color w:val="auto"/>
        </w:rPr>
        <w:t>11:00 a.m. EST.</w:t>
      </w:r>
      <w:r>
        <w:rPr>
          <w:sz w:val="20"/>
          <w:szCs w:val="20"/>
          <w:color w:val="auto"/>
        </w:rPr>
        <w:tab/>
      </w:r>
      <w:r>
        <w:rPr>
          <w:rFonts w:ascii="Courier New" w:cs="Courier New" w:eastAsia="Courier New" w:hAnsi="Courier New"/>
          <w:sz w:val="16"/>
          <w:szCs w:val="16"/>
          <w:color w:val="auto"/>
        </w:rPr>
        <w:t>All interested parties are invited to</w:t>
      </w:r>
    </w:p>
    <w:p>
      <w:pPr>
        <w:spacing w:after="0" w:line="238" w:lineRule="auto"/>
        <w:rPr>
          <w:sz w:val="20"/>
          <w:szCs w:val="20"/>
          <w:color w:val="auto"/>
        </w:rPr>
      </w:pPr>
      <w:r>
        <w:rPr>
          <w:rFonts w:ascii="Courier New" w:cs="Courier New" w:eastAsia="Courier New" w:hAnsi="Courier New"/>
          <w:sz w:val="18"/>
          <w:szCs w:val="18"/>
          <w:color w:val="auto"/>
        </w:rPr>
        <w:t>participate by calling 913-981-4910, access code: 6987402. A</w:t>
      </w:r>
    </w:p>
    <w:p>
      <w:pPr>
        <w:spacing w:after="0"/>
        <w:rPr>
          <w:sz w:val="20"/>
          <w:szCs w:val="20"/>
          <w:color w:val="auto"/>
        </w:rPr>
      </w:pPr>
      <w:r>
        <w:rPr>
          <w:rFonts w:ascii="Courier New" w:cs="Courier New" w:eastAsia="Courier New" w:hAnsi="Courier New"/>
          <w:sz w:val="18"/>
          <w:szCs w:val="18"/>
          <w:color w:val="auto"/>
        </w:rPr>
        <w:t>replay of the call will be available on Monday, January 31, at</w:t>
      </w:r>
    </w:p>
    <w:p>
      <w:pPr>
        <w:spacing w:after="0" w:line="237" w:lineRule="auto"/>
        <w:rPr>
          <w:sz w:val="20"/>
          <w:szCs w:val="20"/>
          <w:color w:val="auto"/>
        </w:rPr>
      </w:pPr>
      <w:r>
        <w:rPr>
          <w:rFonts w:ascii="Courier New" w:cs="Courier New" w:eastAsia="Courier New" w:hAnsi="Courier New"/>
          <w:sz w:val="18"/>
          <w:szCs w:val="18"/>
          <w:color w:val="auto"/>
        </w:rPr>
        <w:t>1:00 p.m. EST and will be active until Monday, February 7, at</w:t>
      </w:r>
    </w:p>
    <w:p>
      <w:pPr>
        <w:spacing w:after="0"/>
        <w:rPr>
          <w:sz w:val="20"/>
          <w:szCs w:val="20"/>
          <w:color w:val="auto"/>
        </w:rPr>
      </w:pPr>
      <w:r>
        <w:rPr>
          <w:rFonts w:ascii="Courier New" w:cs="Courier New" w:eastAsia="Courier New" w:hAnsi="Courier New"/>
          <w:sz w:val="18"/>
          <w:szCs w:val="18"/>
          <w:color w:val="auto"/>
        </w:rPr>
        <w:t>1:00 p.m. EST. The replay number is: 719-457-0820, access</w:t>
      </w:r>
    </w:p>
    <w:p>
      <w:pPr>
        <w:spacing w:after="0" w:line="237" w:lineRule="auto"/>
        <w:rPr>
          <w:sz w:val="20"/>
          <w:szCs w:val="20"/>
          <w:color w:val="auto"/>
        </w:rPr>
      </w:pPr>
      <w:r>
        <w:rPr>
          <w:rFonts w:ascii="Courier New" w:cs="Courier New" w:eastAsia="Courier New" w:hAnsi="Courier New"/>
          <w:sz w:val="18"/>
          <w:szCs w:val="18"/>
          <w:color w:val="auto"/>
        </w:rPr>
        <w:t>code: 6987402.</w:t>
      </w:r>
    </w:p>
    <w:p>
      <w:pPr>
        <w:ind w:left="220"/>
        <w:spacing w:after="0"/>
        <w:rPr>
          <w:sz w:val="20"/>
          <w:szCs w:val="20"/>
          <w:color w:val="auto"/>
        </w:rPr>
      </w:pPr>
      <w:r>
        <w:rPr>
          <w:rFonts w:ascii="Courier New" w:cs="Courier New" w:eastAsia="Courier New" w:hAnsi="Courier New"/>
          <w:sz w:val="18"/>
          <w:szCs w:val="18"/>
          <w:color w:val="auto"/>
        </w:rPr>
        <w:t>Participants also may listen via webcast by accessing the</w:t>
      </w:r>
    </w:p>
    <w:p>
      <w:pPr>
        <w:spacing w:after="0" w:line="3" w:lineRule="exact"/>
        <w:rPr>
          <w:sz w:val="20"/>
          <w:szCs w:val="20"/>
          <w:color w:val="auto"/>
        </w:rPr>
      </w:pPr>
    </w:p>
    <w:p>
      <w:pPr>
        <w:jc w:val="center"/>
        <w:ind w:right="3779"/>
        <w:spacing w:after="0" w:line="279" w:lineRule="auto"/>
        <w:rPr>
          <w:sz w:val="20"/>
          <w:szCs w:val="20"/>
          <w:color w:val="auto"/>
        </w:rPr>
      </w:pPr>
      <w:r>
        <w:rPr>
          <w:rFonts w:ascii="Courier New" w:cs="Courier New" w:eastAsia="Courier New" w:hAnsi="Courier New"/>
          <w:sz w:val="16"/>
          <w:szCs w:val="16"/>
          <w:color w:val="auto"/>
        </w:rPr>
        <w:t>Kodak.com investor's page at: http://www.kodak.com/go/invest. The webcast will be archived and available for replay on this site approximately 1 hour following the live broadcast.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Eastman Kodak Company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Kodak is the leader in helping people take, share, print and view images - for memories, for information, for entertainment. With sales of $13.5 billion in 2004, the company is committed to a digitally oriented growth strategy focused on the following businesses: Health - supplying the healthcare industry with traditional and digital image capture and output products and services; Graphic Communications - offering on-demand color and black and white printing, wide-format inkjet printing, high-speed, high-volume continuous inkjet printing, as well as document scanning, output and storage products and services; Digital &amp; Film Imaging Systems</w:t>
      </w:r>
    </w:p>
    <w:p>
      <w:pPr>
        <w:spacing w:after="0" w:line="2" w:lineRule="exact"/>
        <w:rPr>
          <w:sz w:val="20"/>
          <w:szCs w:val="20"/>
          <w:color w:val="auto"/>
        </w:rPr>
      </w:pPr>
    </w:p>
    <w:p>
      <w:pPr>
        <w:ind w:right="3479" w:firstLine="8"/>
        <w:spacing w:after="0" w:line="268" w:lineRule="auto"/>
        <w:tabs>
          <w:tab w:leader="none" w:pos="21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providing consumers, professionals and cinematographers with digital and traditional products and services; and Display &amp; Components - which designs and manufactures state-of-the-art organic light-emitting diode displays as well as other specialty materials, and delivers imaging sensors to original equipment manufacturers. More information about Kodak (NYSE: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EK) is available at www.kodak.com.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Creo Inc.</w:t>
      </w:r>
    </w:p>
    <w:p>
      <w:pPr>
        <w:spacing w:after="0" w:line="207" w:lineRule="exact"/>
        <w:rPr>
          <w:sz w:val="20"/>
          <w:szCs w:val="20"/>
          <w:color w:val="auto"/>
        </w:rPr>
      </w:pPr>
    </w:p>
    <w:p>
      <w:pPr>
        <w:ind w:right="3679"/>
        <w:spacing w:after="0" w:line="269" w:lineRule="auto"/>
        <w:rPr>
          <w:sz w:val="20"/>
          <w:szCs w:val="20"/>
          <w:color w:val="auto"/>
        </w:rPr>
      </w:pPr>
      <w:r>
        <w:rPr>
          <w:rFonts w:ascii="Courier New" w:cs="Courier New" w:eastAsia="Courier New" w:hAnsi="Courier New"/>
          <w:sz w:val="16"/>
          <w:szCs w:val="16"/>
          <w:color w:val="auto"/>
        </w:rPr>
        <w:t>Creo Inc. is a global company with key strengths in imaging, software, and digital printing plate technology. The leading provider of prepress systems, Creo helps over 25,000 customers worldwide adopt digital production methods which reduce costs, increase print quality and allow them to serve their customers more efficiently. Based on a solid foundation of intellectual property, Creo has an unmatched range of technology solutions that address the needs of commercial, publication, on demand, packaging, and newspaper printers, and creative professionals. Creo product lines include software and hardware for computer-to-plate imaging, systems for digital photography, scanning, and proofing, as well as printing plates and proofing media. Creo also supplies on-press imaging technology, components for digital presses, color servers and high-speed digital</w:t>
      </w:r>
    </w:p>
    <w:p>
      <w:pPr>
        <w:sectPr>
          <w:pgSz w:w="11900" w:h="16838" w:orient="portrait"/>
          <w:cols w:equalWidth="0" w:num="1">
            <w:col w:w="10219"/>
          </w:cols>
          <w:pgMar w:left="240" w:top="312" w:right="1440" w:bottom="1440" w:gutter="0" w:footer="0" w:header="0"/>
        </w:sectPr>
      </w:pPr>
    </w:p>
    <w:bookmarkStart w:id="8" w:name="page9"/>
    <w:bookmarkEnd w:id="8"/>
    <w:p>
      <w:pPr>
        <w:ind w:left="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4739"/>
        <w:spacing w:after="0" w:line="235" w:lineRule="auto"/>
        <w:rPr>
          <w:sz w:val="20"/>
          <w:szCs w:val="20"/>
          <w:color w:val="auto"/>
        </w:rPr>
      </w:pPr>
      <w:r>
        <w:rPr>
          <w:rFonts w:ascii="Courier New" w:cs="Courier New" w:eastAsia="Courier New" w:hAnsi="Courier New"/>
          <w:sz w:val="18"/>
          <w:szCs w:val="18"/>
          <w:color w:val="auto"/>
        </w:rPr>
        <w:t>printers. Based in Vancouver, Canada, Creo trades on NASDAQ (CREO) and the TSX (CRE). www.creo.com</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Operational items are non-GAAP financial measures as defined by the Securities and Exchange Commission's final rules under "Conditions for Use of Non-GAAP Financial Measures." Reconciliations of operational items included in this press release to the most directly comparable GAAP financial measures are set forth below.</w:t>
      </w:r>
    </w:p>
    <w:p>
      <w:pPr>
        <w:spacing w:after="0" w:line="210" w:lineRule="exact"/>
        <w:rPr>
          <w:sz w:val="20"/>
          <w:szCs w:val="20"/>
          <w:color w:val="auto"/>
        </w:rPr>
      </w:pPr>
    </w:p>
    <w:p>
      <w:pPr>
        <w:ind w:right="3679"/>
        <w:spacing w:after="0" w:line="273" w:lineRule="auto"/>
        <w:rPr>
          <w:sz w:val="20"/>
          <w:szCs w:val="20"/>
          <w:color w:val="auto"/>
        </w:rPr>
      </w:pPr>
      <w:r>
        <w:rPr>
          <w:rFonts w:ascii="Courier New" w:cs="Courier New" w:eastAsia="Courier New" w:hAnsi="Courier New"/>
          <w:sz w:val="16"/>
          <w:szCs w:val="16"/>
          <w:color w:val="auto"/>
        </w:rPr>
        <w:t>For 2005, earnings per share from continuing operations is expected to range from $1.25 to $1.55. The primary difference between the operational and as-reported measures is management's estimate of restructuring costs to be incurred in 2005 under the three-year cost-reduction program.</w:t>
      </w:r>
    </w:p>
    <w:p>
      <w:pPr>
        <w:spacing w:after="0" w:line="185"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The company has not provided 2006 U.S. GAAP earnings guidance as such forward-looking information cannot be reasonably estimated, as it is not practicable nor possible to determine future non-operational items.</w:t>
      </w:r>
    </w:p>
    <w:p>
      <w:pPr>
        <w:spacing w:after="0"/>
        <w:rPr>
          <w:sz w:val="20"/>
          <w:szCs w:val="20"/>
          <w:color w:val="auto"/>
        </w:rPr>
      </w:pPr>
      <w:r>
        <w:rPr>
          <w:rFonts w:ascii="Courier New" w:cs="Courier New" w:eastAsia="Courier New" w:hAnsi="Courier New"/>
          <w:sz w:val="18"/>
          <w:szCs w:val="18"/>
          <w:color w:val="auto"/>
        </w:rPr>
        <w:t>_______________________</w:t>
      </w:r>
    </w:p>
    <w:p>
      <w:pPr>
        <w:spacing w:after="0" w:line="206" w:lineRule="exact"/>
        <w:rPr>
          <w:sz w:val="20"/>
          <w:szCs w:val="20"/>
          <w:color w:val="auto"/>
        </w:rPr>
      </w:pPr>
    </w:p>
    <w:p>
      <w:pPr>
        <w:ind w:right="3779"/>
        <w:spacing w:after="0" w:line="272" w:lineRule="auto"/>
        <w:rPr>
          <w:sz w:val="20"/>
          <w:szCs w:val="20"/>
          <w:color w:val="auto"/>
        </w:rPr>
      </w:pPr>
      <w:r>
        <w:rPr>
          <w:rFonts w:ascii="Courier New" w:cs="Courier New" w:eastAsia="Courier New" w:hAnsi="Courier New"/>
          <w:sz w:val="16"/>
          <w:szCs w:val="16"/>
          <w:color w:val="auto"/>
        </w:rPr>
        <w:t>Certain statements in this press release may be forward looking in nature, or "forward-looking statements" as defined in the United States Private Securities Litigation Reform Act of 1995. For example, references to Creo's projected revenues and the impact on Kodak's revenues and earnings and Kodak's cash generation plans are forward looking statements.</w:t>
      </w:r>
    </w:p>
    <w:p>
      <w:pPr>
        <w:spacing w:after="0" w:line="186"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Actual results may differ materially from those expressed or implied in forward-looking statements. In addition, any forward-looking statements represent our estimates only as of the date they are made, and should not be relied upon as representing Kodak's estimates as of any subsequent date. While Kodak may elect to update forward-looking statements at some point in the future, it specifically disclaims any obligation to do so, even if its estimates change.</w:t>
      </w:r>
    </w:p>
    <w:p>
      <w:pPr>
        <w:spacing w:after="0" w:line="212"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Kodak's results may be adversely affected if it is unable to realize the expected benefits of the acquisition of Creo, including because of:</w:t>
      </w:r>
    </w:p>
    <w:p>
      <w:pPr>
        <w:spacing w:after="0" w:line="203" w:lineRule="exact"/>
        <w:rPr>
          <w:sz w:val="20"/>
          <w:szCs w:val="20"/>
          <w:color w:val="auto"/>
        </w:rPr>
      </w:pPr>
    </w:p>
    <w:p>
      <w:pPr>
        <w:ind w:left="540" w:hanging="321"/>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possibility that the transaction may not close;</w:t>
      </w:r>
    </w:p>
    <w:p>
      <w:pPr>
        <w:spacing w:after="0" w:line="4" w:lineRule="exact"/>
        <w:rPr>
          <w:rFonts w:ascii="Courier New" w:cs="Courier New" w:eastAsia="Courier New" w:hAnsi="Courier New"/>
          <w:sz w:val="18"/>
          <w:szCs w:val="18"/>
          <w:color w:val="auto"/>
        </w:rPr>
      </w:pPr>
    </w:p>
    <w:p>
      <w:pPr>
        <w:ind w:left="540" w:right="3359" w:hanging="321"/>
        <w:spacing w:after="0" w:line="236"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Difficulty in combining the operations of Creo with those of Kodak, resulting in failure to achieve the projected cost savings, synergies, efficiencies and revenue growth;</w:t>
      </w:r>
    </w:p>
    <w:p>
      <w:pPr>
        <w:spacing w:after="0" w:line="6" w:lineRule="exact"/>
        <w:rPr>
          <w:rFonts w:ascii="Courier New" w:cs="Courier New" w:eastAsia="Courier New" w:hAnsi="Courier New"/>
          <w:sz w:val="18"/>
          <w:szCs w:val="18"/>
          <w:color w:val="auto"/>
        </w:rPr>
      </w:pPr>
    </w:p>
    <w:p>
      <w:pPr>
        <w:ind w:left="540" w:right="3579" w:hanging="321"/>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loss of employees, customers or suppliers that Creo or Kodak may suffer as a result of the acquisition, and;</w:t>
      </w:r>
    </w:p>
    <w:p>
      <w:pPr>
        <w:spacing w:after="0" w:line="5" w:lineRule="exact"/>
        <w:rPr>
          <w:rFonts w:ascii="Courier New" w:cs="Courier New" w:eastAsia="Courier New" w:hAnsi="Courier New"/>
          <w:sz w:val="18"/>
          <w:szCs w:val="18"/>
          <w:color w:val="auto"/>
        </w:rPr>
      </w:pPr>
    </w:p>
    <w:p>
      <w:pPr>
        <w:ind w:left="540" w:right="3899" w:hanging="321"/>
        <w:spacing w:after="0" w:line="236"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possibility that Kodak may not obtain the financing necessary to complete the transaction on the terms and conditions it desires.</w:t>
      </w:r>
    </w:p>
    <w:p>
      <w:pPr>
        <w:sectPr>
          <w:pgSz w:w="11900" w:h="16838" w:orient="portrait"/>
          <w:cols w:equalWidth="0" w:num="1">
            <w:col w:w="10219"/>
          </w:cols>
          <w:pgMar w:left="240" w:top="312" w:right="1440" w:bottom="1440" w:gutter="0" w:footer="0" w:header="0"/>
        </w:sectPr>
      </w:pPr>
    </w:p>
    <w:bookmarkStart w:id="9" w:name="page10"/>
    <w:bookmarkEnd w:id="9"/>
    <w:p>
      <w:pPr>
        <w:ind w:left="1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The forward-looking statements contained in this news release are subject to a number of factors and uncertainties, including Kodak's successful:</w:t>
      </w:r>
    </w:p>
    <w:p>
      <w:pPr>
        <w:spacing w:after="0" w:line="203" w:lineRule="exact"/>
        <w:rPr>
          <w:sz w:val="20"/>
          <w:szCs w:val="20"/>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Implementation of its digitally oriented growth strategy;</w:t>
      </w:r>
    </w:p>
    <w:p>
      <w:pPr>
        <w:spacing w:after="0" w:line="4" w:lineRule="exact"/>
        <w:rPr>
          <w:rFonts w:ascii="Courier New" w:cs="Courier New" w:eastAsia="Courier New" w:hAnsi="Courier New"/>
          <w:sz w:val="18"/>
          <w:szCs w:val="18"/>
          <w:color w:val="auto"/>
        </w:rPr>
      </w:pPr>
    </w:p>
    <w:p>
      <w:pPr>
        <w:ind w:left="540" w:right="3359" w:hanging="321"/>
        <w:spacing w:after="0" w:line="236"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Implementation of product strategies (including category expansion, digitization, organic light emitting diode (OLED) displays, and digital products);</w:t>
      </w:r>
    </w:p>
    <w:p>
      <w:pPr>
        <w:spacing w:after="0" w:line="6" w:lineRule="exact"/>
        <w:rPr>
          <w:rFonts w:ascii="Courier New" w:cs="Courier New" w:eastAsia="Courier New" w:hAnsi="Courier New"/>
          <w:sz w:val="18"/>
          <w:szCs w:val="18"/>
          <w:color w:val="auto"/>
        </w:rPr>
      </w:pPr>
    </w:p>
    <w:p>
      <w:pPr>
        <w:ind w:left="540" w:right="4519" w:hanging="321"/>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Implementation of intellectual property licensing strategies;</w:t>
      </w:r>
    </w:p>
    <w:p>
      <w:pPr>
        <w:spacing w:after="0" w:line="1" w:lineRule="exact"/>
        <w:rPr>
          <w:rFonts w:ascii="Courier New" w:cs="Courier New" w:eastAsia="Courier New" w:hAnsi="Courier New"/>
          <w:sz w:val="18"/>
          <w:szCs w:val="18"/>
          <w:color w:val="auto"/>
        </w:rPr>
      </w:pPr>
    </w:p>
    <w:p>
      <w:pPr>
        <w:ind w:left="540" w:hanging="321"/>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Development and implementation of e-commerce strategies;</w:t>
      </w:r>
    </w:p>
    <w:p>
      <w:pPr>
        <w:spacing w:after="0" w:line="4" w:lineRule="exact"/>
        <w:rPr>
          <w:rFonts w:ascii="Courier New" w:cs="Courier New" w:eastAsia="Courier New" w:hAnsi="Courier New"/>
          <w:sz w:val="18"/>
          <w:szCs w:val="18"/>
          <w:color w:val="auto"/>
        </w:rPr>
      </w:pPr>
    </w:p>
    <w:p>
      <w:pPr>
        <w:ind w:left="540" w:right="3579" w:hanging="321"/>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Completion of information systems upgrades, including SAP, our enterprise system software;</w:t>
      </w:r>
    </w:p>
    <w:p>
      <w:pPr>
        <w:spacing w:after="0" w:line="1" w:lineRule="exact"/>
        <w:rPr>
          <w:rFonts w:ascii="Courier New" w:cs="Courier New" w:eastAsia="Courier New" w:hAnsi="Courier New"/>
          <w:sz w:val="18"/>
          <w:szCs w:val="18"/>
          <w:color w:val="auto"/>
        </w:rPr>
      </w:pPr>
    </w:p>
    <w:p>
      <w:pPr>
        <w:ind w:left="540" w:hanging="321"/>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Integration of newly acquired businesses;</w:t>
      </w:r>
    </w:p>
    <w:p>
      <w:pPr>
        <w:ind w:left="540" w:hanging="321"/>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Completion of various portfolio actions;</w:t>
      </w:r>
    </w:p>
    <w:p>
      <w:pPr>
        <w:ind w:left="540" w:hanging="321"/>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from analog to digital imaging;</w:t>
      </w:r>
    </w:p>
    <w:p>
      <w:pPr>
        <w:ind w:left="540" w:hanging="321"/>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Implementation of our three-year cost reduction program;</w:t>
      </w:r>
    </w:p>
    <w:p>
      <w:pPr>
        <w:ind w:left="540" w:hanging="321"/>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Reduction of inventories;</w:t>
      </w:r>
    </w:p>
    <w:p>
      <w:pPr>
        <w:ind w:left="540" w:hanging="321"/>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Implementation of its debt management program;</w:t>
      </w:r>
    </w:p>
    <w:p>
      <w:pPr>
        <w:ind w:left="540" w:hanging="321"/>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Improvement in manufacturing productivity and techniques;</w:t>
      </w:r>
    </w:p>
    <w:p>
      <w:pPr>
        <w:ind w:left="540" w:hanging="321"/>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Improvement in receivables performance;</w:t>
      </w:r>
    </w:p>
    <w:p>
      <w:pPr>
        <w:ind w:left="540" w:hanging="321"/>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Reduction in capital expenditures;</w:t>
      </w:r>
    </w:p>
    <w:p>
      <w:pPr>
        <w:ind w:left="540" w:hanging="321"/>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Improvement in supply chain efficiency;</w:t>
      </w:r>
    </w:p>
    <w:p>
      <w:pPr>
        <w:spacing w:after="0" w:line="4" w:lineRule="exact"/>
        <w:rPr>
          <w:rFonts w:ascii="Courier New" w:cs="Courier New" w:eastAsia="Courier New" w:hAnsi="Courier New"/>
          <w:sz w:val="18"/>
          <w:szCs w:val="18"/>
          <w:color w:val="auto"/>
        </w:rPr>
      </w:pPr>
    </w:p>
    <w:p>
      <w:pPr>
        <w:ind w:left="540" w:right="3479" w:hanging="321"/>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Implementation of future focused cost reductions, including personnel reductions; and</w:t>
      </w:r>
    </w:p>
    <w:p>
      <w:pPr>
        <w:spacing w:after="0" w:line="5" w:lineRule="exact"/>
        <w:rPr>
          <w:rFonts w:ascii="Courier New" w:cs="Courier New" w:eastAsia="Courier New" w:hAnsi="Courier New"/>
          <w:sz w:val="18"/>
          <w:szCs w:val="18"/>
          <w:color w:val="auto"/>
        </w:rPr>
      </w:pPr>
    </w:p>
    <w:p>
      <w:pPr>
        <w:ind w:left="540" w:right="3479" w:hanging="321"/>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Development of its business in emerging markets like China, India, Brazil, Mexico and Russia;</w:t>
      </w:r>
    </w:p>
    <w:p>
      <w:pPr>
        <w:spacing w:after="0" w:line="208"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Forward-looking statements contained in this news release are subject to the following additional Kodak risk factors and uncertainties:</w:t>
      </w:r>
    </w:p>
    <w:p>
      <w:pPr>
        <w:spacing w:after="0" w:line="209" w:lineRule="exact"/>
        <w:rPr>
          <w:sz w:val="20"/>
          <w:szCs w:val="20"/>
          <w:color w:val="auto"/>
        </w:rPr>
      </w:pPr>
    </w:p>
    <w:p>
      <w:pPr>
        <w:ind w:left="540" w:right="3579" w:hanging="321"/>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Inherent unpredictability of currency fluctuations and raw material costs;</w:t>
      </w:r>
    </w:p>
    <w:p>
      <w:pPr>
        <w:spacing w:after="0" w:line="1" w:lineRule="exact"/>
        <w:rPr>
          <w:rFonts w:ascii="Courier New" w:cs="Courier New" w:eastAsia="Courier New" w:hAnsi="Courier New"/>
          <w:sz w:val="18"/>
          <w:szCs w:val="18"/>
          <w:color w:val="auto"/>
        </w:rPr>
      </w:pPr>
    </w:p>
    <w:p>
      <w:pPr>
        <w:ind w:left="540" w:hanging="321"/>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Competitive actions, including pricing;</w:t>
      </w:r>
    </w:p>
    <w:p>
      <w:pPr>
        <w:spacing w:after="0" w:line="4" w:lineRule="exact"/>
        <w:rPr>
          <w:rFonts w:ascii="Courier New" w:cs="Courier New" w:eastAsia="Courier New" w:hAnsi="Courier New"/>
          <w:sz w:val="18"/>
          <w:szCs w:val="18"/>
          <w:color w:val="auto"/>
        </w:rPr>
      </w:pPr>
    </w:p>
    <w:p>
      <w:pPr>
        <w:ind w:left="540" w:right="3579" w:hanging="321"/>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nature and pace of technology evolution, including the analog-to-digital transition;</w:t>
      </w:r>
    </w:p>
    <w:p>
      <w:pPr>
        <w:spacing w:after="0" w:line="1" w:lineRule="exact"/>
        <w:rPr>
          <w:rFonts w:ascii="Courier New" w:cs="Courier New" w:eastAsia="Courier New" w:hAnsi="Courier New"/>
          <w:sz w:val="18"/>
          <w:szCs w:val="18"/>
          <w:color w:val="auto"/>
        </w:rPr>
      </w:pPr>
    </w:p>
    <w:p>
      <w:pPr>
        <w:ind w:left="540" w:hanging="321"/>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Continuing customer consolidation and buying power;</w:t>
      </w:r>
    </w:p>
    <w:p>
      <w:pPr>
        <w:spacing w:after="0" w:line="4" w:lineRule="exact"/>
        <w:rPr>
          <w:rFonts w:ascii="Courier New" w:cs="Courier New" w:eastAsia="Courier New" w:hAnsi="Courier New"/>
          <w:sz w:val="18"/>
          <w:szCs w:val="18"/>
          <w:color w:val="auto"/>
        </w:rPr>
      </w:pPr>
    </w:p>
    <w:p>
      <w:pPr>
        <w:ind w:left="540" w:right="3359" w:hanging="321"/>
        <w:spacing w:after="0" w:line="236"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and future proposed changes to tax laws, as well as other factors which could adversely impact Kodak's effective tax rate in the future;</w:t>
      </w:r>
    </w:p>
    <w:p>
      <w:pPr>
        <w:spacing w:after="0" w:line="6" w:lineRule="exact"/>
        <w:rPr>
          <w:rFonts w:ascii="Courier New" w:cs="Courier New" w:eastAsia="Courier New" w:hAnsi="Courier New"/>
          <w:sz w:val="18"/>
          <w:szCs w:val="18"/>
          <w:color w:val="auto"/>
        </w:rPr>
      </w:pPr>
    </w:p>
    <w:p>
      <w:pPr>
        <w:ind w:left="540" w:right="3779" w:hanging="321"/>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business, geopolitical, regulatory and public health conditions;</w:t>
      </w:r>
    </w:p>
    <w:p>
      <w:pPr>
        <w:spacing w:after="0" w:line="1" w:lineRule="exact"/>
        <w:rPr>
          <w:rFonts w:ascii="Courier New" w:cs="Courier New" w:eastAsia="Courier New" w:hAnsi="Courier New"/>
          <w:sz w:val="18"/>
          <w:szCs w:val="18"/>
          <w:color w:val="auto"/>
        </w:rPr>
      </w:pPr>
    </w:p>
    <w:p>
      <w:pPr>
        <w:ind w:left="540" w:hanging="321"/>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growth predictions;</w:t>
      </w:r>
    </w:p>
    <w:p>
      <w:pPr>
        <w:ind w:left="540" w:hanging="321"/>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factors and uncertainties disclosed from time to time</w:t>
      </w:r>
    </w:p>
    <w:p>
      <w:pPr>
        <w:spacing w:after="0" w:line="4" w:lineRule="exact"/>
        <w:rPr>
          <w:rFonts w:ascii="Courier New" w:cs="Courier New" w:eastAsia="Courier New" w:hAnsi="Courier New"/>
          <w:sz w:val="18"/>
          <w:szCs w:val="18"/>
          <w:color w:val="auto"/>
        </w:rPr>
      </w:pPr>
    </w:p>
    <w:p>
      <w:pPr>
        <w:ind w:left="540" w:right="30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Kodak's filings with the Securities and Exchange Commission, and;</w:t>
      </w:r>
    </w:p>
    <w:p>
      <w:pPr>
        <w:spacing w:after="0" w:line="5" w:lineRule="exact"/>
        <w:rPr>
          <w:rFonts w:ascii="Courier New" w:cs="Courier New" w:eastAsia="Courier New" w:hAnsi="Courier New"/>
          <w:sz w:val="18"/>
          <w:szCs w:val="18"/>
          <w:color w:val="auto"/>
        </w:rPr>
      </w:pPr>
    </w:p>
    <w:p>
      <w:pPr>
        <w:ind w:left="540" w:right="3579" w:hanging="321"/>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results of Kodak's ongoing investigation regarding the income tax accounting errors recently announced.</w:t>
      </w:r>
    </w:p>
    <w:p>
      <w:pPr>
        <w:spacing w:after="0" w:line="208"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Any forward-looking statements in this press release should be evaluated in light of these important factors and uncertainties.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2005</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5"/>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2019-12-13T00:36:14Z</dcterms:created>
  <dcterms:modified xsi:type="dcterms:W3CDTF">2019-12-13T00:36:14Z</dcterms:modified>
</cp:coreProperties>
</file>