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Specialized Disclosure Report</w:t>
      </w:r>
    </w:p>
    <w:p>
      <w:pPr>
        <w:spacing w:after="0" w:line="38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EASTMAN KODAK COMPANY</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109220</wp:posOffset>
            </wp:positionV>
            <wp:extent cx="68408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880"/>
        <w:spacing w:after="0"/>
        <w:rPr>
          <w:sz w:val="20"/>
          <w:szCs w:val="20"/>
          <w:color w:val="auto"/>
        </w:rPr>
      </w:pPr>
      <w:r>
        <w:rPr>
          <w:rFonts w:ascii="Arial" w:cs="Arial" w:eastAsia="Arial" w:hAnsi="Arial"/>
          <w:sz w:val="17"/>
          <w:szCs w:val="17"/>
          <w:b w:val="1"/>
          <w:bCs w:val="1"/>
          <w:color w:val="auto"/>
        </w:rPr>
        <w:t>NEW JERSEY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2520"/>
        <w:spacing w:after="0"/>
        <w:rPr>
          <w:sz w:val="20"/>
          <w:szCs w:val="20"/>
          <w:color w:val="auto"/>
        </w:rPr>
      </w:pPr>
      <w:r>
        <w:rPr>
          <w:rFonts w:ascii="Arial" w:cs="Arial" w:eastAsia="Arial" w:hAnsi="Arial"/>
          <w:sz w:val="17"/>
          <w:szCs w:val="17"/>
          <w:b w:val="1"/>
          <w:bCs w:val="1"/>
          <w:color w:val="auto"/>
        </w:rPr>
        <w:t>1-00087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16-0417150</w:t>
      </w:r>
    </w:p>
    <w:p>
      <w:pPr>
        <w:spacing w:after="0" w:line="200" w:lineRule="exact"/>
        <w:rPr>
          <w:sz w:val="24"/>
          <w:szCs w:val="24"/>
          <w:color w:val="auto"/>
        </w:rPr>
      </w:pPr>
    </w:p>
    <w:p>
      <w:pPr>
        <w:sectPr>
          <w:pgSz w:w="11900" w:h="16838" w:orient="portrait"/>
          <w:cols w:equalWidth="0" w:num="3">
            <w:col w:w="4420" w:space="720"/>
            <w:col w:w="3180" w:space="720"/>
            <w:col w:w="2200"/>
          </w:cols>
          <w:pgMar w:left="320" w:top="1162" w:right="3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35" w:lineRule="exact"/>
        <w:rPr>
          <w:sz w:val="24"/>
          <w:szCs w:val="24"/>
          <w:color w:val="auto"/>
        </w:rPr>
      </w:pPr>
    </w:p>
    <w:p>
      <w:pPr>
        <w:sectPr>
          <w:pgSz w:w="11900" w:h="16838" w:orient="portrait"/>
          <w:cols w:equalWidth="0" w:num="3">
            <w:col w:w="3840" w:space="720"/>
            <w:col w:w="3120" w:space="720"/>
            <w:col w:w="2840"/>
          </w:cols>
          <w:pgMar w:left="320" w:top="1162" w:right="339" w:bottom="1440" w:gutter="0" w:footer="0" w:header="0"/>
          <w:type w:val="continuous"/>
        </w:sectPr>
      </w:pPr>
    </w:p>
    <w:p>
      <w:pPr>
        <w:ind w:left="440"/>
        <w:spacing w:after="0"/>
        <w:rPr>
          <w:sz w:val="20"/>
          <w:szCs w:val="20"/>
          <w:color w:val="auto"/>
        </w:rPr>
      </w:pPr>
      <w:r>
        <w:rPr>
          <w:rFonts w:ascii="Arial" w:cs="Arial" w:eastAsia="Arial" w:hAnsi="Arial"/>
          <w:sz w:val="14"/>
          <w:szCs w:val="14"/>
          <w:b w:val="1"/>
          <w:bCs w:val="1"/>
          <w:color w:val="auto"/>
        </w:rPr>
        <w:t>incorporation or organization)</w:t>
      </w:r>
    </w:p>
    <w:p>
      <w:pPr>
        <w:spacing w:after="0" w:line="34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343 STATE STREET</w:t>
      </w:r>
    </w:p>
    <w:p>
      <w:pPr>
        <w:spacing w:after="0" w:line="158"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ROCHESTER, NEW YORK 14650</w:t>
      </w:r>
    </w:p>
    <w:p>
      <w:pPr>
        <w:spacing w:after="0" w:line="154" w:lineRule="exact"/>
        <w:rPr>
          <w:sz w:val="24"/>
          <w:szCs w:val="24"/>
          <w:color w:val="auto"/>
        </w:rPr>
      </w:pPr>
    </w:p>
    <w:p>
      <w:pPr>
        <w:jc w:val="center"/>
        <w:ind w:right="200"/>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240"/>
          </w:cols>
          <w:pgMar w:left="320" w:top="1162"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Julie McCann, 716-390-7326</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4" w:lineRule="exact"/>
        <w:rPr>
          <w:sz w:val="24"/>
          <w:szCs w:val="24"/>
          <w:color w:val="auto"/>
        </w:rPr>
      </w:pPr>
    </w:p>
    <w:p>
      <w:pPr>
        <w:ind w:left="360" w:right="20" w:hanging="252"/>
        <w:spacing w:after="0" w:line="459" w:lineRule="auto"/>
        <w:tabs>
          <w:tab w:leader="none" w:pos="380"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color w:val="auto"/>
        </w:rPr>
        <w:t>Rule 13p-1 under the Securities Exchange Act (17 CFR 240.13p-1) for the reporting period from January 1, 2025 to December 31, 2025. Rule 13q-1 under the Securities Exchange Act (17 CFR 240.13q-1) for the fiscal year ended 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2231390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19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Disclosure:</w:t>
      </w:r>
    </w:p>
    <w:p>
      <w:pPr>
        <w:spacing w:after="0" w:line="210" w:lineRule="exact"/>
        <w:rPr>
          <w:sz w:val="20"/>
          <w:szCs w:val="20"/>
          <w:color w:val="auto"/>
        </w:rPr>
      </w:pPr>
    </w:p>
    <w:p>
      <w:pPr>
        <w:jc w:val="both"/>
        <w:ind w:right="440"/>
        <w:spacing w:after="0" w:line="253" w:lineRule="auto"/>
        <w:rPr>
          <w:sz w:val="20"/>
          <w:szCs w:val="20"/>
          <w:color w:val="auto"/>
        </w:rPr>
      </w:pPr>
      <w:r>
        <w:rPr>
          <w:rFonts w:ascii="Arial" w:cs="Arial" w:eastAsia="Arial" w:hAnsi="Arial"/>
          <w:sz w:val="18"/>
          <w:szCs w:val="18"/>
          <w:color w:val="auto"/>
        </w:rPr>
        <w:t>The Conflict Minerals Report for the period from January 1, 2025 to December 31, 2025 is filed herewith as Exhibit 1.01 and is publicly available through Kodak’s investor center under the “Financials/SEC Filings” tabs on its website at http://investor.kodak.com/financial-information/sec-filings.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for the period from January 1, 2025 to December 31, 2025 is filed herewith as Exhibit 1.01.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Resource Extraction Issuer Disclosure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Resource Extraction Issuer Disclosure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1.01 </w:t>
      </w:r>
      <w:r>
        <w:rPr>
          <w:rFonts w:ascii="Arial" w:cs="Arial" w:eastAsia="Arial" w:hAnsi="Arial"/>
          <w:sz w:val="18"/>
          <w:szCs w:val="18"/>
          <w:u w:val="single" w:color="auto"/>
          <w:color w:val="0000FF"/>
        </w:rPr>
        <w:t>Conflict Minerals Report as required by Items 1.01 and 1.02 of this Form.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399"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EASTMAN KODAK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5660" w:val="left"/>
        </w:tabs>
        <w:rPr>
          <w:sz w:val="20"/>
          <w:szCs w:val="20"/>
          <w:color w:val="auto"/>
        </w:rPr>
      </w:pPr>
      <w:r>
        <w:rPr>
          <w:rFonts w:ascii="Arial" w:cs="Arial" w:eastAsia="Arial" w:hAnsi="Arial"/>
          <w:sz w:val="35"/>
          <w:szCs w:val="35"/>
          <w:b w:val="1"/>
          <w:bCs w:val="1"/>
          <w:color w:val="auto"/>
          <w:vertAlign w:val="subscript"/>
        </w:rPr>
        <w:t>Date: May 29, 2026</w:t>
      </w:r>
      <w:r>
        <w:rPr>
          <w:sz w:val="20"/>
          <w:szCs w:val="20"/>
          <w:color w:val="auto"/>
        </w:rPr>
        <w:tab/>
      </w:r>
      <w:r>
        <w:rPr>
          <w:rFonts w:ascii="Arial" w:cs="Arial" w:eastAsia="Arial" w:hAnsi="Arial"/>
          <w:sz w:val="18"/>
          <w:szCs w:val="18"/>
          <w:color w:val="auto"/>
        </w:rPr>
        <w:t>By: /s/ Roger W. Byrd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331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6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General Counsel, Secretary and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5"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Eastman Kodak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Conflict Minerals Report</w:t>
      </w:r>
    </w:p>
    <w:p>
      <w:pPr>
        <w:spacing w:after="0" w:line="349"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Conflict Minerals Report of Eastman Kodak Company (“Kodak” or the “Company”) covering the reporting period from January 1, 2025 to December 31, 2025, is provided in accordance with Rule 13p-1 (“Rule 13p-1”) under the Securities Exchange Act of 1934, as amended (the “1934 Act”). Please refer to Rule 13p-1, Form SD and the 1934 Act Release No. 34-67716 for definitions of the terms used in this report, unless otherwise defined herein.</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Rule 13p-1 imposes certain reporting obligations on United States Securities and Exchange Commission (“SEC”) registrants that manufacture or contract to manufacture products containing conflict minerals that are necessary to the functionality or production of their products. Conflict minerals are defined by the SEC as cassiterite, columbite-tantalite, gold, wolframite, or their derivatives, which are limited to tin, tantalum and tungsten (collectively, “3TG”), or any other mineral or its derivatives determined by the Secretary of State to be financing conflict in the Democratic Republic of the Congo (“DRC”) or an adjoining country (collectively, the “Covered Countries”).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Kodak has determined that conflict minerals as defined by the SEC were necessary to the functionality or production of certain products that Kodak manufactured or contracted to be manufactured during 2025. Kodak conducted a good faith reasonable country of origin inquiry (“RCOI”) to determine the origin of the conflict minerals used in its products. In accordance with Rule 13p-1, Kodak then undertook due diligence on the source and chain of custody of the conflict minerals used in its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Kodak is a global manufacturer focused on commercial print and advanced materials and chemicals. Kodak provides industry-leading hardware, software, consumables and services primarily to customers in commercial print, packaging, publishing, manufacturing and entertainment. Kodak is committed to environmental stewardship, including industry leadership in developing sustainable solutions for print.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Overview</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Kodak’s global supply chain is complex, given that the Company has over 1,221 material suppliers and most of its suppliers are located far downstream from the mineral smelters and associated mines. Kodak relies on its suppliers to assist in the RCOI and due diligence efforts for the conflict minerals contained in the materials supplied to or manufactured for Kodak. Kodak focuses on collecting data from direct suppliers who are likely to supply Kodak with products or materials containing conflict minerals and requires its suppliers through contract terms to establish the necessary proactive due diligence programs that will enable greater long-term supply chain transparency.</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Kodak performed an analysis of its product components and determined that conflict minerals, which are regularly used in electronics and electrical equipment, are contained in certain components used in the products manufactured for or by Kodak. Kodak determined that conflict minerals that are contained in certain products were necessary to the functionality or production of the product manufactured or contracted to be manufactured for Kodak, while consumables such as digital and flexographic print plates and chemicals do not contain these minerals.</w:t>
      </w:r>
    </w:p>
    <w:p>
      <w:pPr>
        <w:spacing w:after="0" w:line="373"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Design of Due Diligence Measures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Kodak designed its overall conflict minerals policies and procedures to conform, in all material respects, to the five-step framework developed by the Organisation for Economic Co-operation and Development (“OECD”), </w:t>
      </w:r>
      <w:r>
        <w:rPr>
          <w:rFonts w:ascii="Arial" w:cs="Arial" w:eastAsia="Arial" w:hAnsi="Arial"/>
          <w:sz w:val="18"/>
          <w:szCs w:val="18"/>
          <w:i w:val="1"/>
          <w:iCs w:val="1"/>
          <w:color w:val="auto"/>
        </w:rPr>
        <w:t>OECD Due Diligence Guidance for Responsible Supply Chains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Minerals from Conflict-Affected and High-Risk Areas </w:t>
      </w:r>
      <w:r>
        <w:rPr>
          <w:rFonts w:ascii="Arial" w:cs="Arial" w:eastAsia="Arial" w:hAnsi="Arial"/>
          <w:sz w:val="18"/>
          <w:szCs w:val="18"/>
          <w:color w:val="auto"/>
        </w:rPr>
        <w:t>(“OECD Guidance”), and the supplements on tin, tantalum, tungsten and gold.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Kodak’s implementation of the five-step framework consists of the following activities which are discussed in further detail below.</w:t>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ind w:left="1020" w:hanging="503"/>
        <w:spacing w:after="0"/>
        <w:tabs>
          <w:tab w:leader="none" w:pos="1020" w:val="left"/>
        </w:tabs>
        <w:numPr>
          <w:ilvl w:val="0"/>
          <w:numId w:val="4"/>
        </w:numPr>
        <w:rPr>
          <w:rFonts w:ascii="Calibri" w:cs="Calibri" w:eastAsia="Calibri" w:hAnsi="Calibri"/>
          <w:sz w:val="18"/>
          <w:szCs w:val="18"/>
          <w:color w:val="auto"/>
        </w:rPr>
      </w:pPr>
      <w:r>
        <w:rPr>
          <w:rFonts w:ascii="Arial" w:cs="Arial" w:eastAsia="Arial" w:hAnsi="Arial"/>
          <w:sz w:val="18"/>
          <w:szCs w:val="18"/>
          <w:color w:val="auto"/>
        </w:rPr>
        <w:t>Establish and maintain strong Company management systems</w:t>
      </w:r>
    </w:p>
    <w:p>
      <w:pPr>
        <w:spacing w:after="0" w:line="117" w:lineRule="exact"/>
        <w:rPr>
          <w:rFonts w:ascii="Calibri" w:cs="Calibri" w:eastAsia="Calibri" w:hAnsi="Calibri"/>
          <w:sz w:val="18"/>
          <w:szCs w:val="18"/>
          <w:color w:val="auto"/>
        </w:rPr>
      </w:pPr>
    </w:p>
    <w:p>
      <w:pPr>
        <w:ind w:left="1020" w:hanging="503"/>
        <w:spacing w:after="0"/>
        <w:tabs>
          <w:tab w:leader="none" w:pos="1020" w:val="left"/>
        </w:tabs>
        <w:numPr>
          <w:ilvl w:val="0"/>
          <w:numId w:val="4"/>
        </w:numPr>
        <w:rPr>
          <w:rFonts w:ascii="Calibri" w:cs="Calibri" w:eastAsia="Calibri" w:hAnsi="Calibri"/>
          <w:sz w:val="18"/>
          <w:szCs w:val="18"/>
          <w:color w:val="auto"/>
        </w:rPr>
      </w:pPr>
      <w:r>
        <w:rPr>
          <w:rFonts w:ascii="Arial" w:cs="Arial" w:eastAsia="Arial" w:hAnsi="Arial"/>
          <w:sz w:val="18"/>
          <w:szCs w:val="18"/>
          <w:color w:val="auto"/>
        </w:rPr>
        <w:t>Establish and maintain a process to identify and assess risks in Kodak’s supply chain</w:t>
      </w:r>
    </w:p>
    <w:p>
      <w:pPr>
        <w:spacing w:after="0" w:line="117" w:lineRule="exact"/>
        <w:rPr>
          <w:rFonts w:ascii="Calibri" w:cs="Calibri" w:eastAsia="Calibri" w:hAnsi="Calibri"/>
          <w:sz w:val="18"/>
          <w:szCs w:val="18"/>
          <w:color w:val="auto"/>
        </w:rPr>
      </w:pPr>
    </w:p>
    <w:p>
      <w:pPr>
        <w:ind w:left="1020" w:hanging="503"/>
        <w:spacing w:after="0"/>
        <w:tabs>
          <w:tab w:leader="none" w:pos="1020" w:val="left"/>
        </w:tabs>
        <w:numPr>
          <w:ilvl w:val="0"/>
          <w:numId w:val="4"/>
        </w:numPr>
        <w:rPr>
          <w:rFonts w:ascii="Calibri" w:cs="Calibri" w:eastAsia="Calibri" w:hAnsi="Calibri"/>
          <w:sz w:val="18"/>
          <w:szCs w:val="18"/>
          <w:color w:val="auto"/>
        </w:rPr>
      </w:pPr>
      <w:r>
        <w:rPr>
          <w:rFonts w:ascii="Arial" w:cs="Arial" w:eastAsia="Arial" w:hAnsi="Arial"/>
          <w:sz w:val="18"/>
          <w:szCs w:val="18"/>
          <w:color w:val="auto"/>
        </w:rPr>
        <w:t>Respond to identified risks</w:t>
      </w:r>
    </w:p>
    <w:p>
      <w:pPr>
        <w:spacing w:after="0" w:line="117" w:lineRule="exact"/>
        <w:rPr>
          <w:rFonts w:ascii="Calibri" w:cs="Calibri" w:eastAsia="Calibri" w:hAnsi="Calibri"/>
          <w:sz w:val="18"/>
          <w:szCs w:val="18"/>
          <w:color w:val="auto"/>
        </w:rPr>
      </w:pPr>
    </w:p>
    <w:p>
      <w:pPr>
        <w:ind w:left="1020" w:hanging="503"/>
        <w:spacing w:after="0"/>
        <w:tabs>
          <w:tab w:leader="none" w:pos="1020" w:val="left"/>
        </w:tabs>
        <w:numPr>
          <w:ilvl w:val="0"/>
          <w:numId w:val="4"/>
        </w:numPr>
        <w:rPr>
          <w:rFonts w:ascii="Calibri" w:cs="Calibri" w:eastAsia="Calibri" w:hAnsi="Calibri"/>
          <w:sz w:val="18"/>
          <w:szCs w:val="18"/>
          <w:color w:val="auto"/>
        </w:rPr>
      </w:pPr>
      <w:r>
        <w:rPr>
          <w:rFonts w:ascii="Arial" w:cs="Arial" w:eastAsia="Arial" w:hAnsi="Arial"/>
          <w:sz w:val="18"/>
          <w:szCs w:val="18"/>
          <w:color w:val="auto"/>
        </w:rPr>
        <w:t>Audit smelters/refiners sourcing activities</w:t>
      </w:r>
    </w:p>
    <w:p>
      <w:pPr>
        <w:spacing w:after="0" w:line="117" w:lineRule="exact"/>
        <w:rPr>
          <w:rFonts w:ascii="Calibri" w:cs="Calibri" w:eastAsia="Calibri" w:hAnsi="Calibri"/>
          <w:sz w:val="18"/>
          <w:szCs w:val="18"/>
          <w:color w:val="auto"/>
        </w:rPr>
      </w:pPr>
    </w:p>
    <w:p>
      <w:pPr>
        <w:ind w:left="1020" w:hanging="503"/>
        <w:spacing w:after="0"/>
        <w:tabs>
          <w:tab w:leader="none" w:pos="1020" w:val="left"/>
        </w:tabs>
        <w:numPr>
          <w:ilvl w:val="0"/>
          <w:numId w:val="4"/>
        </w:numPr>
        <w:rPr>
          <w:rFonts w:ascii="Calibri" w:cs="Calibri" w:eastAsia="Calibri" w:hAnsi="Calibri"/>
          <w:sz w:val="18"/>
          <w:szCs w:val="18"/>
          <w:color w:val="auto"/>
        </w:rPr>
      </w:pPr>
      <w:r>
        <w:rPr>
          <w:rFonts w:ascii="Arial" w:cs="Arial" w:eastAsia="Arial" w:hAnsi="Arial"/>
          <w:sz w:val="18"/>
          <w:szCs w:val="18"/>
          <w:color w:val="auto"/>
        </w:rPr>
        <w:t>Publicly report on supply chain due diligence</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Kodak, as a purchaser of component parts, is many steps removed from the mining of conflict minerals; Kodak does not purchase raw ore or unrefined conflict minerals and conducts no purchasing activities directly in the Covered Countries. Because Kodak does not typically have direct relationships with smelters and refiners, Kodak’s efforts utilized multi-industry initiatives with the smelters and refiners of minerals that may provide those minerals to companies in Kodak’s supply chain.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 1: Establish Strong Management Systems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Internal Compliance Team</w:t>
      </w:r>
    </w:p>
    <w:p>
      <w:pPr>
        <w:spacing w:after="0" w:line="1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management system includes a multidisciplinary Conflict Minerals Team consisting of representation from Kodak’s Health, Safety &amp; Environment organization, Worldwide Procurement and Corporate Finance. This team is responsible for the design, implementation and continued administration of Kodak’s conflict minerals program. Kodak’s senior management is briefed about the results of the team’s due diligence efforts. It is Kodak’s policy to refrain from purchasing, directly or indirectly from any sources, conflict minerals that may finance or benefit armed groups in the Covered Countries. Kodak’s conflict minerals policy is publicly available on Kodak’s website at https://www.kodak.com/en/company/page/hse-conflict-minerals-policy.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Control Systems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Kodak requires its suppliers to implement a conflict minerals due diligence management system, including a system of controls, to determine the sources of conflict minerals in all products that are supplied to, or manufactured on behalf of Kodak. Kodak’s suppliers are required to exercise due diligence on the source and chain of custody of these minerals and to cooperate in providing Kodak its due diligence information in an effort towards sourcing only from smelters and refiners which have been certified as conflict free.</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Kodak follows the industry guidance through the Responsible Minerals Initiative (“RMI”). The RMI contributes to a range of tools and resources, including the Responsible Minerals Assurance Process, the Conflict Minerals Reporting Template, RCOI data and a range of guidance documents on responsible minerals sourcing. RMI also runs regular workshops on minerals supply chain issues and contributes to policy development and debates with leading civil society organizations and governments. One of the programs developed by the RMI is the Responsible Minerals Assurance Process (“RMAP”). The RMAP is a voluntary initiative in which independent third-party audits are conducted of a smelter’s or refiner’s procurement processes to determine if the smelter or refiner can demonstrate that all the minerals they process originate from conflict-free 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Supplier Engagement and Grievance Mechanisms</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Kodak also utilizes the Conflict Minerals Reporting Template (“CMRT”) developed by the RMI to collect supplier data. Kodak directly engages suppliers and provides guidance where appropriate. Kodak also has a Business Conduct Guide, including a phone number and website for employees to report concerns about violations of Kodak’s Conflict Minerals Policy and other policies. More information regarding the Company’s Business Conduct Guide and methods of reporting concerns can be found here: https://www.kodak.com/en/company/page/conduct-guide</w:t>
      </w:r>
      <w:r>
        <w:rPr>
          <w:rFonts w:ascii="Arial" w:cs="Arial" w:eastAsia="Arial" w:hAnsi="Arial"/>
          <w:sz w:val="18"/>
          <w:szCs w:val="18"/>
          <w:u w:val="single" w:color="auto"/>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Maintain Records</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Kodak has adopted a policy to retain relevant documentation for a period of five years. Kodak implemented a document retention policy to retain conflict minerals related documents, including supplier responses to CMRTs. Kodak stores all the information and findings from this process in a database that can be audited by internal or external parties as needed.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Step 2: Establish a Process to Identify and Assess Risks in Our Supply Chain</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Kodak, through its RCOI process, determined suppliers that were in scope by starting with a complete list of first tier suppliers and removing: service providers, indirect materials suppliers, and suppliers with whom Kodak spent no money in 2025. In some instances, second-tier suppliers (</w:t>
      </w:r>
      <w:r>
        <w:rPr>
          <w:rFonts w:ascii="Arial" w:cs="Arial" w:eastAsia="Arial" w:hAnsi="Arial"/>
          <w:sz w:val="18"/>
          <w:szCs w:val="18"/>
          <w:i w:val="1"/>
          <w:iCs w:val="1"/>
          <w:color w:val="auto"/>
        </w:rPr>
        <w:t>e.g.,</w:t>
      </w:r>
      <w:r>
        <w:rPr>
          <w:rFonts w:ascii="Arial" w:cs="Arial" w:eastAsia="Arial" w:hAnsi="Arial"/>
          <w:sz w:val="18"/>
          <w:szCs w:val="18"/>
          <w:color w:val="auto"/>
        </w:rPr>
        <w:t xml:space="preserve"> distributors) were also included in the scope of this initial list. Based on a review of Kodak’s spending data and known product compositions, suppliers providing services or products that contain no conflict minerals were excluded from Kodak’s scope. The exclusions included suppliers providing commodities such as travel, employee benefits, facility maintenance, stationery, office supplies, software, and chemicals with a known composition. The remaining suppliers were identified as relevant or high priority suppliers, including suppliers with the potential to provide raw materials, components, parts, sub-assemblies and products that have the greatest likelihood of containing conflict minerals.</w:t>
      </w:r>
    </w:p>
    <w:p>
      <w:pPr>
        <w:spacing w:after="0" w:line="180"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The suppliers that were identified as relevant or high priority received an email containing a cover letter signed by Kodak’s Global Procurement Director and a conflict minerals questionnaire using the CMRT. The cover letter provided an explanation for the request including the regulatory background and the expected timing for a response. Non-responsive suppliers were contacted a minimum of three times. These communications were monitored and tracked for future reporting and transparency. In the event Kodak determines that a supplier’s efforts to comply with this Policy have been deficient and the supplier fails to cooperate in developing and implementing reasonable remedial steps, Kodak reserves the right to take appropriate actions up to and including discontinuing purchases from the supplier.</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Kodak received responses from the suppliers that were in scope. Kodak’s conflict minerals team reviewed and verified each completed questionnaire against expectations established by Company policy. The supplier’s responses were reviewed to determine if it had a conflict minerals policy describing its due diligence program and how it was being applied to the suppliers in the chain. Further, any smelters and refiners identified in the questionnaire were compared against the list of smelters and refiners maintained by the RMI to ensure that the facilities met the RMI definition of a 3TG processing facility that was operational during the 2025 calendar year. Kodak also reviewed country of origin information available from RMI for the smelters and refiners identified in the questionnaire.</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 large number of responses received provided data at a company or divisional level or were unable to specify the smelters or refiners used for 3TG in the components supplied to Kodak. In order to assess the risk that any of these smelters posed to Kodak’s supply chain, Kodak determined whether the smelter had been audited against a standard in conformance with the OECD Guidance, such as the RMAP. Kodak does not typically have a direct relationship with 3TG smelters and refiners and does not perform or direct audits of these entities within the Company’s supply chain. Smelters that have completed an RMAP audit are considered to be DRC conflict free. In cases where the smelter’s due diligence practices have not been audited against the RMAP standard, a potential supply chain risk exists.</w:t>
      </w:r>
    </w:p>
    <w:p>
      <w:pPr>
        <w:spacing w:after="0" w:line="17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of the 8</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of May 2026, Kodak validated 489 smelters or refiners and is working to validate the additional smelter/refiner entries from the submitted CMRTs. Due to the limitations associated with the use of supplier-level CMRTs, Kodak cannot definitively determine their connection to the Covered Products. Each facility that meets the RMI definition of a smelter or refiner of a 3TG mineral is assessed according to red flag indicators defined in the OECD Guidance. Kodak uses numerous factors to determine the level of risk that each smelter poses to the supply chain by identifying red flags. These factors include:</w:t>
      </w:r>
    </w:p>
    <w:p>
      <w:pPr>
        <w:spacing w:after="0" w:line="277"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Geographic proximity to the Covered Countries;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Known mineral source country of origin;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RMAP audit status;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Credible evidence of unethical or conflict sourcing;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Peer assessments conducted by credible third-party sources.</w:t>
      </w:r>
    </w:p>
    <w:p>
      <w:pPr>
        <w:spacing w:after="0" w:line="21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As per the OECD Guidance, risk mitigation will depend on the supplier’s specific context. Suppliers are given clear performance objectives within reasonable timeframes with the ultimate goal of progressive elimination of these red flags from the supply chain. In addition, suppliers are guided to the Responsible Minerals Initiative learning platform to engage in educational materials on mitigating the risk of smelters or refiners in the supply chain.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8"/>
          <w:szCs w:val="18"/>
          <w:color w:val="auto"/>
        </w:rPr>
        <w:t>Additionally, suppliers claiming the use of 3TG in their supply chain are evaluated on program strength (further assisting in identifying risk in the supply chain).</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Evaluating and tracking the strength of the program meets the OECD Guidance and can assist in making key risk mitigation decisions as the program progresses. The criteria used to evaluate the strength of the program are based on these four questions in the CMRT:</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Have you established a responsible conflict minerals sourcing policy?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 Have you implemented due diligence measures for responsible sourcing?</w:t>
      </w:r>
    </w:p>
    <w:p>
      <w:pPr>
        <w:ind w:left="760"/>
        <w:spacing w:after="0" w:line="234" w:lineRule="auto"/>
        <w:rPr>
          <w:sz w:val="20"/>
          <w:szCs w:val="20"/>
          <w:color w:val="auto"/>
        </w:rPr>
      </w:pPr>
      <w:r>
        <w:rPr>
          <w:rFonts w:ascii="Arial" w:cs="Arial" w:eastAsia="Arial" w:hAnsi="Arial"/>
          <w:sz w:val="18"/>
          <w:szCs w:val="18"/>
          <w:color w:val="auto"/>
        </w:rPr>
        <w:t>F. Do you review due diligence information received from your suppliers against your company’s expectations?</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 Does your review process include corrective action management?</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suppliers meet or exceed these criteria (meaning “Yes” responses to at least A, D, F, and G), they are deemed to have a strong program. When suppliers do not meet these criteria, they are deemed to have a weak program. At this time, 17 out of 59 of Kodak’s responsive suppliers have been identified as having a weak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Due Diligence Measures Performed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 3: Strategy Designed and Implemented to Respond to Identified Risks: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Kodak compared smelters and refiners identified by suppliers in the questionnaire against the list of facilities that have received a “conflict free” designation from the RMI. In addition, Kodak reviewed the responses against criteria developed to determine which responses required follow-up and further engagement. These criteria included categories for untimely or incomplete responses as well as inconsistencies within the data reported in the template. Kodak worked directly with these suppliers to provide revised responses. Specifically, Kodak followed up with suppliers who provided any of the following negative or incomplete responses to the questionnaire:</w:t>
      </w:r>
    </w:p>
    <w:p>
      <w:pPr>
        <w:spacing w:after="0" w:line="271"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response did not appear justified by the product category or composition of the product.</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supplier did not indicate that it had implemented a management system or due diligence program to obtain information from its suppliers.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response was incomplete, or necessary information was not provided by the supplier.</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smelter list included problematic smelters (</w:t>
      </w:r>
      <w:r>
        <w:rPr>
          <w:rFonts w:ascii="Arial" w:cs="Arial" w:eastAsia="Arial" w:hAnsi="Arial"/>
          <w:sz w:val="18"/>
          <w:szCs w:val="18"/>
          <w:i w:val="1"/>
          <w:iCs w:val="1"/>
          <w:color w:val="auto"/>
        </w:rPr>
        <w:t>i.e.,</w:t>
      </w:r>
      <w:r>
        <w:rPr>
          <w:rFonts w:ascii="Arial" w:cs="Arial" w:eastAsia="Arial" w:hAnsi="Arial"/>
          <w:sz w:val="18"/>
          <w:szCs w:val="18"/>
          <w:color w:val="auto"/>
        </w:rPr>
        <w:t xml:space="preserve"> smelters not appearing on either CFSI’s standard smelter list or the U.S Department of Commerce list of known smelters).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a supplier’s efforts to address concerns were determined to be deficient, it was flagged for further action. The project team reports annually on its progress to relevant senior executives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 4: Auditing of Smelters/Refiners Sourcing</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Due to the complexity of Kodak’s products, and the depth, breadth and constant evolution of its supply chain, it is difficult to identify actors upstream from Kodak’s direct suppliers. Kodak does not typically have a direct relationship with 3TG smelters and refiners and does not perform or direct audits of these entities within its supply chain. Kodak has supported the execution of the RMAP and has relied on the RMAP to perform audits of smelters and to develop information on the country and mine or location of origin of conflict minerals in Kodak’s products. In order to assess the risk that any of these smelters posed to Kodak’s supply chain, Kodak determined if the smelter had been audited against a standard in conformance with the OECD Guidance, such as the RMAP. Smelters that have completed an RMAP audit are considered to be DRC conflict free.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IV.  Results and Public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 5: Annual Reports on Supply Chain Due Diligence:</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Kodak annually reports on its conflict minerals supply chain due diligence to the SEC through the Company’s Form SD and Conflict Minerals Report and publishes the same information on its public website at the link referenced above.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Supply Chain Due Diligence</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Reviewing information about 3TG smelters and refiners in Kodak’s supply chain represents the most reasonable effort Kodak can make to determine the mines or locations of origin of the 3TG in its supply chain. Kodak received responses from approximately 80% of the suppliers surveyed. Based on these responses, Kodak identified 489 smelters or refiners of 3TG that are known smelters or refiners based on the RMI’s standard smelter reference list and may have processed the conflict minerals contained in Kodak’s products. These smelters are listed in the Appendix. The Appendix also includes an aggregated list of the countries of origin from which the listed smelters and refiners are believed to have sourced conflict minerals, in addition to recycled and scrap sources.</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majority of Kodak’s suppliers provided information at the company level, rather than information specific to the materials purchased by Kodak. Kodak is unable to validate whether the smelters and refiners listed in the Appendix in fact contributed conflict minerals to its products.</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Of the 489 smelters and refiners listed in the Appendix, 218 have been certified as compliant with the RMI’s RMAP, and an additional 8 are active in the RMAP third-party audit process. Kodak was unable to determine the conflict status of the remaining smelters and refiners.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Smelters and refiners that are </w:t>
      </w:r>
      <w:r>
        <w:rPr>
          <w:rFonts w:ascii="Arial" w:cs="Arial" w:eastAsia="Arial" w:hAnsi="Arial"/>
          <w:sz w:val="18"/>
          <w:szCs w:val="18"/>
          <w:color w:val="222222"/>
        </w:rPr>
        <w:t>compliant with the relevant RMAP</w:t>
      </w:r>
      <w:r>
        <w:rPr>
          <w:rFonts w:ascii="Arial" w:cs="Arial" w:eastAsia="Arial" w:hAnsi="Arial"/>
          <w:sz w:val="18"/>
          <w:szCs w:val="18"/>
          <w:color w:val="auto"/>
        </w:rPr>
        <w:t xml:space="preserve"> assessment protocols or currently in the audit process: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shd w:val="clear" w:color="auto" w:fill="BDD6EE"/>
          </w:tcPr>
          <w:p>
            <w:pPr>
              <w:spacing w:after="0"/>
              <w:rPr>
                <w:sz w:val="20"/>
                <w:szCs w:val="20"/>
                <w:color w:val="auto"/>
              </w:rPr>
            </w:pPr>
            <w:r>
              <w:rPr>
                <w:rFonts w:ascii="Arial" w:cs="Arial" w:eastAsia="Arial" w:hAnsi="Arial"/>
                <w:sz w:val="18"/>
                <w:szCs w:val="18"/>
                <w:color w:val="auto"/>
              </w:rPr>
              <w:t>Tantalum:</w:t>
            </w:r>
          </w:p>
        </w:tc>
        <w:tc>
          <w:tcPr>
            <w:tcW w:w="4460" w:type="dxa"/>
            <w:vAlign w:val="bottom"/>
            <w:shd w:val="clear" w:color="auto" w:fill="BDD6EE"/>
          </w:tcPr>
          <w:p>
            <w:pPr>
              <w:ind w:left="1460"/>
              <w:spacing w:after="0"/>
              <w:rPr>
                <w:sz w:val="20"/>
                <w:szCs w:val="20"/>
                <w:color w:val="auto"/>
              </w:rPr>
            </w:pPr>
            <w:r>
              <w:rPr>
                <w:rFonts w:ascii="Arial" w:cs="Arial" w:eastAsia="Arial" w:hAnsi="Arial"/>
                <w:sz w:val="18"/>
                <w:szCs w:val="18"/>
                <w:color w:val="auto"/>
              </w:rPr>
              <w:t>38 of 49 (78%)</w:t>
            </w: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Tin:</w:t>
            </w:r>
          </w:p>
        </w:tc>
        <w:tc>
          <w:tcPr>
            <w:tcW w:w="4460" w:type="dxa"/>
            <w:vAlign w:val="bottom"/>
          </w:tcPr>
          <w:p>
            <w:pPr>
              <w:ind w:left="1460"/>
              <w:spacing w:after="0"/>
              <w:rPr>
                <w:sz w:val="20"/>
                <w:szCs w:val="20"/>
                <w:color w:val="auto"/>
              </w:rPr>
            </w:pPr>
            <w:r>
              <w:rPr>
                <w:rFonts w:ascii="Arial" w:cs="Arial" w:eastAsia="Arial" w:hAnsi="Arial"/>
                <w:sz w:val="18"/>
                <w:szCs w:val="18"/>
                <w:color w:val="auto"/>
              </w:rPr>
              <w:t>56 of 139 (40%)</w:t>
            </w:r>
          </w:p>
        </w:tc>
      </w:tr>
      <w:tr>
        <w:trPr>
          <w:trHeight w:val="230"/>
        </w:trPr>
        <w:tc>
          <w:tcPr>
            <w:tcW w:w="2280" w:type="dxa"/>
            <w:vAlign w:val="bottom"/>
            <w:shd w:val="clear" w:color="auto" w:fill="BDD6EE"/>
          </w:tcPr>
          <w:p>
            <w:pPr>
              <w:spacing w:after="0"/>
              <w:rPr>
                <w:sz w:val="20"/>
                <w:szCs w:val="20"/>
                <w:color w:val="auto"/>
              </w:rPr>
            </w:pPr>
            <w:r>
              <w:rPr>
                <w:rFonts w:ascii="Arial" w:cs="Arial" w:eastAsia="Arial" w:hAnsi="Arial"/>
                <w:sz w:val="18"/>
                <w:szCs w:val="18"/>
                <w:color w:val="auto"/>
              </w:rPr>
              <w:t>Tungsten:</w:t>
            </w:r>
          </w:p>
        </w:tc>
        <w:tc>
          <w:tcPr>
            <w:tcW w:w="4460" w:type="dxa"/>
            <w:vAlign w:val="bottom"/>
            <w:shd w:val="clear" w:color="auto" w:fill="BDD6EE"/>
          </w:tcPr>
          <w:p>
            <w:pPr>
              <w:ind w:left="1460"/>
              <w:spacing w:after="0"/>
              <w:rPr>
                <w:sz w:val="20"/>
                <w:szCs w:val="20"/>
                <w:color w:val="auto"/>
              </w:rPr>
            </w:pPr>
            <w:r>
              <w:rPr>
                <w:rFonts w:ascii="Arial" w:cs="Arial" w:eastAsia="Arial" w:hAnsi="Arial"/>
                <w:sz w:val="18"/>
                <w:szCs w:val="18"/>
                <w:color w:val="auto"/>
              </w:rPr>
              <w:t>35 of 80 (44%)</w:t>
            </w:r>
          </w:p>
        </w:tc>
      </w:tr>
      <w:tr>
        <w:trPr>
          <w:trHeight w:val="239"/>
        </w:trPr>
        <w:tc>
          <w:tcPr>
            <w:tcW w:w="2280" w:type="dxa"/>
            <w:vAlign w:val="bottom"/>
          </w:tcPr>
          <w:p>
            <w:pPr>
              <w:spacing w:after="0"/>
              <w:rPr>
                <w:sz w:val="20"/>
                <w:szCs w:val="20"/>
                <w:color w:val="auto"/>
              </w:rPr>
            </w:pPr>
            <w:r>
              <w:rPr>
                <w:rFonts w:ascii="Arial" w:cs="Arial" w:eastAsia="Arial" w:hAnsi="Arial"/>
                <w:sz w:val="18"/>
                <w:szCs w:val="18"/>
                <w:color w:val="auto"/>
              </w:rPr>
              <w:t>Gold:</w:t>
            </w:r>
          </w:p>
        </w:tc>
        <w:tc>
          <w:tcPr>
            <w:tcW w:w="4460" w:type="dxa"/>
            <w:vAlign w:val="bottom"/>
          </w:tcPr>
          <w:p>
            <w:pPr>
              <w:ind w:left="1460"/>
              <w:spacing w:after="0"/>
              <w:rPr>
                <w:sz w:val="20"/>
                <w:szCs w:val="20"/>
                <w:color w:val="auto"/>
              </w:rPr>
            </w:pPr>
            <w:r>
              <w:rPr>
                <w:rFonts w:ascii="Arial" w:cs="Arial" w:eastAsia="Arial" w:hAnsi="Arial"/>
                <w:sz w:val="18"/>
                <w:szCs w:val="18"/>
                <w:color w:val="auto"/>
              </w:rPr>
              <w:t>97 of 221 (44%)</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Overall, 226 of 489, or 46% of the smelters and refiners are compliant with the RMI’s RMAP or are currently in the audit process.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RMAP Compliant smelters and refiners in Kodak’s supply chain:</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285 Compliant Smelters and refiners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335153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146050"/>
                    </a:xfrm>
                    <a:prstGeom prst="rect">
                      <a:avLst/>
                    </a:prstGeom>
                    <a:noFill/>
                  </pic:spPr>
                </pic:pic>
              </a:graphicData>
            </a:graphic>
          </wp:anchor>
        </w:drawing>
      </w:r>
    </w:p>
    <w:p>
      <w:pPr>
        <w:spacing w:after="0" w:line="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205 Compliant Smelters and refiners</w:t>
      </w:r>
    </w:p>
    <w:p>
      <w:pPr>
        <w:spacing w:after="0" w:line="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244 Compliant Smelters and refiners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335153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45415"/>
                    </a:xfrm>
                    <a:prstGeom prst="rect">
                      <a:avLst/>
                    </a:prstGeom>
                    <a:noFill/>
                  </pic:spPr>
                </pic:pic>
              </a:graphicData>
            </a:graphic>
          </wp:anchor>
        </w:drawing>
      </w:r>
    </w:p>
    <w:p>
      <w:pPr>
        <w:spacing w:after="0" w:line="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2024</w:t>
      </w:r>
      <w:r>
        <w:rPr>
          <w:sz w:val="20"/>
          <w:szCs w:val="20"/>
          <w:color w:val="auto"/>
        </w:rPr>
        <w:tab/>
      </w:r>
      <w:r>
        <w:rPr>
          <w:rFonts w:ascii="Arial" w:cs="Arial" w:eastAsia="Arial" w:hAnsi="Arial"/>
          <w:sz w:val="18"/>
          <w:szCs w:val="18"/>
          <w:color w:val="auto"/>
        </w:rPr>
        <w:t>235 Compliant Smelters and refiners</w:t>
      </w:r>
    </w:p>
    <w:p>
      <w:pPr>
        <w:spacing w:after="0" w:line="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2025</w:t>
      </w:r>
      <w:r>
        <w:rPr>
          <w:sz w:val="20"/>
          <w:szCs w:val="20"/>
          <w:color w:val="auto"/>
        </w:rPr>
        <w:tab/>
      </w:r>
      <w:r>
        <w:rPr>
          <w:rFonts w:ascii="Arial" w:cs="Arial" w:eastAsia="Arial" w:hAnsi="Arial"/>
          <w:sz w:val="18"/>
          <w:szCs w:val="18"/>
          <w:color w:val="auto"/>
        </w:rPr>
        <w:t>226 Compliant Smelters and refiners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335153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289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spacing w:after="0"/>
        <w:tabs>
          <w:tab w:leader="none" w:pos="320" w:val="left"/>
        </w:tabs>
        <w:rPr>
          <w:sz w:val="20"/>
          <w:szCs w:val="20"/>
          <w:color w:val="auto"/>
        </w:rPr>
      </w:pPr>
      <w:r>
        <w:rPr>
          <w:rFonts w:ascii="Arial" w:cs="Arial" w:eastAsia="Arial" w:hAnsi="Arial"/>
          <w:sz w:val="18"/>
          <w:szCs w:val="18"/>
          <w:b w:val="1"/>
          <w:bCs w:val="1"/>
          <w:color w:val="auto"/>
        </w:rPr>
        <w:t>V.</w:t>
      </w:r>
      <w:r>
        <w:rPr>
          <w:sz w:val="20"/>
          <w:szCs w:val="20"/>
          <w:color w:val="auto"/>
        </w:rPr>
        <w:tab/>
      </w:r>
      <w:r>
        <w:rPr>
          <w:rFonts w:ascii="Arial" w:cs="Arial" w:eastAsia="Arial" w:hAnsi="Arial"/>
          <w:sz w:val="17"/>
          <w:szCs w:val="17"/>
          <w:b w:val="1"/>
          <w:bCs w:val="1"/>
          <w:color w:val="auto"/>
        </w:rPr>
        <w:t>Product Description:</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Given the fact that not all smelters and refiners identified by Kodak’s suppliers have been audited by the RMI’s RMAP list and many suppliers are still collecting information from their supply chain, Kodak’s products containing or using conflict minerals are considered DRC conflict undeterminable.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Kodak products determined to be DRC conflict undeterminable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shd w:val="clear" w:color="auto" w:fill="BDD6EE"/>
          </w:tcPr>
          <w:p>
            <w:pPr>
              <w:spacing w:after="0"/>
              <w:rPr>
                <w:sz w:val="20"/>
                <w:szCs w:val="20"/>
                <w:color w:val="auto"/>
              </w:rPr>
            </w:pPr>
            <w:r>
              <w:rPr>
                <w:rFonts w:ascii="Arial" w:cs="Arial" w:eastAsia="Arial" w:hAnsi="Arial"/>
                <w:sz w:val="18"/>
                <w:szCs w:val="18"/>
                <w:color w:val="auto"/>
              </w:rPr>
              <w:t>KODAK PROSPER Press Platform</w:t>
            </w:r>
          </w:p>
        </w:tc>
        <w:tc>
          <w:tcPr>
            <w:tcW w:w="6080" w:type="dxa"/>
            <w:vAlign w:val="bottom"/>
            <w:shd w:val="clear" w:color="auto" w:fill="BDD6EE"/>
          </w:tcPr>
          <w:p>
            <w:pPr>
              <w:ind w:left="100"/>
              <w:spacing w:after="0"/>
              <w:rPr>
                <w:sz w:val="20"/>
                <w:szCs w:val="20"/>
                <w:color w:val="auto"/>
              </w:rPr>
            </w:pPr>
            <w:r>
              <w:rPr>
                <w:rFonts w:ascii="Arial" w:cs="Arial" w:eastAsia="Arial" w:hAnsi="Arial"/>
                <w:sz w:val="18"/>
                <w:szCs w:val="18"/>
                <w:color w:val="auto"/>
              </w:rPr>
              <w:t>KODAK VERSAMARK Printing Systems</w:t>
            </w: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KODAK PROSPER Imprinting Systems</w:t>
            </w:r>
          </w:p>
        </w:tc>
        <w:tc>
          <w:tcPr>
            <w:tcW w:w="6080" w:type="dxa"/>
            <w:vAlign w:val="bottom"/>
          </w:tcPr>
          <w:p>
            <w:pPr>
              <w:ind w:left="100"/>
              <w:spacing w:after="0"/>
              <w:rPr>
                <w:sz w:val="20"/>
                <w:szCs w:val="20"/>
                <w:color w:val="auto"/>
              </w:rPr>
            </w:pPr>
            <w:r>
              <w:rPr>
                <w:rFonts w:ascii="Arial" w:cs="Arial" w:eastAsia="Arial" w:hAnsi="Arial"/>
                <w:sz w:val="18"/>
                <w:szCs w:val="18"/>
                <w:color w:val="auto"/>
              </w:rPr>
              <w:t>KODAK VERSAMARK Imprinting Systems</w:t>
            </w:r>
          </w:p>
        </w:tc>
      </w:tr>
      <w:tr>
        <w:trPr>
          <w:trHeight w:val="230"/>
        </w:trPr>
        <w:tc>
          <w:tcPr>
            <w:tcW w:w="4940" w:type="dxa"/>
            <w:vAlign w:val="bottom"/>
            <w:shd w:val="clear" w:color="auto" w:fill="BDD6EE"/>
          </w:tcPr>
          <w:p>
            <w:pPr>
              <w:spacing w:after="0"/>
              <w:rPr>
                <w:sz w:val="20"/>
                <w:szCs w:val="20"/>
                <w:color w:val="auto"/>
              </w:rPr>
            </w:pPr>
            <w:r>
              <w:rPr>
                <w:rFonts w:ascii="Arial" w:cs="Arial" w:eastAsia="Arial" w:hAnsi="Arial"/>
                <w:sz w:val="18"/>
                <w:szCs w:val="18"/>
                <w:color w:val="auto"/>
              </w:rPr>
              <w:t>KODAK NEXPRESS Digital Production Color Press Platform</w:t>
            </w:r>
          </w:p>
        </w:tc>
        <w:tc>
          <w:tcPr>
            <w:tcW w:w="6080" w:type="dxa"/>
            <w:vAlign w:val="bottom"/>
            <w:shd w:val="clear" w:color="auto" w:fill="BDD6EE"/>
          </w:tcPr>
          <w:p>
            <w:pPr>
              <w:ind w:left="100"/>
              <w:spacing w:after="0"/>
              <w:rPr>
                <w:sz w:val="20"/>
                <w:szCs w:val="20"/>
                <w:color w:val="auto"/>
              </w:rPr>
            </w:pPr>
            <w:r>
              <w:rPr>
                <w:rFonts w:ascii="Arial" w:cs="Arial" w:eastAsia="Arial" w:hAnsi="Arial"/>
                <w:sz w:val="18"/>
                <w:szCs w:val="18"/>
                <w:color w:val="auto"/>
              </w:rPr>
              <w:t>KODAK DIGIMASTER HD Digital Production Platform</w:t>
            </w: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KODAK FLEXCEL NX Imager and Laminator</w:t>
            </w:r>
          </w:p>
        </w:tc>
        <w:tc>
          <w:tcPr>
            <w:tcW w:w="6080" w:type="dxa"/>
            <w:vAlign w:val="bottom"/>
          </w:tcPr>
          <w:p>
            <w:pPr>
              <w:ind w:left="100"/>
              <w:spacing w:after="0"/>
              <w:rPr>
                <w:sz w:val="20"/>
                <w:szCs w:val="20"/>
                <w:color w:val="auto"/>
              </w:rPr>
            </w:pPr>
            <w:r>
              <w:rPr>
                <w:rFonts w:ascii="Arial" w:cs="Arial" w:eastAsia="Arial" w:hAnsi="Arial"/>
                <w:sz w:val="18"/>
                <w:szCs w:val="18"/>
                <w:color w:val="auto"/>
              </w:rPr>
              <w:t>Kodak FLEXCEL Direct Imager</w:t>
            </w:r>
          </w:p>
        </w:tc>
      </w:tr>
      <w:tr>
        <w:trPr>
          <w:trHeight w:val="229"/>
        </w:trPr>
        <w:tc>
          <w:tcPr>
            <w:tcW w:w="4940" w:type="dxa"/>
            <w:vAlign w:val="bottom"/>
            <w:shd w:val="clear" w:color="auto" w:fill="BDD6EE"/>
          </w:tcPr>
          <w:p>
            <w:pPr>
              <w:spacing w:after="0"/>
              <w:rPr>
                <w:sz w:val="20"/>
                <w:szCs w:val="20"/>
                <w:color w:val="auto"/>
              </w:rPr>
            </w:pPr>
            <w:r>
              <w:rPr>
                <w:rFonts w:ascii="Arial" w:cs="Arial" w:eastAsia="Arial" w:hAnsi="Arial"/>
                <w:sz w:val="18"/>
                <w:szCs w:val="18"/>
                <w:color w:val="auto"/>
              </w:rPr>
              <w:t>Print on Demand Solutions</w:t>
            </w:r>
          </w:p>
        </w:tc>
        <w:tc>
          <w:tcPr>
            <w:tcW w:w="6080" w:type="dxa"/>
            <w:vAlign w:val="bottom"/>
            <w:shd w:val="clear" w:color="auto" w:fill="BDD6EE"/>
          </w:tcPr>
          <w:p>
            <w:pPr>
              <w:ind w:left="100"/>
              <w:spacing w:after="0"/>
              <w:rPr>
                <w:sz w:val="20"/>
                <w:szCs w:val="20"/>
                <w:color w:val="auto"/>
              </w:rPr>
            </w:pPr>
            <w:r>
              <w:rPr>
                <w:rFonts w:ascii="Arial" w:cs="Arial" w:eastAsia="Arial" w:hAnsi="Arial"/>
                <w:sz w:val="18"/>
                <w:szCs w:val="18"/>
                <w:color w:val="auto"/>
              </w:rPr>
              <w:t>KODAK ASCEND Digital Press</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EKTAFLEX Functional Printing Solutions</w:t>
            </w:r>
          </w:p>
        </w:tc>
        <w:tc>
          <w:tcPr>
            <w:tcW w:w="6080" w:type="dxa"/>
            <w:vAlign w:val="bottom"/>
          </w:tcPr>
          <w:p>
            <w:pPr>
              <w:spacing w:after="0"/>
              <w:rPr>
                <w:sz w:val="19"/>
                <w:szCs w:val="19"/>
                <w:color w:val="auto"/>
              </w:rPr>
            </w:pPr>
          </w:p>
        </w:tc>
      </w:tr>
      <w:tr>
        <w:trPr>
          <w:trHeight w:val="229"/>
        </w:trPr>
        <w:tc>
          <w:tcPr>
            <w:tcW w:w="4940" w:type="dxa"/>
            <w:vAlign w:val="bottom"/>
            <w:shd w:val="clear" w:color="auto" w:fill="BDD6EE"/>
          </w:tcPr>
          <w:p>
            <w:pPr>
              <w:spacing w:after="0"/>
              <w:rPr>
                <w:sz w:val="20"/>
                <w:szCs w:val="20"/>
                <w:color w:val="auto"/>
              </w:rPr>
            </w:pPr>
            <w:r>
              <w:rPr>
                <w:rFonts w:ascii="Arial" w:cs="Arial" w:eastAsia="Arial" w:hAnsi="Arial"/>
                <w:sz w:val="18"/>
                <w:szCs w:val="18"/>
                <w:color w:val="auto"/>
              </w:rPr>
              <w:t>MAGNUS Platesetters</w:t>
            </w:r>
          </w:p>
        </w:tc>
        <w:tc>
          <w:tcPr>
            <w:tcW w:w="6080" w:type="dxa"/>
            <w:vAlign w:val="bottom"/>
            <w:shd w:val="clear" w:color="auto" w:fill="BDD6EE"/>
          </w:tcPr>
          <w:p>
            <w:pPr>
              <w:ind w:left="100"/>
              <w:spacing w:after="0"/>
              <w:rPr>
                <w:sz w:val="20"/>
                <w:szCs w:val="20"/>
                <w:color w:val="auto"/>
              </w:rPr>
            </w:pPr>
            <w:r>
              <w:rPr>
                <w:rFonts w:ascii="Arial" w:cs="Arial" w:eastAsia="Arial" w:hAnsi="Arial"/>
                <w:sz w:val="18"/>
                <w:szCs w:val="18"/>
                <w:color w:val="auto"/>
              </w:rPr>
              <w:t>TRENDSETTER Platesetters</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ACHIEVE Platesetters</w:t>
            </w:r>
          </w:p>
        </w:tc>
        <w:tc>
          <w:tcPr>
            <w:tcW w:w="6080" w:type="dxa"/>
            <w:vAlign w:val="bottom"/>
          </w:tcPr>
          <w:p>
            <w:pPr>
              <w:ind w:left="100"/>
              <w:spacing w:after="0"/>
              <w:rPr>
                <w:sz w:val="20"/>
                <w:szCs w:val="20"/>
                <w:color w:val="auto"/>
              </w:rPr>
            </w:pPr>
            <w:r>
              <w:rPr>
                <w:rFonts w:ascii="Arial" w:cs="Arial" w:eastAsia="Arial" w:hAnsi="Arial"/>
                <w:sz w:val="18"/>
                <w:szCs w:val="18"/>
                <w:color w:val="auto"/>
              </w:rPr>
              <w:t>GENERATION NEWS Platesetter</w:t>
            </w:r>
          </w:p>
        </w:tc>
      </w:tr>
      <w:tr>
        <w:trPr>
          <w:trHeight w:val="229"/>
        </w:trPr>
        <w:tc>
          <w:tcPr>
            <w:tcW w:w="4940" w:type="dxa"/>
            <w:vAlign w:val="bottom"/>
            <w:shd w:val="clear" w:color="auto" w:fill="BDD6EE"/>
          </w:tcPr>
          <w:p>
            <w:pPr>
              <w:spacing w:after="0"/>
              <w:rPr>
                <w:sz w:val="20"/>
                <w:szCs w:val="20"/>
                <w:color w:val="auto"/>
              </w:rPr>
            </w:pPr>
            <w:r>
              <w:rPr>
                <w:rFonts w:ascii="Arial" w:cs="Arial" w:eastAsia="Arial" w:hAnsi="Arial"/>
                <w:sz w:val="18"/>
                <w:szCs w:val="18"/>
                <w:color w:val="auto"/>
              </w:rPr>
              <w:t>TRENDSETTER NEWS Platesetter</w:t>
            </w:r>
          </w:p>
        </w:tc>
        <w:tc>
          <w:tcPr>
            <w:tcW w:w="6080" w:type="dxa"/>
            <w:vAlign w:val="bottom"/>
            <w:shd w:val="clear" w:color="auto" w:fill="BDD6EE"/>
          </w:tcPr>
          <w:p>
            <w:pPr>
              <w:ind w:left="100"/>
              <w:spacing w:after="0"/>
              <w:rPr>
                <w:sz w:val="20"/>
                <w:szCs w:val="20"/>
                <w:color w:val="auto"/>
              </w:rPr>
            </w:pPr>
            <w:r>
              <w:rPr>
                <w:rFonts w:ascii="Arial" w:cs="Arial" w:eastAsia="Arial" w:hAnsi="Arial"/>
                <w:sz w:val="18"/>
                <w:szCs w:val="18"/>
                <w:color w:val="auto"/>
              </w:rPr>
              <w:t>MERCURY P-HD Plate Processor</w:t>
            </w: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S Plate Processor</w:t>
            </w:r>
          </w:p>
        </w:tc>
        <w:tc>
          <w:tcPr>
            <w:tcW w:w="6080" w:type="dxa"/>
            <w:vAlign w:val="bottom"/>
          </w:tcPr>
          <w:p>
            <w:pPr>
              <w:ind w:left="100"/>
              <w:spacing w:after="0"/>
              <w:rPr>
                <w:sz w:val="20"/>
                <w:szCs w:val="20"/>
                <w:color w:val="auto"/>
              </w:rPr>
            </w:pPr>
            <w:r>
              <w:rPr>
                <w:rFonts w:ascii="Arial" w:cs="Arial" w:eastAsia="Arial" w:hAnsi="Arial"/>
                <w:sz w:val="18"/>
                <w:szCs w:val="18"/>
                <w:color w:val="auto"/>
              </w:rPr>
              <w:t>P-LD Plate Processor</w:t>
            </w:r>
          </w:p>
        </w:tc>
      </w:tr>
      <w:tr>
        <w:trPr>
          <w:trHeight w:val="230"/>
        </w:trPr>
        <w:tc>
          <w:tcPr>
            <w:tcW w:w="4940" w:type="dxa"/>
            <w:vAlign w:val="bottom"/>
            <w:shd w:val="clear" w:color="auto" w:fill="BDD6EE"/>
          </w:tcPr>
          <w:p>
            <w:pPr>
              <w:spacing w:after="0"/>
              <w:rPr>
                <w:sz w:val="20"/>
                <w:szCs w:val="20"/>
                <w:color w:val="auto"/>
              </w:rPr>
            </w:pPr>
            <w:r>
              <w:rPr>
                <w:rFonts w:ascii="Arial" w:cs="Arial" w:eastAsia="Arial" w:hAnsi="Arial"/>
                <w:sz w:val="18"/>
                <w:szCs w:val="18"/>
                <w:color w:val="auto"/>
              </w:rPr>
              <w:t>T-HDX and T-HDE Plate Processors</w:t>
            </w:r>
          </w:p>
        </w:tc>
        <w:tc>
          <w:tcPr>
            <w:tcW w:w="6080" w:type="dxa"/>
            <w:vAlign w:val="bottom"/>
            <w:shd w:val="clear" w:color="auto" w:fill="BDD6EE"/>
          </w:tcPr>
          <w:p>
            <w:pPr>
              <w:ind w:left="100"/>
              <w:spacing w:after="0"/>
              <w:rPr>
                <w:sz w:val="20"/>
                <w:szCs w:val="20"/>
                <w:color w:val="auto"/>
              </w:rPr>
            </w:pPr>
            <w:r>
              <w:rPr>
                <w:rFonts w:ascii="Arial" w:cs="Arial" w:eastAsia="Arial" w:hAnsi="Arial"/>
                <w:sz w:val="18"/>
                <w:szCs w:val="18"/>
                <w:color w:val="auto"/>
              </w:rPr>
              <w:t>Entertainment Motion Picture Film</w:t>
            </w:r>
          </w:p>
        </w:tc>
      </w:tr>
      <w:tr>
        <w:trPr>
          <w:trHeight w:val="444"/>
        </w:trPr>
        <w:tc>
          <w:tcPr>
            <w:tcW w:w="4940" w:type="dxa"/>
            <w:vAlign w:val="bottom"/>
          </w:tcPr>
          <w:p>
            <w:pPr>
              <w:spacing w:after="0"/>
              <w:rPr>
                <w:sz w:val="20"/>
                <w:szCs w:val="20"/>
                <w:color w:val="auto"/>
              </w:rPr>
            </w:pPr>
            <w:r>
              <w:rPr>
                <w:rFonts w:ascii="Arial" w:cs="Arial" w:eastAsia="Arial" w:hAnsi="Arial"/>
                <w:sz w:val="18"/>
                <w:szCs w:val="18"/>
                <w:b w:val="1"/>
                <w:bCs w:val="1"/>
                <w:color w:val="auto"/>
              </w:rPr>
              <w:t>VI  Steps to Improve Due Diligence</w:t>
            </w:r>
          </w:p>
        </w:tc>
        <w:tc>
          <w:tcPr>
            <w:tcW w:w="6080" w:type="dxa"/>
            <w:vAlign w:val="bottom"/>
          </w:tcPr>
          <w:p>
            <w:pPr>
              <w:spacing w:after="0"/>
              <w:rPr>
                <w:sz w:val="24"/>
                <w:szCs w:val="24"/>
                <w:color w:val="auto"/>
              </w:rPr>
            </w:pPr>
          </w:p>
        </w:tc>
      </w:tr>
    </w:tbl>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Kodak will continue to communicate its expectations and information requirements to its direct suppliers. Over time, Kodak anticipates that the amount of information globally on the traceability and sourcing of these ores will only increase and improve Kodak’s knowledge thereby facilitating the Company’s efforts to eliminate (or at least reduce) the potential for Conflict Minerals in its products. When Kodak identifies an upstream supplier that is sourcing from or linked to any party providing direct or indirect support to non-state armed groups, the Company will work with its supply chain to suspend or discontinue engagement with that upstream supplier. Kodak expects its suppliers to take similar measures with their suppliers to ensure alignment throughout the supply chain.</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those steps described above, Kodak will continue to take the following measures during the next compliance period to improve the due diligence conducted to further mitigate the risk that its necessary conflict minerals do not benefit armed groups in the Covered Countries, including:</w:t>
      </w:r>
    </w:p>
    <w:p>
      <w:pPr>
        <w:spacing w:after="0" w:line="169" w:lineRule="exact"/>
        <w:rPr>
          <w:sz w:val="20"/>
          <w:szCs w:val="20"/>
          <w:color w:val="auto"/>
        </w:rPr>
      </w:pPr>
    </w:p>
    <w:p>
      <w:pPr>
        <w:ind w:left="760" w:right="260" w:hanging="378"/>
        <w:spacing w:after="0" w:line="239"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collect responses from suppliers using the CMRT through Kodak’s Conflict Mineral Team. The Team will collect and store CMRTs and supplier data, communicate with our supply chain and provide guidance where necessary. This streamlined approach will roll up our data and validate submitted information if they are complete and valid. Continue to evaluate upstream sources through a broader set of tools to evaluate risk. These include, but are not limited to:</w:t>
      </w:r>
    </w:p>
    <w:p>
      <w:pPr>
        <w:spacing w:after="0" w:line="2"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Using a comprehensive smelter and refiner library with detailed status and notes for each listing;</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Scanning for credible media on each smelter and refiner to flag risk issues; and</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Comparing the list of smelters and refiners against government watch and denied parties lists.</w:t>
      </w:r>
    </w:p>
    <w:p>
      <w:pPr>
        <w:spacing w:after="0" w:line="192" w:lineRule="exact"/>
        <w:rPr>
          <w:rFonts w:ascii="Times New Roman" w:cs="Times New Roman" w:eastAsia="Times New Roman" w:hAnsi="Times New Roman"/>
          <w:sz w:val="18"/>
          <w:szCs w:val="18"/>
          <w:color w:val="auto"/>
        </w:rPr>
      </w:pPr>
    </w:p>
    <w:p>
      <w:pPr>
        <w:ind w:left="760" w:right="700" w:hanging="378"/>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Increase the level of engagement with suppliers to drive greater transparency within Kodak’s supply chain and increase the response rate. Suppliers will be asked to provide information gathered from their suppliers.</w:t>
      </w:r>
    </w:p>
    <w:p>
      <w:pPr>
        <w:spacing w:after="0" w:line="1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Compare and validate RCOI results against information collected by independent conflict-free smelter validation programs.</w:t>
      </w:r>
    </w:p>
    <w:p>
      <w:pPr>
        <w:spacing w:after="0" w:line="210" w:lineRule="exact"/>
        <w:rPr>
          <w:rFonts w:ascii="Times New Roman" w:cs="Times New Roman" w:eastAsia="Times New Roman" w:hAnsi="Times New Roman"/>
          <w:sz w:val="18"/>
          <w:szCs w:val="18"/>
          <w:color w:val="auto"/>
        </w:rPr>
      </w:pPr>
    </w:p>
    <w:p>
      <w:pPr>
        <w:ind w:left="760" w:right="80" w:hanging="378"/>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Inform and encourage suppliers to transition to smelters identified by the due diligence process as “conflict free” by an independent audit program.</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8" w:name="page9"/>
    <w:bookmarkEnd w:id="8"/>
    <w:p>
      <w:pPr>
        <w:ind w:left="380" w:right="20" w:hanging="378"/>
        <w:spacing w:after="0" w:line="270"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Encourage our suppliers to have due diligence procedures in place for their supply chains to improve the content of the responses from such suppliers.</w:t>
      </w:r>
    </w:p>
    <w:p>
      <w:pPr>
        <w:spacing w:after="0" w:line="154" w:lineRule="exact"/>
        <w:rPr>
          <w:rFonts w:ascii="Times New Roman" w:cs="Times New Roman" w:eastAsia="Times New Roman" w:hAnsi="Times New Roman"/>
          <w:sz w:val="18"/>
          <w:szCs w:val="18"/>
          <w:color w:val="auto"/>
        </w:rPr>
      </w:pPr>
    </w:p>
    <w:p>
      <w:pPr>
        <w:ind w:left="380" w:hanging="378"/>
        <w:spacing w:after="0" w:line="270"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include a conflict minerals flow-down clause in new or renewed supplier contracts as well as included in the terms and conditions of each purchase order issued</w:t>
      </w:r>
    </w:p>
    <w:p>
      <w:pPr>
        <w:spacing w:after="0" w:line="14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638810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700" w:top="985"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APPENDIX</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lists the smelters and refiners as reported to Kodak by its suppliers that are known smelters or refiners based on the RMI’s standard smelter reference list as of May 2026 and may have processed the conflict minerals contained in Kodak’s products. This information is as reported by the RMI as of May 8, 2026.</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180" w:type="dxa"/>
            <w:vAlign w:val="bottom"/>
            <w:tcBorders>
              <w:top w:val="single" w:sz="8" w:color="BFBFBF"/>
              <w:left w:val="single" w:sz="8" w:color="BFBFBF"/>
              <w:right w:val="single" w:sz="8" w:color="BFBFBF"/>
            </w:tcBorders>
          </w:tcPr>
          <w:p>
            <w:pPr>
              <w:ind w:left="120"/>
              <w:spacing w:after="0" w:line="201" w:lineRule="exact"/>
              <w:rPr>
                <w:sz w:val="20"/>
                <w:szCs w:val="20"/>
                <w:color w:val="auto"/>
              </w:rPr>
            </w:pPr>
            <w:r>
              <w:rPr>
                <w:rFonts w:ascii="Arial" w:cs="Arial" w:eastAsia="Arial" w:hAnsi="Arial"/>
                <w:sz w:val="18"/>
                <w:szCs w:val="18"/>
                <w:b w:val="1"/>
                <w:bCs w:val="1"/>
                <w:color w:val="auto"/>
              </w:rPr>
              <w:t>Conflict</w:t>
            </w:r>
          </w:p>
        </w:tc>
        <w:tc>
          <w:tcPr>
            <w:tcW w:w="4100" w:type="dxa"/>
            <w:vAlign w:val="bottom"/>
            <w:tcBorders>
              <w:top w:val="single" w:sz="8" w:color="BFBFBF"/>
            </w:tcBorders>
          </w:tcPr>
          <w:p>
            <w:pPr>
              <w:ind w:left="80"/>
              <w:spacing w:after="0" w:line="201" w:lineRule="exact"/>
              <w:rPr>
                <w:sz w:val="20"/>
                <w:szCs w:val="20"/>
                <w:color w:val="auto"/>
              </w:rPr>
            </w:pPr>
            <w:r>
              <w:rPr>
                <w:rFonts w:ascii="Arial" w:cs="Arial" w:eastAsia="Arial" w:hAnsi="Arial"/>
                <w:sz w:val="18"/>
                <w:szCs w:val="18"/>
                <w:b w:val="1"/>
                <w:bCs w:val="1"/>
                <w:color w:val="auto"/>
              </w:rPr>
              <w:t>Smelter</w:t>
            </w:r>
          </w:p>
        </w:tc>
        <w:tc>
          <w:tcPr>
            <w:tcW w:w="1960" w:type="dxa"/>
            <w:vAlign w:val="bottom"/>
            <w:tcBorders>
              <w:top w:val="single" w:sz="8" w:color="BFBFBF"/>
              <w:right w:val="single" w:sz="8" w:color="BFBFBF"/>
            </w:tcBorders>
          </w:tcPr>
          <w:p>
            <w:pPr>
              <w:spacing w:after="0"/>
              <w:rPr>
                <w:sz w:val="17"/>
                <w:szCs w:val="17"/>
                <w:color w:val="auto"/>
              </w:rPr>
            </w:pPr>
          </w:p>
        </w:tc>
        <w:tc>
          <w:tcPr>
            <w:tcW w:w="2580" w:type="dxa"/>
            <w:vAlign w:val="bottom"/>
            <w:tcBorders>
              <w:top w:val="single" w:sz="8" w:color="BFBFBF"/>
              <w:right w:val="single" w:sz="8" w:color="BFBFBF"/>
            </w:tcBorders>
          </w:tcPr>
          <w:p>
            <w:pPr>
              <w:ind w:left="100"/>
              <w:spacing w:after="0" w:line="201" w:lineRule="exact"/>
              <w:rPr>
                <w:sz w:val="20"/>
                <w:szCs w:val="20"/>
                <w:color w:val="auto"/>
              </w:rPr>
            </w:pPr>
            <w:r>
              <w:rPr>
                <w:rFonts w:ascii="Arial" w:cs="Arial" w:eastAsia="Arial" w:hAnsi="Arial"/>
                <w:sz w:val="18"/>
                <w:szCs w:val="18"/>
                <w:b w:val="1"/>
                <w:bCs w:val="1"/>
                <w:color w:val="auto"/>
              </w:rPr>
              <w:t>Country</w:t>
            </w:r>
          </w:p>
        </w:tc>
        <w:tc>
          <w:tcPr>
            <w:tcW w:w="1300" w:type="dxa"/>
            <w:vAlign w:val="bottom"/>
            <w:tcBorders>
              <w:top w:val="single" w:sz="8" w:color="BFBFBF"/>
              <w:right w:val="single" w:sz="8" w:color="BFBFBF"/>
            </w:tcBorders>
          </w:tcPr>
          <w:p>
            <w:pPr>
              <w:ind w:left="100"/>
              <w:spacing w:after="0" w:line="201" w:lineRule="exact"/>
              <w:rPr>
                <w:sz w:val="20"/>
                <w:szCs w:val="20"/>
                <w:color w:val="auto"/>
              </w:rPr>
            </w:pPr>
            <w:r>
              <w:rPr>
                <w:rFonts w:ascii="Arial" w:cs="Arial" w:eastAsia="Arial" w:hAnsi="Arial"/>
                <w:sz w:val="18"/>
                <w:szCs w:val="18"/>
                <w:b w:val="1"/>
                <w:bCs w:val="1"/>
                <w:color w:val="auto"/>
              </w:rPr>
              <w:t>CID</w:t>
            </w:r>
          </w:p>
        </w:tc>
        <w:tc>
          <w:tcPr>
            <w:tcW w:w="120" w:type="dxa"/>
            <w:vAlign w:val="bottom"/>
          </w:tcPr>
          <w:p>
            <w:pPr>
              <w:spacing w:after="0"/>
              <w:rPr>
                <w:sz w:val="17"/>
                <w:szCs w:val="17"/>
                <w:color w:val="auto"/>
              </w:rPr>
            </w:pPr>
          </w:p>
        </w:tc>
      </w:tr>
      <w:tr>
        <w:trPr>
          <w:trHeight w:val="243"/>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Mineral</w:t>
            </w:r>
          </w:p>
        </w:tc>
        <w:tc>
          <w:tcPr>
            <w:tcW w:w="4100" w:type="dxa"/>
            <w:vAlign w:val="bottom"/>
            <w:tcBorders>
              <w:bottom w:val="single" w:sz="8" w:color="BFBFBF"/>
            </w:tcBorders>
          </w:tcPr>
          <w:p>
            <w:pPr>
              <w:spacing w:after="0"/>
              <w:rPr>
                <w:sz w:val="20"/>
                <w:szCs w:val="20"/>
                <w:color w:val="auto"/>
              </w:rPr>
            </w:pPr>
          </w:p>
        </w:tc>
        <w:tc>
          <w:tcPr>
            <w:tcW w:w="1960" w:type="dxa"/>
            <w:vAlign w:val="bottom"/>
            <w:tcBorders>
              <w:bottom w:val="single" w:sz="8" w:color="BFBFBF"/>
              <w:right w:val="single" w:sz="8" w:color="BFBFBF"/>
            </w:tcBorders>
          </w:tcPr>
          <w:p>
            <w:pPr>
              <w:spacing w:after="0"/>
              <w:rPr>
                <w:sz w:val="20"/>
                <w:szCs w:val="20"/>
                <w:color w:val="auto"/>
              </w:rPr>
            </w:pPr>
          </w:p>
        </w:tc>
        <w:tc>
          <w:tcPr>
            <w:tcW w:w="2580" w:type="dxa"/>
            <w:vAlign w:val="bottom"/>
            <w:tcBorders>
              <w:bottom w:val="single" w:sz="8" w:color="BFBFBF"/>
              <w:right w:val="single" w:sz="8" w:color="BFBFBF"/>
            </w:tcBorders>
          </w:tcPr>
          <w:p>
            <w:pPr>
              <w:spacing w:after="0"/>
              <w:rPr>
                <w:sz w:val="20"/>
                <w:szCs w:val="20"/>
                <w:color w:val="auto"/>
              </w:rPr>
            </w:pPr>
          </w:p>
        </w:tc>
        <w:tc>
          <w:tcPr>
            <w:tcW w:w="1300" w:type="dxa"/>
            <w:vAlign w:val="bottom"/>
            <w:tcBorders>
              <w:bottom w:val="single" w:sz="8" w:color="BFBFBF"/>
              <w:right w:val="single" w:sz="8" w:color="BFBFBF"/>
            </w:tcBorders>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1180" w:type="dxa"/>
            <w:vAlign w:val="bottom"/>
            <w:tcBorders>
              <w:top w:val="single" w:sz="8" w:color="BFBFBF"/>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top w:val="single" w:sz="8" w:color="F2F2F2"/>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Agosi AG</w:t>
            </w:r>
          </w:p>
        </w:tc>
        <w:tc>
          <w:tcPr>
            <w:tcW w:w="1960" w:type="dxa"/>
            <w:vAlign w:val="bottom"/>
            <w:tcBorders>
              <w:top w:val="single" w:sz="8" w:color="F2F2F2"/>
              <w:bottom w:val="single" w:sz="8" w:color="BFBFBF"/>
              <w:right w:val="single" w:sz="8" w:color="BFBFBF"/>
            </w:tcBorders>
            <w:shd w:val="clear" w:color="auto" w:fill="F2F2F2"/>
          </w:tcPr>
          <w:p>
            <w:pPr>
              <w:spacing w:after="0"/>
              <w:rPr>
                <w:sz w:val="20"/>
                <w:szCs w:val="20"/>
                <w:color w:val="auto"/>
              </w:rPr>
            </w:pPr>
          </w:p>
        </w:tc>
        <w:tc>
          <w:tcPr>
            <w:tcW w:w="2580" w:type="dxa"/>
            <w:vAlign w:val="bottom"/>
            <w:tcBorders>
              <w:top w:val="single" w:sz="8" w:color="F2F2F2"/>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Germany</w:t>
            </w:r>
          </w:p>
        </w:tc>
        <w:tc>
          <w:tcPr>
            <w:tcW w:w="1300" w:type="dxa"/>
            <w:vAlign w:val="bottom"/>
            <w:tcBorders>
              <w:top w:val="single" w:sz="8" w:color="F2F2F2"/>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CID000035</w:t>
            </w:r>
          </w:p>
        </w:tc>
        <w:tc>
          <w:tcPr>
            <w:tcW w:w="120" w:type="dxa"/>
            <w:vAlign w:val="bottom"/>
          </w:tcPr>
          <w:p>
            <w:pPr>
              <w:spacing w:after="0"/>
              <w:rPr>
                <w:sz w:val="20"/>
                <w:szCs w:val="20"/>
                <w:color w:val="auto"/>
              </w:rPr>
            </w:pPr>
          </w:p>
        </w:tc>
      </w:tr>
      <w:tr>
        <w:trPr>
          <w:trHeight w:val="248"/>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Aida Chemical Industries Co., Ltd.</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CID000019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AngloGold Ashanti Corrego do Sitio Mineracao</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CID000058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Argor-Heraeus S.A.</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Switzerland</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CID000077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ASAHI METALFINE, Inc.</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CID000082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Asahi Refining Canada Ltd.</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Canada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CID000924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Asahi Refining USA Inc.</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CID000920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Asaka Riken Co., Ltd.</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CID000090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Aurubis AG, Hamburg</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Germany</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CID000113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Boliden Mineral AB (Ronnskar)</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Sweden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CID000157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C. Hafner GmbH + Co. KG</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Germany</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CID000176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Chimet S.p.A.</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Italy</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CID000233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Dowa</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CID000401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Eco-System Recycling Co., Ltd. East Plant</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CID000425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Glencore Canada Corporation - CCR Refinery</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Canada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CID000185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Heimerle + Meule GmbH</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Germany</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CID000694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Heraeus Germany GmbH Co. KG</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Germany</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CID000711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Heraeus Metals Hong Kong Ltd.</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Hong Kong</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CID000707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Ishifuku Metal Industry Co., Ltd.</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CID000807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Istanbul Gold Refinery</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Turkey</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CID000814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JX Advanced Metals Corporation</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CID000937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Kojima Chemicals Co., Ltd.</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CID000981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LS MnM Inc.</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KOREA, REPUBLIC OF</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CID001078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Materion</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CID001113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Matsuda Sangyo Co., Ltd.</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CID001119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Metalor Technologies (Hong Kong) Ltd.</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CID001149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Metalor Technologies (Singapore) Pte., Ltd.</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Singapore</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CID001152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Metalor Technologies (Suzhou) Ltd.</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CID001147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Metalor Technologies S.A.</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Switzerland</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CID001153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Metalor USA Refining Corporation</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CID001157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Metalurgica Met-Mex Penoles S.A. De C.V.</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Mexico</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CID001161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Mitsubishi Materials Corporation</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CID001188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Mitsui Mining and Smelting Co., Ltd.</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CID001193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MKS PAMP SA</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Switzerland</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CID001352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Nihon Material Co., Ltd.</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CID001259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tcPr>
          <w:p>
            <w:pPr>
              <w:ind w:left="80"/>
              <w:spacing w:after="0"/>
              <w:rPr>
                <w:sz w:val="20"/>
                <w:szCs w:val="20"/>
                <w:color w:val="auto"/>
              </w:rPr>
            </w:pPr>
            <w:r>
              <w:rPr>
                <w:rFonts w:ascii="Arial" w:cs="Arial" w:eastAsia="Arial" w:hAnsi="Arial"/>
                <w:sz w:val="18"/>
                <w:szCs w:val="18"/>
                <w:color w:val="auto"/>
              </w:rPr>
              <w:t>Ohura Precious Metal Industry Co., Ltd.</w:t>
            </w:r>
          </w:p>
        </w:tc>
        <w:tc>
          <w:tcPr>
            <w:tcW w:w="1960" w:type="dxa"/>
            <w:vAlign w:val="bottom"/>
            <w:tcBorders>
              <w:bottom w:val="single" w:sz="8" w:color="BFBFBF"/>
              <w:right w:val="single" w:sz="8" w:color="BFBFBF"/>
            </w:tcBorders>
          </w:tcPr>
          <w:p>
            <w:pPr>
              <w:spacing w:after="0"/>
              <w:rPr>
                <w:sz w:val="21"/>
                <w:szCs w:val="21"/>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CID001325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4100" w:type="dxa"/>
            <w:vAlign w:val="bottom"/>
            <w:tcBorders>
              <w:bottom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Rand Refinery (Pty) Ltd.</w:t>
            </w:r>
          </w:p>
        </w:tc>
        <w:tc>
          <w:tcPr>
            <w:tcW w:w="1960" w:type="dxa"/>
            <w:vAlign w:val="bottom"/>
            <w:tcBorders>
              <w:bottom w:val="single" w:sz="8" w:color="BFBFBF"/>
              <w:right w:val="single" w:sz="8" w:color="BFBFBF"/>
            </w:tcBorders>
            <w:shd w:val="clear" w:color="auto" w:fill="F2F2F2"/>
          </w:tcPr>
          <w:p>
            <w:pPr>
              <w:spacing w:after="0"/>
              <w:rPr>
                <w:sz w:val="21"/>
                <w:szCs w:val="21"/>
                <w:color w:val="auto"/>
              </w:rPr>
            </w:pP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South Africa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CID001512</w:t>
            </w:r>
          </w:p>
        </w:tc>
        <w:tc>
          <w:tcPr>
            <w:tcW w:w="120" w:type="dxa"/>
            <w:vAlign w:val="bottom"/>
          </w:tcPr>
          <w:p>
            <w:pPr>
              <w:spacing w:after="0"/>
              <w:rPr>
                <w:sz w:val="21"/>
                <w:szCs w:val="21"/>
                <w:color w:val="auto"/>
              </w:rPr>
            </w:pPr>
          </w:p>
        </w:tc>
      </w:tr>
      <w:tr>
        <w:trPr>
          <w:trHeight w:val="233"/>
        </w:trPr>
        <w:tc>
          <w:tcPr>
            <w:tcW w:w="11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96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8</w:t>
            </w: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988"/>
        </w:trPr>
        <w:tc>
          <w:tcPr>
            <w:tcW w:w="11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81"/>
        </w:trPr>
        <w:tc>
          <w:tcPr>
            <w:tcW w:w="1180" w:type="dxa"/>
            <w:vAlign w:val="bottom"/>
            <w:tcBorders>
              <w:top w:val="single" w:sz="8" w:color="BFBFBF"/>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top w:val="single" w:sz="8" w:color="BFBFBF"/>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Royal Canadian Mint</w:t>
            </w:r>
          </w:p>
        </w:tc>
        <w:tc>
          <w:tcPr>
            <w:tcW w:w="2580" w:type="dxa"/>
            <w:vAlign w:val="bottom"/>
            <w:tcBorders>
              <w:top w:val="single" w:sz="8" w:color="BFBFBF"/>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Canada</w:t>
            </w:r>
          </w:p>
        </w:tc>
        <w:tc>
          <w:tcPr>
            <w:tcW w:w="1300" w:type="dxa"/>
            <w:vAlign w:val="bottom"/>
            <w:tcBorders>
              <w:top w:val="single" w:sz="8" w:color="BFBFBF"/>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CID001534</w:t>
            </w:r>
          </w:p>
        </w:tc>
        <w:tc>
          <w:tcPr>
            <w:tcW w:w="120" w:type="dxa"/>
            <w:vAlign w:val="bottom"/>
          </w:tcPr>
          <w:p>
            <w:pPr>
              <w:spacing w:after="0"/>
              <w:rPr>
                <w:sz w:val="24"/>
                <w:szCs w:val="24"/>
                <w:color w:val="auto"/>
              </w:rPr>
            </w:pPr>
          </w:p>
        </w:tc>
      </w:tr>
      <w:tr>
        <w:trPr>
          <w:trHeight w:val="230"/>
        </w:trPr>
        <w:tc>
          <w:tcPr>
            <w:tcW w:w="1180" w:type="dxa"/>
            <w:vAlign w:val="bottom"/>
            <w:tcBorders>
              <w:top w:val="single" w:sz="8" w:color="BFBFBF"/>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top w:val="single" w:sz="8" w:color="F2F2F2"/>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SEMPSA Joyeria Plateria S.A.</w:t>
            </w:r>
          </w:p>
        </w:tc>
        <w:tc>
          <w:tcPr>
            <w:tcW w:w="2580" w:type="dxa"/>
            <w:vAlign w:val="bottom"/>
            <w:tcBorders>
              <w:top w:val="single" w:sz="8" w:color="F2F2F2"/>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Spain</w:t>
            </w:r>
          </w:p>
        </w:tc>
        <w:tc>
          <w:tcPr>
            <w:tcW w:w="1300" w:type="dxa"/>
            <w:vAlign w:val="bottom"/>
            <w:tcBorders>
              <w:top w:val="single" w:sz="8" w:color="F2F2F2"/>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CID001585</w:t>
            </w:r>
          </w:p>
        </w:tc>
        <w:tc>
          <w:tcPr>
            <w:tcW w:w="120" w:type="dxa"/>
            <w:vAlign w:val="bottom"/>
          </w:tcPr>
          <w:p>
            <w:pPr>
              <w:spacing w:after="0"/>
              <w:rPr>
                <w:sz w:val="20"/>
                <w:szCs w:val="20"/>
                <w:color w:val="auto"/>
              </w:rPr>
            </w:pPr>
          </w:p>
        </w:tc>
      </w:tr>
      <w:tr>
        <w:trPr>
          <w:trHeight w:val="248"/>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Solar Applied Materials Technology Corp.</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Taiwan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CID001761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Sumitomo Metal Mining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CID001798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Tanaka Kikinzoku Kogyo K.K.</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CID001875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Tokuriki Honten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CID001938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Umicore S.A. Business Unit Precious Metals Refining</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Belgium</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CID001980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United Precious Metal Refining, Inc.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CID001993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WIELAND Edelmetalle GmbH</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Germany</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CID002778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Abington Reldan Metals, LLC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CID002708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Advanced Chemical Company</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CID000015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Almalyk Mining and Metallurgical Complex (AMMC)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Uzbekistan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CID000041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Bangalore Refinery</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CID002863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Bangko Sentral ng Pilipinas (Central Bank of the Philippines)</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Philippines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CID000128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Chugai Mining</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CID000264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Coimpa Industrial LTDA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CID004010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DSC (Do Sung Corporation)</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KOREA, REPUBLIC OF</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CID000359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Eco-System Recycling Co., Ltd. North Plant</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CID003424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Eco-System Recycling Co., Ltd. West Plant</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CID003425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Elite Industech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Taiwan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CID004755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GG Refinery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Tanzania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CID004506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Gold by Gold Colombia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Colombia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CID003641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Gold Corporation - The Perth Mint</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Australia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CID002030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Impala Platinum - Platinum Metals Refinery (PMR)</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South Africa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CID004714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Inner Mongolia Qiankun Gold and Silver Refinery Share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CID000801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Italpreziosi</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Italy</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CID002765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Japan Mint</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CID000823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Jiangxi Copper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CID000855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Kazzinc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Kazakhstan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CID000957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Kennecott Utah Copper LLC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CID000969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KGHM Polska Miedz Spolka Akcyjna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Poland</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CID002511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Korea Zinc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KOREA, REPUBLIC OF</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CID002605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LT Metal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KOREA, REPUBLIC OF</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CID000689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Metal Concentrators SA (Pty)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South Africa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CID003575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Minera Titan del Peru SRL (MTP) - Belen Plant</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Peru</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CID005014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MMTC-PAMP India Pvt.,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CID002509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Nadir Metal Rafineri San. Ve Tic. A.S.</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Turkey</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CID001220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Navoi Mining and Metallurgical Combinat</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Uzbekistan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CID001236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NH Recytech Company</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KOREA, REPUBLIC OF</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CID003189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Oegussa Oesterreichische Gold- und Silber-Scheideanstalt Gesm.b.H.</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Austria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CID002779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Planta Recuperadora de Metales SpA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Chile</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CID002919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Aneka Tambang (Persero) Tbk</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CID001397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PX Precinox S.A.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Switzerland</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CID001498</w:t>
            </w:r>
          </w:p>
        </w:tc>
        <w:tc>
          <w:tcPr>
            <w:tcW w:w="120" w:type="dxa"/>
            <w:vAlign w:val="bottom"/>
          </w:tcPr>
          <w:p>
            <w:pPr>
              <w:spacing w:after="0"/>
              <w:rPr>
                <w:sz w:val="21"/>
                <w:szCs w:val="21"/>
                <w:color w:val="auto"/>
              </w:rPr>
            </w:pPr>
          </w:p>
        </w:tc>
      </w:tr>
      <w:tr>
        <w:trPr>
          <w:trHeight w:val="233"/>
        </w:trPr>
        <w:tc>
          <w:tcPr>
            <w:tcW w:w="1180" w:type="dxa"/>
            <w:vAlign w:val="bottom"/>
          </w:tcPr>
          <w:p>
            <w:pPr>
              <w:spacing w:after="0"/>
              <w:rPr>
                <w:sz w:val="20"/>
                <w:szCs w:val="20"/>
                <w:color w:val="auto"/>
              </w:rPr>
            </w:pPr>
          </w:p>
        </w:tc>
        <w:tc>
          <w:tcPr>
            <w:tcW w:w="606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9</w:t>
            </w: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988"/>
        </w:trPr>
        <w:tc>
          <w:tcPr>
            <w:tcW w:w="11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76"/>
        </w:trPr>
        <w:tc>
          <w:tcPr>
            <w:tcW w:w="1180" w:type="dxa"/>
            <w:vAlign w:val="bottom"/>
            <w:tcBorders>
              <w:top w:val="single" w:sz="8" w:color="BFBFBF"/>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top w:val="single" w:sz="8" w:color="BFBFBF"/>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REMONDIS PMR B.V.</w:t>
            </w:r>
          </w:p>
        </w:tc>
        <w:tc>
          <w:tcPr>
            <w:tcW w:w="2580" w:type="dxa"/>
            <w:vAlign w:val="bottom"/>
            <w:tcBorders>
              <w:top w:val="single" w:sz="8" w:color="BFBFBF"/>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Netherlands</w:t>
            </w:r>
          </w:p>
        </w:tc>
        <w:tc>
          <w:tcPr>
            <w:tcW w:w="1300" w:type="dxa"/>
            <w:vAlign w:val="bottom"/>
            <w:tcBorders>
              <w:top w:val="single" w:sz="8" w:color="BFBFBF"/>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CID002582</w:t>
            </w:r>
          </w:p>
        </w:tc>
        <w:tc>
          <w:tcPr>
            <w:tcW w:w="120" w:type="dxa"/>
            <w:vAlign w:val="bottom"/>
          </w:tcPr>
          <w:p>
            <w:pPr>
              <w:spacing w:after="0"/>
              <w:rPr>
                <w:sz w:val="24"/>
                <w:szCs w:val="24"/>
                <w:color w:val="auto"/>
              </w:rPr>
            </w:pPr>
          </w:p>
        </w:tc>
      </w:tr>
      <w:tr>
        <w:trPr>
          <w:trHeight w:val="23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SAFINA A.S.</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Czech Republic</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CID002290</w:t>
            </w:r>
          </w:p>
        </w:tc>
        <w:tc>
          <w:tcPr>
            <w:tcW w:w="120" w:type="dxa"/>
            <w:vAlign w:val="bottom"/>
          </w:tcPr>
          <w:p>
            <w:pPr>
              <w:spacing w:after="0"/>
              <w:rPr>
                <w:sz w:val="20"/>
                <w:szCs w:val="20"/>
                <w:color w:val="auto"/>
              </w:rPr>
            </w:pPr>
          </w:p>
        </w:tc>
      </w:tr>
      <w:tr>
        <w:trPr>
          <w:trHeight w:val="248"/>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Shandong Gold Smelting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CID001916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Shandong Zhaojin Gold &amp; Silver Refinery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CID001622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Sichuan Tianze Precious Metals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CID001736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SungEel HiMetal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KOREA, REPUBLIC OF</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CID002918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T.C.A S.p.A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Italy</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CID002580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TOO Tau-Ken-Altyn</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Kazakhstan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CID002615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Valcambi S.A.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Switzerland</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CID002003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Yamakin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CID002100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Yokohama Metal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CID002129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Zhongyuan Gold Smelter of Zhongjin Gold Corporation</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CID002224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Zijin Mining Group Gold Smelting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CID002243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Impala Platinum - Base Metal Refinery (BMR)</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South Africa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CID004604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Impala Platinum - Rustenburg Smelter</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South Africa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CID004610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SOLEIL METALS (Chala One Plant)</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Peru</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CID004704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SOLEIL METALS (YAKARI Plant)</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Peru</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CID004705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8853 S.p.A.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Italy</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CID002763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ABC Refinery Pty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Australia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CID002920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African Gold Refinery*</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Uganda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CID003185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Al Etihad Gold Refinery DMCC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Arab Emirates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CID002560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Albino Mountinho Lda.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Portugal</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CID002760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Alexy Metals</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CID003500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Atasay Kuyumculuk Sanayi Ve Ticaret A.S.</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Turkey</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CID000103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Attero Recycling Pvt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CID004697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AU Traders and Refiners</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South Africa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CID002850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Augmont Enterprises Private Limited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CID003461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Caridad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Mexico</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CID000180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Cendres + Metaux S.A.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Switzerland</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CID000189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CGR Metalloys Pvt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CID003382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Daye Non-Ferrous Metals Mining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CID000343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Degussa Sonne / Mond Goldhandel GmbH</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Germany</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CID002867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Dijllah Gold Refinery FZC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Arab Emirates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CID003348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Dongwu Gold Group</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CID003663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Emerald Jewel Industry India Limited (Unit 1)</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CID003487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Emerald Jewel Industry India Limited (Unit 2)</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CID003488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Emerald Jewel Industry India Limited (Unit 3)</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CID003489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Emerald Jewel Industry India Limited (Unit 4)</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CID003490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Emirates Gold DMCC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Arab Emirates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CID002561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Fidelity Printers and Refiners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Zimbabwe</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CID002515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Fujairah Gold FZC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Arab Emirates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CID002584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GGC Gujrat Gold Centre Pvt.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CID002852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Gold Coast Refinery</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Ghana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CID003186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Great Wall Precious Metals Co., Ltd. of CBPM</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CID001909</w:t>
            </w:r>
          </w:p>
        </w:tc>
        <w:tc>
          <w:tcPr>
            <w:tcW w:w="120" w:type="dxa"/>
            <w:vAlign w:val="bottom"/>
          </w:tcPr>
          <w:p>
            <w:pPr>
              <w:spacing w:after="0"/>
              <w:rPr>
                <w:sz w:val="21"/>
                <w:szCs w:val="21"/>
                <w:color w:val="auto"/>
              </w:rPr>
            </w:pPr>
          </w:p>
        </w:tc>
      </w:tr>
      <w:tr>
        <w:trPr>
          <w:trHeight w:val="233"/>
        </w:trPr>
        <w:tc>
          <w:tcPr>
            <w:tcW w:w="1180" w:type="dxa"/>
            <w:vAlign w:val="bottom"/>
          </w:tcPr>
          <w:p>
            <w:pPr>
              <w:spacing w:after="0"/>
              <w:rPr>
                <w:sz w:val="20"/>
                <w:szCs w:val="20"/>
                <w:color w:val="auto"/>
              </w:rPr>
            </w:pPr>
          </w:p>
        </w:tc>
        <w:tc>
          <w:tcPr>
            <w:tcW w:w="60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10</w:t>
            </w: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988"/>
        </w:trPr>
        <w:tc>
          <w:tcPr>
            <w:tcW w:w="11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77"/>
        </w:trPr>
        <w:tc>
          <w:tcPr>
            <w:tcW w:w="1180" w:type="dxa"/>
            <w:vAlign w:val="bottom"/>
            <w:tcBorders>
              <w:top w:val="single" w:sz="8" w:color="BFBFBF"/>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top w:val="single" w:sz="8" w:color="BFBFBF"/>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Guangdong Jinding Gold Limited</w:t>
            </w:r>
          </w:p>
        </w:tc>
        <w:tc>
          <w:tcPr>
            <w:tcW w:w="2580" w:type="dxa"/>
            <w:vAlign w:val="bottom"/>
            <w:tcBorders>
              <w:top w:val="single" w:sz="8" w:color="BFBFBF"/>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top w:val="single" w:sz="8" w:color="BFBFBF"/>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CID002312</w:t>
            </w:r>
          </w:p>
        </w:tc>
        <w:tc>
          <w:tcPr>
            <w:tcW w:w="120" w:type="dxa"/>
            <w:vAlign w:val="bottom"/>
          </w:tcPr>
          <w:p>
            <w:pPr>
              <w:spacing w:after="0"/>
              <w:rPr>
                <w:sz w:val="24"/>
                <w:szCs w:val="24"/>
                <w:color w:val="auto"/>
              </w:rPr>
            </w:pPr>
          </w:p>
        </w:tc>
      </w:tr>
      <w:tr>
        <w:trPr>
          <w:trHeight w:val="23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Guoda Safina High-Tech Environmental Refinery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CID000651</w:t>
            </w:r>
          </w:p>
        </w:tc>
        <w:tc>
          <w:tcPr>
            <w:tcW w:w="120" w:type="dxa"/>
            <w:vAlign w:val="bottom"/>
          </w:tcPr>
          <w:p>
            <w:pPr>
              <w:spacing w:after="0"/>
              <w:rPr>
                <w:sz w:val="20"/>
                <w:szCs w:val="20"/>
                <w:color w:val="auto"/>
              </w:rPr>
            </w:pPr>
          </w:p>
        </w:tc>
      </w:tr>
      <w:tr>
        <w:trPr>
          <w:trHeight w:val="248"/>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Hangzhou Fuchunjiang Smelting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CID000671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Hunan Chenzhou Mining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CID000767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Hunan Guiyang yinxing Nonferrous Smelting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CID000773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HwaSeong CJ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KOREA, REPUBLIC OF</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CID000778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Industrial Refining Company</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Belgium</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CID002587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International Precious Metal Refiners</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Arab Emirates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CID002562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JALAN &amp; Company</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CID002893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JSC Ekaterinburg Non-Ferrous Metal Processing Plant</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CID000927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JSC Novosibirsk Refinery</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CID000493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JSC Uralelectromed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CID000929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K.A. Rasmussen</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Norway</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CID003497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Kaloti Precious Metals</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Arab Emirates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CID002563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Kazakhmys Smelting LLC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Kazakhstan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CID000956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Kundan Care Products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CID003463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Kyrgyzaltyn JSC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Kyrgyzstan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CID001029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Kyshtym Copper-Electrolytic Plant ZAO</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CID002865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L'azurde Company For Jewelry</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Saudi Arabia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CID001032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Lingbao Gold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CID001056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Lingbao Jinyuan Tonghui Refinery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CID001058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L'Orfebre S.A.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Andorra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CID002762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Luoyang Zijin Yinhui Gold Refinery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CID001093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Marsam Metals</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CID002606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MD Overseas</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CID003548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Metallix Refining Inc.</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CID003557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Modeltech Sdn Bhd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Malaysia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CID002857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Morris and Watson</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New Zealand</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CID002282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Moscow Special Alloys Processing Plant</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CID001204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NOBLE METAL SERVICES</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CID003690</w:t>
            </w:r>
          </w:p>
        </w:tc>
        <w:tc>
          <w:tcPr>
            <w:tcW w:w="120" w:type="dxa"/>
            <w:vAlign w:val="bottom"/>
          </w:tcPr>
          <w:p>
            <w:pPr>
              <w:spacing w:after="0"/>
              <w:rPr>
                <w:sz w:val="21"/>
                <w:szCs w:val="21"/>
                <w:color w:val="auto"/>
              </w:rPr>
            </w:pPr>
          </w:p>
        </w:tc>
      </w:tr>
      <w:tr>
        <w:trPr>
          <w:trHeight w:val="182"/>
        </w:trPr>
        <w:tc>
          <w:tcPr>
            <w:tcW w:w="1180" w:type="dxa"/>
            <w:vAlign w:val="bottom"/>
            <w:tcBorders>
              <w:left w:val="single" w:sz="8" w:color="BFBFBF"/>
              <w:right w:val="single" w:sz="8" w:color="BFBFBF"/>
            </w:tcBorders>
            <w:shd w:val="clear" w:color="auto" w:fill="F2F2F2"/>
          </w:tcPr>
          <w:p>
            <w:pPr>
              <w:ind w:left="120"/>
              <w:spacing w:after="0" w:line="182" w:lineRule="exact"/>
              <w:rPr>
                <w:sz w:val="20"/>
                <w:szCs w:val="20"/>
                <w:color w:val="auto"/>
              </w:rPr>
            </w:pPr>
            <w:r>
              <w:rPr>
                <w:rFonts w:ascii="Arial" w:cs="Arial" w:eastAsia="Arial" w:hAnsi="Arial"/>
                <w:sz w:val="18"/>
                <w:szCs w:val="18"/>
                <w:b w:val="1"/>
                <w:bCs w:val="1"/>
                <w:color w:val="auto"/>
              </w:rPr>
              <w:t>Gold</w:t>
            </w:r>
          </w:p>
        </w:tc>
        <w:tc>
          <w:tcPr>
            <w:tcW w:w="6060" w:type="dxa"/>
            <w:vAlign w:val="bottom"/>
            <w:tcBorders>
              <w:right w:val="single" w:sz="8" w:color="BFBFBF"/>
            </w:tcBorders>
            <w:shd w:val="clear" w:color="auto" w:fill="F2F2F2"/>
          </w:tcPr>
          <w:p>
            <w:pPr>
              <w:ind w:left="80"/>
              <w:spacing w:after="0" w:line="182" w:lineRule="exact"/>
              <w:rPr>
                <w:sz w:val="20"/>
                <w:szCs w:val="20"/>
                <w:color w:val="auto"/>
              </w:rPr>
            </w:pPr>
            <w:r>
              <w:rPr>
                <w:rFonts w:ascii="Arial" w:cs="Arial" w:eastAsia="Arial" w:hAnsi="Arial"/>
                <w:sz w:val="18"/>
                <w:szCs w:val="18"/>
                <w:color w:val="auto"/>
              </w:rPr>
              <w:t>OJSC "The Gulidov Krasnoyarsk Non-Ferrous Metals Plant" (OJSC</w:t>
            </w:r>
          </w:p>
        </w:tc>
        <w:tc>
          <w:tcPr>
            <w:tcW w:w="2580" w:type="dxa"/>
            <w:vAlign w:val="bottom"/>
            <w:tcBorders>
              <w:right w:val="single" w:sz="8" w:color="BFBFBF"/>
            </w:tcBorders>
            <w:shd w:val="clear" w:color="auto" w:fill="F2F2F2"/>
          </w:tcPr>
          <w:p>
            <w:pPr>
              <w:ind w:left="100"/>
              <w:spacing w:after="0" w:line="182" w:lineRule="exact"/>
              <w:rPr>
                <w:sz w:val="20"/>
                <w:szCs w:val="20"/>
                <w:color w:val="auto"/>
              </w:rPr>
            </w:pPr>
            <w:r>
              <w:rPr>
                <w:rFonts w:ascii="Arial" w:cs="Arial" w:eastAsia="Arial" w:hAnsi="Arial"/>
                <w:sz w:val="18"/>
                <w:szCs w:val="18"/>
                <w:color w:val="auto"/>
              </w:rPr>
              <w:t>Russian Federation</w:t>
            </w:r>
          </w:p>
        </w:tc>
        <w:tc>
          <w:tcPr>
            <w:tcW w:w="1300" w:type="dxa"/>
            <w:vAlign w:val="bottom"/>
            <w:tcBorders>
              <w:right w:val="single" w:sz="8" w:color="BFBFBF"/>
            </w:tcBorders>
            <w:shd w:val="clear" w:color="auto" w:fill="F2F2F2"/>
          </w:tcPr>
          <w:p>
            <w:pPr>
              <w:ind w:left="100"/>
              <w:spacing w:after="0" w:line="182" w:lineRule="exact"/>
              <w:rPr>
                <w:sz w:val="20"/>
                <w:szCs w:val="20"/>
                <w:color w:val="auto"/>
              </w:rPr>
            </w:pPr>
            <w:r>
              <w:rPr>
                <w:rFonts w:ascii="Arial" w:cs="Arial" w:eastAsia="Arial" w:hAnsi="Arial"/>
                <w:sz w:val="18"/>
                <w:szCs w:val="18"/>
                <w:color w:val="auto"/>
              </w:rPr>
              <w:t>CID001326</w:t>
            </w:r>
          </w:p>
        </w:tc>
        <w:tc>
          <w:tcPr>
            <w:tcW w:w="120" w:type="dxa"/>
            <w:vAlign w:val="bottom"/>
          </w:tcPr>
          <w:p>
            <w:pPr>
              <w:spacing w:after="0"/>
              <w:rPr>
                <w:sz w:val="15"/>
                <w:szCs w:val="15"/>
                <w:color w:val="auto"/>
              </w:rPr>
            </w:pPr>
          </w:p>
        </w:tc>
      </w:tr>
      <w:tr>
        <w:trPr>
          <w:trHeight w:val="221"/>
        </w:trPr>
        <w:tc>
          <w:tcPr>
            <w:tcW w:w="1180" w:type="dxa"/>
            <w:vAlign w:val="bottom"/>
            <w:tcBorders>
              <w:left w:val="single" w:sz="8" w:color="BFBFBF"/>
              <w:bottom w:val="single" w:sz="8" w:color="BFBFBF"/>
              <w:right w:val="single" w:sz="8" w:color="BFBFBF"/>
            </w:tcBorders>
            <w:shd w:val="clear" w:color="auto" w:fill="F2F2F2"/>
          </w:tcPr>
          <w:p>
            <w:pPr>
              <w:spacing w:after="0"/>
              <w:rPr>
                <w:sz w:val="19"/>
                <w:szCs w:val="19"/>
                <w:color w:val="auto"/>
              </w:rPr>
            </w:pP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Krastsvetmet)</w:t>
            </w:r>
          </w:p>
        </w:tc>
        <w:tc>
          <w:tcPr>
            <w:tcW w:w="2580" w:type="dxa"/>
            <w:vAlign w:val="bottom"/>
            <w:tcBorders>
              <w:bottom w:val="single" w:sz="8" w:color="BFBFBF"/>
              <w:right w:val="single" w:sz="8" w:color="BFBFBF"/>
            </w:tcBorders>
            <w:shd w:val="clear" w:color="auto" w:fill="F2F2F2"/>
          </w:tcPr>
          <w:p>
            <w:pPr>
              <w:spacing w:after="0"/>
              <w:rPr>
                <w:sz w:val="19"/>
                <w:szCs w:val="19"/>
                <w:color w:val="auto"/>
              </w:rPr>
            </w:pPr>
          </w:p>
        </w:tc>
        <w:tc>
          <w:tcPr>
            <w:tcW w:w="1300" w:type="dxa"/>
            <w:vAlign w:val="bottom"/>
            <w:tcBorders>
              <w:bottom w:val="single" w:sz="8" w:color="BFBFBF"/>
              <w:right w:val="single" w:sz="8" w:color="BFBFBF"/>
            </w:tcBorders>
            <w:shd w:val="clear" w:color="auto" w:fill="F2F2F2"/>
          </w:tcPr>
          <w:p>
            <w:pPr>
              <w:spacing w:after="0"/>
              <w:rPr>
                <w:sz w:val="19"/>
                <w:szCs w:val="19"/>
                <w:color w:val="auto"/>
              </w:rPr>
            </w:pPr>
          </w:p>
        </w:tc>
        <w:tc>
          <w:tcPr>
            <w:tcW w:w="120" w:type="dxa"/>
            <w:vAlign w:val="bottom"/>
          </w:tcPr>
          <w:p>
            <w:pPr>
              <w:spacing w:after="0"/>
              <w:rPr>
                <w:sz w:val="19"/>
                <w:szCs w:val="19"/>
                <w:color w:val="auto"/>
              </w:rPr>
            </w:pPr>
          </w:p>
        </w:tc>
      </w:tr>
      <w:tr>
        <w:trPr>
          <w:trHeight w:val="245"/>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Pease &amp; Curren</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CID002872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Penglai Penggang Gold Industry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CID001362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Prioksky Plant of Non-Ferrous Metals</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CID001386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QG Refining, LLC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CID003324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Refinery of Seemine Gold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CID000522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SAAMP</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France</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CID002761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Sabin Metal Corp.</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CID001546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Safimet S.p.A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Italy</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CID002973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Sai Refinery</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CID002853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SAM Precious Metals FZ-LLC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Arab Emirates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CID003666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Samduck Precious Metals</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KOREA, REPUBLIC OF</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CID001555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Samwon Metals Corp.</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KOREA, REPUBLIC OF</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CID001562</w:t>
            </w:r>
          </w:p>
        </w:tc>
        <w:tc>
          <w:tcPr>
            <w:tcW w:w="120" w:type="dxa"/>
            <w:vAlign w:val="bottom"/>
          </w:tcPr>
          <w:p>
            <w:pPr>
              <w:spacing w:after="0"/>
              <w:rPr>
                <w:sz w:val="21"/>
                <w:szCs w:val="21"/>
                <w:color w:val="auto"/>
              </w:rPr>
            </w:pPr>
          </w:p>
        </w:tc>
      </w:tr>
      <w:tr>
        <w:trPr>
          <w:trHeight w:val="233"/>
        </w:trPr>
        <w:tc>
          <w:tcPr>
            <w:tcW w:w="1180" w:type="dxa"/>
            <w:vAlign w:val="bottom"/>
          </w:tcPr>
          <w:p>
            <w:pPr>
              <w:spacing w:after="0"/>
              <w:rPr>
                <w:sz w:val="20"/>
                <w:szCs w:val="20"/>
                <w:color w:val="auto"/>
              </w:rPr>
            </w:pPr>
          </w:p>
        </w:tc>
        <w:tc>
          <w:tcPr>
            <w:tcW w:w="60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11</w:t>
            </w: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988"/>
        </w:trPr>
        <w:tc>
          <w:tcPr>
            <w:tcW w:w="11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82"/>
        </w:trPr>
        <w:tc>
          <w:tcPr>
            <w:tcW w:w="1180" w:type="dxa"/>
            <w:vAlign w:val="bottom"/>
            <w:tcBorders>
              <w:top w:val="single" w:sz="8" w:color="BFBFBF"/>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top w:val="single" w:sz="8" w:color="BFBFBF"/>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Shandong Humon Smelting Co., Ltd.</w:t>
            </w:r>
          </w:p>
        </w:tc>
        <w:tc>
          <w:tcPr>
            <w:tcW w:w="2580" w:type="dxa"/>
            <w:vAlign w:val="bottom"/>
            <w:tcBorders>
              <w:top w:val="single" w:sz="8" w:color="BFBFBF"/>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top w:val="single" w:sz="8" w:color="BFBFBF"/>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CID002525</w:t>
            </w:r>
          </w:p>
        </w:tc>
        <w:tc>
          <w:tcPr>
            <w:tcW w:w="120" w:type="dxa"/>
            <w:vAlign w:val="bottom"/>
          </w:tcPr>
          <w:p>
            <w:pPr>
              <w:spacing w:after="0"/>
              <w:rPr>
                <w:sz w:val="24"/>
                <w:szCs w:val="24"/>
                <w:color w:val="auto"/>
              </w:rPr>
            </w:pPr>
          </w:p>
        </w:tc>
      </w:tr>
      <w:tr>
        <w:trPr>
          <w:trHeight w:val="230"/>
        </w:trPr>
        <w:tc>
          <w:tcPr>
            <w:tcW w:w="1180" w:type="dxa"/>
            <w:vAlign w:val="bottom"/>
            <w:tcBorders>
              <w:top w:val="single" w:sz="8" w:color="BFBFBF"/>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top w:val="single" w:sz="8" w:color="F2F2F2"/>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Shandong Tiancheng Biological Gold Industrial Co., Ltd.</w:t>
            </w:r>
          </w:p>
        </w:tc>
        <w:tc>
          <w:tcPr>
            <w:tcW w:w="2580" w:type="dxa"/>
            <w:vAlign w:val="bottom"/>
            <w:tcBorders>
              <w:top w:val="single" w:sz="8" w:color="F2F2F2"/>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top w:val="single" w:sz="8" w:color="F2F2F2"/>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CID001619</w:t>
            </w:r>
          </w:p>
        </w:tc>
        <w:tc>
          <w:tcPr>
            <w:tcW w:w="120" w:type="dxa"/>
            <w:vAlign w:val="bottom"/>
          </w:tcPr>
          <w:p>
            <w:pPr>
              <w:spacing w:after="0"/>
              <w:rPr>
                <w:sz w:val="20"/>
                <w:szCs w:val="20"/>
                <w:color w:val="auto"/>
              </w:rPr>
            </w:pPr>
          </w:p>
        </w:tc>
      </w:tr>
      <w:tr>
        <w:trPr>
          <w:trHeight w:val="248"/>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Shenzhen CuiLu Gold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CID002750</w:t>
            </w:r>
          </w:p>
        </w:tc>
        <w:tc>
          <w:tcPr>
            <w:tcW w:w="120" w:type="dxa"/>
            <w:vAlign w:val="bottom"/>
          </w:tcPr>
          <w:p>
            <w:pPr>
              <w:spacing w:after="0"/>
              <w:rPr>
                <w:sz w:val="21"/>
                <w:szCs w:val="21"/>
                <w:color w:val="auto"/>
              </w:rPr>
            </w:pPr>
          </w:p>
        </w:tc>
      </w:tr>
      <w:tr>
        <w:trPr>
          <w:trHeight w:val="182"/>
        </w:trPr>
        <w:tc>
          <w:tcPr>
            <w:tcW w:w="1180" w:type="dxa"/>
            <w:vAlign w:val="bottom"/>
            <w:tcBorders>
              <w:left w:val="single" w:sz="8" w:color="BFBFBF"/>
              <w:right w:val="single" w:sz="8" w:color="BFBFBF"/>
            </w:tcBorders>
            <w:shd w:val="clear" w:color="auto" w:fill="F2F2F2"/>
          </w:tcPr>
          <w:p>
            <w:pPr>
              <w:ind w:left="120"/>
              <w:spacing w:after="0" w:line="182" w:lineRule="exact"/>
              <w:rPr>
                <w:sz w:val="20"/>
                <w:szCs w:val="20"/>
                <w:color w:val="auto"/>
              </w:rPr>
            </w:pPr>
            <w:r>
              <w:rPr>
                <w:rFonts w:ascii="Arial" w:cs="Arial" w:eastAsia="Arial" w:hAnsi="Arial"/>
                <w:sz w:val="18"/>
                <w:szCs w:val="18"/>
                <w:b w:val="1"/>
                <w:bCs w:val="1"/>
                <w:color w:val="auto"/>
              </w:rPr>
              <w:t>Gold</w:t>
            </w:r>
          </w:p>
        </w:tc>
        <w:tc>
          <w:tcPr>
            <w:tcW w:w="6060" w:type="dxa"/>
            <w:vAlign w:val="bottom"/>
            <w:tcBorders>
              <w:right w:val="single" w:sz="8" w:color="BFBFBF"/>
            </w:tcBorders>
            <w:shd w:val="clear" w:color="auto" w:fill="F2F2F2"/>
          </w:tcPr>
          <w:p>
            <w:pPr>
              <w:ind w:left="80"/>
              <w:spacing w:after="0" w:line="182" w:lineRule="exact"/>
              <w:rPr>
                <w:sz w:val="20"/>
                <w:szCs w:val="20"/>
                <w:color w:val="auto"/>
              </w:rPr>
            </w:pPr>
            <w:r>
              <w:rPr>
                <w:rFonts w:ascii="Arial" w:cs="Arial" w:eastAsia="Arial" w:hAnsi="Arial"/>
                <w:sz w:val="18"/>
                <w:szCs w:val="18"/>
                <w:color w:val="auto"/>
              </w:rPr>
              <w:t>SHENZHEN JINJUNWEI RESOURCE COMPREHENSIVE</w:t>
            </w:r>
          </w:p>
        </w:tc>
        <w:tc>
          <w:tcPr>
            <w:tcW w:w="2580" w:type="dxa"/>
            <w:vAlign w:val="bottom"/>
            <w:tcBorders>
              <w:right w:val="single" w:sz="8" w:color="BFBFBF"/>
            </w:tcBorders>
            <w:shd w:val="clear" w:color="auto" w:fill="F2F2F2"/>
          </w:tcPr>
          <w:p>
            <w:pPr>
              <w:ind w:left="100"/>
              <w:spacing w:after="0" w:line="182" w:lineRule="exact"/>
              <w:rPr>
                <w:sz w:val="20"/>
                <w:szCs w:val="20"/>
                <w:color w:val="auto"/>
              </w:rPr>
            </w:pPr>
            <w:r>
              <w:rPr>
                <w:rFonts w:ascii="Arial" w:cs="Arial" w:eastAsia="Arial" w:hAnsi="Arial"/>
                <w:sz w:val="18"/>
                <w:szCs w:val="18"/>
                <w:color w:val="auto"/>
              </w:rPr>
              <w:t>China</w:t>
            </w:r>
          </w:p>
        </w:tc>
        <w:tc>
          <w:tcPr>
            <w:tcW w:w="1300" w:type="dxa"/>
            <w:vAlign w:val="bottom"/>
            <w:tcBorders>
              <w:right w:val="single" w:sz="8" w:color="BFBFBF"/>
            </w:tcBorders>
            <w:shd w:val="clear" w:color="auto" w:fill="F2F2F2"/>
          </w:tcPr>
          <w:p>
            <w:pPr>
              <w:ind w:left="100"/>
              <w:spacing w:after="0" w:line="182" w:lineRule="exact"/>
              <w:rPr>
                <w:sz w:val="20"/>
                <w:szCs w:val="20"/>
                <w:color w:val="auto"/>
              </w:rPr>
            </w:pPr>
            <w:r>
              <w:rPr>
                <w:rFonts w:ascii="Arial" w:cs="Arial" w:eastAsia="Arial" w:hAnsi="Arial"/>
                <w:sz w:val="18"/>
                <w:szCs w:val="18"/>
                <w:color w:val="auto"/>
              </w:rPr>
              <w:t>CID004435</w:t>
            </w:r>
          </w:p>
        </w:tc>
        <w:tc>
          <w:tcPr>
            <w:tcW w:w="120" w:type="dxa"/>
            <w:vAlign w:val="bottom"/>
          </w:tcPr>
          <w:p>
            <w:pPr>
              <w:spacing w:after="0"/>
              <w:rPr>
                <w:sz w:val="15"/>
                <w:szCs w:val="15"/>
                <w:color w:val="auto"/>
              </w:rPr>
            </w:pPr>
          </w:p>
        </w:tc>
      </w:tr>
      <w:tr>
        <w:trPr>
          <w:trHeight w:val="221"/>
        </w:trPr>
        <w:tc>
          <w:tcPr>
            <w:tcW w:w="1180" w:type="dxa"/>
            <w:vAlign w:val="bottom"/>
            <w:tcBorders>
              <w:left w:val="single" w:sz="8" w:color="BFBFBF"/>
              <w:bottom w:val="single" w:sz="8" w:color="BFBFBF"/>
              <w:right w:val="single" w:sz="8" w:color="BFBFBF"/>
            </w:tcBorders>
            <w:shd w:val="clear" w:color="auto" w:fill="F2F2F2"/>
          </w:tcPr>
          <w:p>
            <w:pPr>
              <w:spacing w:after="0"/>
              <w:rPr>
                <w:sz w:val="19"/>
                <w:szCs w:val="19"/>
                <w:color w:val="auto"/>
              </w:rPr>
            </w:pP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DEVELOPMENT CO., LTD.</w:t>
            </w:r>
          </w:p>
        </w:tc>
        <w:tc>
          <w:tcPr>
            <w:tcW w:w="2580" w:type="dxa"/>
            <w:vAlign w:val="bottom"/>
            <w:tcBorders>
              <w:bottom w:val="single" w:sz="8" w:color="BFBFBF"/>
              <w:right w:val="single" w:sz="8" w:color="BFBFBF"/>
            </w:tcBorders>
            <w:shd w:val="clear" w:color="auto" w:fill="F2F2F2"/>
          </w:tcPr>
          <w:p>
            <w:pPr>
              <w:spacing w:after="0"/>
              <w:rPr>
                <w:sz w:val="19"/>
                <w:szCs w:val="19"/>
                <w:color w:val="auto"/>
              </w:rPr>
            </w:pPr>
          </w:p>
        </w:tc>
        <w:tc>
          <w:tcPr>
            <w:tcW w:w="1300" w:type="dxa"/>
            <w:vAlign w:val="bottom"/>
            <w:tcBorders>
              <w:bottom w:val="single" w:sz="8" w:color="BFBFBF"/>
              <w:right w:val="single" w:sz="8" w:color="BFBFBF"/>
            </w:tcBorders>
            <w:shd w:val="clear" w:color="auto" w:fill="F2F2F2"/>
          </w:tcPr>
          <w:p>
            <w:pPr>
              <w:spacing w:after="0"/>
              <w:rPr>
                <w:sz w:val="19"/>
                <w:szCs w:val="19"/>
                <w:color w:val="auto"/>
              </w:rPr>
            </w:pPr>
          </w:p>
        </w:tc>
        <w:tc>
          <w:tcPr>
            <w:tcW w:w="120" w:type="dxa"/>
            <w:vAlign w:val="bottom"/>
          </w:tcPr>
          <w:p>
            <w:pPr>
              <w:spacing w:after="0"/>
              <w:rPr>
                <w:sz w:val="19"/>
                <w:szCs w:val="19"/>
                <w:color w:val="auto"/>
              </w:rPr>
            </w:pPr>
          </w:p>
        </w:tc>
      </w:tr>
      <w:tr>
        <w:trPr>
          <w:trHeight w:val="245"/>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Shenzhen Zhonghenglong Real Industry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CID002527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Shirpur Gold Refinery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CID002588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Singway Technology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Taiwan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CID002516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SOE Shyolkovsky Factory of Secondary Precious Metals</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CID001756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Sovereign Metals</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CID003383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State Research Institute Center for Physical Sciences and Technology</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Lithuania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CID003153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Sudan Gold Refinery</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Sudan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CID002567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Super Dragon Technology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Taiwan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CID001810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TITAN COMPANY LIMITED, JEWELLERY DIVISION</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CID004491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Tongling Nonferrous Jinguan (Ausmelt) Copper Industry</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CID001947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Torecom</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KOREA, REPUBLIC OF</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CID001955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Umicore Precious Metals Thailand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Thailand</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CID002314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WEEEREFINING</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France</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CID003615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Yunnan Copper Southwest Copper Branch</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CID000197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Gasabo Gold Refinery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Rwanda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CID005006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C.I Metales Procesados Industriales SAS</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Colombia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CID003421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Geib Refining Corp.</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CID002459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Sancus ZFS (L’Orfebre, SA)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Colombia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CID003529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Sellem Industries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Mauritania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CID003540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Al Ghaith Gold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Arab Emirates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CID002899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ARY Aurum Plus</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Arab Emirates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CID002596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Daejin Indus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KOREA, REPUBLIC OF</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CID000328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DODUCO Contacts and Refining GmbH</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Germany</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CID000362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Elemetal Refining, LLC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CID001322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Guangdong Hua Jian Trade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CID000605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GUANGDONG JINXIAN GAOXIN CAI LIAO GONG SI</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CID000611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Hang Seng Technology</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CID000670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Henan Yuguang Gold &amp; Lead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CID002519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Hetai Gold Mineral Guangdong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CID000718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House of Currency of Brazil (Casa da Moeda do Brazil)</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CID002601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Hung Cheong Metal Manufacturing Limited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CID002904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Jin Jinyin Refining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CID000884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Jinlong Copper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CID000909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KP Sanghvi International Pvt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CID004433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Nyrstar</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CID001313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Shan Tou Shi Yong Yuan Jin Shu Zai Sheng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CID001605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Shandong Hengbang Smelter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CID001612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Shandong Yanggu Xiangguang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CID002614</w:t>
            </w:r>
          </w:p>
        </w:tc>
        <w:tc>
          <w:tcPr>
            <w:tcW w:w="120" w:type="dxa"/>
            <w:vAlign w:val="bottom"/>
          </w:tcPr>
          <w:p>
            <w:pPr>
              <w:spacing w:after="0"/>
              <w:rPr>
                <w:sz w:val="21"/>
                <w:szCs w:val="21"/>
                <w:color w:val="auto"/>
              </w:rPr>
            </w:pPr>
          </w:p>
        </w:tc>
      </w:tr>
      <w:tr>
        <w:trPr>
          <w:trHeight w:val="233"/>
        </w:trPr>
        <w:tc>
          <w:tcPr>
            <w:tcW w:w="1180" w:type="dxa"/>
            <w:vAlign w:val="bottom"/>
          </w:tcPr>
          <w:p>
            <w:pPr>
              <w:spacing w:after="0"/>
              <w:rPr>
                <w:sz w:val="20"/>
                <w:szCs w:val="20"/>
                <w:color w:val="auto"/>
              </w:rPr>
            </w:pPr>
          </w:p>
        </w:tc>
        <w:tc>
          <w:tcPr>
            <w:tcW w:w="60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12</w:t>
            </w: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988"/>
        </w:trPr>
        <w:tc>
          <w:tcPr>
            <w:tcW w:w="11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82"/>
        </w:trPr>
        <w:tc>
          <w:tcPr>
            <w:tcW w:w="1180" w:type="dxa"/>
            <w:vAlign w:val="bottom"/>
            <w:tcBorders>
              <w:top w:val="single" w:sz="8" w:color="BFBFBF"/>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top w:val="single" w:sz="8" w:color="BFBFBF"/>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Shenzhen Heng Zhong Industry Co., Ltd.</w:t>
            </w:r>
          </w:p>
        </w:tc>
        <w:tc>
          <w:tcPr>
            <w:tcW w:w="2580" w:type="dxa"/>
            <w:vAlign w:val="bottom"/>
            <w:tcBorders>
              <w:top w:val="single" w:sz="8" w:color="BFBFBF"/>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top w:val="single" w:sz="8" w:color="BFBFBF"/>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CID001692</w:t>
            </w:r>
          </w:p>
        </w:tc>
        <w:tc>
          <w:tcPr>
            <w:tcW w:w="120" w:type="dxa"/>
            <w:vAlign w:val="bottom"/>
          </w:tcPr>
          <w:p>
            <w:pPr>
              <w:spacing w:after="0"/>
              <w:rPr>
                <w:sz w:val="24"/>
                <w:szCs w:val="24"/>
                <w:color w:val="auto"/>
              </w:rPr>
            </w:pPr>
          </w:p>
        </w:tc>
      </w:tr>
      <w:tr>
        <w:trPr>
          <w:trHeight w:val="230"/>
        </w:trPr>
        <w:tc>
          <w:tcPr>
            <w:tcW w:w="1180" w:type="dxa"/>
            <w:vAlign w:val="bottom"/>
            <w:tcBorders>
              <w:top w:val="single" w:sz="8" w:color="BFBFBF"/>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top w:val="single" w:sz="8" w:color="F2F2F2"/>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Sino-Platinum Metals Co., Ltd.</w:t>
            </w:r>
          </w:p>
        </w:tc>
        <w:tc>
          <w:tcPr>
            <w:tcW w:w="2580" w:type="dxa"/>
            <w:vAlign w:val="bottom"/>
            <w:tcBorders>
              <w:top w:val="single" w:sz="8" w:color="F2F2F2"/>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top w:val="single" w:sz="8" w:color="F2F2F2"/>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CID001745</w:t>
            </w:r>
          </w:p>
        </w:tc>
        <w:tc>
          <w:tcPr>
            <w:tcW w:w="120" w:type="dxa"/>
            <w:vAlign w:val="bottom"/>
          </w:tcPr>
          <w:p>
            <w:pPr>
              <w:spacing w:after="0"/>
              <w:rPr>
                <w:sz w:val="20"/>
                <w:szCs w:val="20"/>
                <w:color w:val="auto"/>
              </w:rPr>
            </w:pPr>
          </w:p>
        </w:tc>
      </w:tr>
      <w:tr>
        <w:trPr>
          <w:trHeight w:val="248"/>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Umicore Brasil Ltda.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CID001977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Viagra Di precious metals (Zhaoyuan)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CID002009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Wuzhong Group</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CID002063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Yunnan Gold Mining Group Co., Ltd. (YGMG)</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CID002491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Zhe Jiang Guang Yuan Noble Metal Smelting Factory</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CID002205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Zhongkuang Gold Industry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CID002214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Zhongshan Hyper-Toxic Substance Monopolized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CID002219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Zhongshan Poison Material Proprietary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CID002221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Zhuhai toxic materials Monopoly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CID002231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Gold</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Zhuzhou Smelting Group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CID002529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D Block Metals, LLC</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CID002504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F&amp;X Electro-Materials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CID000460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Global Advanced Metals Aizu</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CID002558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Global Advanced Metals Boyertown</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CID002557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Hengyang King Xing Lifeng New Materials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CID002492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Jiangxi Tuohong New Raw Material</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CID002842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JiuJiang JinXin Nonferrous Metals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CID000914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Jiujiang Zhongao Tantalum &amp; Niobium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CID002506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KEMET de Mexico</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Mexico</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CID002539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Materion Newton Inc.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CID002548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Metallurgical Products India Pvt.,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CID001163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Ningxia Orient Tantalum Industry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CID001277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QuantumClean</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CID001508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TANIOBIS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Thailand</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CID002544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TANIOBIS GmbH</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Germany</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CID002545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TANIOBIS Japan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CID002549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TANIOBIS Smelting GmbH &amp; Co. KG</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Germany</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CID002550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Telex Metals</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CID001891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XIMEI RESOURCES (GUANGDONG) LIMITED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CID000616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Yanling Jincheng Tantalum &amp; Niobium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CID001522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AMG Brasil</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CID001076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FIR Metals &amp; Resource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CID002505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Guangdong Rising Rare Metals-EO Materials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CID000291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Jiangxi Dinghai Tantalum &amp; Niobium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CID002512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Jiangxi Suns Nonferrous Materials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CID004813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5D Production OU</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Estonia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CID003926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Jiujiang Tanbre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CID000917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Mineracao Taboca S.A.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CID001175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Mitsui Kinzoku Company, Limited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CID001192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NPM Silmet OU</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Estonia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CID001200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PowerX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Rwanda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CID004054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Resind Industria e Comercio Ltda.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CID002707</w:t>
            </w:r>
          </w:p>
        </w:tc>
        <w:tc>
          <w:tcPr>
            <w:tcW w:w="120" w:type="dxa"/>
            <w:vAlign w:val="bottom"/>
          </w:tcPr>
          <w:p>
            <w:pPr>
              <w:spacing w:after="0"/>
              <w:rPr>
                <w:sz w:val="21"/>
                <w:szCs w:val="21"/>
                <w:color w:val="auto"/>
              </w:rPr>
            </w:pPr>
          </w:p>
        </w:tc>
      </w:tr>
      <w:tr>
        <w:trPr>
          <w:trHeight w:val="233"/>
        </w:trPr>
        <w:tc>
          <w:tcPr>
            <w:tcW w:w="1180" w:type="dxa"/>
            <w:vAlign w:val="bottom"/>
          </w:tcPr>
          <w:p>
            <w:pPr>
              <w:spacing w:after="0"/>
              <w:rPr>
                <w:sz w:val="20"/>
                <w:szCs w:val="20"/>
                <w:color w:val="auto"/>
              </w:rPr>
            </w:pPr>
          </w:p>
        </w:tc>
        <w:tc>
          <w:tcPr>
            <w:tcW w:w="60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13</w:t>
            </w: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988"/>
        </w:trPr>
        <w:tc>
          <w:tcPr>
            <w:tcW w:w="11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82"/>
        </w:trPr>
        <w:tc>
          <w:tcPr>
            <w:tcW w:w="1180" w:type="dxa"/>
            <w:vAlign w:val="bottom"/>
            <w:tcBorders>
              <w:top w:val="single" w:sz="8" w:color="BFBFBF"/>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top w:val="single" w:sz="8" w:color="BFBFBF"/>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RFH Yancheng Jinye New Material Technology Co., Ltd.</w:t>
            </w:r>
          </w:p>
        </w:tc>
        <w:tc>
          <w:tcPr>
            <w:tcW w:w="2580" w:type="dxa"/>
            <w:vAlign w:val="bottom"/>
            <w:tcBorders>
              <w:top w:val="single" w:sz="8" w:color="BFBFBF"/>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top w:val="single" w:sz="8" w:color="BFBFBF"/>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CID003583</w:t>
            </w:r>
          </w:p>
        </w:tc>
        <w:tc>
          <w:tcPr>
            <w:tcW w:w="120" w:type="dxa"/>
            <w:vAlign w:val="bottom"/>
          </w:tcPr>
          <w:p>
            <w:pPr>
              <w:spacing w:after="0"/>
              <w:rPr>
                <w:sz w:val="24"/>
                <w:szCs w:val="24"/>
                <w:color w:val="auto"/>
              </w:rPr>
            </w:pPr>
          </w:p>
        </w:tc>
      </w:tr>
      <w:tr>
        <w:trPr>
          <w:trHeight w:val="230"/>
        </w:trPr>
        <w:tc>
          <w:tcPr>
            <w:tcW w:w="1180" w:type="dxa"/>
            <w:vAlign w:val="bottom"/>
            <w:tcBorders>
              <w:top w:val="single" w:sz="8" w:color="BFBFBF"/>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top w:val="single" w:sz="8" w:color="F2F2F2"/>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Taki Chemical Co., Ltd.</w:t>
            </w:r>
          </w:p>
        </w:tc>
        <w:tc>
          <w:tcPr>
            <w:tcW w:w="2580" w:type="dxa"/>
            <w:vAlign w:val="bottom"/>
            <w:tcBorders>
              <w:top w:val="single" w:sz="8" w:color="F2F2F2"/>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top w:val="single" w:sz="8" w:color="F2F2F2"/>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CID001869</w:t>
            </w:r>
          </w:p>
        </w:tc>
        <w:tc>
          <w:tcPr>
            <w:tcW w:w="120" w:type="dxa"/>
            <w:vAlign w:val="bottom"/>
          </w:tcPr>
          <w:p>
            <w:pPr>
              <w:spacing w:after="0"/>
              <w:rPr>
                <w:sz w:val="20"/>
                <w:szCs w:val="20"/>
                <w:color w:val="auto"/>
              </w:rPr>
            </w:pPr>
          </w:p>
        </w:tc>
      </w:tr>
      <w:tr>
        <w:trPr>
          <w:trHeight w:val="248"/>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Ulba Metallurgical Plant JSC</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Kazakhstan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CID001969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XinXing HaoRong Electronic Material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CID002508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Changsha South Tantalum Niobium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CID000211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CMT Rare Metal Advanced Materials (Hunan)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CID004431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Plansee SE Reutte</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Austria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CID002556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Solikamsk Magnesium Works OAO</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CID001769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ANHUI HERRMAN IMPEX CO.</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CID000059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Chongyi Zhangyuan Tungsten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CID000261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King-Tan Tantalum Industry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CID000973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Malaysia Smelting Corporation (MSC)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Malaysia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CID001108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Materion</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CID001115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Rui Da Hung</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Taiwan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CID001541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Shanghai Jiangxi Metals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CID001634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STEREON Metals Hermsdorf GmbH</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Germany</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CID002547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Tantalum</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Zhuzhou Cemented Carbide Group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CID002232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Malaysia Smelting Corporation (MSC)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Malaysia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CID001105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CV Venus Inti Perkasa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CID002455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DS Myanmar</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Myanmar</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CID003831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Precious Minerals and Smelting Limited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CID003409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Aries Kencana Sejahtera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CID000309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Babel Inti Perkasa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CID001402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Babel Surya Alam Lestari</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CID001406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Bangka Serumpun</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CID003205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Bangka Tin Industry</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CID001419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Belitung Industri Sejahtera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CID001421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Bukit Timah</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CID001428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Menara Cipta Mulia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CID002835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Rajawali Rimba Perkasa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CID003381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Refined Bangka Tin</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CID001460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Sariwiguna Binasentosa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CID001463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Stanindo Inti Perkasa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CID001468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Sukses Inti Makmur (SIM)</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CID002816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Timah Nusantara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CID001486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Tinindo Inter Nusa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CID001490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Tommy Utama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CID001493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Yunnan Chengfeng Non-ferrous Metals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CID002158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An Vinh Joint Stock Mineral Processing Company</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Viet Nam</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CID002703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Dongguan CiEXPO Environmental Engineering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CID003356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Dowa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CID000402</w:t>
            </w:r>
          </w:p>
        </w:tc>
        <w:tc>
          <w:tcPr>
            <w:tcW w:w="120" w:type="dxa"/>
            <w:vAlign w:val="bottom"/>
          </w:tcPr>
          <w:p>
            <w:pPr>
              <w:spacing w:after="0"/>
              <w:rPr>
                <w:sz w:val="21"/>
                <w:szCs w:val="21"/>
                <w:color w:val="auto"/>
              </w:rPr>
            </w:pPr>
          </w:p>
        </w:tc>
      </w:tr>
      <w:tr>
        <w:trPr>
          <w:trHeight w:val="182"/>
        </w:trPr>
        <w:tc>
          <w:tcPr>
            <w:tcW w:w="1180" w:type="dxa"/>
            <w:vAlign w:val="bottom"/>
            <w:tcBorders>
              <w:left w:val="single" w:sz="8" w:color="BFBFBF"/>
              <w:right w:val="single" w:sz="8" w:color="BFBFBF"/>
            </w:tcBorders>
            <w:shd w:val="clear" w:color="auto" w:fill="F2F2F2"/>
          </w:tcPr>
          <w:p>
            <w:pPr>
              <w:ind w:left="120"/>
              <w:spacing w:after="0" w:line="182" w:lineRule="exact"/>
              <w:rPr>
                <w:sz w:val="20"/>
                <w:szCs w:val="20"/>
                <w:color w:val="auto"/>
              </w:rPr>
            </w:pPr>
            <w:r>
              <w:rPr>
                <w:rFonts w:ascii="Arial" w:cs="Arial" w:eastAsia="Arial" w:hAnsi="Arial"/>
                <w:sz w:val="18"/>
                <w:szCs w:val="18"/>
                <w:b w:val="1"/>
                <w:bCs w:val="1"/>
                <w:color w:val="auto"/>
              </w:rPr>
              <w:t>Tin</w:t>
            </w:r>
          </w:p>
        </w:tc>
        <w:tc>
          <w:tcPr>
            <w:tcW w:w="6060" w:type="dxa"/>
            <w:vAlign w:val="bottom"/>
            <w:tcBorders>
              <w:right w:val="single" w:sz="8" w:color="BFBFBF"/>
            </w:tcBorders>
            <w:shd w:val="clear" w:color="auto" w:fill="F2F2F2"/>
          </w:tcPr>
          <w:p>
            <w:pPr>
              <w:ind w:left="80"/>
              <w:spacing w:after="0" w:line="182" w:lineRule="exact"/>
              <w:rPr>
                <w:sz w:val="20"/>
                <w:szCs w:val="20"/>
                <w:color w:val="auto"/>
              </w:rPr>
            </w:pPr>
            <w:r>
              <w:rPr>
                <w:rFonts w:ascii="Arial" w:cs="Arial" w:eastAsia="Arial" w:hAnsi="Arial"/>
                <w:sz w:val="18"/>
                <w:szCs w:val="18"/>
                <w:color w:val="auto"/>
              </w:rPr>
              <w:t>Electro-Mechanical Facility of the Cao Bang Minerals &amp; Metallurgy Joint</w:t>
            </w:r>
          </w:p>
        </w:tc>
        <w:tc>
          <w:tcPr>
            <w:tcW w:w="2580" w:type="dxa"/>
            <w:vAlign w:val="bottom"/>
            <w:tcBorders>
              <w:right w:val="single" w:sz="8" w:color="BFBFBF"/>
            </w:tcBorders>
            <w:shd w:val="clear" w:color="auto" w:fill="F2F2F2"/>
          </w:tcPr>
          <w:p>
            <w:pPr>
              <w:ind w:left="100"/>
              <w:spacing w:after="0" w:line="182" w:lineRule="exact"/>
              <w:rPr>
                <w:sz w:val="20"/>
                <w:szCs w:val="20"/>
                <w:color w:val="auto"/>
              </w:rPr>
            </w:pPr>
            <w:r>
              <w:rPr>
                <w:rFonts w:ascii="Arial" w:cs="Arial" w:eastAsia="Arial" w:hAnsi="Arial"/>
                <w:sz w:val="18"/>
                <w:szCs w:val="18"/>
                <w:color w:val="auto"/>
              </w:rPr>
              <w:t>Viet Nam</w:t>
            </w:r>
          </w:p>
        </w:tc>
        <w:tc>
          <w:tcPr>
            <w:tcW w:w="1300" w:type="dxa"/>
            <w:vAlign w:val="bottom"/>
            <w:tcBorders>
              <w:right w:val="single" w:sz="8" w:color="BFBFBF"/>
            </w:tcBorders>
            <w:shd w:val="clear" w:color="auto" w:fill="F2F2F2"/>
          </w:tcPr>
          <w:p>
            <w:pPr>
              <w:ind w:left="100"/>
              <w:spacing w:after="0" w:line="182" w:lineRule="exact"/>
              <w:rPr>
                <w:sz w:val="20"/>
                <w:szCs w:val="20"/>
                <w:color w:val="auto"/>
              </w:rPr>
            </w:pPr>
            <w:r>
              <w:rPr>
                <w:rFonts w:ascii="Arial" w:cs="Arial" w:eastAsia="Arial" w:hAnsi="Arial"/>
                <w:sz w:val="18"/>
                <w:szCs w:val="18"/>
                <w:color w:val="auto"/>
              </w:rPr>
              <w:t>CID002572</w:t>
            </w:r>
          </w:p>
        </w:tc>
        <w:tc>
          <w:tcPr>
            <w:tcW w:w="120" w:type="dxa"/>
            <w:vAlign w:val="bottom"/>
          </w:tcPr>
          <w:p>
            <w:pPr>
              <w:spacing w:after="0"/>
              <w:rPr>
                <w:sz w:val="15"/>
                <w:szCs w:val="15"/>
                <w:color w:val="auto"/>
              </w:rPr>
            </w:pPr>
          </w:p>
        </w:tc>
      </w:tr>
      <w:tr>
        <w:trPr>
          <w:trHeight w:val="221"/>
        </w:trPr>
        <w:tc>
          <w:tcPr>
            <w:tcW w:w="1180" w:type="dxa"/>
            <w:vAlign w:val="bottom"/>
            <w:tcBorders>
              <w:left w:val="single" w:sz="8" w:color="BFBFBF"/>
              <w:bottom w:val="single" w:sz="8" w:color="BFBFBF"/>
              <w:right w:val="single" w:sz="8" w:color="BFBFBF"/>
            </w:tcBorders>
            <w:shd w:val="clear" w:color="auto" w:fill="F2F2F2"/>
          </w:tcPr>
          <w:p>
            <w:pPr>
              <w:spacing w:after="0"/>
              <w:rPr>
                <w:sz w:val="19"/>
                <w:szCs w:val="19"/>
                <w:color w:val="auto"/>
              </w:rPr>
            </w:pP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Stock Company</w:t>
            </w:r>
          </w:p>
        </w:tc>
        <w:tc>
          <w:tcPr>
            <w:tcW w:w="2580" w:type="dxa"/>
            <w:vAlign w:val="bottom"/>
            <w:tcBorders>
              <w:bottom w:val="single" w:sz="8" w:color="BFBFBF"/>
              <w:right w:val="single" w:sz="8" w:color="BFBFBF"/>
            </w:tcBorders>
            <w:shd w:val="clear" w:color="auto" w:fill="F2F2F2"/>
          </w:tcPr>
          <w:p>
            <w:pPr>
              <w:spacing w:after="0"/>
              <w:rPr>
                <w:sz w:val="19"/>
                <w:szCs w:val="19"/>
                <w:color w:val="auto"/>
              </w:rPr>
            </w:pPr>
          </w:p>
        </w:tc>
        <w:tc>
          <w:tcPr>
            <w:tcW w:w="1300" w:type="dxa"/>
            <w:vAlign w:val="bottom"/>
            <w:tcBorders>
              <w:bottom w:val="single" w:sz="8" w:color="BFBFBF"/>
              <w:right w:val="single" w:sz="8" w:color="BFBFBF"/>
            </w:tcBorders>
            <w:shd w:val="clear" w:color="auto" w:fill="F2F2F2"/>
          </w:tcPr>
          <w:p>
            <w:pPr>
              <w:spacing w:after="0"/>
              <w:rPr>
                <w:sz w:val="19"/>
                <w:szCs w:val="19"/>
                <w:color w:val="auto"/>
              </w:rPr>
            </w:pPr>
          </w:p>
        </w:tc>
        <w:tc>
          <w:tcPr>
            <w:tcW w:w="120" w:type="dxa"/>
            <w:vAlign w:val="bottom"/>
          </w:tcPr>
          <w:p>
            <w:pPr>
              <w:spacing w:after="0"/>
              <w:rPr>
                <w:sz w:val="19"/>
                <w:szCs w:val="19"/>
                <w:color w:val="auto"/>
              </w:rPr>
            </w:pPr>
          </w:p>
        </w:tc>
      </w:tr>
      <w:tr>
        <w:trPr>
          <w:trHeight w:val="245"/>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Mineracao Taboca S.A.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CID001173</w:t>
            </w:r>
          </w:p>
        </w:tc>
        <w:tc>
          <w:tcPr>
            <w:tcW w:w="120" w:type="dxa"/>
            <w:vAlign w:val="bottom"/>
          </w:tcPr>
          <w:p>
            <w:pPr>
              <w:spacing w:after="0"/>
              <w:rPr>
                <w:sz w:val="21"/>
                <w:szCs w:val="21"/>
                <w:color w:val="auto"/>
              </w:rPr>
            </w:pPr>
          </w:p>
        </w:tc>
      </w:tr>
      <w:tr>
        <w:trPr>
          <w:trHeight w:val="233"/>
        </w:trPr>
        <w:tc>
          <w:tcPr>
            <w:tcW w:w="1180" w:type="dxa"/>
            <w:vAlign w:val="bottom"/>
          </w:tcPr>
          <w:p>
            <w:pPr>
              <w:spacing w:after="0"/>
              <w:rPr>
                <w:sz w:val="20"/>
                <w:szCs w:val="20"/>
                <w:color w:val="auto"/>
              </w:rPr>
            </w:pPr>
          </w:p>
        </w:tc>
        <w:tc>
          <w:tcPr>
            <w:tcW w:w="60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14</w:t>
            </w: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988"/>
        </w:trPr>
        <w:tc>
          <w:tcPr>
            <w:tcW w:w="11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77"/>
        </w:trPr>
        <w:tc>
          <w:tcPr>
            <w:tcW w:w="1180" w:type="dxa"/>
            <w:vAlign w:val="bottom"/>
            <w:tcBorders>
              <w:top w:val="single" w:sz="8" w:color="BFBFBF"/>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top w:val="single" w:sz="8" w:color="BFBFBF"/>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Minsur</w:t>
            </w:r>
          </w:p>
        </w:tc>
        <w:tc>
          <w:tcPr>
            <w:tcW w:w="2580" w:type="dxa"/>
            <w:vAlign w:val="bottom"/>
            <w:tcBorders>
              <w:top w:val="single" w:sz="8" w:color="BFBFBF"/>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Peru</w:t>
            </w:r>
          </w:p>
        </w:tc>
        <w:tc>
          <w:tcPr>
            <w:tcW w:w="1300" w:type="dxa"/>
            <w:vAlign w:val="bottom"/>
            <w:tcBorders>
              <w:top w:val="single" w:sz="8" w:color="BFBFBF"/>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CID001182</w:t>
            </w:r>
          </w:p>
        </w:tc>
        <w:tc>
          <w:tcPr>
            <w:tcW w:w="120" w:type="dxa"/>
            <w:vAlign w:val="bottom"/>
          </w:tcPr>
          <w:p>
            <w:pPr>
              <w:spacing w:after="0"/>
              <w:rPr>
                <w:sz w:val="24"/>
                <w:szCs w:val="24"/>
                <w:color w:val="auto"/>
              </w:rPr>
            </w:pPr>
          </w:p>
        </w:tc>
      </w:tr>
      <w:tr>
        <w:trPr>
          <w:trHeight w:val="23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Arsed Indonesia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CID005067</w:t>
            </w:r>
          </w:p>
        </w:tc>
        <w:tc>
          <w:tcPr>
            <w:tcW w:w="120" w:type="dxa"/>
            <w:vAlign w:val="bottom"/>
          </w:tcPr>
          <w:p>
            <w:pPr>
              <w:spacing w:after="0"/>
              <w:rPr>
                <w:sz w:val="20"/>
                <w:szCs w:val="20"/>
                <w:color w:val="auto"/>
              </w:rPr>
            </w:pPr>
          </w:p>
        </w:tc>
      </w:tr>
      <w:tr>
        <w:trPr>
          <w:trHeight w:val="248"/>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Gejiu City Fuxiang Industry and Trade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CID003410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Gejiu Kai Meng Industry and Trade LLC</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CID000942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Gejiu Yunxin Nonferrous Electrolysis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CID001908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Gejiu Zili Mining And Metallurgy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CID000555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Bangka Prima Tin</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CID002776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Mitra Stania Prima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CID001453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Mitra Sukses Globalindo</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CID003449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Prima Timah Utama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CID001458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Putera Sarana Shakti (PT PSS)</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CID003868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Timah Tbk Kundur</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CID001477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Timah Tbk Mentok</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CID001482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Rui Da Hung</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Taiwan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CID001539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Thaisarco</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Thailand</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CID001898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Tin Smelting Branch of Yunnan Tin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CID002180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Alpha Assembly Solutions Inc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CID000292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Aurubis Beerse</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Belgium</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CID002773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Aurubis Berango</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Spain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CID002774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Chenzhou Yunxiang Mining and Metallurgy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CID000228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Chifeng Dajingzi Tin Industry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CID003190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China Tin Group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CID001070</w:t>
            </w:r>
          </w:p>
        </w:tc>
        <w:tc>
          <w:tcPr>
            <w:tcW w:w="120" w:type="dxa"/>
            <w:vAlign w:val="bottom"/>
          </w:tcPr>
          <w:p>
            <w:pPr>
              <w:spacing w:after="0"/>
              <w:rPr>
                <w:sz w:val="21"/>
                <w:szCs w:val="21"/>
                <w:color w:val="auto"/>
              </w:rPr>
            </w:pPr>
          </w:p>
        </w:tc>
      </w:tr>
      <w:tr>
        <w:trPr>
          <w:trHeight w:val="182"/>
        </w:trPr>
        <w:tc>
          <w:tcPr>
            <w:tcW w:w="1180" w:type="dxa"/>
            <w:vAlign w:val="bottom"/>
            <w:tcBorders>
              <w:left w:val="single" w:sz="8" w:color="BFBFBF"/>
              <w:right w:val="single" w:sz="8" w:color="BFBFBF"/>
            </w:tcBorders>
            <w:shd w:val="clear" w:color="auto" w:fill="F2F2F2"/>
          </w:tcPr>
          <w:p>
            <w:pPr>
              <w:ind w:left="120"/>
              <w:spacing w:after="0" w:line="182" w:lineRule="exact"/>
              <w:rPr>
                <w:sz w:val="20"/>
                <w:szCs w:val="20"/>
                <w:color w:val="auto"/>
              </w:rPr>
            </w:pPr>
            <w:r>
              <w:rPr>
                <w:rFonts w:ascii="Arial" w:cs="Arial" w:eastAsia="Arial" w:hAnsi="Arial"/>
                <w:sz w:val="18"/>
                <w:szCs w:val="18"/>
                <w:b w:val="1"/>
                <w:bCs w:val="1"/>
                <w:color w:val="auto"/>
              </w:rPr>
              <w:t>Tin</w:t>
            </w:r>
          </w:p>
        </w:tc>
        <w:tc>
          <w:tcPr>
            <w:tcW w:w="6060" w:type="dxa"/>
            <w:vAlign w:val="bottom"/>
            <w:tcBorders>
              <w:right w:val="single" w:sz="8" w:color="BFBFBF"/>
            </w:tcBorders>
            <w:shd w:val="clear" w:color="auto" w:fill="F2F2F2"/>
          </w:tcPr>
          <w:p>
            <w:pPr>
              <w:ind w:left="80"/>
              <w:spacing w:after="0" w:line="182" w:lineRule="exact"/>
              <w:rPr>
                <w:sz w:val="20"/>
                <w:szCs w:val="20"/>
                <w:color w:val="auto"/>
              </w:rPr>
            </w:pPr>
            <w:r>
              <w:rPr>
                <w:rFonts w:ascii="Arial" w:cs="Arial" w:eastAsia="Arial" w:hAnsi="Arial"/>
                <w:sz w:val="18"/>
                <w:szCs w:val="18"/>
                <w:color w:val="auto"/>
              </w:rPr>
              <w:t>CRM Fundicao De Metais E Comercio De Equipamentos Eletronicos Do</w:t>
            </w:r>
          </w:p>
        </w:tc>
        <w:tc>
          <w:tcPr>
            <w:tcW w:w="2580" w:type="dxa"/>
            <w:vAlign w:val="bottom"/>
            <w:tcBorders>
              <w:right w:val="single" w:sz="8" w:color="BFBFBF"/>
            </w:tcBorders>
            <w:shd w:val="clear" w:color="auto" w:fill="F2F2F2"/>
          </w:tcPr>
          <w:p>
            <w:pPr>
              <w:ind w:left="100"/>
              <w:spacing w:after="0" w:line="182" w:lineRule="exact"/>
              <w:rPr>
                <w:sz w:val="20"/>
                <w:szCs w:val="20"/>
                <w:color w:val="auto"/>
              </w:rPr>
            </w:pPr>
            <w:r>
              <w:rPr>
                <w:rFonts w:ascii="Arial" w:cs="Arial" w:eastAsia="Arial" w:hAnsi="Arial"/>
                <w:sz w:val="18"/>
                <w:szCs w:val="18"/>
                <w:color w:val="auto"/>
              </w:rPr>
              <w:t>Brazil</w:t>
            </w:r>
          </w:p>
        </w:tc>
        <w:tc>
          <w:tcPr>
            <w:tcW w:w="1300" w:type="dxa"/>
            <w:vAlign w:val="bottom"/>
            <w:tcBorders>
              <w:right w:val="single" w:sz="8" w:color="BFBFBF"/>
            </w:tcBorders>
            <w:shd w:val="clear" w:color="auto" w:fill="F2F2F2"/>
          </w:tcPr>
          <w:p>
            <w:pPr>
              <w:ind w:left="100"/>
              <w:spacing w:after="0" w:line="182" w:lineRule="exact"/>
              <w:rPr>
                <w:sz w:val="20"/>
                <w:szCs w:val="20"/>
                <w:color w:val="auto"/>
              </w:rPr>
            </w:pPr>
            <w:r>
              <w:rPr>
                <w:rFonts w:ascii="Arial" w:cs="Arial" w:eastAsia="Arial" w:hAnsi="Arial"/>
                <w:sz w:val="18"/>
                <w:szCs w:val="18"/>
                <w:color w:val="auto"/>
              </w:rPr>
              <w:t>CID003486</w:t>
            </w:r>
          </w:p>
        </w:tc>
        <w:tc>
          <w:tcPr>
            <w:tcW w:w="120" w:type="dxa"/>
            <w:vAlign w:val="bottom"/>
          </w:tcPr>
          <w:p>
            <w:pPr>
              <w:spacing w:after="0"/>
              <w:rPr>
                <w:sz w:val="15"/>
                <w:szCs w:val="15"/>
                <w:color w:val="auto"/>
              </w:rPr>
            </w:pPr>
          </w:p>
        </w:tc>
      </w:tr>
      <w:tr>
        <w:trPr>
          <w:trHeight w:val="221"/>
        </w:trPr>
        <w:tc>
          <w:tcPr>
            <w:tcW w:w="1180" w:type="dxa"/>
            <w:vAlign w:val="bottom"/>
            <w:tcBorders>
              <w:left w:val="single" w:sz="8" w:color="BFBFBF"/>
              <w:bottom w:val="single" w:sz="8" w:color="BFBFBF"/>
              <w:right w:val="single" w:sz="8" w:color="BFBFBF"/>
            </w:tcBorders>
            <w:shd w:val="clear" w:color="auto" w:fill="F2F2F2"/>
          </w:tcPr>
          <w:p>
            <w:pPr>
              <w:spacing w:after="0"/>
              <w:rPr>
                <w:sz w:val="19"/>
                <w:szCs w:val="19"/>
                <w:color w:val="auto"/>
              </w:rPr>
            </w:pP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Brasil Ltda</w:t>
            </w:r>
          </w:p>
        </w:tc>
        <w:tc>
          <w:tcPr>
            <w:tcW w:w="2580" w:type="dxa"/>
            <w:vAlign w:val="bottom"/>
            <w:tcBorders>
              <w:bottom w:val="single" w:sz="8" w:color="BFBFBF"/>
              <w:right w:val="single" w:sz="8" w:color="BFBFBF"/>
            </w:tcBorders>
            <w:shd w:val="clear" w:color="auto" w:fill="F2F2F2"/>
          </w:tcPr>
          <w:p>
            <w:pPr>
              <w:spacing w:after="0"/>
              <w:rPr>
                <w:sz w:val="19"/>
                <w:szCs w:val="19"/>
                <w:color w:val="auto"/>
              </w:rPr>
            </w:pPr>
          </w:p>
        </w:tc>
        <w:tc>
          <w:tcPr>
            <w:tcW w:w="1300" w:type="dxa"/>
            <w:vAlign w:val="bottom"/>
            <w:tcBorders>
              <w:bottom w:val="single" w:sz="8" w:color="BFBFBF"/>
              <w:right w:val="single" w:sz="8" w:color="BFBFBF"/>
            </w:tcBorders>
            <w:shd w:val="clear" w:color="auto" w:fill="F2F2F2"/>
          </w:tcPr>
          <w:p>
            <w:pPr>
              <w:spacing w:after="0"/>
              <w:rPr>
                <w:sz w:val="19"/>
                <w:szCs w:val="19"/>
                <w:color w:val="auto"/>
              </w:rPr>
            </w:pPr>
          </w:p>
        </w:tc>
        <w:tc>
          <w:tcPr>
            <w:tcW w:w="120" w:type="dxa"/>
            <w:vAlign w:val="bottom"/>
          </w:tcPr>
          <w:p>
            <w:pPr>
              <w:spacing w:after="0"/>
              <w:rPr>
                <w:sz w:val="19"/>
                <w:szCs w:val="19"/>
                <w:color w:val="auto"/>
              </w:rPr>
            </w:pPr>
          </w:p>
        </w:tc>
      </w:tr>
      <w:tr>
        <w:trPr>
          <w:trHeight w:val="245"/>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CRM Synergies EMEA, S.L.U.</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Spain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CID003524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CV Ayi Jaya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CID002570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Empresa Metallurgica Vinto</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Bolivia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CID000438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Estanho de Rondonia S.A.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CID000448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Fabrica Auricchio Industria e Comercio Ltda.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CID003582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Fenix Metals</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Poland</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CID000468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Gejiu Non-Ferrous Metal Processing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CID000538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Guangdong Hanhe Non-ferrous Metal Limited Company</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CID003116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HuiChang Hill Tin Industry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CID002844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Jiangxi New Nanshan Technology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CID001231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Luna Smelter,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Rwanda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CID003387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Magnu's Minerais Metais e Ligas Ltda.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CID002468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Malaysia Smelting Corporation Berhad (Port Klang)</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Malaysia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CID004434</w:t>
            </w:r>
          </w:p>
        </w:tc>
        <w:tc>
          <w:tcPr>
            <w:tcW w:w="120" w:type="dxa"/>
            <w:vAlign w:val="bottom"/>
          </w:tcPr>
          <w:p>
            <w:pPr>
              <w:spacing w:after="0"/>
              <w:rPr>
                <w:sz w:val="21"/>
                <w:szCs w:val="21"/>
                <w:color w:val="auto"/>
              </w:rPr>
            </w:pPr>
          </w:p>
        </w:tc>
      </w:tr>
      <w:tr>
        <w:trPr>
          <w:trHeight w:val="182"/>
        </w:trPr>
        <w:tc>
          <w:tcPr>
            <w:tcW w:w="1180" w:type="dxa"/>
            <w:vAlign w:val="bottom"/>
            <w:tcBorders>
              <w:left w:val="single" w:sz="8" w:color="BFBFBF"/>
              <w:right w:val="single" w:sz="8" w:color="BFBFBF"/>
            </w:tcBorders>
            <w:shd w:val="clear" w:color="auto" w:fill="F2F2F2"/>
          </w:tcPr>
          <w:p>
            <w:pPr>
              <w:ind w:left="120"/>
              <w:spacing w:after="0" w:line="182" w:lineRule="exact"/>
              <w:rPr>
                <w:sz w:val="20"/>
                <w:szCs w:val="20"/>
                <w:color w:val="auto"/>
              </w:rPr>
            </w:pPr>
            <w:r>
              <w:rPr>
                <w:rFonts w:ascii="Arial" w:cs="Arial" w:eastAsia="Arial" w:hAnsi="Arial"/>
                <w:sz w:val="18"/>
                <w:szCs w:val="18"/>
                <w:b w:val="1"/>
                <w:bCs w:val="1"/>
                <w:color w:val="auto"/>
              </w:rPr>
              <w:t>Tin</w:t>
            </w:r>
          </w:p>
        </w:tc>
        <w:tc>
          <w:tcPr>
            <w:tcW w:w="6060" w:type="dxa"/>
            <w:vAlign w:val="bottom"/>
            <w:tcBorders>
              <w:right w:val="single" w:sz="8" w:color="BFBFBF"/>
            </w:tcBorders>
            <w:shd w:val="clear" w:color="auto" w:fill="F2F2F2"/>
          </w:tcPr>
          <w:p>
            <w:pPr>
              <w:ind w:left="80"/>
              <w:spacing w:after="0" w:line="182" w:lineRule="exact"/>
              <w:rPr>
                <w:sz w:val="20"/>
                <w:szCs w:val="20"/>
                <w:color w:val="auto"/>
              </w:rPr>
            </w:pPr>
            <w:r>
              <w:rPr>
                <w:rFonts w:ascii="Arial" w:cs="Arial" w:eastAsia="Arial" w:hAnsi="Arial"/>
                <w:sz w:val="18"/>
                <w:szCs w:val="18"/>
                <w:color w:val="auto"/>
              </w:rPr>
              <w:t>Longnan Chuangyue Environmental Protection Technology Development</w:t>
            </w:r>
          </w:p>
        </w:tc>
        <w:tc>
          <w:tcPr>
            <w:tcW w:w="2580" w:type="dxa"/>
            <w:vAlign w:val="bottom"/>
            <w:tcBorders>
              <w:right w:val="single" w:sz="8" w:color="BFBFBF"/>
            </w:tcBorders>
            <w:shd w:val="clear" w:color="auto" w:fill="F2F2F2"/>
          </w:tcPr>
          <w:p>
            <w:pPr>
              <w:ind w:left="100"/>
              <w:spacing w:after="0" w:line="182" w:lineRule="exact"/>
              <w:rPr>
                <w:sz w:val="20"/>
                <w:szCs w:val="20"/>
                <w:color w:val="auto"/>
              </w:rPr>
            </w:pPr>
            <w:r>
              <w:rPr>
                <w:rFonts w:ascii="Arial" w:cs="Arial" w:eastAsia="Arial" w:hAnsi="Arial"/>
                <w:sz w:val="18"/>
                <w:szCs w:val="18"/>
                <w:color w:val="auto"/>
              </w:rPr>
              <w:t>China</w:t>
            </w:r>
          </w:p>
        </w:tc>
        <w:tc>
          <w:tcPr>
            <w:tcW w:w="1300" w:type="dxa"/>
            <w:vAlign w:val="bottom"/>
            <w:tcBorders>
              <w:right w:val="single" w:sz="8" w:color="BFBFBF"/>
            </w:tcBorders>
            <w:shd w:val="clear" w:color="auto" w:fill="F2F2F2"/>
          </w:tcPr>
          <w:p>
            <w:pPr>
              <w:ind w:left="100"/>
              <w:spacing w:after="0" w:line="182" w:lineRule="exact"/>
              <w:rPr>
                <w:sz w:val="20"/>
                <w:szCs w:val="20"/>
                <w:color w:val="auto"/>
              </w:rPr>
            </w:pPr>
            <w:r>
              <w:rPr>
                <w:rFonts w:ascii="Arial" w:cs="Arial" w:eastAsia="Arial" w:hAnsi="Arial"/>
                <w:sz w:val="18"/>
                <w:szCs w:val="18"/>
                <w:color w:val="auto"/>
              </w:rPr>
              <w:t>CID004796</w:t>
            </w:r>
          </w:p>
        </w:tc>
        <w:tc>
          <w:tcPr>
            <w:tcW w:w="120" w:type="dxa"/>
            <w:vAlign w:val="bottom"/>
          </w:tcPr>
          <w:p>
            <w:pPr>
              <w:spacing w:after="0"/>
              <w:rPr>
                <w:sz w:val="15"/>
                <w:szCs w:val="15"/>
                <w:color w:val="auto"/>
              </w:rPr>
            </w:pPr>
          </w:p>
        </w:tc>
      </w:tr>
      <w:tr>
        <w:trPr>
          <w:trHeight w:val="221"/>
        </w:trPr>
        <w:tc>
          <w:tcPr>
            <w:tcW w:w="1180" w:type="dxa"/>
            <w:vAlign w:val="bottom"/>
            <w:tcBorders>
              <w:left w:val="single" w:sz="8" w:color="BFBFBF"/>
              <w:bottom w:val="single" w:sz="8" w:color="BFBFBF"/>
              <w:right w:val="single" w:sz="8" w:color="BFBFBF"/>
            </w:tcBorders>
            <w:shd w:val="clear" w:color="auto" w:fill="F2F2F2"/>
          </w:tcPr>
          <w:p>
            <w:pPr>
              <w:spacing w:after="0"/>
              <w:rPr>
                <w:sz w:val="19"/>
                <w:szCs w:val="19"/>
                <w:color w:val="auto"/>
              </w:rPr>
            </w:pP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Co., Ltd</w:t>
            </w:r>
          </w:p>
        </w:tc>
        <w:tc>
          <w:tcPr>
            <w:tcW w:w="2580" w:type="dxa"/>
            <w:vAlign w:val="bottom"/>
            <w:tcBorders>
              <w:bottom w:val="single" w:sz="8" w:color="BFBFBF"/>
              <w:right w:val="single" w:sz="8" w:color="BFBFBF"/>
            </w:tcBorders>
            <w:shd w:val="clear" w:color="auto" w:fill="F2F2F2"/>
          </w:tcPr>
          <w:p>
            <w:pPr>
              <w:spacing w:after="0"/>
              <w:rPr>
                <w:sz w:val="19"/>
                <w:szCs w:val="19"/>
                <w:color w:val="auto"/>
              </w:rPr>
            </w:pPr>
          </w:p>
        </w:tc>
        <w:tc>
          <w:tcPr>
            <w:tcW w:w="1300" w:type="dxa"/>
            <w:vAlign w:val="bottom"/>
            <w:tcBorders>
              <w:bottom w:val="single" w:sz="8" w:color="BFBFBF"/>
              <w:right w:val="single" w:sz="8" w:color="BFBFBF"/>
            </w:tcBorders>
            <w:shd w:val="clear" w:color="auto" w:fill="F2F2F2"/>
          </w:tcPr>
          <w:p>
            <w:pPr>
              <w:spacing w:after="0"/>
              <w:rPr>
                <w:sz w:val="19"/>
                <w:szCs w:val="19"/>
                <w:color w:val="auto"/>
              </w:rPr>
            </w:pPr>
          </w:p>
        </w:tc>
        <w:tc>
          <w:tcPr>
            <w:tcW w:w="120" w:type="dxa"/>
            <w:vAlign w:val="bottom"/>
          </w:tcPr>
          <w:p>
            <w:pPr>
              <w:spacing w:after="0"/>
              <w:rPr>
                <w:sz w:val="19"/>
                <w:szCs w:val="19"/>
                <w:color w:val="auto"/>
              </w:rPr>
            </w:pPr>
          </w:p>
        </w:tc>
      </w:tr>
      <w:tr>
        <w:trPr>
          <w:trHeight w:val="245"/>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Metallic Resources, Inc.</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CID001142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Ma'anshan Weitai Tin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CID003379</w:t>
            </w:r>
          </w:p>
        </w:tc>
        <w:tc>
          <w:tcPr>
            <w:tcW w:w="120" w:type="dxa"/>
            <w:vAlign w:val="bottom"/>
          </w:tcPr>
          <w:p>
            <w:pPr>
              <w:spacing w:after="0"/>
              <w:rPr>
                <w:sz w:val="21"/>
                <w:szCs w:val="21"/>
                <w:color w:val="auto"/>
              </w:rPr>
            </w:pPr>
          </w:p>
        </w:tc>
      </w:tr>
      <w:tr>
        <w:trPr>
          <w:trHeight w:val="182"/>
        </w:trPr>
        <w:tc>
          <w:tcPr>
            <w:tcW w:w="1180" w:type="dxa"/>
            <w:vAlign w:val="bottom"/>
            <w:tcBorders>
              <w:left w:val="single" w:sz="8" w:color="BFBFBF"/>
              <w:right w:val="single" w:sz="8" w:color="BFBFBF"/>
            </w:tcBorders>
          </w:tcPr>
          <w:p>
            <w:pPr>
              <w:ind w:left="120"/>
              <w:spacing w:after="0" w:line="182" w:lineRule="exact"/>
              <w:rPr>
                <w:sz w:val="20"/>
                <w:szCs w:val="20"/>
                <w:color w:val="auto"/>
              </w:rPr>
            </w:pPr>
            <w:r>
              <w:rPr>
                <w:rFonts w:ascii="Arial" w:cs="Arial" w:eastAsia="Arial" w:hAnsi="Arial"/>
                <w:sz w:val="18"/>
                <w:szCs w:val="18"/>
                <w:b w:val="1"/>
                <w:bCs w:val="1"/>
                <w:color w:val="auto"/>
              </w:rPr>
              <w:t>Tin</w:t>
            </w:r>
          </w:p>
        </w:tc>
        <w:tc>
          <w:tcPr>
            <w:tcW w:w="6060" w:type="dxa"/>
            <w:vAlign w:val="bottom"/>
            <w:tcBorders>
              <w:right w:val="single" w:sz="8" w:color="BFBFBF"/>
            </w:tcBorders>
          </w:tcPr>
          <w:p>
            <w:pPr>
              <w:ind w:left="80"/>
              <w:spacing w:after="0" w:line="182" w:lineRule="exact"/>
              <w:rPr>
                <w:sz w:val="20"/>
                <w:szCs w:val="20"/>
                <w:color w:val="auto"/>
              </w:rPr>
            </w:pPr>
            <w:r>
              <w:rPr>
                <w:rFonts w:ascii="Arial" w:cs="Arial" w:eastAsia="Arial" w:hAnsi="Arial"/>
                <w:sz w:val="18"/>
                <w:szCs w:val="18"/>
                <w:color w:val="auto"/>
              </w:rPr>
              <w:t>Mining Minerals Resources SARL</w:t>
            </w:r>
          </w:p>
        </w:tc>
        <w:tc>
          <w:tcPr>
            <w:tcW w:w="2580" w:type="dxa"/>
            <w:vAlign w:val="bottom"/>
            <w:tcBorders>
              <w:right w:val="single" w:sz="8" w:color="BFBFBF"/>
            </w:tcBorders>
          </w:tcPr>
          <w:p>
            <w:pPr>
              <w:ind w:left="100"/>
              <w:spacing w:after="0" w:line="182" w:lineRule="exact"/>
              <w:rPr>
                <w:sz w:val="20"/>
                <w:szCs w:val="20"/>
                <w:color w:val="auto"/>
              </w:rPr>
            </w:pPr>
            <w:r>
              <w:rPr>
                <w:rFonts w:ascii="Arial" w:cs="Arial" w:eastAsia="Arial" w:hAnsi="Arial"/>
                <w:sz w:val="18"/>
                <w:szCs w:val="18"/>
                <w:color w:val="auto"/>
              </w:rPr>
              <w:t>Democratic Republic of the</w:t>
            </w:r>
          </w:p>
        </w:tc>
        <w:tc>
          <w:tcPr>
            <w:tcW w:w="1300" w:type="dxa"/>
            <w:vAlign w:val="bottom"/>
            <w:tcBorders>
              <w:right w:val="single" w:sz="8" w:color="BFBFBF"/>
            </w:tcBorders>
          </w:tcPr>
          <w:p>
            <w:pPr>
              <w:ind w:left="100"/>
              <w:spacing w:after="0" w:line="182" w:lineRule="exact"/>
              <w:rPr>
                <w:sz w:val="20"/>
                <w:szCs w:val="20"/>
                <w:color w:val="auto"/>
              </w:rPr>
            </w:pPr>
            <w:r>
              <w:rPr>
                <w:rFonts w:ascii="Arial" w:cs="Arial" w:eastAsia="Arial" w:hAnsi="Arial"/>
                <w:sz w:val="18"/>
                <w:szCs w:val="18"/>
                <w:color w:val="auto"/>
              </w:rPr>
              <w:t>CID004065</w:t>
            </w:r>
          </w:p>
        </w:tc>
        <w:tc>
          <w:tcPr>
            <w:tcW w:w="120" w:type="dxa"/>
            <w:vAlign w:val="bottom"/>
          </w:tcPr>
          <w:p>
            <w:pPr>
              <w:spacing w:after="0"/>
              <w:rPr>
                <w:sz w:val="15"/>
                <w:szCs w:val="15"/>
                <w:color w:val="auto"/>
              </w:rPr>
            </w:pPr>
          </w:p>
        </w:tc>
      </w:tr>
      <w:tr>
        <w:trPr>
          <w:trHeight w:val="221"/>
        </w:trPr>
        <w:tc>
          <w:tcPr>
            <w:tcW w:w="1180" w:type="dxa"/>
            <w:vAlign w:val="bottom"/>
            <w:tcBorders>
              <w:left w:val="single" w:sz="8" w:color="BFBFBF"/>
              <w:bottom w:val="single" w:sz="8" w:color="BFBFBF"/>
              <w:right w:val="single" w:sz="8" w:color="BFBFBF"/>
            </w:tcBorders>
          </w:tcPr>
          <w:p>
            <w:pPr>
              <w:spacing w:after="0"/>
              <w:rPr>
                <w:sz w:val="19"/>
                <w:szCs w:val="19"/>
                <w:color w:val="auto"/>
              </w:rPr>
            </w:pPr>
          </w:p>
        </w:tc>
        <w:tc>
          <w:tcPr>
            <w:tcW w:w="6060" w:type="dxa"/>
            <w:vAlign w:val="bottom"/>
            <w:tcBorders>
              <w:bottom w:val="single" w:sz="8" w:color="BFBFBF"/>
              <w:right w:val="single" w:sz="8" w:color="BFBFBF"/>
            </w:tcBorders>
          </w:tcPr>
          <w:p>
            <w:pPr>
              <w:spacing w:after="0"/>
              <w:rPr>
                <w:sz w:val="19"/>
                <w:szCs w:val="19"/>
                <w:color w:val="auto"/>
              </w:rPr>
            </w:pP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Congo</w:t>
            </w:r>
          </w:p>
        </w:tc>
        <w:tc>
          <w:tcPr>
            <w:tcW w:w="1300" w:type="dxa"/>
            <w:vAlign w:val="bottom"/>
            <w:tcBorders>
              <w:bottom w:val="single" w:sz="8" w:color="BFBFBF"/>
              <w:right w:val="single" w:sz="8" w:color="BFBFBF"/>
            </w:tcBorders>
          </w:tcPr>
          <w:p>
            <w:pPr>
              <w:spacing w:after="0"/>
              <w:rPr>
                <w:sz w:val="19"/>
                <w:szCs w:val="19"/>
                <w:color w:val="auto"/>
              </w:rPr>
            </w:pPr>
          </w:p>
        </w:tc>
        <w:tc>
          <w:tcPr>
            <w:tcW w:w="120" w:type="dxa"/>
            <w:vAlign w:val="bottom"/>
          </w:tcPr>
          <w:p>
            <w:pPr>
              <w:spacing w:after="0"/>
              <w:rPr>
                <w:sz w:val="19"/>
                <w:szCs w:val="19"/>
                <w:color w:val="auto"/>
              </w:rPr>
            </w:pPr>
          </w:p>
        </w:tc>
      </w:tr>
      <w:tr>
        <w:trPr>
          <w:trHeight w:val="245"/>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Mitsubishi Materials Corporation</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CID001191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Melt Metais e Ligas S.A.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CID002500</w:t>
            </w:r>
          </w:p>
        </w:tc>
        <w:tc>
          <w:tcPr>
            <w:tcW w:w="120" w:type="dxa"/>
            <w:vAlign w:val="bottom"/>
          </w:tcPr>
          <w:p>
            <w:pPr>
              <w:spacing w:after="0"/>
              <w:rPr>
                <w:sz w:val="21"/>
                <w:szCs w:val="21"/>
                <w:color w:val="auto"/>
              </w:rPr>
            </w:pPr>
          </w:p>
        </w:tc>
      </w:tr>
      <w:tr>
        <w:trPr>
          <w:trHeight w:val="233"/>
        </w:trPr>
        <w:tc>
          <w:tcPr>
            <w:tcW w:w="1180" w:type="dxa"/>
            <w:vAlign w:val="bottom"/>
          </w:tcPr>
          <w:p>
            <w:pPr>
              <w:spacing w:after="0"/>
              <w:rPr>
                <w:sz w:val="20"/>
                <w:szCs w:val="20"/>
                <w:color w:val="auto"/>
              </w:rPr>
            </w:pPr>
          </w:p>
        </w:tc>
        <w:tc>
          <w:tcPr>
            <w:tcW w:w="60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15</w:t>
            </w: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988"/>
        </w:trPr>
        <w:tc>
          <w:tcPr>
            <w:tcW w:w="11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77"/>
        </w:trPr>
        <w:tc>
          <w:tcPr>
            <w:tcW w:w="1180" w:type="dxa"/>
            <w:vAlign w:val="bottom"/>
            <w:tcBorders>
              <w:top w:val="single" w:sz="8" w:color="BFBFBF"/>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top w:val="single" w:sz="8" w:color="BFBFBF"/>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O.M. Manufacturing (Thailand) Co., Ltd.</w:t>
            </w:r>
          </w:p>
        </w:tc>
        <w:tc>
          <w:tcPr>
            <w:tcW w:w="2580" w:type="dxa"/>
            <w:vAlign w:val="bottom"/>
            <w:tcBorders>
              <w:top w:val="single" w:sz="8" w:color="BFBFBF"/>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Thailand</w:t>
            </w:r>
          </w:p>
        </w:tc>
        <w:tc>
          <w:tcPr>
            <w:tcW w:w="1300" w:type="dxa"/>
            <w:vAlign w:val="bottom"/>
            <w:tcBorders>
              <w:top w:val="single" w:sz="8" w:color="BFBFBF"/>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CID001314</w:t>
            </w:r>
          </w:p>
        </w:tc>
        <w:tc>
          <w:tcPr>
            <w:tcW w:w="120" w:type="dxa"/>
            <w:vAlign w:val="bottom"/>
          </w:tcPr>
          <w:p>
            <w:pPr>
              <w:spacing w:after="0"/>
              <w:rPr>
                <w:sz w:val="24"/>
                <w:szCs w:val="24"/>
                <w:color w:val="auto"/>
              </w:rPr>
            </w:pPr>
          </w:p>
        </w:tc>
      </w:tr>
      <w:tr>
        <w:trPr>
          <w:trHeight w:val="23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O.M. Manufacturing Philippines, Inc.</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Philippines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CID002517</w:t>
            </w:r>
          </w:p>
        </w:tc>
        <w:tc>
          <w:tcPr>
            <w:tcW w:w="120" w:type="dxa"/>
            <w:vAlign w:val="bottom"/>
          </w:tcPr>
          <w:p>
            <w:pPr>
              <w:spacing w:after="0"/>
              <w:rPr>
                <w:sz w:val="20"/>
                <w:szCs w:val="20"/>
                <w:color w:val="auto"/>
              </w:rPr>
            </w:pPr>
          </w:p>
        </w:tc>
      </w:tr>
      <w:tr>
        <w:trPr>
          <w:trHeight w:val="248"/>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Operaciones Metalurgicas S.A.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Bolivia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CID001337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Artha Cipta Langgeng</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CID001399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ATD Makmur Mandiri Jaya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CID002503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Modeltech Sdn Bhd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Malaysia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CID002858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Cipta Persada Mulia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CID002696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Premium Tin Indonesia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CID000313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Nghe Tinh Non-Ferrous Metals Joint Stock Company</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Viet Nam</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CID002573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Rajehan Ariq</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CID002593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Resind Industria e Comercio Ltda.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CID002706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Novosibirsk Tin Combine</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CID001305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Super Ligas</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CID002756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Tin Technology &amp; Refining</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CID003325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White Solder Metalurgia e Mineracao Ltda.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CID002036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Yunnan Yunfan Non-ferrous Metals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CID003397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Global Advanced Metals Greenbushes Pty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Australia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CID004754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Pongpipat Company Limited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Myanmar</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CID003208</w:t>
            </w:r>
          </w:p>
        </w:tc>
        <w:tc>
          <w:tcPr>
            <w:tcW w:w="120" w:type="dxa"/>
            <w:vAlign w:val="bottom"/>
          </w:tcPr>
          <w:p>
            <w:pPr>
              <w:spacing w:after="0"/>
              <w:rPr>
                <w:sz w:val="21"/>
                <w:szCs w:val="21"/>
                <w:color w:val="auto"/>
              </w:rPr>
            </w:pPr>
          </w:p>
        </w:tc>
      </w:tr>
      <w:tr>
        <w:trPr>
          <w:trHeight w:val="182"/>
        </w:trPr>
        <w:tc>
          <w:tcPr>
            <w:tcW w:w="1180" w:type="dxa"/>
            <w:vAlign w:val="bottom"/>
            <w:tcBorders>
              <w:left w:val="single" w:sz="8" w:color="BFBFBF"/>
              <w:right w:val="single" w:sz="8" w:color="BFBFBF"/>
            </w:tcBorders>
            <w:shd w:val="clear" w:color="auto" w:fill="F2F2F2"/>
          </w:tcPr>
          <w:p>
            <w:pPr>
              <w:ind w:left="120"/>
              <w:spacing w:after="0" w:line="182" w:lineRule="exact"/>
              <w:rPr>
                <w:sz w:val="20"/>
                <w:szCs w:val="20"/>
                <w:color w:val="auto"/>
              </w:rPr>
            </w:pPr>
            <w:r>
              <w:rPr>
                <w:rFonts w:ascii="Arial" w:cs="Arial" w:eastAsia="Arial" w:hAnsi="Arial"/>
                <w:sz w:val="18"/>
                <w:szCs w:val="18"/>
                <w:b w:val="1"/>
                <w:bCs w:val="1"/>
                <w:color w:val="auto"/>
              </w:rPr>
              <w:t>Tin</w:t>
            </w:r>
          </w:p>
        </w:tc>
        <w:tc>
          <w:tcPr>
            <w:tcW w:w="6060" w:type="dxa"/>
            <w:vAlign w:val="bottom"/>
            <w:tcBorders>
              <w:right w:val="single" w:sz="8" w:color="BFBFBF"/>
            </w:tcBorders>
            <w:shd w:val="clear" w:color="auto" w:fill="F2F2F2"/>
          </w:tcPr>
          <w:p>
            <w:pPr>
              <w:ind w:left="80"/>
              <w:spacing w:after="0" w:line="182" w:lineRule="exact"/>
              <w:rPr>
                <w:sz w:val="20"/>
                <w:szCs w:val="20"/>
                <w:color w:val="auto"/>
              </w:rPr>
            </w:pPr>
            <w:r>
              <w:rPr>
                <w:rFonts w:ascii="Arial" w:cs="Arial" w:eastAsia="Arial" w:hAnsi="Arial"/>
                <w:sz w:val="18"/>
                <w:szCs w:val="18"/>
                <w:color w:val="auto"/>
              </w:rPr>
              <w:t>Takehara PVD Materials Plant / PVD Materials Division of MITSUI</w:t>
            </w:r>
          </w:p>
        </w:tc>
        <w:tc>
          <w:tcPr>
            <w:tcW w:w="2580" w:type="dxa"/>
            <w:vAlign w:val="bottom"/>
            <w:tcBorders>
              <w:right w:val="single" w:sz="8" w:color="BFBFBF"/>
            </w:tcBorders>
            <w:shd w:val="clear" w:color="auto" w:fill="F2F2F2"/>
          </w:tcPr>
          <w:p>
            <w:pPr>
              <w:ind w:left="100"/>
              <w:spacing w:after="0" w:line="182" w:lineRule="exact"/>
              <w:rPr>
                <w:sz w:val="20"/>
                <w:szCs w:val="20"/>
                <w:color w:val="auto"/>
              </w:rPr>
            </w:pPr>
            <w:r>
              <w:rPr>
                <w:rFonts w:ascii="Arial" w:cs="Arial" w:eastAsia="Arial" w:hAnsi="Arial"/>
                <w:sz w:val="18"/>
                <w:szCs w:val="18"/>
                <w:color w:val="auto"/>
              </w:rPr>
              <w:t>Japan</w:t>
            </w:r>
          </w:p>
        </w:tc>
        <w:tc>
          <w:tcPr>
            <w:tcW w:w="1300" w:type="dxa"/>
            <w:vAlign w:val="bottom"/>
            <w:tcBorders>
              <w:right w:val="single" w:sz="8" w:color="BFBFBF"/>
            </w:tcBorders>
            <w:shd w:val="clear" w:color="auto" w:fill="F2F2F2"/>
          </w:tcPr>
          <w:p>
            <w:pPr>
              <w:ind w:left="100"/>
              <w:spacing w:after="0" w:line="182" w:lineRule="exact"/>
              <w:rPr>
                <w:sz w:val="20"/>
                <w:szCs w:val="20"/>
                <w:color w:val="auto"/>
              </w:rPr>
            </w:pPr>
            <w:r>
              <w:rPr>
                <w:rFonts w:ascii="Arial" w:cs="Arial" w:eastAsia="Arial" w:hAnsi="Arial"/>
                <w:sz w:val="18"/>
                <w:szCs w:val="18"/>
                <w:color w:val="auto"/>
              </w:rPr>
              <w:t>CID004403</w:t>
            </w:r>
          </w:p>
        </w:tc>
        <w:tc>
          <w:tcPr>
            <w:tcW w:w="120" w:type="dxa"/>
            <w:vAlign w:val="bottom"/>
          </w:tcPr>
          <w:p>
            <w:pPr>
              <w:spacing w:after="0"/>
              <w:rPr>
                <w:sz w:val="15"/>
                <w:szCs w:val="15"/>
                <w:color w:val="auto"/>
              </w:rPr>
            </w:pPr>
          </w:p>
        </w:tc>
      </w:tr>
      <w:tr>
        <w:trPr>
          <w:trHeight w:val="221"/>
        </w:trPr>
        <w:tc>
          <w:tcPr>
            <w:tcW w:w="1180" w:type="dxa"/>
            <w:vAlign w:val="bottom"/>
            <w:tcBorders>
              <w:left w:val="single" w:sz="8" w:color="BFBFBF"/>
              <w:bottom w:val="single" w:sz="8" w:color="BFBFBF"/>
              <w:right w:val="single" w:sz="8" w:color="BFBFBF"/>
            </w:tcBorders>
            <w:shd w:val="clear" w:color="auto" w:fill="F2F2F2"/>
          </w:tcPr>
          <w:p>
            <w:pPr>
              <w:spacing w:after="0"/>
              <w:rPr>
                <w:sz w:val="19"/>
                <w:szCs w:val="19"/>
                <w:color w:val="auto"/>
              </w:rPr>
            </w:pP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MINING &amp; SMELTING CO., LTD.</w:t>
            </w:r>
          </w:p>
        </w:tc>
        <w:tc>
          <w:tcPr>
            <w:tcW w:w="2580" w:type="dxa"/>
            <w:vAlign w:val="bottom"/>
            <w:tcBorders>
              <w:bottom w:val="single" w:sz="8" w:color="BFBFBF"/>
              <w:right w:val="single" w:sz="8" w:color="BFBFBF"/>
            </w:tcBorders>
            <w:shd w:val="clear" w:color="auto" w:fill="F2F2F2"/>
          </w:tcPr>
          <w:p>
            <w:pPr>
              <w:spacing w:after="0"/>
              <w:rPr>
                <w:sz w:val="19"/>
                <w:szCs w:val="19"/>
                <w:color w:val="auto"/>
              </w:rPr>
            </w:pPr>
          </w:p>
        </w:tc>
        <w:tc>
          <w:tcPr>
            <w:tcW w:w="1300" w:type="dxa"/>
            <w:vAlign w:val="bottom"/>
            <w:tcBorders>
              <w:bottom w:val="single" w:sz="8" w:color="BFBFBF"/>
              <w:right w:val="single" w:sz="8" w:color="BFBFBF"/>
            </w:tcBorders>
            <w:shd w:val="clear" w:color="auto" w:fill="F2F2F2"/>
          </w:tcPr>
          <w:p>
            <w:pPr>
              <w:spacing w:after="0"/>
              <w:rPr>
                <w:sz w:val="19"/>
                <w:szCs w:val="19"/>
                <w:color w:val="auto"/>
              </w:rPr>
            </w:pPr>
          </w:p>
        </w:tc>
        <w:tc>
          <w:tcPr>
            <w:tcW w:w="120" w:type="dxa"/>
            <w:vAlign w:val="bottom"/>
          </w:tcPr>
          <w:p>
            <w:pPr>
              <w:spacing w:after="0"/>
              <w:rPr>
                <w:sz w:val="19"/>
                <w:szCs w:val="19"/>
                <w:color w:val="auto"/>
              </w:rPr>
            </w:pPr>
          </w:p>
        </w:tc>
      </w:tr>
      <w:tr>
        <w:trPr>
          <w:trHeight w:val="245"/>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Woodcross Smelting Company Limited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Uganda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CID004724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Mitra Graha Raya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CID004685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Panca Mega Persada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CID001457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Tirus Putra Mandiri</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CID002478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Dongguan Best Alloys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CID000377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 Kay Metal, Inc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CID005189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Soft Metais Ltda.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CID001758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RIKAYAA GREENTECH PRIVATE LIMITED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CID004692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Tuyen Quang Non-Ferrous Metals Joint Stock Company</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Viet Nam</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CID002574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VQB Mineral and Trading Group JSC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Viet Nam</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CID002015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Masbro Alam Stania</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CID003380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Chofu Works</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CID002786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CNMC (Guangxi) PGMA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CID000278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CV United Smelting</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CID000315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Dingnan Jiawang environmental Tin technology Co.</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CID000357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Dongguan City Xida Soldering Tin Products Co.</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CID000376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Dragon Silver Holdings Limited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CID003579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Gejiu Yunxi Group Corp.</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CID000553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GUANGXI HUA TIN GOLD MINUTE FEE,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CID002274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Guangxi Nonferrous Metals Group</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CID000626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Guangxi Zhongshan Jin Yi Smelting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CID000628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Hezhou Jinwei Tin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CID000720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Hongqiao Metals (Kunshan)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CID002635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Jean Goldschmidt International (JGI Hydrometal)</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Belgium</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CID000835</w:t>
            </w:r>
          </w:p>
        </w:tc>
        <w:tc>
          <w:tcPr>
            <w:tcW w:w="120" w:type="dxa"/>
            <w:vAlign w:val="bottom"/>
          </w:tcPr>
          <w:p>
            <w:pPr>
              <w:spacing w:after="0"/>
              <w:rPr>
                <w:sz w:val="21"/>
                <w:szCs w:val="21"/>
                <w:color w:val="auto"/>
              </w:rPr>
            </w:pPr>
          </w:p>
        </w:tc>
      </w:tr>
      <w:tr>
        <w:trPr>
          <w:trHeight w:val="233"/>
        </w:trPr>
        <w:tc>
          <w:tcPr>
            <w:tcW w:w="1180" w:type="dxa"/>
            <w:vAlign w:val="bottom"/>
          </w:tcPr>
          <w:p>
            <w:pPr>
              <w:spacing w:after="0"/>
              <w:rPr>
                <w:sz w:val="20"/>
                <w:szCs w:val="20"/>
                <w:color w:val="auto"/>
              </w:rPr>
            </w:pPr>
          </w:p>
        </w:tc>
        <w:tc>
          <w:tcPr>
            <w:tcW w:w="60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16</w:t>
            </w: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988"/>
        </w:trPr>
        <w:tc>
          <w:tcPr>
            <w:tcW w:w="11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82"/>
        </w:trPr>
        <w:tc>
          <w:tcPr>
            <w:tcW w:w="1180" w:type="dxa"/>
            <w:vAlign w:val="bottom"/>
            <w:tcBorders>
              <w:top w:val="single" w:sz="8" w:color="BFBFBF"/>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top w:val="single" w:sz="8" w:color="BFBFBF"/>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Jiang Xi Jia Wang Technology Tin Products Environmental Ltd.</w:t>
            </w:r>
          </w:p>
        </w:tc>
        <w:tc>
          <w:tcPr>
            <w:tcW w:w="2580" w:type="dxa"/>
            <w:vAlign w:val="bottom"/>
            <w:tcBorders>
              <w:top w:val="single" w:sz="8" w:color="BFBFBF"/>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top w:val="single" w:sz="8" w:color="BFBFBF"/>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CID000841</w:t>
            </w:r>
          </w:p>
        </w:tc>
        <w:tc>
          <w:tcPr>
            <w:tcW w:w="120" w:type="dxa"/>
            <w:vAlign w:val="bottom"/>
          </w:tcPr>
          <w:p>
            <w:pPr>
              <w:spacing w:after="0"/>
              <w:rPr>
                <w:sz w:val="24"/>
                <w:szCs w:val="24"/>
                <w:color w:val="auto"/>
              </w:rPr>
            </w:pPr>
          </w:p>
        </w:tc>
      </w:tr>
      <w:tr>
        <w:trPr>
          <w:trHeight w:val="230"/>
        </w:trPr>
        <w:tc>
          <w:tcPr>
            <w:tcW w:w="1180" w:type="dxa"/>
            <w:vAlign w:val="bottom"/>
            <w:tcBorders>
              <w:top w:val="single" w:sz="8" w:color="BFBFBF"/>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top w:val="single" w:sz="8" w:color="F2F2F2"/>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Jiangxi Yaosheng Tungsten Co., Ltd.</w:t>
            </w:r>
          </w:p>
        </w:tc>
        <w:tc>
          <w:tcPr>
            <w:tcW w:w="2580" w:type="dxa"/>
            <w:vAlign w:val="bottom"/>
            <w:tcBorders>
              <w:top w:val="single" w:sz="8" w:color="F2F2F2"/>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top w:val="single" w:sz="8" w:color="F2F2F2"/>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CID002819</w:t>
            </w:r>
          </w:p>
        </w:tc>
        <w:tc>
          <w:tcPr>
            <w:tcW w:w="120" w:type="dxa"/>
            <w:vAlign w:val="bottom"/>
          </w:tcPr>
          <w:p>
            <w:pPr>
              <w:spacing w:after="0"/>
              <w:rPr>
                <w:sz w:val="20"/>
                <w:szCs w:val="20"/>
                <w:color w:val="auto"/>
              </w:rPr>
            </w:pPr>
          </w:p>
        </w:tc>
      </w:tr>
      <w:tr>
        <w:trPr>
          <w:trHeight w:val="248"/>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LIAN JING</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CID002281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Ma An Shan Shu Guang Smelter Corp.</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CID001098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Materials Eco-Refining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CID001112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Metahub Industries Sdn. Bhd.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Malaysia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CID001136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Minchali Metal Industry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Taiwan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CID001172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Ming Li Jia smelt Metal Factory</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CID001177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Karimun Mining</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CID001448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Koba Tin</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CID001449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Rian Resources SDN. BHD.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Malaysia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CID003581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Shan Tou Shi Yong Yuan Jin Shu Zai Sheng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CID001606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Shangrao Xuri Smelting Factory</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CID001648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Shenzhen Hong Chang Metal Manufacturing Factory</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CID001694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Sichuan Guanghan Jiangnan casting smelters</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CID001731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Sigma Tin Alloy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CID002408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Suzhou Nuonengda Chemical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CID001822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TIN PLATING GEJIU</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CID001932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Top-Team Technology (Shenzhen)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CID001954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WUJIANG CITY LUXE TIN FACTORY</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CID002057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Xin Furukawa Metal ( Wuxi )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CID002090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XURI</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CID002099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Yifeng Tin</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CID002121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Yuecheng Tin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CID002147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Yunnan Chengo Electric Smelting Plant</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CID002162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Yunnan Copper Zinc Industry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CID002164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Yunnan Industrial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CID002173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Tin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Yunnan Malipo Baiyi Kuangye Co.</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CID002309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ACL Metais Eireli</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CID002833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Albasteel Industria e Comercio de Ligas Para Fundicao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CID003427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Artek LLC</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CID003553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CNMC (Guangxi) PGMA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CID000281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DONGKUK INDUSTRIES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KOREA, REPUBLIC OF</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CID004060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Fujian Xinlu Tungsten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CID003609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Ganzhou Jiangwu Ferrotungsten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CID002315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HANNAE FOR T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KOREA, REPUBLIC OF</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CID003978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Hunan Chenzhou Mining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CID000766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Hunan Jintai New Material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CID000769</w:t>
            </w:r>
          </w:p>
        </w:tc>
        <w:tc>
          <w:tcPr>
            <w:tcW w:w="120" w:type="dxa"/>
            <w:vAlign w:val="bottom"/>
          </w:tcPr>
          <w:p>
            <w:pPr>
              <w:spacing w:after="0"/>
              <w:rPr>
                <w:sz w:val="21"/>
                <w:szCs w:val="21"/>
                <w:color w:val="auto"/>
              </w:rPr>
            </w:pPr>
          </w:p>
        </w:tc>
      </w:tr>
      <w:tr>
        <w:trPr>
          <w:trHeight w:val="182"/>
        </w:trPr>
        <w:tc>
          <w:tcPr>
            <w:tcW w:w="1180" w:type="dxa"/>
            <w:vAlign w:val="bottom"/>
            <w:tcBorders>
              <w:left w:val="single" w:sz="8" w:color="BFBFBF"/>
              <w:right w:val="single" w:sz="8" w:color="BFBFBF"/>
            </w:tcBorders>
          </w:tcPr>
          <w:p>
            <w:pPr>
              <w:ind w:left="120"/>
              <w:spacing w:after="0" w:line="182" w:lineRule="exact"/>
              <w:rPr>
                <w:sz w:val="20"/>
                <w:szCs w:val="20"/>
                <w:color w:val="auto"/>
              </w:rPr>
            </w:pPr>
            <w:r>
              <w:rPr>
                <w:rFonts w:ascii="Arial" w:cs="Arial" w:eastAsia="Arial" w:hAnsi="Arial"/>
                <w:sz w:val="18"/>
                <w:szCs w:val="18"/>
                <w:b w:val="1"/>
                <w:bCs w:val="1"/>
                <w:color w:val="auto"/>
              </w:rPr>
              <w:t>Tungsten</w:t>
            </w:r>
          </w:p>
        </w:tc>
        <w:tc>
          <w:tcPr>
            <w:tcW w:w="6060" w:type="dxa"/>
            <w:vAlign w:val="bottom"/>
            <w:tcBorders>
              <w:right w:val="single" w:sz="8" w:color="BFBFBF"/>
            </w:tcBorders>
          </w:tcPr>
          <w:p>
            <w:pPr>
              <w:ind w:left="80"/>
              <w:spacing w:after="0" w:line="182" w:lineRule="exact"/>
              <w:rPr>
                <w:sz w:val="20"/>
                <w:szCs w:val="20"/>
                <w:color w:val="auto"/>
              </w:rPr>
            </w:pPr>
            <w:r>
              <w:rPr>
                <w:rFonts w:ascii="Arial" w:cs="Arial" w:eastAsia="Arial" w:hAnsi="Arial"/>
                <w:sz w:val="18"/>
                <w:szCs w:val="18"/>
                <w:color w:val="auto"/>
              </w:rPr>
              <w:t>Hunan Shizhuyuan Nonferrous Metals Co., Ltd. Chenzhou Tungsten</w:t>
            </w:r>
          </w:p>
        </w:tc>
        <w:tc>
          <w:tcPr>
            <w:tcW w:w="2580" w:type="dxa"/>
            <w:vAlign w:val="bottom"/>
            <w:tcBorders>
              <w:right w:val="single" w:sz="8" w:color="BFBFBF"/>
            </w:tcBorders>
          </w:tcPr>
          <w:p>
            <w:pPr>
              <w:ind w:left="100"/>
              <w:spacing w:after="0" w:line="182" w:lineRule="exact"/>
              <w:rPr>
                <w:sz w:val="20"/>
                <w:szCs w:val="20"/>
                <w:color w:val="auto"/>
              </w:rPr>
            </w:pPr>
            <w:r>
              <w:rPr>
                <w:rFonts w:ascii="Arial" w:cs="Arial" w:eastAsia="Arial" w:hAnsi="Arial"/>
                <w:sz w:val="18"/>
                <w:szCs w:val="18"/>
                <w:color w:val="auto"/>
              </w:rPr>
              <w:t>China</w:t>
            </w:r>
          </w:p>
        </w:tc>
        <w:tc>
          <w:tcPr>
            <w:tcW w:w="1300" w:type="dxa"/>
            <w:vAlign w:val="bottom"/>
            <w:tcBorders>
              <w:right w:val="single" w:sz="8" w:color="BFBFBF"/>
            </w:tcBorders>
          </w:tcPr>
          <w:p>
            <w:pPr>
              <w:ind w:left="100"/>
              <w:spacing w:after="0" w:line="182" w:lineRule="exact"/>
              <w:rPr>
                <w:sz w:val="20"/>
                <w:szCs w:val="20"/>
                <w:color w:val="auto"/>
              </w:rPr>
            </w:pPr>
            <w:r>
              <w:rPr>
                <w:rFonts w:ascii="Arial" w:cs="Arial" w:eastAsia="Arial" w:hAnsi="Arial"/>
                <w:sz w:val="18"/>
                <w:szCs w:val="18"/>
                <w:color w:val="auto"/>
              </w:rPr>
              <w:t>CID002513</w:t>
            </w:r>
          </w:p>
        </w:tc>
        <w:tc>
          <w:tcPr>
            <w:tcW w:w="120" w:type="dxa"/>
            <w:vAlign w:val="bottom"/>
          </w:tcPr>
          <w:p>
            <w:pPr>
              <w:spacing w:after="0"/>
              <w:rPr>
                <w:sz w:val="15"/>
                <w:szCs w:val="15"/>
                <w:color w:val="auto"/>
              </w:rPr>
            </w:pPr>
          </w:p>
        </w:tc>
      </w:tr>
      <w:tr>
        <w:trPr>
          <w:trHeight w:val="221"/>
        </w:trPr>
        <w:tc>
          <w:tcPr>
            <w:tcW w:w="1180" w:type="dxa"/>
            <w:vAlign w:val="bottom"/>
            <w:tcBorders>
              <w:left w:val="single" w:sz="8" w:color="BFBFBF"/>
              <w:bottom w:val="single" w:sz="8" w:color="BFBFBF"/>
              <w:right w:val="single" w:sz="8" w:color="BFBFBF"/>
            </w:tcBorders>
          </w:tcPr>
          <w:p>
            <w:pPr>
              <w:spacing w:after="0"/>
              <w:rPr>
                <w:sz w:val="19"/>
                <w:szCs w:val="19"/>
                <w:color w:val="auto"/>
              </w:rPr>
            </w:pP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Products Branch</w:t>
            </w:r>
          </w:p>
        </w:tc>
        <w:tc>
          <w:tcPr>
            <w:tcW w:w="2580" w:type="dxa"/>
            <w:vAlign w:val="bottom"/>
            <w:tcBorders>
              <w:bottom w:val="single" w:sz="8" w:color="BFBFBF"/>
              <w:right w:val="single" w:sz="8" w:color="BFBFBF"/>
            </w:tcBorders>
          </w:tcPr>
          <w:p>
            <w:pPr>
              <w:spacing w:after="0"/>
              <w:rPr>
                <w:sz w:val="19"/>
                <w:szCs w:val="19"/>
                <w:color w:val="auto"/>
              </w:rPr>
            </w:pPr>
          </w:p>
        </w:tc>
        <w:tc>
          <w:tcPr>
            <w:tcW w:w="1300" w:type="dxa"/>
            <w:vAlign w:val="bottom"/>
            <w:tcBorders>
              <w:bottom w:val="single" w:sz="8" w:color="BFBFBF"/>
              <w:right w:val="single" w:sz="8" w:color="BFBFBF"/>
            </w:tcBorders>
          </w:tcPr>
          <w:p>
            <w:pPr>
              <w:spacing w:after="0"/>
              <w:rPr>
                <w:sz w:val="19"/>
                <w:szCs w:val="19"/>
                <w:color w:val="auto"/>
              </w:rPr>
            </w:pPr>
          </w:p>
        </w:tc>
        <w:tc>
          <w:tcPr>
            <w:tcW w:w="120" w:type="dxa"/>
            <w:vAlign w:val="bottom"/>
          </w:tcPr>
          <w:p>
            <w:pPr>
              <w:spacing w:after="0"/>
              <w:rPr>
                <w:sz w:val="19"/>
                <w:szCs w:val="19"/>
                <w:color w:val="auto"/>
              </w:rPr>
            </w:pPr>
          </w:p>
        </w:tc>
      </w:tr>
      <w:tr>
        <w:trPr>
          <w:trHeight w:val="245"/>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Hydrometallurg, JSC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CID002649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Jiangxi Minmetals Gao'an Non-ferrous Metals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CID002313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JSC "Kirovgrad Hard Alloys Plant"</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CID003408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LAOS SOUTHERN MINING SMELTING SOLE CO.,LTD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Laos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CID005017</w:t>
            </w:r>
          </w:p>
        </w:tc>
        <w:tc>
          <w:tcPr>
            <w:tcW w:w="120" w:type="dxa"/>
            <w:vAlign w:val="bottom"/>
          </w:tcPr>
          <w:p>
            <w:pPr>
              <w:spacing w:after="0"/>
              <w:rPr>
                <w:sz w:val="21"/>
                <w:szCs w:val="21"/>
                <w:color w:val="auto"/>
              </w:rPr>
            </w:pPr>
          </w:p>
        </w:tc>
      </w:tr>
      <w:tr>
        <w:trPr>
          <w:trHeight w:val="233"/>
        </w:trPr>
        <w:tc>
          <w:tcPr>
            <w:tcW w:w="1180" w:type="dxa"/>
            <w:vAlign w:val="bottom"/>
          </w:tcPr>
          <w:p>
            <w:pPr>
              <w:spacing w:after="0"/>
              <w:rPr>
                <w:sz w:val="20"/>
                <w:szCs w:val="20"/>
                <w:color w:val="auto"/>
              </w:rPr>
            </w:pPr>
          </w:p>
        </w:tc>
        <w:tc>
          <w:tcPr>
            <w:tcW w:w="60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17</w:t>
            </w: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988"/>
        </w:trPr>
        <w:tc>
          <w:tcPr>
            <w:tcW w:w="11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77"/>
        </w:trPr>
        <w:tc>
          <w:tcPr>
            <w:tcW w:w="1180" w:type="dxa"/>
            <w:vAlign w:val="bottom"/>
            <w:tcBorders>
              <w:top w:val="single" w:sz="8" w:color="BFBFBF"/>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top w:val="single" w:sz="8" w:color="BFBFBF"/>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LLC Vostok</w:t>
            </w:r>
          </w:p>
        </w:tc>
        <w:tc>
          <w:tcPr>
            <w:tcW w:w="2580" w:type="dxa"/>
            <w:vAlign w:val="bottom"/>
            <w:tcBorders>
              <w:top w:val="single" w:sz="8" w:color="BFBFBF"/>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top w:val="single" w:sz="8" w:color="BFBFBF"/>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CID003643</w:t>
            </w:r>
          </w:p>
        </w:tc>
        <w:tc>
          <w:tcPr>
            <w:tcW w:w="120" w:type="dxa"/>
            <w:vAlign w:val="bottom"/>
          </w:tcPr>
          <w:p>
            <w:pPr>
              <w:spacing w:after="0"/>
              <w:rPr>
                <w:sz w:val="24"/>
                <w:szCs w:val="24"/>
                <w:color w:val="auto"/>
              </w:rPr>
            </w:pPr>
          </w:p>
        </w:tc>
      </w:tr>
      <w:tr>
        <w:trPr>
          <w:trHeight w:val="23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MALAMET SMELTING SDN. BHD.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Malaysia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CID004056</w:t>
            </w:r>
          </w:p>
        </w:tc>
        <w:tc>
          <w:tcPr>
            <w:tcW w:w="120" w:type="dxa"/>
            <w:vAlign w:val="bottom"/>
          </w:tcPr>
          <w:p>
            <w:pPr>
              <w:spacing w:after="0"/>
              <w:rPr>
                <w:sz w:val="20"/>
                <w:szCs w:val="20"/>
                <w:color w:val="auto"/>
              </w:rPr>
            </w:pPr>
          </w:p>
        </w:tc>
      </w:tr>
      <w:tr>
        <w:trPr>
          <w:trHeight w:val="248"/>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Moliren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CID002845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Nam Viet Cromit Joint Stock Company</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Viet Nam</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CID004034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NPP Tyazhmetprom LLC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CID003416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OOO “Technolom” 1</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CID003614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OOO “Technolom” 2</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CID003612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Philippine Carreytech Metal Corp.</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Philippines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CID004438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China Molybdenum Tungsten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CID002641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Chongyi Zhangyuan Tungsten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CID000258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Japan New Metals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CID000825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Jiangxi Xinsheng Tungsten Industry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CID002317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Xiamen Tungsten (H.C.)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CID002320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Xiamen Tungsten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CID002082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A.L.M.T. Corp.</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CID000004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Asia Tungsten Products Vietnam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Viet Nam</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CID002502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Cronimet Brasil Ltda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Brazil</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CID003468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Ganzhou Seadragon W &amp; Mo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CID002494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Global Tungsten &amp; Powders LLC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CID000568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Guangdong Xianglu Tungsten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CID000218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H.C. Starck Tungsten GmbH</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Germany</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CID002541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Hubei Green Tungsten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CID003417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Unecha Refractory metals plant</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Russian Federation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CID002724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Jiangwu H.C. Starck Tungsten Products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CID002551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Jiangxi Gan Bei Tungsten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CID002321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Jiangxi Tonggu Non-ferrous Metallurgical &amp; Chemical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CID002318</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Jiangxi Yaosheng Tungsten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CID002316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KENEE MINING VIETNAM COMPANY LIMITED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Viet Nam</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CID004619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Kennametal Fallon</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CID000966</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YUDU ANSHENG TUNGSTEN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CID003662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Kennametal Huntsville</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CID000105</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Lianyou Metals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Taiwan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CID003407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Lianyou Resources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Taiwan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CID004397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Malipo Haiyu Tungsten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CID002319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Masan High-Tech Materials</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Viet Nam</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CID002543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Niagara Refining LLC</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CID002589</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Philippine Bonway Manufacturing Industrial Corporation</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Philippines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CID004797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Philippine Chuangxin Industrial Co., Inc.</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Philippines</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CID002827</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Shinwon Tungsten (Fujian Shanghang)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CID004430</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TANIOBIS Smelting GmbH &amp; Co. KG</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Germany</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CID002542</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Tungsten Vietnam Joint Stock Company</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Viet Nam</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CID003993</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Wolfram Bergbau und Hutten AG</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Austria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CID002044</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Fujian Ganmin RareMetal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CID003401</w:t>
            </w:r>
          </w:p>
        </w:tc>
        <w:tc>
          <w:tcPr>
            <w:tcW w:w="120" w:type="dxa"/>
            <w:vAlign w:val="bottom"/>
          </w:tcPr>
          <w:p>
            <w:pPr>
              <w:spacing w:after="0"/>
              <w:rPr>
                <w:sz w:val="21"/>
                <w:szCs w:val="21"/>
                <w:color w:val="auto"/>
              </w:rPr>
            </w:pP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Ganzhou Haichuang Tungsten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CID002645</w:t>
            </w:r>
          </w:p>
        </w:tc>
        <w:tc>
          <w:tcPr>
            <w:tcW w:w="120" w:type="dxa"/>
            <w:vAlign w:val="bottom"/>
          </w:tcPr>
          <w:p>
            <w:pPr>
              <w:spacing w:after="0"/>
              <w:rPr>
                <w:sz w:val="21"/>
                <w:szCs w:val="21"/>
                <w:color w:val="auto"/>
              </w:rPr>
            </w:pPr>
          </w:p>
        </w:tc>
      </w:tr>
      <w:tr>
        <w:trPr>
          <w:trHeight w:val="233"/>
        </w:trPr>
        <w:tc>
          <w:tcPr>
            <w:tcW w:w="1180" w:type="dxa"/>
            <w:vAlign w:val="bottom"/>
          </w:tcPr>
          <w:p>
            <w:pPr>
              <w:spacing w:after="0"/>
              <w:rPr>
                <w:sz w:val="20"/>
                <w:szCs w:val="20"/>
                <w:color w:val="auto"/>
              </w:rPr>
            </w:pPr>
          </w:p>
        </w:tc>
        <w:tc>
          <w:tcPr>
            <w:tcW w:w="60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18</w:t>
            </w: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988"/>
        </w:trPr>
        <w:tc>
          <w:tcPr>
            <w:tcW w:w="11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77"/>
        </w:trPr>
        <w:tc>
          <w:tcPr>
            <w:tcW w:w="1180" w:type="dxa"/>
            <w:vAlign w:val="bottom"/>
            <w:tcBorders>
              <w:top w:val="single" w:sz="8" w:color="BFBFBF"/>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top w:val="single" w:sz="8" w:color="BFBFBF"/>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Ganzhou Huaxing Tungsten Products Co., Ltd.</w:t>
            </w:r>
          </w:p>
        </w:tc>
        <w:tc>
          <w:tcPr>
            <w:tcW w:w="2580" w:type="dxa"/>
            <w:vAlign w:val="bottom"/>
            <w:tcBorders>
              <w:top w:val="single" w:sz="8" w:color="BFBFBF"/>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top w:val="single" w:sz="8" w:color="BFBFBF"/>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CID000875</w:t>
            </w:r>
          </w:p>
        </w:tc>
      </w:tr>
      <w:tr>
        <w:trPr>
          <w:trHeight w:val="23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Fujian Jinxin Tungsten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CID000499</w:t>
            </w:r>
          </w:p>
        </w:tc>
      </w:tr>
      <w:tr>
        <w:trPr>
          <w:trHeight w:val="248"/>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Ganzhou Beseem Ferrotungsten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CID002644</w:t>
            </w: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Jiangxi Xiushui Xianggan Nonferrous Metals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CID002535</w:t>
            </w: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Materion</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CID001116</w:t>
            </w: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Minmetals Ganzhou Tin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CID001181</w:t>
            </w: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Mitsui Mining and Smelting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CID001195</w:t>
            </w: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Ningxia Orient Tantalum Industry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CID001280</w:t>
            </w: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Plansee SE Reutte</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Austria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CID001371</w:t>
            </w: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Jing Yuan Tungsten Technology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Taiwan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CID005012</w:t>
            </w: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PT Stanindo Inti Perkasa</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CID001470</w:t>
            </w: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PT Timah Tbk Mentok</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Indonesia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CID001485</w:t>
            </w: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Sanher Tungsten Vietnam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Viet Nam</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CID002538</w:t>
            </w: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Solar Applied Materials Technology Corp.</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Taiwan</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CID001764</w:t>
            </w: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S.P.T. spol.s r.o.</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Czech Republic</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CID005068</w:t>
            </w: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Tungamoy Metals Inc.</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KOREA, REPUBLIC OF</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CID005248</w:t>
            </w: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Sumitomo Metal Mining Co., Ltd.</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Japan</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CID001801</w:t>
            </w: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Thaisarco</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Thailand</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CID001901</w:t>
            </w: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Tungsten Diversified Industries LLC</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CID002659</w:t>
            </w:r>
          </w:p>
        </w:tc>
      </w:tr>
      <w:tr>
        <w:trPr>
          <w:trHeight w:val="250"/>
        </w:trPr>
        <w:tc>
          <w:tcPr>
            <w:tcW w:w="1180" w:type="dxa"/>
            <w:vAlign w:val="bottom"/>
            <w:tcBorders>
              <w:left w:val="single" w:sz="8" w:color="BFBFBF"/>
              <w:bottom w:val="single" w:sz="8" w:color="BFBFBF"/>
              <w:right w:val="single" w:sz="8" w:color="BFBFBF"/>
            </w:tcBorders>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Zhangzhou Chuen Bao Apt Smeltery Co., Ltd.</w:t>
            </w:r>
          </w:p>
        </w:tc>
        <w:tc>
          <w:tcPr>
            <w:tcW w:w="258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CID002195</w:t>
            </w:r>
          </w:p>
        </w:tc>
      </w:tr>
      <w:tr>
        <w:trPr>
          <w:trHeight w:val="250"/>
        </w:trPr>
        <w:tc>
          <w:tcPr>
            <w:tcW w:w="1180" w:type="dxa"/>
            <w:vAlign w:val="bottom"/>
            <w:tcBorders>
              <w:left w:val="single" w:sz="8" w:color="BFBFBF"/>
              <w:bottom w:val="single" w:sz="8" w:color="BFBFBF"/>
              <w:right w:val="single" w:sz="8" w:color="BFBFBF"/>
            </w:tcBorders>
            <w:shd w:val="clear" w:color="auto" w:fill="F2F2F2"/>
          </w:tcPr>
          <w:p>
            <w:pPr>
              <w:ind w:left="120"/>
              <w:spacing w:after="0"/>
              <w:rPr>
                <w:sz w:val="20"/>
                <w:szCs w:val="20"/>
                <w:color w:val="auto"/>
              </w:rPr>
            </w:pPr>
            <w:r>
              <w:rPr>
                <w:rFonts w:ascii="Arial" w:cs="Arial" w:eastAsia="Arial" w:hAnsi="Arial"/>
                <w:sz w:val="18"/>
                <w:szCs w:val="18"/>
                <w:b w:val="1"/>
                <w:bCs w:val="1"/>
                <w:color w:val="auto"/>
              </w:rPr>
              <w:t>Tungsten</w:t>
            </w:r>
          </w:p>
        </w:tc>
        <w:tc>
          <w:tcPr>
            <w:tcW w:w="6060" w:type="dxa"/>
            <w:vAlign w:val="bottom"/>
            <w:tcBorders>
              <w:bottom w:val="single" w:sz="8" w:color="BFBFBF"/>
              <w:right w:val="single" w:sz="8" w:color="BFBFBF"/>
            </w:tcBorders>
            <w:shd w:val="clear" w:color="auto" w:fill="F2F2F2"/>
          </w:tcPr>
          <w:p>
            <w:pPr>
              <w:ind w:left="80"/>
              <w:spacing w:after="0"/>
              <w:rPr>
                <w:sz w:val="20"/>
                <w:szCs w:val="20"/>
                <w:color w:val="auto"/>
              </w:rPr>
            </w:pPr>
            <w:r>
              <w:rPr>
                <w:rFonts w:ascii="Arial" w:cs="Arial" w:eastAsia="Arial" w:hAnsi="Arial"/>
                <w:sz w:val="18"/>
                <w:szCs w:val="18"/>
                <w:color w:val="auto"/>
              </w:rPr>
              <w:t>Zhuzhou Cemented Carbide</w:t>
            </w:r>
          </w:p>
        </w:tc>
        <w:tc>
          <w:tcPr>
            <w:tcW w:w="258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China</w:t>
            </w:r>
          </w:p>
        </w:tc>
        <w:tc>
          <w:tcPr>
            <w:tcW w:w="1300" w:type="dxa"/>
            <w:vAlign w:val="bottom"/>
            <w:tcBorders>
              <w:bottom w:val="single" w:sz="8" w:color="BFBFBF"/>
              <w:right w:val="single" w:sz="8" w:color="BFBFBF"/>
            </w:tcBorders>
            <w:shd w:val="clear" w:color="auto" w:fill="F2F2F2"/>
          </w:tcPr>
          <w:p>
            <w:pPr>
              <w:ind w:left="100"/>
              <w:spacing w:after="0"/>
              <w:rPr>
                <w:sz w:val="20"/>
                <w:szCs w:val="20"/>
                <w:color w:val="auto"/>
              </w:rPr>
            </w:pPr>
            <w:r>
              <w:rPr>
                <w:rFonts w:ascii="Arial" w:cs="Arial" w:eastAsia="Arial" w:hAnsi="Arial"/>
                <w:sz w:val="18"/>
                <w:szCs w:val="18"/>
                <w:color w:val="auto"/>
              </w:rPr>
              <w:t>CID002235</w:t>
            </w:r>
          </w:p>
        </w:tc>
      </w:tr>
    </w:tbl>
    <w:p>
      <w:pPr>
        <w:spacing w:after="0" w:line="386"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Certain Tier 1 suppliers reported the presence of this entity that was sanctioned by the United Sates Department of Treasury,</w:t>
      </w:r>
      <w:r>
        <w:rPr>
          <w:rFonts w:ascii="Arial" w:cs="Arial" w:eastAsia="Arial" w:hAnsi="Arial"/>
          <w:sz w:val="18"/>
          <w:szCs w:val="18"/>
          <w:color w:val="auto"/>
        </w:rPr>
        <w:t xml:space="preserve"> </w:t>
      </w:r>
      <w:r>
        <w:rPr>
          <w:rFonts w:ascii="Arial" w:cs="Arial" w:eastAsia="Arial" w:hAnsi="Arial"/>
          <w:sz w:val="18"/>
          <w:szCs w:val="18"/>
          <w:b w:val="1"/>
          <w:bCs w:val="1"/>
          <w:color w:val="auto"/>
        </w:rPr>
        <w:t>Office of Foreign Assets Control on March 17, 2022, specifically Smelter ID CID003185 – African Gold Refinery. Due to the over-reporting nature of the industry CMRT information collection process, and the nature of the supply chains and goods, we are unable to confirm whether this or any other particular smelter or refiner is or was active in our supply chain.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Country of Origin Information</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list of potential countries of origin is populated based on publicly available information, our RCOI and due diligence efforts. It is important to note that this information is also based on company level responses; therefore, it is not certain which of these countries of origin can be linked to our products.</w:t>
      </w:r>
    </w:p>
    <w:p>
      <w:pPr>
        <w:spacing w:after="0" w:line="16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Andorra, Australia, Austria, Belgium, Bolivia (Pluractional State Of), Brazil, Canada, Chile, China, Colombia, Czech Republic, Democratic Republic of the Congo, Estonia, France, Germany, Ghana, India, Indonesia, Italy, Japan, Kazakhstan, Republic of Korea, Kyrgyzstan, Laos, Lithuania, Malaysia, Mauritania, Mexico, Myanmar, Netherlands, New Zealand, Norway, Peru, Philippines, Poland, Portugal, Russian Federation, Rwanda, Saudi Arabia, Singapore, South Africa, Spain, Sudan, Sweden, Switzerland, Taiwan, Tanzania, Thailand, Turkey, Uganda, United Arab Emirates, United States of America, Uzbekistan, Vietnam, and Zimbabwe.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9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1."/>
      <w:numFmt w:val="upperLetter"/>
      <w:start w:val="9"/>
    </w:lvl>
  </w:abstractNum>
  <w:abstractNum w:abstractNumId="2">
    <w:nsid w:val="3D1B58BA"/>
    <w:multiLevelType w:val="hybridMultilevel"/>
    <w:lvl w:ilvl="0">
      <w:lvlJc w:val="left"/>
      <w:lvlText w:val="%1."/>
      <w:numFmt w:val="upperLetter"/>
      <w:start w:val="35"/>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2026-05-29T16:59:30Z</dcterms:created>
  <dcterms:modified xsi:type="dcterms:W3CDTF">2026-05-29T16:59:30Z</dcterms:modified>
</cp:coreProperties>
</file>