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154940</wp:posOffset>
            </wp:positionH>
            <wp:positionV relativeFrom="page">
              <wp:posOffset>163195</wp:posOffset>
            </wp:positionV>
            <wp:extent cx="7251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64135</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79375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82" w:lineRule="exact"/>
        <w:rPr>
          <w:sz w:val="24"/>
          <w:szCs w:val="24"/>
          <w:color w:val="auto"/>
        </w:rPr>
      </w:pPr>
    </w:p>
    <w:p>
      <w:pPr>
        <w:ind w:left="820" w:hanging="816"/>
        <w:spacing w:after="0"/>
        <w:tabs>
          <w:tab w:leader="none" w:pos="8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 the year ended December 31, 2018 or</w:t>
      </w:r>
    </w:p>
    <w:p>
      <w:pPr>
        <w:spacing w:after="0" w:line="82" w:lineRule="exact"/>
        <w:rPr>
          <w:sz w:val="24"/>
          <w:szCs w:val="24"/>
          <w:color w:val="auto"/>
        </w:rPr>
      </w:pPr>
    </w:p>
    <w:p>
      <w:pPr>
        <w:ind w:left="820" w:hanging="816"/>
        <w:spacing w:after="0"/>
        <w:tabs>
          <w:tab w:leader="none" w:pos="8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80" w:lineRule="exact"/>
        <w:rPr>
          <w:sz w:val="24"/>
          <w:szCs w:val="24"/>
          <w:color w:val="auto"/>
        </w:rPr>
      </w:pPr>
    </w:p>
    <w:p>
      <w:pPr>
        <w:ind w:left="4040"/>
        <w:spacing w:after="0"/>
        <w:rPr>
          <w:sz w:val="20"/>
          <w:szCs w:val="20"/>
          <w:color w:val="auto"/>
        </w:rPr>
      </w:pPr>
      <w:r>
        <w:rPr>
          <w:rFonts w:ascii="Arial" w:cs="Arial" w:eastAsia="Arial" w:hAnsi="Arial"/>
          <w:sz w:val="17"/>
          <w:szCs w:val="17"/>
          <w:b w:val="1"/>
          <w:bCs w:val="1"/>
          <w:color w:val="auto"/>
        </w:rPr>
        <w:t>For the transition period from _____ to_____</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78105</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EASTMAN KODAK COMPANY</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65405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860" w:type="dxa"/>
            <w:vAlign w:val="bottom"/>
            <w:gridSpan w:val="4"/>
          </w:tcPr>
          <w:p>
            <w:pPr>
              <w:jc w:val="center"/>
              <w:ind w:right="1380"/>
              <w:spacing w:after="0"/>
              <w:rPr>
                <w:sz w:val="20"/>
                <w:szCs w:val="20"/>
                <w:color w:val="auto"/>
              </w:rPr>
            </w:pPr>
            <w:r>
              <w:rPr>
                <w:rFonts w:ascii="Arial" w:cs="Arial" w:eastAsia="Arial" w:hAnsi="Arial"/>
                <w:sz w:val="17"/>
                <w:szCs w:val="17"/>
                <w:b w:val="1"/>
                <w:bCs w:val="1"/>
                <w:color w:val="auto"/>
              </w:rPr>
              <w:t>NEW JERSEY</w:t>
            </w:r>
          </w:p>
        </w:tc>
        <w:tc>
          <w:tcPr>
            <w:tcW w:w="2120" w:type="dxa"/>
            <w:vAlign w:val="bottom"/>
            <w:gridSpan w:val="3"/>
          </w:tcPr>
          <w:p>
            <w:pPr>
              <w:jc w:val="right"/>
              <w:ind w:right="13"/>
              <w:spacing w:after="0"/>
              <w:rPr>
                <w:sz w:val="20"/>
                <w:szCs w:val="20"/>
                <w:color w:val="auto"/>
              </w:rPr>
            </w:pPr>
            <w:r>
              <w:rPr>
                <w:rFonts w:ascii="Arial" w:cs="Arial" w:eastAsia="Arial" w:hAnsi="Arial"/>
                <w:sz w:val="17"/>
                <w:szCs w:val="17"/>
                <w:b w:val="1"/>
                <w:bCs w:val="1"/>
                <w:color w:val="auto"/>
              </w:rPr>
              <w:t>16-0417150</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8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0"/>
              </w:rPr>
              <w:t>(State of incorporation)</w:t>
            </w:r>
          </w:p>
        </w:tc>
        <w:tc>
          <w:tcPr>
            <w:tcW w:w="420" w:type="dxa"/>
            <w:vAlign w:val="bottom"/>
          </w:tcPr>
          <w:p>
            <w:pPr>
              <w:spacing w:after="0"/>
              <w:rPr>
                <w:sz w:val="15"/>
                <w:szCs w:val="15"/>
                <w:color w:val="auto"/>
              </w:rPr>
            </w:pPr>
          </w:p>
        </w:tc>
        <w:tc>
          <w:tcPr>
            <w:tcW w:w="26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(IRS Employer Identification No.)</w:t>
            </w:r>
          </w:p>
        </w:tc>
        <w:tc>
          <w:tcPr>
            <w:tcW w:w="0" w:type="dxa"/>
            <w:vAlign w:val="bottom"/>
          </w:tcPr>
          <w:p>
            <w:pPr>
              <w:spacing w:after="0"/>
              <w:rPr>
                <w:sz w:val="1"/>
                <w:szCs w:val="1"/>
                <w:color w:val="auto"/>
              </w:rPr>
            </w:pPr>
          </w:p>
        </w:tc>
      </w:tr>
      <w:tr>
        <w:trPr>
          <w:trHeight w:val="250"/>
        </w:trPr>
        <w:tc>
          <w:tcPr>
            <w:tcW w:w="6860" w:type="dxa"/>
            <w:vAlign w:val="bottom"/>
            <w:gridSpan w:val="4"/>
          </w:tcPr>
          <w:p>
            <w:pPr>
              <w:jc w:val="center"/>
              <w:ind w:right="1380"/>
              <w:spacing w:after="0"/>
              <w:rPr>
                <w:sz w:val="20"/>
                <w:szCs w:val="20"/>
                <w:color w:val="auto"/>
              </w:rPr>
            </w:pPr>
            <w:r>
              <w:rPr>
                <w:rFonts w:ascii="Arial" w:cs="Arial" w:eastAsia="Arial" w:hAnsi="Arial"/>
                <w:sz w:val="17"/>
                <w:szCs w:val="17"/>
                <w:b w:val="1"/>
                <w:bCs w:val="1"/>
                <w:color w:val="auto"/>
              </w:rPr>
              <w:t>343 STATE STREET, ROCHESTER, NEW YORK</w:t>
            </w:r>
          </w:p>
        </w:tc>
        <w:tc>
          <w:tcPr>
            <w:tcW w:w="2120" w:type="dxa"/>
            <w:vAlign w:val="bottom"/>
            <w:gridSpan w:val="3"/>
          </w:tcPr>
          <w:p>
            <w:pPr>
              <w:jc w:val="right"/>
              <w:ind w:right="213"/>
              <w:spacing w:after="0"/>
              <w:rPr>
                <w:sz w:val="20"/>
                <w:szCs w:val="20"/>
                <w:color w:val="auto"/>
              </w:rPr>
            </w:pPr>
            <w:r>
              <w:rPr>
                <w:rFonts w:ascii="Arial" w:cs="Arial" w:eastAsia="Arial" w:hAnsi="Arial"/>
                <w:sz w:val="17"/>
                <w:szCs w:val="17"/>
                <w:b w:val="1"/>
                <w:bCs w:val="1"/>
                <w:color w:val="auto"/>
              </w:rPr>
              <w:t>14650</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86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0" w:type="dxa"/>
            <w:vAlign w:val="bottom"/>
          </w:tcPr>
          <w:p>
            <w:pPr>
              <w:spacing w:after="0"/>
              <w:rPr>
                <w:sz w:val="15"/>
                <w:szCs w:val="15"/>
                <w:color w:val="auto"/>
              </w:rPr>
            </w:pPr>
          </w:p>
        </w:tc>
        <w:tc>
          <w:tcPr>
            <w:tcW w:w="1700" w:type="dxa"/>
            <w:vAlign w:val="bottom"/>
            <w:gridSpan w:val="2"/>
          </w:tcPr>
          <w:p>
            <w:pPr>
              <w:jc w:val="center"/>
              <w:ind w:left="586"/>
              <w:spacing w:after="0"/>
              <w:rPr>
                <w:sz w:val="20"/>
                <w:szCs w:val="20"/>
                <w:color w:val="auto"/>
              </w:rPr>
            </w:pPr>
            <w:r>
              <w:rPr>
                <w:rFonts w:ascii="Arial" w:cs="Arial" w:eastAsia="Arial" w:hAnsi="Arial"/>
                <w:sz w:val="14"/>
                <w:szCs w:val="14"/>
                <w:b w:val="1"/>
                <w:bCs w:val="1"/>
                <w:color w:val="auto"/>
                <w:w w:val="92"/>
              </w:rPr>
              <w:t>(Zip Code)</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340" w:type="dxa"/>
            <w:vAlign w:val="bottom"/>
          </w:tcPr>
          <w:p>
            <w:pPr>
              <w:spacing w:after="0"/>
              <w:rPr>
                <w:sz w:val="23"/>
                <w:szCs w:val="23"/>
                <w:color w:val="auto"/>
              </w:rPr>
            </w:pPr>
          </w:p>
        </w:tc>
        <w:tc>
          <w:tcPr>
            <w:tcW w:w="4520" w:type="dxa"/>
            <w:vAlign w:val="bottom"/>
            <w:gridSpan w:val="3"/>
          </w:tcPr>
          <w:p>
            <w:pPr>
              <w:ind w:left="640"/>
              <w:spacing w:after="0"/>
              <w:rPr>
                <w:sz w:val="20"/>
                <w:szCs w:val="20"/>
                <w:color w:val="auto"/>
              </w:rPr>
            </w:pPr>
            <w:r>
              <w:rPr>
                <w:rFonts w:ascii="Arial" w:cs="Arial" w:eastAsia="Arial" w:hAnsi="Arial"/>
                <w:sz w:val="17"/>
                <w:szCs w:val="17"/>
                <w:b w:val="1"/>
                <w:bCs w:val="1"/>
                <w:color w:val="auto"/>
                <w:w w:val="90"/>
              </w:rPr>
              <w:t>Registrant’s telephone number, including area code:</w:t>
            </w:r>
          </w:p>
        </w:tc>
        <w:tc>
          <w:tcPr>
            <w:tcW w:w="2120" w:type="dxa"/>
            <w:vAlign w:val="bottom"/>
            <w:gridSpan w:val="3"/>
          </w:tcPr>
          <w:p>
            <w:pPr>
              <w:jc w:val="right"/>
              <w:ind w:right="433"/>
              <w:spacing w:after="0"/>
              <w:rPr>
                <w:sz w:val="20"/>
                <w:szCs w:val="20"/>
                <w:color w:val="auto"/>
              </w:rPr>
            </w:pPr>
            <w:r>
              <w:rPr>
                <w:rFonts w:ascii="Arial" w:cs="Arial" w:eastAsia="Arial" w:hAnsi="Arial"/>
                <w:sz w:val="17"/>
                <w:szCs w:val="17"/>
                <w:b w:val="1"/>
                <w:bCs w:val="1"/>
                <w:color w:val="auto"/>
              </w:rPr>
              <w:t>585-724-4000</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940" w:type="dxa"/>
            <w:vAlign w:val="bottom"/>
            <w:gridSpan w:val="4"/>
          </w:tcPr>
          <w:p>
            <w:pPr>
              <w:ind w:left="200"/>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452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86"/>
              </w:rPr>
              <w:t>Title of each class</w:t>
            </w:r>
          </w:p>
        </w:tc>
        <w:tc>
          <w:tcPr>
            <w:tcW w:w="420" w:type="dxa"/>
            <w:vAlign w:val="bottom"/>
          </w:tcPr>
          <w:p>
            <w:pPr>
              <w:spacing w:after="0"/>
              <w:rPr>
                <w:sz w:val="18"/>
                <w:szCs w:val="18"/>
                <w:color w:val="auto"/>
              </w:rPr>
            </w:pPr>
          </w:p>
        </w:tc>
        <w:tc>
          <w:tcPr>
            <w:tcW w:w="26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220"/>
        </w:trPr>
        <w:tc>
          <w:tcPr>
            <w:tcW w:w="2340" w:type="dxa"/>
            <w:vAlign w:val="bottom"/>
          </w:tcPr>
          <w:p>
            <w:pPr>
              <w:ind w:left="1680"/>
              <w:spacing w:after="0"/>
              <w:rPr>
                <w:sz w:val="20"/>
                <w:szCs w:val="20"/>
                <w:color w:val="auto"/>
              </w:rPr>
            </w:pPr>
            <w:r>
              <w:rPr>
                <w:rFonts w:ascii="Arial" w:cs="Arial" w:eastAsia="Arial" w:hAnsi="Arial"/>
                <w:sz w:val="17"/>
                <w:szCs w:val="17"/>
                <w:b w:val="1"/>
                <w:bCs w:val="1"/>
                <w:color w:val="auto"/>
                <w:w w:val="86"/>
              </w:rPr>
              <w:t>Common</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Stock, $0.01</w:t>
            </w:r>
          </w:p>
        </w:tc>
        <w:tc>
          <w:tcPr>
            <w:tcW w:w="3480" w:type="dxa"/>
            <w:vAlign w:val="bottom"/>
            <w:gridSpan w:val="2"/>
          </w:tcPr>
          <w:p>
            <w:pPr>
              <w:spacing w:after="0"/>
              <w:rPr>
                <w:sz w:val="20"/>
                <w:szCs w:val="20"/>
                <w:color w:val="auto"/>
              </w:rPr>
            </w:pPr>
            <w:r>
              <w:rPr>
                <w:rFonts w:ascii="Arial" w:cs="Arial" w:eastAsia="Arial" w:hAnsi="Arial"/>
                <w:sz w:val="17"/>
                <w:szCs w:val="17"/>
                <w:b w:val="1"/>
                <w:bCs w:val="1"/>
                <w:color w:val="auto"/>
              </w:rPr>
              <w:t>par value</w:t>
            </w:r>
          </w:p>
        </w:tc>
        <w:tc>
          <w:tcPr>
            <w:tcW w:w="420" w:type="dxa"/>
            <w:vAlign w:val="bottom"/>
          </w:tcPr>
          <w:p>
            <w:pPr>
              <w:spacing w:after="0"/>
              <w:rPr>
                <w:sz w:val="19"/>
                <w:szCs w:val="19"/>
                <w:color w:val="auto"/>
              </w:rPr>
            </w:pPr>
          </w:p>
        </w:tc>
        <w:tc>
          <w:tcPr>
            <w:tcW w:w="258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2"/>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340" w:type="dxa"/>
            <w:vAlign w:val="bottom"/>
          </w:tcPr>
          <w:p>
            <w:pPr>
              <w:spacing w:after="0"/>
              <w:rPr>
                <w:sz w:val="23"/>
                <w:szCs w:val="23"/>
                <w:color w:val="auto"/>
              </w:rPr>
            </w:pPr>
          </w:p>
        </w:tc>
        <w:tc>
          <w:tcPr>
            <w:tcW w:w="5980" w:type="dxa"/>
            <w:vAlign w:val="bottom"/>
            <w:gridSpan w:val="5"/>
          </w:tcPr>
          <w:p>
            <w:pPr>
              <w:ind w:left="1040"/>
              <w:spacing w:after="0"/>
              <w:rPr>
                <w:sz w:val="20"/>
                <w:szCs w:val="20"/>
                <w:color w:val="auto"/>
              </w:rPr>
            </w:pPr>
            <w:r>
              <w:rPr>
                <w:rFonts w:ascii="Arial" w:cs="Arial" w:eastAsia="Arial" w:hAnsi="Arial"/>
                <w:sz w:val="17"/>
                <w:szCs w:val="17"/>
                <w:b w:val="1"/>
                <w:bCs w:val="1"/>
                <w:color w:val="auto"/>
                <w:w w:val="95"/>
              </w:rPr>
              <w:t>Securities registered pursuant to Section 12(g) of the Act: None</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60" w:type="dxa"/>
            <w:vAlign w:val="bottom"/>
            <w:vMerge w:val="restart"/>
          </w:tcPr>
          <w:p>
            <w:pPr>
              <w:jc w:val="center"/>
              <w:ind w:right="73"/>
              <w:spacing w:after="0" w:line="196" w:lineRule="exact"/>
              <w:rPr>
                <w:sz w:val="20"/>
                <w:szCs w:val="20"/>
                <w:color w:val="auto"/>
              </w:rPr>
            </w:pPr>
            <w:r>
              <w:rPr>
                <w:rFonts w:ascii="Arial" w:cs="Arial" w:eastAsia="Arial" w:hAnsi="Arial"/>
                <w:sz w:val="17"/>
                <w:szCs w:val="17"/>
                <w:color w:val="auto"/>
                <w:w w:val="97"/>
              </w:rPr>
              <w:t xml:space="preserve">Yes </w:t>
            </w:r>
            <w:r>
              <w:rPr>
                <w:rFonts w:ascii="MS PGothic" w:cs="MS PGothic" w:eastAsia="MS PGothic" w:hAnsi="MS PGothic"/>
                <w:sz w:val="17"/>
                <w:szCs w:val="17"/>
                <w:color w:val="auto"/>
                <w:w w:val="97"/>
              </w:rPr>
              <w:t>☐</w:t>
            </w:r>
          </w:p>
        </w:tc>
        <w:tc>
          <w:tcPr>
            <w:tcW w:w="900" w:type="dxa"/>
            <w:vAlign w:val="bottom"/>
            <w:gridSpan w:val="2"/>
            <w:vMerge w:val="restart"/>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98"/>
        </w:trPr>
        <w:tc>
          <w:tcPr>
            <w:tcW w:w="8320" w:type="dxa"/>
            <w:vAlign w:val="bottom"/>
            <w:gridSpan w:val="6"/>
          </w:tcPr>
          <w:p>
            <w:pPr>
              <w:spacing w:after="0"/>
              <w:rPr>
                <w:sz w:val="20"/>
                <w:szCs w:val="20"/>
                <w:color w:val="auto"/>
              </w:rPr>
            </w:pPr>
            <w:r>
              <w:rPr>
                <w:rFonts w:ascii="Arial" w:cs="Arial" w:eastAsia="Arial" w:hAnsi="Arial"/>
                <w:sz w:val="17"/>
                <w:szCs w:val="17"/>
                <w:color w:val="auto"/>
                <w:w w:val="94"/>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320" w:type="dxa"/>
            <w:vAlign w:val="bottom"/>
            <w:gridSpan w:val="6"/>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15(d) of the Act.</w:t>
            </w:r>
          </w:p>
        </w:tc>
        <w:tc>
          <w:tcPr>
            <w:tcW w:w="6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900" w:type="dxa"/>
            <w:vAlign w:val="bottom"/>
            <w:gridSpan w:val="2"/>
          </w:tcPr>
          <w:p>
            <w:pPr>
              <w:ind w:left="1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40"/>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1" w:lineRule="exact"/>
        <w:rPr>
          <w:sz w:val="24"/>
          <w:szCs w:val="24"/>
          <w:color w:val="auto"/>
        </w:rPr>
      </w:pPr>
    </w:p>
    <w:p>
      <w:pPr>
        <w:ind w:right="6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6" w:lineRule="exact"/>
        <w:rPr>
          <w:sz w:val="24"/>
          <w:szCs w:val="24"/>
          <w:color w:val="auto"/>
        </w:rPr>
      </w:pPr>
    </w:p>
    <w:p>
      <w:pPr>
        <w:ind w:right="20"/>
        <w:spacing w:after="0" w:line="219"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14" w:lineRule="exact"/>
        <w:rPr>
          <w:sz w:val="24"/>
          <w:szCs w:val="24"/>
          <w:color w:val="auto"/>
        </w:rPr>
      </w:pPr>
    </w:p>
    <w:p>
      <w:pPr>
        <w:ind w:right="120"/>
        <w:spacing w:after="0" w:line="28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See definition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76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4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780"/>
              <w:spacing w:after="0"/>
              <w:rPr>
                <w:sz w:val="20"/>
                <w:szCs w:val="20"/>
                <w:color w:val="auto"/>
              </w:rPr>
            </w:pPr>
            <w:r>
              <w:rPr>
                <w:rFonts w:ascii="Arial" w:cs="Arial" w:eastAsia="Arial" w:hAnsi="Arial"/>
                <w:sz w:val="17"/>
                <w:szCs w:val="17"/>
                <w:color w:val="auto"/>
              </w:rPr>
              <w:t>Accelerated filer</w:t>
            </w:r>
          </w:p>
        </w:tc>
        <w:tc>
          <w:tcPr>
            <w:tcW w:w="58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r>
      <w:tr>
        <w:trPr>
          <w:trHeight w:val="261"/>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24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920" w:type="dxa"/>
            <w:vAlign w:val="bottom"/>
            <w:gridSpan w:val="2"/>
          </w:tcPr>
          <w:p>
            <w:pPr>
              <w:ind w:left="1780"/>
              <w:spacing w:after="0" w:line="196" w:lineRule="exact"/>
              <w:rPr>
                <w:sz w:val="20"/>
                <w:szCs w:val="20"/>
                <w:color w:val="auto"/>
              </w:rPr>
            </w:pPr>
            <w:r>
              <w:rPr>
                <w:rFonts w:ascii="Arial" w:cs="Arial" w:eastAsia="Arial" w:hAnsi="Arial"/>
                <w:sz w:val="17"/>
                <w:szCs w:val="17"/>
                <w:color w:val="auto"/>
                <w:w w:val="94"/>
              </w:rPr>
              <w:t xml:space="preserve">Smaller reporting company </w:t>
            </w:r>
            <w:r>
              <w:rPr>
                <w:rFonts w:ascii="MS PGothic" w:cs="MS PGothic" w:eastAsia="MS PGothic" w:hAnsi="MS PGothic"/>
                <w:sz w:val="17"/>
                <w:szCs w:val="17"/>
                <w:color w:val="auto"/>
                <w:w w:val="94"/>
              </w:rPr>
              <w:t>☒</w:t>
            </w:r>
          </w:p>
        </w:tc>
      </w:tr>
      <w:tr>
        <w:trPr>
          <w:trHeight w:val="271"/>
        </w:trPr>
        <w:tc>
          <w:tcPr>
            <w:tcW w:w="23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4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26" w:lineRule="exact"/>
        <w:rPr>
          <w:sz w:val="24"/>
          <w:szCs w:val="24"/>
          <w:color w:val="auto"/>
        </w:rPr>
      </w:pPr>
    </w:p>
    <w:p>
      <w:pPr>
        <w:ind w:right="48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 w:lineRule="exact"/>
        <w:rPr>
          <w:sz w:val="24"/>
          <w:szCs w:val="24"/>
          <w:color w:val="auto"/>
        </w:rPr>
      </w:pPr>
    </w:p>
    <w:p>
      <w:pPr>
        <w:spacing w:after="0" w:line="196" w:lineRule="exact"/>
        <w:tabs>
          <w:tab w:leader="none" w:pos="85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60" w:lineRule="exact"/>
        <w:rPr>
          <w:sz w:val="24"/>
          <w:szCs w:val="24"/>
          <w:color w:val="auto"/>
        </w:rPr>
      </w:pPr>
    </w:p>
    <w:p>
      <w:pPr>
        <w:spacing w:after="0" w:line="263" w:lineRule="auto"/>
        <w:rPr>
          <w:sz w:val="20"/>
          <w:szCs w:val="20"/>
          <w:color w:val="auto"/>
        </w:rPr>
      </w:pPr>
      <w:r>
        <w:rPr>
          <w:rFonts w:ascii="Arial" w:cs="Arial" w:eastAsia="Arial" w:hAnsi="Arial"/>
          <w:sz w:val="17"/>
          <w:szCs w:val="17"/>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2018 was approximately $67 million. The registrant has no non-voting common stock.</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as of March 1, 2019 was 42,974,257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193675</wp:posOffset>
            </wp:positionV>
            <wp:extent cx="729297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20" w:type="dxa"/>
            <w:vAlign w:val="bottom"/>
            <w:gridSpan w:val="17"/>
          </w:tcPr>
          <w:p>
            <w:pPr>
              <w:jc w:val="center"/>
              <w:ind w:right="3040"/>
              <w:spacing w:after="0"/>
              <w:rPr>
                <w:sz w:val="20"/>
                <w:szCs w:val="20"/>
                <w:color w:val="auto"/>
              </w:rPr>
            </w:pPr>
            <w:r>
              <w:rPr>
                <w:rFonts w:ascii="Arial" w:cs="Arial" w:eastAsia="Arial" w:hAnsi="Arial"/>
                <w:sz w:val="17"/>
                <w:szCs w:val="17"/>
                <w:b w:val="1"/>
                <w:bCs w:val="1"/>
                <w:color w:val="auto"/>
                <w:w w:val="94"/>
              </w:rPr>
              <w:t>Eastman Kodak Company</w:t>
            </w:r>
          </w:p>
        </w:tc>
        <w:tc>
          <w:tcPr>
            <w:tcW w:w="1600" w:type="dxa"/>
            <w:vAlign w:val="bottom"/>
          </w:tcPr>
          <w:p>
            <w:pPr>
              <w:spacing w:after="0"/>
              <w:rPr>
                <w:sz w:val="18"/>
                <w:szCs w:val="18"/>
                <w:color w:val="auto"/>
              </w:rPr>
            </w:pPr>
          </w:p>
        </w:tc>
      </w:tr>
      <w:tr>
        <w:trPr>
          <w:trHeight w:val="209"/>
        </w:trPr>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gridSpan w:val="16"/>
          </w:tcPr>
          <w:p>
            <w:pPr>
              <w:jc w:val="center"/>
              <w:ind w:right="3220"/>
              <w:spacing w:after="0"/>
              <w:rPr>
                <w:sz w:val="20"/>
                <w:szCs w:val="20"/>
                <w:color w:val="auto"/>
              </w:rPr>
            </w:pPr>
            <w:r>
              <w:rPr>
                <w:rFonts w:ascii="Arial" w:cs="Arial" w:eastAsia="Arial" w:hAnsi="Arial"/>
                <w:sz w:val="17"/>
                <w:szCs w:val="17"/>
                <w:b w:val="1"/>
                <w:bCs w:val="1"/>
                <w:color w:val="auto"/>
                <w:w w:val="97"/>
              </w:rPr>
              <w:t>Form 10-K</w:t>
            </w:r>
          </w:p>
        </w:tc>
        <w:tc>
          <w:tcPr>
            <w:tcW w:w="1600" w:type="dxa"/>
            <w:vAlign w:val="bottom"/>
          </w:tcPr>
          <w:p>
            <w:pPr>
              <w:spacing w:after="0"/>
              <w:rPr>
                <w:sz w:val="18"/>
                <w:szCs w:val="18"/>
                <w:color w:val="auto"/>
              </w:rPr>
            </w:pPr>
          </w:p>
        </w:tc>
      </w:tr>
      <w:tr>
        <w:trPr>
          <w:trHeight w:val="227"/>
        </w:trPr>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16"/>
          </w:tcPr>
          <w:p>
            <w:pPr>
              <w:jc w:val="center"/>
              <w:ind w:right="3200"/>
              <w:spacing w:after="0"/>
              <w:rPr>
                <w:sz w:val="20"/>
                <w:szCs w:val="20"/>
                <w:color w:val="auto"/>
              </w:rPr>
            </w:pPr>
            <w:r>
              <w:rPr>
                <w:rFonts w:ascii="Arial" w:cs="Arial" w:eastAsia="Arial" w:hAnsi="Arial"/>
                <w:sz w:val="17"/>
                <w:szCs w:val="17"/>
                <w:b w:val="1"/>
                <w:bCs w:val="1"/>
                <w:color w:val="auto"/>
                <w:w w:val="91"/>
              </w:rPr>
              <w:t>December 31, 2018</w:t>
            </w:r>
          </w:p>
        </w:tc>
        <w:tc>
          <w:tcPr>
            <w:tcW w:w="1600" w:type="dxa"/>
            <w:vAlign w:val="bottom"/>
          </w:tcPr>
          <w:p>
            <w:pPr>
              <w:spacing w:after="0"/>
              <w:rPr>
                <w:sz w:val="19"/>
                <w:szCs w:val="19"/>
                <w:color w:val="auto"/>
              </w:rPr>
            </w:pPr>
          </w:p>
        </w:tc>
      </w:tr>
      <w:tr>
        <w:trPr>
          <w:trHeight w:val="417"/>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40" w:type="dxa"/>
            <w:vAlign w:val="bottom"/>
            <w:gridSpan w:val="16"/>
          </w:tcPr>
          <w:p>
            <w:pPr>
              <w:jc w:val="center"/>
              <w:ind w:right="3220"/>
              <w:spacing w:after="0"/>
              <w:rPr>
                <w:sz w:val="20"/>
                <w:szCs w:val="20"/>
                <w:color w:val="auto"/>
              </w:rPr>
            </w:pPr>
            <w:r>
              <w:rPr>
                <w:rFonts w:ascii="Arial" w:cs="Arial" w:eastAsia="Arial" w:hAnsi="Arial"/>
                <w:sz w:val="17"/>
                <w:szCs w:val="17"/>
                <w:b w:val="1"/>
                <w:bCs w:val="1"/>
                <w:color w:val="auto"/>
                <w:w w:val="90"/>
              </w:rPr>
              <w:t>Table of Contents</w:t>
            </w:r>
          </w:p>
        </w:tc>
        <w:tc>
          <w:tcPr>
            <w:tcW w:w="1600" w:type="dxa"/>
            <w:vAlign w:val="bottom"/>
          </w:tcPr>
          <w:p>
            <w:pPr>
              <w:spacing w:after="0"/>
              <w:rPr>
                <w:sz w:val="24"/>
                <w:szCs w:val="24"/>
                <w:color w:val="auto"/>
              </w:rPr>
            </w:pPr>
          </w:p>
        </w:tc>
      </w:tr>
      <w:tr>
        <w:trPr>
          <w:trHeight w:val="443"/>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7"/>
                <w:szCs w:val="17"/>
                <w:b w:val="1"/>
                <w:bCs w:val="1"/>
                <w:color w:val="auto"/>
              </w:rPr>
              <w:t>Page</w:t>
            </w:r>
          </w:p>
        </w:tc>
      </w:tr>
      <w:tr>
        <w:trPr>
          <w:trHeight w:val="443"/>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2"/>
          </w:tcPr>
          <w:p>
            <w:pPr>
              <w:jc w:val="center"/>
              <w:ind w:right="3860"/>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1600" w:type="dxa"/>
            <w:vAlign w:val="bottom"/>
          </w:tcPr>
          <w:p>
            <w:pPr>
              <w:spacing w:after="0"/>
              <w:rPr>
                <w:sz w:val="24"/>
                <w:szCs w:val="24"/>
                <w:color w:val="auto"/>
              </w:rPr>
            </w:pPr>
          </w:p>
        </w:tc>
      </w:tr>
      <w:tr>
        <w:trPr>
          <w:trHeight w:val="436"/>
        </w:trPr>
        <w:tc>
          <w:tcPr>
            <w:tcW w:w="1420" w:type="dxa"/>
            <w:vAlign w:val="bottom"/>
          </w:tcPr>
          <w:p>
            <w:pPr>
              <w:ind w:left="40"/>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3460" w:type="dxa"/>
            <w:vAlign w:val="bottom"/>
            <w:gridSpan w:val="22"/>
          </w:tcPr>
          <w:p>
            <w:pPr>
              <w:spacing w:after="0"/>
              <w:rPr>
                <w:sz w:val="24"/>
                <w:szCs w:val="24"/>
                <w:color w:val="auto"/>
              </w:rPr>
            </w:pPr>
          </w:p>
        </w:tc>
        <w:tc>
          <w:tcPr>
            <w:tcW w:w="440" w:type="dxa"/>
            <w:vAlign w:val="bottom"/>
            <w:tcBorders>
              <w:top w:val="single" w:sz="8" w:color="0000EE"/>
            </w:tcBorders>
            <w:gridSpan w:val="2"/>
          </w:tcPr>
          <w:p>
            <w:pPr>
              <w:spacing w:after="0"/>
              <w:rPr>
                <w:sz w:val="24"/>
                <w:szCs w:val="24"/>
                <w:color w:val="auto"/>
              </w:rPr>
            </w:pPr>
          </w:p>
        </w:tc>
        <w:tc>
          <w:tcPr>
            <w:tcW w:w="3900" w:type="dxa"/>
            <w:vAlign w:val="bottom"/>
            <w:gridSpan w:val="9"/>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1A.</w:t>
            </w:r>
          </w:p>
        </w:tc>
        <w:tc>
          <w:tcPr>
            <w:tcW w:w="8420" w:type="dxa"/>
            <w:vAlign w:val="bottom"/>
            <w:gridSpan w:val="34"/>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Risk Factors</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8</w:t>
            </w:r>
          </w:p>
        </w:tc>
      </w:tr>
      <w:tr>
        <w:trPr>
          <w:trHeight w:val="20"/>
        </w:trPr>
        <w:tc>
          <w:tcPr>
            <w:tcW w:w="14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9"/>
        </w:trPr>
        <w:tc>
          <w:tcPr>
            <w:tcW w:w="1420" w:type="dxa"/>
            <w:vAlign w:val="bottom"/>
          </w:tcPr>
          <w:p>
            <w:pPr>
              <w:ind w:left="40"/>
              <w:spacing w:after="0" w:line="189" w:lineRule="exact"/>
              <w:rPr>
                <w:sz w:val="20"/>
                <w:szCs w:val="20"/>
                <w:color w:val="auto"/>
              </w:rPr>
            </w:pPr>
            <w:r>
              <w:rPr>
                <w:rFonts w:ascii="Arial" w:cs="Arial" w:eastAsia="Arial" w:hAnsi="Arial"/>
                <w:sz w:val="17"/>
                <w:szCs w:val="17"/>
                <w:color w:val="auto"/>
              </w:rPr>
              <w:t>Item 1B.</w:t>
            </w:r>
          </w:p>
        </w:tc>
        <w:tc>
          <w:tcPr>
            <w:tcW w:w="8420" w:type="dxa"/>
            <w:vAlign w:val="bottom"/>
            <w:gridSpan w:val="34"/>
          </w:tcPr>
          <w:p>
            <w:pPr>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Unresolved Staff Comments</w:t>
              </w:r>
            </w:hyperlink>
          </w:p>
        </w:tc>
        <w:tc>
          <w:tcPr>
            <w:tcW w:w="1600" w:type="dxa"/>
            <w:vAlign w:val="bottom"/>
          </w:tcPr>
          <w:p>
            <w:pPr>
              <w:jc w:val="center"/>
              <w:spacing w:after="0" w:line="189" w:lineRule="exact"/>
              <w:rPr>
                <w:sz w:val="20"/>
                <w:szCs w:val="20"/>
                <w:color w:val="auto"/>
              </w:rPr>
            </w:pPr>
            <w:r>
              <w:rPr>
                <w:rFonts w:ascii="Arial" w:cs="Arial" w:eastAsia="Arial" w:hAnsi="Arial"/>
                <w:sz w:val="17"/>
                <w:szCs w:val="17"/>
                <w:color w:val="auto"/>
                <w:w w:val="84"/>
              </w:rPr>
              <w:t>21</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7"/>
              </w:rPr>
            </w:pPr>
            <w:hyperlink w:anchor="page21">
              <w:r>
                <w:rPr>
                  <w:rFonts w:ascii="Arial" w:cs="Arial" w:eastAsia="Arial" w:hAnsi="Arial"/>
                  <w:sz w:val="17"/>
                  <w:szCs w:val="17"/>
                  <w:color w:val="0000EE"/>
                  <w:w w:val="87"/>
                </w:rPr>
                <w:t>Properties</w:t>
              </w:r>
            </w:hyperlink>
          </w:p>
        </w:tc>
        <w:tc>
          <w:tcPr>
            <w:tcW w:w="1260" w:type="dxa"/>
            <w:vAlign w:val="bottom"/>
            <w:tcBorders>
              <w:top w:val="single" w:sz="8" w:color="0000EE"/>
            </w:tcBorders>
            <w:gridSpan w:val="10"/>
          </w:tcPr>
          <w:p>
            <w:pPr>
              <w:spacing w:after="0"/>
              <w:rPr>
                <w:sz w:val="17"/>
                <w:szCs w:val="17"/>
                <w:color w:val="auto"/>
              </w:rPr>
            </w:pPr>
          </w:p>
        </w:tc>
        <w:tc>
          <w:tcPr>
            <w:tcW w:w="6460" w:type="dxa"/>
            <w:vAlign w:val="bottom"/>
            <w:gridSpan w:val="22"/>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21</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3.</w:t>
            </w:r>
          </w:p>
        </w:tc>
        <w:tc>
          <w:tcPr>
            <w:tcW w:w="8420" w:type="dxa"/>
            <w:vAlign w:val="bottom"/>
            <w:gridSpan w:val="34"/>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Legal Proceedings</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22</w:t>
            </w:r>
          </w:p>
        </w:tc>
      </w:tr>
      <w:tr>
        <w:trPr>
          <w:trHeight w:val="20"/>
        </w:trPr>
        <w:tc>
          <w:tcPr>
            <w:tcW w:w="1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4.</w:t>
            </w:r>
          </w:p>
        </w:tc>
        <w:tc>
          <w:tcPr>
            <w:tcW w:w="1720" w:type="dxa"/>
            <w:vAlign w:val="bottom"/>
            <w:tcBorders>
              <w:bottom w:val="single" w:sz="8" w:color="0000EE"/>
            </w:tcBorders>
            <w:gridSpan w:val="10"/>
          </w:tcPr>
          <w:p>
            <w:pPr>
              <w:spacing w:after="0"/>
              <w:rPr>
                <w:rFonts w:ascii="Arial" w:cs="Arial" w:eastAsia="Arial" w:hAnsi="Arial"/>
                <w:sz w:val="17"/>
                <w:szCs w:val="17"/>
                <w:color w:val="0000EE"/>
                <w:w w:val="93"/>
              </w:rPr>
            </w:pPr>
            <w:hyperlink w:anchor="page22">
              <w:r>
                <w:rPr>
                  <w:rFonts w:ascii="Arial" w:cs="Arial" w:eastAsia="Arial" w:hAnsi="Arial"/>
                  <w:sz w:val="17"/>
                  <w:szCs w:val="17"/>
                  <w:color w:val="0000EE"/>
                  <w:w w:val="93"/>
                </w:rPr>
                <w:t>Mine Safety Disclosures</w:t>
              </w:r>
            </w:hyperlink>
          </w:p>
        </w:tc>
        <w:tc>
          <w:tcPr>
            <w:tcW w:w="6700" w:type="dxa"/>
            <w:vAlign w:val="bottom"/>
            <w:gridSpan w:val="24"/>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22</w:t>
            </w:r>
          </w:p>
        </w:tc>
      </w:tr>
      <w:tr>
        <w:trPr>
          <w:trHeight w:val="202"/>
        </w:trPr>
        <w:tc>
          <w:tcPr>
            <w:tcW w:w="1420" w:type="dxa"/>
            <w:vAlign w:val="bottom"/>
          </w:tcPr>
          <w:p>
            <w:pPr>
              <w:spacing w:after="0"/>
              <w:rPr>
                <w:sz w:val="17"/>
                <w:szCs w:val="17"/>
                <w:color w:val="auto"/>
              </w:rPr>
            </w:pPr>
          </w:p>
        </w:tc>
        <w:tc>
          <w:tcPr>
            <w:tcW w:w="8420" w:type="dxa"/>
            <w:vAlign w:val="bottom"/>
            <w:gridSpan w:val="34"/>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Executive Officers of the Registrant</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23</w:t>
            </w:r>
          </w:p>
        </w:tc>
      </w:tr>
      <w:tr>
        <w:trPr>
          <w:trHeight w:val="488"/>
        </w:trPr>
        <w:tc>
          <w:tcPr>
            <w:tcW w:w="1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2"/>
          </w:tcPr>
          <w:p>
            <w:pPr>
              <w:jc w:val="center"/>
              <w:ind w:right="3880"/>
              <w:spacing w:after="0"/>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Part II</w:t>
              </w:r>
            </w:hyperlink>
          </w:p>
        </w:tc>
        <w:tc>
          <w:tcPr>
            <w:tcW w:w="160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19"/>
        </w:trPr>
        <w:tc>
          <w:tcPr>
            <w:tcW w:w="1420" w:type="dxa"/>
            <w:vAlign w:val="bottom"/>
          </w:tcPr>
          <w:p>
            <w:pPr>
              <w:ind w:left="40"/>
              <w:spacing w:after="0"/>
              <w:rPr>
                <w:sz w:val="20"/>
                <w:szCs w:val="20"/>
                <w:color w:val="auto"/>
              </w:rPr>
            </w:pPr>
            <w:r>
              <w:rPr>
                <w:rFonts w:ascii="Arial" w:cs="Arial" w:eastAsia="Arial" w:hAnsi="Arial"/>
                <w:sz w:val="17"/>
                <w:szCs w:val="17"/>
                <w:color w:val="auto"/>
              </w:rPr>
              <w:t>Item 5.</w:t>
            </w:r>
          </w:p>
        </w:tc>
        <w:tc>
          <w:tcPr>
            <w:tcW w:w="7780" w:type="dxa"/>
            <w:vAlign w:val="bottom"/>
            <w:tcBorders>
              <w:bottom w:val="single" w:sz="8" w:color="0000EE"/>
            </w:tcBorders>
            <w:gridSpan w:val="33"/>
          </w:tcPr>
          <w:p>
            <w:pPr>
              <w:spacing w:after="0"/>
              <w:rPr>
                <w:rFonts w:ascii="Arial" w:cs="Arial" w:eastAsia="Arial" w:hAnsi="Arial"/>
                <w:sz w:val="17"/>
                <w:szCs w:val="17"/>
                <w:color w:val="0000EE"/>
                <w:w w:val="92"/>
              </w:rPr>
            </w:pPr>
            <w:hyperlink w:anchor="page26">
              <w:r>
                <w:rPr>
                  <w:rFonts w:ascii="Arial" w:cs="Arial" w:eastAsia="Arial" w:hAnsi="Arial"/>
                  <w:sz w:val="17"/>
                  <w:szCs w:val="17"/>
                  <w:color w:val="0000EE"/>
                  <w:w w:val="92"/>
                </w:rPr>
                <w:t>Market for Registrant's Common Equity, Related Stockholder Matters and Issuer Purchases of Equity Securities</w:t>
              </w:r>
            </w:hyperlink>
          </w:p>
        </w:tc>
        <w:tc>
          <w:tcPr>
            <w:tcW w:w="6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26</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6.</w:t>
            </w:r>
          </w:p>
        </w:tc>
        <w:tc>
          <w:tcPr>
            <w:tcW w:w="8420" w:type="dxa"/>
            <w:vAlign w:val="bottom"/>
            <w:gridSpan w:val="34"/>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Selected Financial Data</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27</w:t>
            </w:r>
          </w:p>
        </w:tc>
      </w:tr>
      <w:tr>
        <w:trPr>
          <w:trHeight w:val="20"/>
        </w:trPr>
        <w:tc>
          <w:tcPr>
            <w:tcW w:w="1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7.</w:t>
            </w:r>
          </w:p>
        </w:tc>
        <w:tc>
          <w:tcPr>
            <w:tcW w:w="8420" w:type="dxa"/>
            <w:vAlign w:val="bottom"/>
            <w:gridSpan w:val="34"/>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Management's Discussion and Analysis of Financial Condition and Results of Operations</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28</w:t>
            </w:r>
          </w:p>
        </w:tc>
      </w:tr>
      <w:tr>
        <w:trPr>
          <w:trHeight w:val="202"/>
        </w:trPr>
        <w:tc>
          <w:tcPr>
            <w:tcW w:w="14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2"/>
              </w:rPr>
            </w:pPr>
            <w:hyperlink w:anchor="page39">
              <w:r>
                <w:rPr>
                  <w:rFonts w:ascii="Arial" w:cs="Arial" w:eastAsia="Arial" w:hAnsi="Arial"/>
                  <w:sz w:val="17"/>
                  <w:szCs w:val="17"/>
                  <w:color w:val="0000EE"/>
                  <w:w w:val="92"/>
                </w:rPr>
                <w:t>Liquidity and Capital Resources</w:t>
              </w:r>
            </w:hyperlink>
          </w:p>
        </w:tc>
        <w:tc>
          <w:tcPr>
            <w:tcW w:w="3960" w:type="dxa"/>
            <w:vAlign w:val="bottom"/>
            <w:tcBorders>
              <w:top w:val="single" w:sz="8" w:color="0000EE"/>
            </w:tcBorders>
            <w:gridSpan w:val="17"/>
          </w:tcPr>
          <w:p>
            <w:pPr>
              <w:spacing w:after="0"/>
              <w:rPr>
                <w:sz w:val="17"/>
                <w:szCs w:val="17"/>
                <w:color w:val="auto"/>
              </w:rPr>
            </w:pPr>
          </w:p>
        </w:tc>
        <w:tc>
          <w:tcPr>
            <w:tcW w:w="2220" w:type="dxa"/>
            <w:vAlign w:val="bottom"/>
            <w:gridSpan w:val="4"/>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39</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7A.</w:t>
            </w:r>
          </w:p>
        </w:tc>
        <w:tc>
          <w:tcPr>
            <w:tcW w:w="4200" w:type="dxa"/>
            <w:vAlign w:val="bottom"/>
            <w:tcBorders>
              <w:bottom w:val="single" w:sz="8" w:color="0000EE"/>
            </w:tcBorders>
            <w:gridSpan w:val="24"/>
          </w:tcPr>
          <w:p>
            <w:pPr>
              <w:spacing w:after="0"/>
              <w:rPr>
                <w:rFonts w:ascii="Arial" w:cs="Arial" w:eastAsia="Arial" w:hAnsi="Arial"/>
                <w:sz w:val="17"/>
                <w:szCs w:val="17"/>
                <w:color w:val="0000EE"/>
                <w:w w:val="93"/>
              </w:rPr>
            </w:pPr>
            <w:hyperlink w:anchor="page43">
              <w:r>
                <w:rPr>
                  <w:rFonts w:ascii="Arial" w:cs="Arial" w:eastAsia="Arial" w:hAnsi="Arial"/>
                  <w:sz w:val="17"/>
                  <w:szCs w:val="17"/>
                  <w:color w:val="0000EE"/>
                  <w:w w:val="93"/>
                </w:rPr>
                <w:t>Quantitative and Qualitative Disclosures About Market Risk</w:t>
              </w:r>
            </w:hyperlink>
          </w:p>
        </w:tc>
        <w:tc>
          <w:tcPr>
            <w:tcW w:w="4220" w:type="dxa"/>
            <w:vAlign w:val="bottom"/>
            <w:gridSpan w:val="10"/>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43</w:t>
            </w:r>
          </w:p>
        </w:tc>
      </w:tr>
      <w:tr>
        <w:trPr>
          <w:trHeight w:val="189"/>
        </w:trPr>
        <w:tc>
          <w:tcPr>
            <w:tcW w:w="1420" w:type="dxa"/>
            <w:vAlign w:val="bottom"/>
          </w:tcPr>
          <w:p>
            <w:pPr>
              <w:ind w:left="40"/>
              <w:spacing w:after="0" w:line="189" w:lineRule="exact"/>
              <w:rPr>
                <w:sz w:val="20"/>
                <w:szCs w:val="20"/>
                <w:color w:val="auto"/>
              </w:rPr>
            </w:pPr>
            <w:r>
              <w:rPr>
                <w:rFonts w:ascii="Arial" w:cs="Arial" w:eastAsia="Arial" w:hAnsi="Arial"/>
                <w:sz w:val="17"/>
                <w:szCs w:val="17"/>
                <w:color w:val="auto"/>
              </w:rPr>
              <w:t>Item 8.</w:t>
            </w:r>
          </w:p>
        </w:tc>
        <w:tc>
          <w:tcPr>
            <w:tcW w:w="8420" w:type="dxa"/>
            <w:vAlign w:val="bottom"/>
            <w:gridSpan w:val="34"/>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Financial Statements and Supplementary Data</w:t>
              </w:r>
            </w:hyperlink>
          </w:p>
        </w:tc>
        <w:tc>
          <w:tcPr>
            <w:tcW w:w="1600" w:type="dxa"/>
            <w:vAlign w:val="bottom"/>
          </w:tcPr>
          <w:p>
            <w:pPr>
              <w:jc w:val="center"/>
              <w:spacing w:after="0" w:line="189" w:lineRule="exact"/>
              <w:rPr>
                <w:sz w:val="20"/>
                <w:szCs w:val="20"/>
                <w:color w:val="auto"/>
              </w:rPr>
            </w:pPr>
            <w:r>
              <w:rPr>
                <w:rFonts w:ascii="Arial" w:cs="Arial" w:eastAsia="Arial" w:hAnsi="Arial"/>
                <w:sz w:val="17"/>
                <w:szCs w:val="17"/>
                <w:color w:val="auto"/>
                <w:w w:val="84"/>
              </w:rPr>
              <w:t>44</w:t>
            </w:r>
          </w:p>
        </w:tc>
      </w:tr>
      <w:tr>
        <w:trPr>
          <w:trHeight w:val="20"/>
        </w:trPr>
        <w:tc>
          <w:tcPr>
            <w:tcW w:w="1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9.</w:t>
            </w:r>
          </w:p>
        </w:tc>
        <w:tc>
          <w:tcPr>
            <w:tcW w:w="628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98">
              <w:r>
                <w:rPr>
                  <w:rFonts w:ascii="Arial" w:cs="Arial" w:eastAsia="Arial" w:hAnsi="Arial"/>
                  <w:sz w:val="17"/>
                  <w:szCs w:val="17"/>
                  <w:color w:val="0000EE"/>
                  <w:w w:val="92"/>
                </w:rPr>
                <w:t>Changes in and Disagreements With Accountants on Accounting and Financial Disclosure</w:t>
              </w:r>
            </w:hyperlink>
          </w:p>
        </w:tc>
        <w:tc>
          <w:tcPr>
            <w:tcW w:w="2140" w:type="dxa"/>
            <w:vAlign w:val="bottom"/>
            <w:gridSpan w:val="3"/>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98</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9A.</w:t>
            </w:r>
          </w:p>
        </w:tc>
        <w:tc>
          <w:tcPr>
            <w:tcW w:w="8420" w:type="dxa"/>
            <w:vAlign w:val="bottom"/>
            <w:gridSpan w:val="34"/>
          </w:tcPr>
          <w:p>
            <w:pPr>
              <w:spacing w:after="0"/>
              <w:rPr>
                <w:rFonts w:ascii="Arial" w:cs="Arial" w:eastAsia="Arial" w:hAnsi="Arial"/>
                <w:sz w:val="17"/>
                <w:szCs w:val="17"/>
                <w:color w:val="0000EE"/>
              </w:rPr>
            </w:pPr>
            <w:hyperlink w:anchor="page98">
              <w:r>
                <w:rPr>
                  <w:rFonts w:ascii="Arial" w:cs="Arial" w:eastAsia="Arial" w:hAnsi="Arial"/>
                  <w:sz w:val="17"/>
                  <w:szCs w:val="17"/>
                  <w:color w:val="0000EE"/>
                </w:rPr>
                <w:t>Controls and Procedures</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98</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9B.</w:t>
            </w:r>
          </w:p>
        </w:tc>
        <w:tc>
          <w:tcPr>
            <w:tcW w:w="1700" w:type="dxa"/>
            <w:vAlign w:val="bottom"/>
            <w:tcBorders>
              <w:top w:val="single" w:sz="8" w:color="0000EE"/>
            </w:tcBorders>
            <w:gridSpan w:val="9"/>
          </w:tcPr>
          <w:p>
            <w:pPr>
              <w:spacing w:after="0"/>
              <w:rPr>
                <w:rFonts w:ascii="Arial" w:cs="Arial" w:eastAsia="Arial" w:hAnsi="Arial"/>
                <w:sz w:val="17"/>
                <w:szCs w:val="17"/>
                <w:color w:val="0000EE"/>
              </w:rPr>
            </w:pPr>
            <w:hyperlink w:anchor="page98">
              <w:r>
                <w:rPr>
                  <w:rFonts w:ascii="Arial" w:cs="Arial" w:eastAsia="Arial" w:hAnsi="Arial"/>
                  <w:sz w:val="17"/>
                  <w:szCs w:val="17"/>
                  <w:color w:val="0000EE"/>
                </w:rPr>
                <w:t>Other Information</w:t>
              </w:r>
            </w:hyperlink>
          </w:p>
        </w:tc>
        <w:tc>
          <w:tcPr>
            <w:tcW w:w="6720" w:type="dxa"/>
            <w:vAlign w:val="bottom"/>
            <w:gridSpan w:val="25"/>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98</w:t>
            </w:r>
          </w:p>
        </w:tc>
      </w:tr>
      <w:tr>
        <w:trPr>
          <w:trHeight w:val="462"/>
        </w:trPr>
        <w:tc>
          <w:tcPr>
            <w:tcW w:w="1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0000EE"/>
            </w:tcBorders>
            <w:gridSpan w:val="8"/>
          </w:tcPr>
          <w:p>
            <w:pPr>
              <w:jc w:val="center"/>
              <w:ind w:right="20"/>
              <w:spacing w:after="0"/>
              <w:rPr>
                <w:rFonts w:ascii="Arial" w:cs="Arial" w:eastAsia="Arial" w:hAnsi="Arial"/>
                <w:sz w:val="17"/>
                <w:szCs w:val="17"/>
                <w:b w:val="1"/>
                <w:bCs w:val="1"/>
                <w:color w:val="0000EE"/>
              </w:rPr>
            </w:pPr>
            <w:hyperlink w:anchor="page99">
              <w:r>
                <w:rPr>
                  <w:rFonts w:ascii="Arial" w:cs="Arial" w:eastAsia="Arial" w:hAnsi="Arial"/>
                  <w:sz w:val="17"/>
                  <w:szCs w:val="17"/>
                  <w:b w:val="1"/>
                  <w:bCs w:val="1"/>
                  <w:color w:val="0000EE"/>
                </w:rPr>
                <w:t>Part III</w:t>
              </w:r>
            </w:hyperlink>
          </w:p>
        </w:tc>
        <w:tc>
          <w:tcPr>
            <w:tcW w:w="3820" w:type="dxa"/>
            <w:vAlign w:val="bottom"/>
            <w:gridSpan w:val="6"/>
          </w:tcPr>
          <w:p>
            <w:pPr>
              <w:spacing w:after="0"/>
              <w:rPr>
                <w:sz w:val="24"/>
                <w:szCs w:val="24"/>
                <w:color w:val="auto"/>
              </w:rPr>
            </w:pPr>
          </w:p>
        </w:tc>
        <w:tc>
          <w:tcPr>
            <w:tcW w:w="1600" w:type="dxa"/>
            <w:vAlign w:val="bottom"/>
          </w:tcPr>
          <w:p>
            <w:pPr>
              <w:spacing w:after="0"/>
              <w:rPr>
                <w:sz w:val="24"/>
                <w:szCs w:val="24"/>
                <w:color w:val="auto"/>
              </w:rPr>
            </w:pPr>
          </w:p>
        </w:tc>
      </w:tr>
      <w:tr>
        <w:trPr>
          <w:trHeight w:val="475"/>
        </w:trPr>
        <w:tc>
          <w:tcPr>
            <w:tcW w:w="1420" w:type="dxa"/>
            <w:vAlign w:val="bottom"/>
          </w:tcPr>
          <w:p>
            <w:pPr>
              <w:ind w:left="40"/>
              <w:spacing w:after="0"/>
              <w:rPr>
                <w:sz w:val="20"/>
                <w:szCs w:val="20"/>
                <w:color w:val="auto"/>
              </w:rPr>
            </w:pPr>
            <w:r>
              <w:rPr>
                <w:rFonts w:ascii="Arial" w:cs="Arial" w:eastAsia="Arial" w:hAnsi="Arial"/>
                <w:sz w:val="17"/>
                <w:szCs w:val="17"/>
                <w:color w:val="auto"/>
              </w:rPr>
              <w:t>Item 10.</w:t>
            </w:r>
          </w:p>
        </w:tc>
        <w:tc>
          <w:tcPr>
            <w:tcW w:w="8420" w:type="dxa"/>
            <w:vAlign w:val="bottom"/>
            <w:gridSpan w:val="34"/>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Directors, Executive Officers and Corporate Governance</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99</w:t>
            </w:r>
          </w:p>
        </w:tc>
      </w:tr>
      <w:tr>
        <w:trPr>
          <w:trHeight w:val="189"/>
        </w:trPr>
        <w:tc>
          <w:tcPr>
            <w:tcW w:w="1420" w:type="dxa"/>
            <w:vAlign w:val="bottom"/>
          </w:tcPr>
          <w:p>
            <w:pPr>
              <w:ind w:left="40"/>
              <w:spacing w:after="0" w:line="189" w:lineRule="exact"/>
              <w:rPr>
                <w:sz w:val="20"/>
                <w:szCs w:val="20"/>
                <w:color w:val="auto"/>
              </w:rPr>
            </w:pPr>
            <w:r>
              <w:rPr>
                <w:rFonts w:ascii="Arial" w:cs="Arial" w:eastAsia="Arial" w:hAnsi="Arial"/>
                <w:sz w:val="17"/>
                <w:szCs w:val="17"/>
                <w:color w:val="auto"/>
              </w:rPr>
              <w:t>Item 11.</w:t>
            </w:r>
          </w:p>
        </w:tc>
        <w:tc>
          <w:tcPr>
            <w:tcW w:w="17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1"/>
              </w:rPr>
            </w:pPr>
            <w:hyperlink w:anchor="page99">
              <w:r>
                <w:rPr>
                  <w:rFonts w:ascii="Arial" w:cs="Arial" w:eastAsia="Arial" w:hAnsi="Arial"/>
                  <w:sz w:val="17"/>
                  <w:szCs w:val="17"/>
                  <w:color w:val="0000EE"/>
                  <w:w w:val="91"/>
                </w:rPr>
                <w:t>Executive Compensation</w:t>
              </w:r>
            </w:hyperlink>
          </w:p>
        </w:tc>
        <w:tc>
          <w:tcPr>
            <w:tcW w:w="2200" w:type="dxa"/>
            <w:vAlign w:val="bottom"/>
            <w:tcBorders>
              <w:top w:val="single" w:sz="8" w:color="0000EE"/>
            </w:tcBorders>
            <w:gridSpan w:val="8"/>
          </w:tcPr>
          <w:p>
            <w:pPr>
              <w:spacing w:after="0"/>
              <w:rPr>
                <w:sz w:val="16"/>
                <w:szCs w:val="16"/>
                <w:color w:val="auto"/>
              </w:rPr>
            </w:pPr>
          </w:p>
        </w:tc>
        <w:tc>
          <w:tcPr>
            <w:tcW w:w="4480" w:type="dxa"/>
            <w:vAlign w:val="bottom"/>
            <w:gridSpan w:val="15"/>
          </w:tcPr>
          <w:p>
            <w:pPr>
              <w:spacing w:after="0"/>
              <w:rPr>
                <w:sz w:val="16"/>
                <w:szCs w:val="16"/>
                <w:color w:val="auto"/>
              </w:rPr>
            </w:pPr>
          </w:p>
        </w:tc>
        <w:tc>
          <w:tcPr>
            <w:tcW w:w="1600" w:type="dxa"/>
            <w:vAlign w:val="bottom"/>
          </w:tcPr>
          <w:p>
            <w:pPr>
              <w:jc w:val="center"/>
              <w:spacing w:after="0" w:line="189" w:lineRule="exact"/>
              <w:rPr>
                <w:sz w:val="20"/>
                <w:szCs w:val="20"/>
                <w:color w:val="auto"/>
              </w:rPr>
            </w:pPr>
            <w:r>
              <w:rPr>
                <w:rFonts w:ascii="Arial" w:cs="Arial" w:eastAsia="Arial" w:hAnsi="Arial"/>
                <w:sz w:val="17"/>
                <w:szCs w:val="17"/>
                <w:color w:val="auto"/>
                <w:w w:val="84"/>
              </w:rPr>
              <w:t>99</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12.</w:t>
            </w:r>
          </w:p>
        </w:tc>
        <w:tc>
          <w:tcPr>
            <w:tcW w:w="7040" w:type="dxa"/>
            <w:vAlign w:val="bottom"/>
            <w:tcBorders>
              <w:bottom w:val="single" w:sz="8" w:color="0000EE"/>
            </w:tcBorders>
            <w:gridSpan w:val="32"/>
          </w:tcPr>
          <w:p>
            <w:pPr>
              <w:spacing w:after="0"/>
              <w:rPr>
                <w:rFonts w:ascii="Arial" w:cs="Arial" w:eastAsia="Arial" w:hAnsi="Arial"/>
                <w:sz w:val="17"/>
                <w:szCs w:val="17"/>
                <w:color w:val="0000EE"/>
                <w:w w:val="92"/>
              </w:rPr>
            </w:pPr>
            <w:hyperlink w:anchor="page99">
              <w:r>
                <w:rPr>
                  <w:rFonts w:ascii="Arial" w:cs="Arial" w:eastAsia="Arial" w:hAnsi="Arial"/>
                  <w:sz w:val="17"/>
                  <w:szCs w:val="17"/>
                  <w:color w:val="0000EE"/>
                  <w:w w:val="92"/>
                </w:rPr>
                <w:t>Security Ownership of Certain Beneficial Owners and Management and Related Stockholder Matters</w:t>
              </w:r>
            </w:hyperlink>
          </w:p>
        </w:tc>
        <w:tc>
          <w:tcPr>
            <w:tcW w:w="1380" w:type="dxa"/>
            <w:vAlign w:val="bottom"/>
            <w:gridSpan w:val="2"/>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99</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13.</w:t>
            </w:r>
          </w:p>
        </w:tc>
        <w:tc>
          <w:tcPr>
            <w:tcW w:w="5260" w:type="dxa"/>
            <w:vAlign w:val="bottom"/>
            <w:tcBorders>
              <w:bottom w:val="single" w:sz="8" w:color="0000EE"/>
            </w:tcBorders>
            <w:gridSpan w:val="29"/>
          </w:tcPr>
          <w:p>
            <w:pPr>
              <w:spacing w:after="0"/>
              <w:rPr>
                <w:rFonts w:ascii="Arial" w:cs="Arial" w:eastAsia="Arial" w:hAnsi="Arial"/>
                <w:sz w:val="17"/>
                <w:szCs w:val="17"/>
                <w:color w:val="0000EE"/>
                <w:w w:val="91"/>
              </w:rPr>
            </w:pPr>
            <w:hyperlink w:anchor="page99">
              <w:r>
                <w:rPr>
                  <w:rFonts w:ascii="Arial" w:cs="Arial" w:eastAsia="Arial" w:hAnsi="Arial"/>
                  <w:sz w:val="17"/>
                  <w:szCs w:val="17"/>
                  <w:color w:val="0000EE"/>
                  <w:w w:val="91"/>
                </w:rPr>
                <w:t>Certain Relationships and Related Transactions, and Director Independence</w:t>
              </w:r>
            </w:hyperlink>
          </w:p>
        </w:tc>
        <w:tc>
          <w:tcPr>
            <w:tcW w:w="3160" w:type="dxa"/>
            <w:vAlign w:val="bottom"/>
            <w:gridSpan w:val="5"/>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99</w:t>
            </w: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14.</w:t>
            </w:r>
          </w:p>
        </w:tc>
        <w:tc>
          <w:tcPr>
            <w:tcW w:w="8420" w:type="dxa"/>
            <w:vAlign w:val="bottom"/>
            <w:gridSpan w:val="34"/>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Principal Accounting Fees and Services</w:t>
              </w:r>
            </w:hyperlink>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99</w:t>
            </w:r>
          </w:p>
        </w:tc>
      </w:tr>
      <w:tr>
        <w:trPr>
          <w:trHeight w:val="462"/>
        </w:trPr>
        <w:tc>
          <w:tcPr>
            <w:tcW w:w="1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gridSpan w:val="14"/>
          </w:tcPr>
          <w:p>
            <w:pPr>
              <w:jc w:val="center"/>
              <w:ind w:right="3820"/>
              <w:spacing w:after="0"/>
              <w:rPr>
                <w:rFonts w:ascii="Arial" w:cs="Arial" w:eastAsia="Arial" w:hAnsi="Arial"/>
                <w:sz w:val="17"/>
                <w:szCs w:val="17"/>
                <w:b w:val="1"/>
                <w:bCs w:val="1"/>
                <w:color w:val="0000EE"/>
              </w:rPr>
            </w:pPr>
            <w:hyperlink w:anchor="page100">
              <w:r>
                <w:rPr>
                  <w:rFonts w:ascii="Arial" w:cs="Arial" w:eastAsia="Arial" w:hAnsi="Arial"/>
                  <w:sz w:val="17"/>
                  <w:szCs w:val="17"/>
                  <w:b w:val="1"/>
                  <w:bCs w:val="1"/>
                  <w:color w:val="0000EE"/>
                </w:rPr>
                <w:t>Part IV</w:t>
              </w:r>
            </w:hyperlink>
          </w:p>
        </w:tc>
        <w:tc>
          <w:tcPr>
            <w:tcW w:w="1600" w:type="dxa"/>
            <w:vAlign w:val="bottom"/>
          </w:tcPr>
          <w:p>
            <w:pPr>
              <w:spacing w:after="0"/>
              <w:rPr>
                <w:sz w:val="24"/>
                <w:szCs w:val="24"/>
                <w:color w:val="auto"/>
              </w:rPr>
            </w:pPr>
          </w:p>
        </w:tc>
      </w:tr>
      <w:tr>
        <w:trPr>
          <w:trHeight w:val="462"/>
        </w:trPr>
        <w:tc>
          <w:tcPr>
            <w:tcW w:w="1420" w:type="dxa"/>
            <w:vAlign w:val="bottom"/>
          </w:tcPr>
          <w:p>
            <w:pPr>
              <w:ind w:left="40"/>
              <w:spacing w:after="0"/>
              <w:rPr>
                <w:sz w:val="20"/>
                <w:szCs w:val="20"/>
                <w:color w:val="auto"/>
              </w:rPr>
            </w:pPr>
            <w:r>
              <w:rPr>
                <w:rFonts w:ascii="Arial" w:cs="Arial" w:eastAsia="Arial" w:hAnsi="Arial"/>
                <w:sz w:val="17"/>
                <w:szCs w:val="17"/>
                <w:color w:val="auto"/>
              </w:rPr>
              <w:t>Item 15.</w:t>
            </w:r>
          </w:p>
        </w:tc>
        <w:tc>
          <w:tcPr>
            <w:tcW w:w="2800" w:type="dxa"/>
            <w:vAlign w:val="bottom"/>
            <w:tcBorders>
              <w:bottom w:val="single" w:sz="8" w:color="0000EE"/>
            </w:tcBorders>
            <w:gridSpan w:val="16"/>
          </w:tcPr>
          <w:p>
            <w:pPr>
              <w:spacing w:after="0"/>
              <w:rPr>
                <w:rFonts w:ascii="Arial" w:cs="Arial" w:eastAsia="Arial" w:hAnsi="Arial"/>
                <w:sz w:val="17"/>
                <w:szCs w:val="17"/>
                <w:color w:val="0000EE"/>
                <w:w w:val="91"/>
              </w:rPr>
            </w:pPr>
            <w:hyperlink w:anchor="page100">
              <w:r>
                <w:rPr>
                  <w:rFonts w:ascii="Arial" w:cs="Arial" w:eastAsia="Arial" w:hAnsi="Arial"/>
                  <w:sz w:val="17"/>
                  <w:szCs w:val="17"/>
                  <w:color w:val="0000EE"/>
                  <w:w w:val="91"/>
                </w:rPr>
                <w:t>Financial Statement Schedules, Exhibits</w:t>
              </w:r>
            </w:hyperlink>
          </w:p>
        </w:tc>
        <w:tc>
          <w:tcPr>
            <w:tcW w:w="1220" w:type="dxa"/>
            <w:vAlign w:val="bottom"/>
            <w:gridSpan w:val="5"/>
          </w:tcPr>
          <w:p>
            <w:pPr>
              <w:spacing w:after="0"/>
              <w:rPr>
                <w:sz w:val="24"/>
                <w:szCs w:val="24"/>
                <w:color w:val="auto"/>
              </w:rPr>
            </w:pPr>
          </w:p>
        </w:tc>
        <w:tc>
          <w:tcPr>
            <w:tcW w:w="560" w:type="dxa"/>
            <w:vAlign w:val="bottom"/>
            <w:tcBorders>
              <w:top w:val="single" w:sz="8" w:color="0000EE"/>
            </w:tcBorders>
            <w:gridSpan w:val="6"/>
          </w:tcPr>
          <w:p>
            <w:pPr>
              <w:spacing w:after="0"/>
              <w:rPr>
                <w:sz w:val="24"/>
                <w:szCs w:val="24"/>
                <w:color w:val="auto"/>
              </w:rPr>
            </w:pPr>
          </w:p>
        </w:tc>
        <w:tc>
          <w:tcPr>
            <w:tcW w:w="3840" w:type="dxa"/>
            <w:vAlign w:val="bottom"/>
            <w:gridSpan w:val="7"/>
          </w:tcPr>
          <w:p>
            <w:pPr>
              <w:spacing w:after="0"/>
              <w:rPr>
                <w:sz w:val="24"/>
                <w:szCs w:val="24"/>
                <w:color w:val="auto"/>
              </w:rPr>
            </w:pPr>
          </w:p>
        </w:tc>
        <w:tc>
          <w:tcPr>
            <w:tcW w:w="1600" w:type="dxa"/>
            <w:vAlign w:val="bottom"/>
          </w:tcPr>
          <w:p>
            <w:pPr>
              <w:jc w:val="center"/>
              <w:ind w:left="13"/>
              <w:spacing w:after="0"/>
              <w:rPr>
                <w:sz w:val="20"/>
                <w:szCs w:val="20"/>
                <w:color w:val="auto"/>
              </w:rPr>
            </w:pPr>
            <w:r>
              <w:rPr>
                <w:rFonts w:ascii="Arial" w:cs="Arial" w:eastAsia="Arial" w:hAnsi="Arial"/>
                <w:sz w:val="17"/>
                <w:szCs w:val="17"/>
                <w:color w:val="auto"/>
                <w:w w:val="91"/>
              </w:rPr>
              <w:t>100</w:t>
            </w:r>
          </w:p>
        </w:tc>
      </w:tr>
      <w:tr>
        <w:trPr>
          <w:trHeight w:val="202"/>
        </w:trPr>
        <w:tc>
          <w:tcPr>
            <w:tcW w:w="1420" w:type="dxa"/>
            <w:vAlign w:val="bottom"/>
          </w:tcPr>
          <w:p>
            <w:pPr>
              <w:spacing w:after="0"/>
              <w:rPr>
                <w:sz w:val="17"/>
                <w:szCs w:val="17"/>
                <w:color w:val="auto"/>
              </w:rPr>
            </w:pPr>
          </w:p>
        </w:tc>
        <w:tc>
          <w:tcPr>
            <w:tcW w:w="8420" w:type="dxa"/>
            <w:vAlign w:val="bottom"/>
            <w:gridSpan w:val="34"/>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Index to Exhibits</w:t>
              </w:r>
            </w:hyperlink>
          </w:p>
        </w:tc>
        <w:tc>
          <w:tcPr>
            <w:tcW w:w="1600" w:type="dxa"/>
            <w:vAlign w:val="bottom"/>
          </w:tcPr>
          <w:p>
            <w:pPr>
              <w:jc w:val="center"/>
              <w:ind w:left="13"/>
              <w:spacing w:after="0"/>
              <w:rPr>
                <w:sz w:val="20"/>
                <w:szCs w:val="20"/>
                <w:color w:val="auto"/>
              </w:rPr>
            </w:pPr>
            <w:r>
              <w:rPr>
                <w:rFonts w:ascii="Arial" w:cs="Arial" w:eastAsia="Arial" w:hAnsi="Arial"/>
                <w:sz w:val="17"/>
                <w:szCs w:val="17"/>
                <w:color w:val="auto"/>
                <w:w w:val="91"/>
              </w:rPr>
              <w:t>101</w:t>
            </w:r>
          </w:p>
        </w:tc>
      </w:tr>
      <w:tr>
        <w:trPr>
          <w:trHeight w:val="20"/>
        </w:trPr>
        <w:tc>
          <w:tcPr>
            <w:tcW w:w="1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5040" w:type="dxa"/>
            <w:vAlign w:val="bottom"/>
            <w:gridSpan w:val="16"/>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2"/>
        </w:trPr>
        <w:tc>
          <w:tcPr>
            <w:tcW w:w="1420" w:type="dxa"/>
            <w:vAlign w:val="bottom"/>
          </w:tcPr>
          <w:p>
            <w:pPr>
              <w:ind w:left="40"/>
              <w:spacing w:after="0"/>
              <w:rPr>
                <w:sz w:val="20"/>
                <w:szCs w:val="20"/>
                <w:color w:val="auto"/>
              </w:rPr>
            </w:pPr>
            <w:r>
              <w:rPr>
                <w:rFonts w:ascii="Arial" w:cs="Arial" w:eastAsia="Arial" w:hAnsi="Arial"/>
                <w:sz w:val="17"/>
                <w:szCs w:val="17"/>
                <w:color w:val="auto"/>
              </w:rPr>
              <w:t>Item 16.</w:t>
            </w:r>
          </w:p>
        </w:tc>
        <w:tc>
          <w:tcPr>
            <w:tcW w:w="8420" w:type="dxa"/>
            <w:vAlign w:val="bottom"/>
            <w:gridSpan w:val="34"/>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Form 10-K Summary</w:t>
              </w:r>
            </w:hyperlink>
          </w:p>
        </w:tc>
        <w:tc>
          <w:tcPr>
            <w:tcW w:w="1600" w:type="dxa"/>
            <w:vAlign w:val="bottom"/>
          </w:tcPr>
          <w:p>
            <w:pPr>
              <w:jc w:val="center"/>
              <w:ind w:left="13"/>
              <w:spacing w:after="0"/>
              <w:rPr>
                <w:sz w:val="20"/>
                <w:szCs w:val="20"/>
                <w:color w:val="auto"/>
              </w:rPr>
            </w:pPr>
            <w:r>
              <w:rPr>
                <w:rFonts w:ascii="Arial" w:cs="Arial" w:eastAsia="Arial" w:hAnsi="Arial"/>
                <w:sz w:val="17"/>
                <w:szCs w:val="17"/>
                <w:color w:val="auto"/>
                <w:w w:val="91"/>
              </w:rPr>
              <w:t>104</w:t>
            </w:r>
          </w:p>
        </w:tc>
      </w:tr>
      <w:tr>
        <w:trPr>
          <w:trHeight w:val="20"/>
        </w:trPr>
        <w:tc>
          <w:tcPr>
            <w:tcW w:w="1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5040" w:type="dxa"/>
            <w:vAlign w:val="bottom"/>
            <w:gridSpan w:val="16"/>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2"/>
        </w:trPr>
        <w:tc>
          <w:tcPr>
            <w:tcW w:w="1420" w:type="dxa"/>
            <w:vAlign w:val="bottom"/>
          </w:tcPr>
          <w:p>
            <w:pPr>
              <w:spacing w:after="0"/>
              <w:rPr>
                <w:sz w:val="17"/>
                <w:szCs w:val="17"/>
                <w:color w:val="auto"/>
              </w:rPr>
            </w:pPr>
          </w:p>
        </w:tc>
        <w:tc>
          <w:tcPr>
            <w:tcW w:w="8420" w:type="dxa"/>
            <w:vAlign w:val="bottom"/>
            <w:gridSpan w:val="34"/>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Schedule II - Valuation and Qualifying Accounts</w:t>
              </w:r>
            </w:hyperlink>
          </w:p>
        </w:tc>
        <w:tc>
          <w:tcPr>
            <w:tcW w:w="1600" w:type="dxa"/>
            <w:vAlign w:val="bottom"/>
          </w:tcPr>
          <w:p>
            <w:pPr>
              <w:jc w:val="center"/>
              <w:ind w:left="13"/>
              <w:spacing w:after="0"/>
              <w:rPr>
                <w:sz w:val="20"/>
                <w:szCs w:val="20"/>
                <w:color w:val="auto"/>
              </w:rPr>
            </w:pPr>
            <w:r>
              <w:rPr>
                <w:rFonts w:ascii="Arial" w:cs="Arial" w:eastAsia="Arial" w:hAnsi="Arial"/>
                <w:sz w:val="17"/>
                <w:szCs w:val="17"/>
                <w:color w:val="auto"/>
                <w:w w:val="91"/>
              </w:rPr>
              <w:t>105</w:t>
            </w:r>
          </w:p>
        </w:tc>
      </w:tr>
      <w:tr>
        <w:trPr>
          <w:trHeight w:val="202"/>
        </w:trPr>
        <w:tc>
          <w:tcPr>
            <w:tcW w:w="1420" w:type="dxa"/>
            <w:vAlign w:val="bottom"/>
          </w:tcPr>
          <w:p>
            <w:pPr>
              <w:spacing w:after="0"/>
              <w:rPr>
                <w:sz w:val="17"/>
                <w:szCs w:val="17"/>
                <w:color w:val="auto"/>
              </w:rPr>
            </w:pPr>
          </w:p>
        </w:tc>
        <w:tc>
          <w:tcPr>
            <w:tcW w:w="3380" w:type="dxa"/>
            <w:vAlign w:val="bottom"/>
            <w:tcBorders>
              <w:top w:val="single" w:sz="8" w:color="0000EE"/>
            </w:tcBorders>
            <w:gridSpan w:val="18"/>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Signatures</w:t>
              </w:r>
            </w:hyperlink>
          </w:p>
        </w:tc>
        <w:tc>
          <w:tcPr>
            <w:tcW w:w="5040" w:type="dxa"/>
            <w:vAlign w:val="bottom"/>
            <w:gridSpan w:val="16"/>
          </w:tcPr>
          <w:p>
            <w:pPr>
              <w:spacing w:after="0"/>
              <w:rPr>
                <w:sz w:val="17"/>
                <w:szCs w:val="17"/>
                <w:color w:val="auto"/>
              </w:rPr>
            </w:pPr>
          </w:p>
        </w:tc>
        <w:tc>
          <w:tcPr>
            <w:tcW w:w="1600" w:type="dxa"/>
            <w:vAlign w:val="bottom"/>
          </w:tcPr>
          <w:p>
            <w:pPr>
              <w:jc w:val="center"/>
              <w:ind w:left="13"/>
              <w:spacing w:after="0"/>
              <w:rPr>
                <w:sz w:val="20"/>
                <w:szCs w:val="20"/>
                <w:color w:val="auto"/>
              </w:rPr>
            </w:pPr>
            <w:r>
              <w:rPr>
                <w:rFonts w:ascii="Arial" w:cs="Arial" w:eastAsia="Arial" w:hAnsi="Arial"/>
                <w:sz w:val="17"/>
                <w:szCs w:val="17"/>
                <w:color w:val="auto"/>
                <w:w w:val="91"/>
              </w:rPr>
              <w:t>106</w:t>
            </w:r>
          </w:p>
        </w:tc>
      </w:tr>
      <w:tr>
        <w:trPr>
          <w:trHeight w:val="918"/>
        </w:trPr>
        <w:tc>
          <w:tcPr>
            <w:tcW w:w="142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sz w:val="24"/>
                <w:szCs w:val="24"/>
                <w:color w:val="auto"/>
              </w:rPr>
            </w:pPr>
          </w:p>
        </w:tc>
        <w:tc>
          <w:tcPr>
            <w:tcW w:w="3800" w:type="dxa"/>
            <w:vAlign w:val="bottom"/>
            <w:gridSpan w:val="22"/>
          </w:tcPr>
          <w:p>
            <w:pPr>
              <w:jc w:val="center"/>
              <w:ind w:left="3273"/>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1"/>
        </w:trPr>
        <w:tc>
          <w:tcPr>
            <w:tcW w:w="14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means the parent company, Eastman Kodak Company (the “Company”).</w:t>
      </w:r>
    </w:p>
    <w:p>
      <w:pPr>
        <w:spacing w:after="0" w:line="68"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Kodak provides directly, and through partnerships with other innovative companies, hardware, software, consumables and services to customers in graphic arts, commercial print, publishing, electronic displays, entertainment and commercial films, and consumer products markets. With its world-class R&amp;D capabilities, innovative solutions portfolio and highly trusted brand, Kodak is helping customers around the globe to sustainably grow their own businesses and enjoy their lives.</w:t>
      </w:r>
    </w:p>
    <w:p>
      <w:pPr>
        <w:spacing w:after="0" w:line="34"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developing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5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Kodak’s consolidated financial statements have been prepared on the going concern basis of accounting, which assumes Kodak will continue to operate as a going concern and which contemplates the realization of assets and the satisfaction of liabilities and commitments in the normal course of business. Refer to Note 1, “Summary of Significant Accounting Principles” in the Notes to Financial Statements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founded by George Eastman in 1880 and incorporated in 1901 in the State of New Jersey. Kodak is headquartered in Rochester, New York.</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23"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Kodak has six reportable segments: Print Systems, Enterprise Inkjet Systems, Software and Solutions, Consumer and Film, Advanced Materials and 3D Printing Technology and Eastman Business Park.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p>
    <w:p>
      <w:pPr>
        <w:spacing w:after="0" w:line="12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innovations in Kodak product lines that can command premium prices offset some of the long-term market price erosion.</w:t>
      </w:r>
    </w:p>
    <w:p>
      <w:pPr>
        <w:spacing w:after="0" w:line="76"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Prices for aluminum have risen over the past year, in part due to strong global demand and more recently due to the imposition of U.S. tariffs. Kodak seeks to mitigate the impact of high aluminum prices through a combination of price increases, commodity contracts, improved production efficiency and cost reduction initiatives. In January 2019, Kodak received exemptions on U.S. tariffs for aluminum.</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Print Systems products and services are sold globally to customers through both a direct sales team as well as indirectly through dealers. Primary competitors are Fuji and Agfa. Kodak expects to benefit from current industry trends, including customers’ increasing focus on sustainability initiatives, which strengthens demand for Kodak’s process-free solutions.</w:t>
      </w:r>
    </w:p>
    <w:p>
      <w:pPr>
        <w:spacing w:after="0" w:line="68" w:lineRule="exact"/>
        <w:rPr>
          <w:sz w:val="20"/>
          <w:szCs w:val="20"/>
          <w:color w:val="auto"/>
        </w:rPr>
      </w:pPr>
    </w:p>
    <w:p>
      <w:pPr>
        <w:ind w:left="380" w:hanging="376"/>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Prepress Solutions:</w:t>
      </w:r>
    </w:p>
    <w:p>
      <w:pPr>
        <w:spacing w:after="0" w:line="117" w:lineRule="exact"/>
        <w:rPr>
          <w:rFonts w:ascii="Arial" w:cs="Arial" w:eastAsia="Arial" w:hAnsi="Arial"/>
          <w:sz w:val="17"/>
          <w:szCs w:val="17"/>
          <w:color w:val="auto"/>
        </w:rPr>
      </w:pPr>
    </w:p>
    <w:p>
      <w:pPr>
        <w:jc w:val="both"/>
        <w:ind w:left="940" w:right="320" w:hanging="558"/>
        <w:spacing w:after="0" w:line="271" w:lineRule="auto"/>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Digital offset plates, which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960" w:right="160" w:hanging="578"/>
        <w:spacing w:after="0" w:line="296" w:lineRule="auto"/>
        <w:tabs>
          <w:tab w:leader="none" w:pos="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CTP output devices that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49" w:lineRule="exact"/>
        <w:rPr>
          <w:rFonts w:ascii="Arial" w:cs="Arial" w:eastAsia="Arial" w:hAnsi="Arial"/>
          <w:sz w:val="16"/>
          <w:szCs w:val="16"/>
          <w:color w:val="auto"/>
        </w:rPr>
      </w:pPr>
    </w:p>
    <w:p>
      <w:pPr>
        <w:ind w:left="940" w:hanging="558"/>
        <w:spacing w:after="0"/>
        <w:tabs>
          <w:tab w:leader="none" w:pos="940"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sales for Prepress Solutions accounted for 58% of Kodak’s total net revenue for each of the years ended December 31, 2018 and 2017.</w:t>
      </w:r>
    </w:p>
    <w:p>
      <w:pPr>
        <w:spacing w:after="0" w:line="128" w:lineRule="exact"/>
        <w:rPr>
          <w:rFonts w:ascii="Arial" w:cs="Arial" w:eastAsia="Arial" w:hAnsi="Arial"/>
          <w:sz w:val="16"/>
          <w:szCs w:val="16"/>
          <w:color w:val="auto"/>
        </w:rPr>
      </w:pPr>
    </w:p>
    <w:p>
      <w:pPr>
        <w:ind w:left="380" w:hanging="376"/>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Electrophotographic Printing Solutions:</w:t>
      </w:r>
    </w:p>
    <w:p>
      <w:pPr>
        <w:spacing w:after="0" w:line="117" w:lineRule="exact"/>
        <w:rPr>
          <w:rFonts w:ascii="Arial" w:cs="Arial" w:eastAsia="Arial" w:hAnsi="Arial"/>
          <w:sz w:val="17"/>
          <w:szCs w:val="17"/>
          <w:color w:val="auto"/>
        </w:rPr>
      </w:pPr>
    </w:p>
    <w:p>
      <w:pPr>
        <w:ind w:left="940" w:right="160" w:hanging="558"/>
        <w:spacing w:after="0" w:line="287"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NEXPRESS printers produce high-quality, differentiated printing of short-run, personalized print applications, such as direct mail, books, marketing collateral and photo products.</w:t>
      </w:r>
    </w:p>
    <w:p>
      <w:pPr>
        <w:spacing w:after="0" w:line="53" w:lineRule="exact"/>
        <w:rPr>
          <w:rFonts w:ascii="Arial" w:cs="Arial" w:eastAsia="Arial" w:hAnsi="Arial"/>
          <w:sz w:val="17"/>
          <w:szCs w:val="17"/>
          <w:color w:val="auto"/>
        </w:rPr>
      </w:pPr>
    </w:p>
    <w:p>
      <w:pPr>
        <w:ind w:left="940" w:right="1040" w:hanging="558"/>
        <w:spacing w:after="0" w:line="287"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DIGIMASTER printers use monochrome electrophotographic printing technology for transactional printing, short-run books, corporate documentation, manuals and direct mail.</w:t>
      </w:r>
    </w:p>
    <w:p>
      <w:pPr>
        <w:spacing w:after="0" w:line="53" w:lineRule="exact"/>
        <w:rPr>
          <w:rFonts w:ascii="Arial" w:cs="Arial" w:eastAsia="Arial" w:hAnsi="Arial"/>
          <w:sz w:val="17"/>
          <w:szCs w:val="17"/>
          <w:color w:val="auto"/>
        </w:rPr>
      </w:pPr>
    </w:p>
    <w:p>
      <w:pPr>
        <w:ind w:left="940" w:right="120" w:hanging="558"/>
        <w:spacing w:after="0" w:line="287"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Net sales for Electrophotographic Printing Solutions accounted for 10% of Kodak’s total net revenue for each of the years ended December 31, 2018 and 2017.</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Print Systems segment also provides service and support related to these products.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Enterprise Inkjet Systems segment contains the Prosper business and the Versamark business. The Enterprise Inkjet Systems products include production press systems, consumables (primarily ink), inkjet components and services. Enterprise Inkjet Systems products are distributed directly by Kodak and indirectly through dealers. The markets that the Enterprise Inkjet Systems segment serves are highly competitive in variable printing applications like direct mail, newspapers, books, and packaging/labels. Key competitors are HP, Canon, Ricoh, and Screen.</w:t>
      </w:r>
    </w:p>
    <w:p>
      <w:pPr>
        <w:spacing w:after="0" w:line="167" w:lineRule="exact"/>
        <w:rPr>
          <w:sz w:val="20"/>
          <w:szCs w:val="20"/>
          <w:color w:val="auto"/>
        </w:rPr>
      </w:pPr>
    </w:p>
    <w:p>
      <w:pPr>
        <w:ind w:left="380" w:hanging="376"/>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Prosper:</w:t>
      </w:r>
    </w:p>
    <w:p>
      <w:pPr>
        <w:spacing w:after="0" w:line="117" w:lineRule="exact"/>
        <w:rPr>
          <w:rFonts w:ascii="Arial" w:cs="Arial" w:eastAsia="Arial" w:hAnsi="Arial"/>
          <w:sz w:val="17"/>
          <w:szCs w:val="17"/>
          <w:color w:val="auto"/>
        </w:rPr>
      </w:pPr>
    </w:p>
    <w:p>
      <w:pPr>
        <w:ind w:left="940" w:right="40" w:hanging="558"/>
        <w:spacing w:after="0" w:line="260" w:lineRule="auto"/>
        <w:tabs>
          <w:tab w:leader="none" w:pos="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78" w:lineRule="exact"/>
        <w:rPr>
          <w:rFonts w:ascii="Arial" w:cs="Arial" w:eastAsia="Arial" w:hAnsi="Arial"/>
          <w:sz w:val="17"/>
          <w:szCs w:val="17"/>
          <w:color w:val="auto"/>
        </w:rPr>
      </w:pPr>
    </w:p>
    <w:p>
      <w:pPr>
        <w:ind w:left="940" w:right="80" w:hanging="558"/>
        <w:spacing w:after="0" w:line="266" w:lineRule="auto"/>
        <w:tabs>
          <w:tab w:leader="none" w:pos="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focus of the Prosper business is on developing the next generation platform, Ultrastream, with solutions that place writing systems in original equipment manufacturers (OEM) as well as direct sale press products that widens its reach into applications for packaging and décor and expands the substrate range to include plastics. The Prosper business secured its first agreement in the fourth quarter of 2018 with an industry OEM, who will integrate Ultrastream in a packaging press solution.</w:t>
      </w:r>
    </w:p>
    <w:p>
      <w:pPr>
        <w:spacing w:after="0" w:line="71" w:lineRule="exact"/>
        <w:rPr>
          <w:rFonts w:ascii="Arial" w:cs="Arial" w:eastAsia="Arial" w:hAnsi="Arial"/>
          <w:sz w:val="17"/>
          <w:szCs w:val="17"/>
          <w:color w:val="auto"/>
        </w:rPr>
      </w:pPr>
    </w:p>
    <w:p>
      <w:pPr>
        <w:ind w:left="940" w:right="320" w:hanging="558"/>
        <w:spacing w:after="0" w:line="271" w:lineRule="auto"/>
        <w:tabs>
          <w:tab w:leader="none" w:pos="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98" w:lineRule="exact"/>
        <w:rPr>
          <w:rFonts w:ascii="Arial" w:cs="Arial" w:eastAsia="Arial" w:hAnsi="Arial"/>
          <w:sz w:val="17"/>
          <w:szCs w:val="17"/>
          <w:color w:val="auto"/>
        </w:rPr>
      </w:pPr>
    </w:p>
    <w:p>
      <w:pPr>
        <w:ind w:left="380" w:hanging="376"/>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Versamark:</w:t>
      </w:r>
    </w:p>
    <w:p>
      <w:pPr>
        <w:spacing w:after="0" w:line="221" w:lineRule="exact"/>
        <w:rPr>
          <w:rFonts w:ascii="Arial" w:cs="Arial" w:eastAsia="Arial" w:hAnsi="Arial"/>
          <w:sz w:val="17"/>
          <w:szCs w:val="17"/>
          <w:color w:val="auto"/>
        </w:rPr>
      </w:pPr>
    </w:p>
    <w:p>
      <w:pPr>
        <w:ind w:left="940" w:right="20" w:hanging="558"/>
        <w:spacing w:after="0" w:line="271" w:lineRule="auto"/>
        <w:tabs>
          <w:tab w:leader="none" w:pos="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KODAK VERSAMARK Products are the predecessor products to the PROSPER Press.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Net sales for Enterprise Inkjet Systems accounted for 10% of Kodak’s total net revenue for each of the years ended December 31, 2018 and 2017.</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w:t>
      </w:r>
    </w:p>
    <w:p>
      <w:pPr>
        <w:spacing w:after="0" w:line="1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Kodak Services for Business (“KSB”) and Kodakit. Sales in Kodak Technology Solutions are project-based and can vary from year to year depending on the nature and number of projects in existence that year.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 w:name="page5"/>
    <w:bookmarkEnd w:id="4"/>
    <w:p>
      <w:pPr>
        <w:ind w:left="380" w:hanging="376"/>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Unified Workflow Solutions:</w:t>
      </w:r>
    </w:p>
    <w:p>
      <w:pPr>
        <w:spacing w:after="0" w:line="247" w:lineRule="exact"/>
        <w:rPr>
          <w:rFonts w:ascii="Arial" w:cs="Arial" w:eastAsia="Arial" w:hAnsi="Arial"/>
          <w:sz w:val="17"/>
          <w:szCs w:val="17"/>
          <w:color w:val="auto"/>
        </w:rPr>
      </w:pPr>
    </w:p>
    <w:p>
      <w:pPr>
        <w:ind w:left="760" w:right="60" w:hanging="378"/>
        <w:spacing w:after="0" w:line="278" w:lineRule="auto"/>
        <w:tabs>
          <w:tab w:leader="none" w:pos="760" w:val="left"/>
        </w:tabs>
        <w:numPr>
          <w:ilvl w:val="1"/>
          <w:numId w:val="6"/>
        </w:numPr>
        <w:rPr>
          <w:rFonts w:ascii="Arial" w:cs="Arial" w:eastAsia="Arial" w:hAnsi="Arial"/>
          <w:sz w:val="16"/>
          <w:szCs w:val="16"/>
          <w:color w:val="auto"/>
        </w:rPr>
      </w:pPr>
      <w:r>
        <w:rPr>
          <w:rFonts w:ascii="Arial" w:cs="Arial" w:eastAsia="Arial" w:hAnsi="Arial"/>
          <w:sz w:val="16"/>
          <w:szCs w:val="16"/>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systems sold to many of the largest printing and packaging establishments around the world. The Unified Workflow Solutions business includes digital front-end controllers which manage the delivery of personalized content to digital presses while controlling color and print consistency. Products and services are sold directly by Kodak and indirectly through dealers. The markets that Unified Workflow Solutions serves are highly competitive. Key customer segments each face competitive market pressure in pricing and new product introduction. Primary competitors include Heidelberg, Agfa, Fuji, and Esko.</w:t>
      </w:r>
    </w:p>
    <w:p>
      <w:pPr>
        <w:spacing w:after="0" w:line="193" w:lineRule="exact"/>
        <w:rPr>
          <w:rFonts w:ascii="Arial" w:cs="Arial" w:eastAsia="Arial" w:hAnsi="Arial"/>
          <w:sz w:val="16"/>
          <w:szCs w:val="16"/>
          <w:color w:val="auto"/>
        </w:rPr>
      </w:pPr>
    </w:p>
    <w:p>
      <w:pPr>
        <w:ind w:left="380" w:hanging="376"/>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Kodak Technology Solutions:</w:t>
      </w:r>
    </w:p>
    <w:p>
      <w:pPr>
        <w:spacing w:after="0" w:line="247" w:lineRule="exact"/>
        <w:rPr>
          <w:rFonts w:ascii="Arial" w:cs="Arial" w:eastAsia="Arial" w:hAnsi="Arial"/>
          <w:sz w:val="17"/>
          <w:szCs w:val="17"/>
          <w:color w:val="auto"/>
        </w:rPr>
      </w:pPr>
    </w:p>
    <w:p>
      <w:pPr>
        <w:ind w:left="760" w:right="20" w:hanging="378"/>
        <w:spacing w:after="0" w:line="262" w:lineRule="auto"/>
        <w:tabs>
          <w:tab w:leader="none" w:pos="760" w:val="left"/>
        </w:tabs>
        <w:numPr>
          <w:ilvl w:val="1"/>
          <w:numId w:val="6"/>
        </w:numPr>
        <w:rPr>
          <w:rFonts w:ascii="Arial" w:cs="Arial" w:eastAsia="Arial" w:hAnsi="Arial"/>
          <w:sz w:val="17"/>
          <w:szCs w:val="17"/>
          <w:color w:val="auto"/>
        </w:rPr>
      </w:pPr>
      <w:r>
        <w:rPr>
          <w:rFonts w:ascii="Arial" w:cs="Arial" w:eastAsia="Arial" w:hAnsi="Arial"/>
          <w:sz w:val="17"/>
          <w:szCs w:val="17"/>
          <w:color w:val="auto"/>
        </w:rPr>
        <w:t>KSB assists organizations with challenges and opportunities created by the worldwide digital transformation. It provides business process outsourcing services, scan and capture solutions, records conversion services, workflow solutions, content management and print and managed media services that assist customers with solutions that meet their business requirements. KSB has expertise in the capture, archiving, retrieval and delivery of documents including in-depth knowledge of handling legacy media. KSB serves enterprise customers primarily in the banking, insurance and government sectors. Digitization and document management services are provided by a variety of players, both global and local, in a market that varies significantly in terms of quality and pricing of services provided.</w:t>
      </w:r>
    </w:p>
    <w:p>
      <w:pPr>
        <w:spacing w:after="0" w:line="205" w:lineRule="exact"/>
        <w:rPr>
          <w:rFonts w:ascii="Arial" w:cs="Arial" w:eastAsia="Arial" w:hAnsi="Arial"/>
          <w:sz w:val="17"/>
          <w:szCs w:val="17"/>
          <w:color w:val="auto"/>
        </w:rPr>
      </w:pPr>
    </w:p>
    <w:p>
      <w:pPr>
        <w:ind w:left="760" w:hanging="378"/>
        <w:spacing w:after="0" w:line="287" w:lineRule="auto"/>
        <w:tabs>
          <w:tab w:leader="none" w:pos="760" w:val="left"/>
        </w:tabs>
        <w:numPr>
          <w:ilvl w:val="1"/>
          <w:numId w:val="6"/>
        </w:numPr>
        <w:rPr>
          <w:rFonts w:ascii="Arial" w:cs="Arial" w:eastAsia="Arial" w:hAnsi="Arial"/>
          <w:sz w:val="17"/>
          <w:szCs w:val="17"/>
          <w:color w:val="auto"/>
        </w:rPr>
      </w:pPr>
      <w:r>
        <w:rPr>
          <w:rFonts w:ascii="Arial" w:cs="Arial" w:eastAsia="Arial" w:hAnsi="Arial"/>
          <w:sz w:val="17"/>
          <w:szCs w:val="17"/>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and Film</w:t>
      </w:r>
    </w:p>
    <w:p>
      <w:pPr>
        <w:spacing w:after="0" w:line="22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Consumer and Film segment is comprised of three lines of business: Consumer Products, Industrial Film and Chemicals, and Motion Picture. Kodak’s Consumer and Film products are distributed directly by Kodak and indirectly through dealers. Brand licensees use the Kodak brand on their products and use their own distribution channels. Two Industrial Film and Chemicals customers represented approximately 30 percent of total Consumer and Film segment</w:t>
      </w:r>
    </w:p>
    <w:p>
      <w:pPr>
        <w:spacing w:after="0" w:line="1"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revenues. China tariffs on U.S. made film are increasing material costs in China for printed circuit board film. Prolonged trade disputes with increasing tariffs could have incremental negative impacts on material costs.</w:t>
      </w:r>
    </w:p>
    <w:p>
      <w:pPr>
        <w:spacing w:after="0" w:line="66" w:lineRule="exact"/>
        <w:rPr>
          <w:sz w:val="20"/>
          <w:szCs w:val="20"/>
          <w:color w:val="auto"/>
        </w:rPr>
      </w:pPr>
    </w:p>
    <w:p>
      <w:pPr>
        <w:ind w:left="380" w:hanging="376"/>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Consumer Products:</w:t>
      </w:r>
    </w:p>
    <w:p>
      <w:pPr>
        <w:spacing w:after="0" w:line="117" w:lineRule="exact"/>
        <w:rPr>
          <w:rFonts w:ascii="Arial" w:cs="Arial" w:eastAsia="Arial" w:hAnsi="Arial"/>
          <w:sz w:val="17"/>
          <w:szCs w:val="17"/>
          <w:color w:val="auto"/>
        </w:rPr>
      </w:pPr>
    </w:p>
    <w:p>
      <w:pPr>
        <w:ind w:left="940" w:hanging="558"/>
        <w:spacing w:after="0" w:line="271" w:lineRule="auto"/>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spacing w:after="0" w:line="67" w:lineRule="exact"/>
        <w:rPr>
          <w:rFonts w:ascii="Arial" w:cs="Arial" w:eastAsia="Arial" w:hAnsi="Arial"/>
          <w:sz w:val="17"/>
          <w:szCs w:val="17"/>
          <w:color w:val="auto"/>
        </w:rPr>
      </w:pPr>
    </w:p>
    <w:p>
      <w:pPr>
        <w:ind w:left="940" w:hanging="558"/>
        <w:spacing w:after="0"/>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Consumer Inkjet Solutions, which involves the sale of ink to an existing installed base of consumer inkjet printers.</w:t>
      </w:r>
    </w:p>
    <w:p>
      <w:pPr>
        <w:spacing w:after="0" w:line="117" w:lineRule="exact"/>
        <w:rPr>
          <w:rFonts w:ascii="Arial" w:cs="Arial" w:eastAsia="Arial" w:hAnsi="Arial"/>
          <w:sz w:val="17"/>
          <w:szCs w:val="17"/>
          <w:color w:val="auto"/>
        </w:rPr>
      </w:pPr>
    </w:p>
    <w:p>
      <w:pPr>
        <w:ind w:left="940" w:hanging="558"/>
        <w:spacing w:after="0"/>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3rd party sales of specialty inks and dispersions.</w:t>
      </w:r>
    </w:p>
    <w:p>
      <w:pPr>
        <w:spacing w:after="0" w:line="117" w:lineRule="exact"/>
        <w:rPr>
          <w:rFonts w:ascii="Arial" w:cs="Arial" w:eastAsia="Arial" w:hAnsi="Arial"/>
          <w:sz w:val="17"/>
          <w:szCs w:val="17"/>
          <w:color w:val="auto"/>
        </w:rPr>
      </w:pPr>
    </w:p>
    <w:p>
      <w:pPr>
        <w:ind w:left="940" w:hanging="558"/>
        <w:spacing w:after="0"/>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Kodak developed consumer products.</w:t>
      </w:r>
    </w:p>
    <w:p>
      <w:pPr>
        <w:spacing w:after="0" w:line="247" w:lineRule="exact"/>
        <w:rPr>
          <w:rFonts w:ascii="Arial" w:cs="Arial" w:eastAsia="Arial" w:hAnsi="Arial"/>
          <w:sz w:val="17"/>
          <w:szCs w:val="17"/>
          <w:color w:val="auto"/>
        </w:rPr>
      </w:pPr>
    </w:p>
    <w:p>
      <w:pPr>
        <w:ind w:left="380" w:hanging="376"/>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Industrial Film and Chemicals:</w:t>
      </w:r>
    </w:p>
    <w:p>
      <w:pPr>
        <w:spacing w:after="0" w:line="117" w:lineRule="exact"/>
        <w:rPr>
          <w:rFonts w:ascii="Arial" w:cs="Arial" w:eastAsia="Arial" w:hAnsi="Arial"/>
          <w:sz w:val="17"/>
          <w:szCs w:val="17"/>
          <w:color w:val="auto"/>
        </w:rPr>
      </w:pPr>
    </w:p>
    <w:p>
      <w:pPr>
        <w:ind w:left="940" w:right="300" w:hanging="558"/>
        <w:spacing w:after="0" w:line="287" w:lineRule="auto"/>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Offers industrial film, including films used by the electronics industry to produce printed circuit boards, as well as professional and consumer still photographic film</w:t>
      </w:r>
    </w:p>
    <w:p>
      <w:pPr>
        <w:spacing w:after="0" w:line="53" w:lineRule="exact"/>
        <w:rPr>
          <w:rFonts w:ascii="Arial" w:cs="Arial" w:eastAsia="Arial" w:hAnsi="Arial"/>
          <w:sz w:val="17"/>
          <w:szCs w:val="17"/>
          <w:color w:val="auto"/>
        </w:rPr>
      </w:pPr>
    </w:p>
    <w:p>
      <w:pPr>
        <w:ind w:left="940" w:hanging="558"/>
        <w:spacing w:after="0"/>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Includes related component businesses: Polyester Film; Solvent Recovery; and Specialty Chemicals.</w:t>
      </w:r>
    </w:p>
    <w:p>
      <w:pPr>
        <w:spacing w:after="0" w:line="247" w:lineRule="exact"/>
        <w:rPr>
          <w:rFonts w:ascii="Arial" w:cs="Arial" w:eastAsia="Arial" w:hAnsi="Arial"/>
          <w:sz w:val="17"/>
          <w:szCs w:val="17"/>
          <w:color w:val="auto"/>
        </w:rPr>
      </w:pPr>
    </w:p>
    <w:p>
      <w:pPr>
        <w:ind w:left="380" w:hanging="376"/>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Motion Picture:</w:t>
      </w:r>
    </w:p>
    <w:p>
      <w:pPr>
        <w:spacing w:after="0" w:line="117" w:lineRule="exact"/>
        <w:rPr>
          <w:rFonts w:ascii="Arial" w:cs="Arial" w:eastAsia="Arial" w:hAnsi="Arial"/>
          <w:sz w:val="17"/>
          <w:szCs w:val="17"/>
          <w:color w:val="auto"/>
        </w:rPr>
      </w:pPr>
    </w:p>
    <w:p>
      <w:pPr>
        <w:ind w:left="940" w:hanging="558"/>
        <w:spacing w:after="0" w:line="287" w:lineRule="auto"/>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Includes the motion picture film business serving the entertainment industry. Motion picture products are sold directly to studios, external laboratories and independent filmmakers.</w:t>
      </w:r>
    </w:p>
    <w:p>
      <w:pPr>
        <w:spacing w:after="0" w:line="53" w:lineRule="exact"/>
        <w:rPr>
          <w:rFonts w:ascii="Arial" w:cs="Arial" w:eastAsia="Arial" w:hAnsi="Arial"/>
          <w:sz w:val="17"/>
          <w:szCs w:val="17"/>
          <w:color w:val="auto"/>
        </w:rPr>
      </w:pPr>
    </w:p>
    <w:p>
      <w:pPr>
        <w:ind w:left="940" w:hanging="558"/>
        <w:spacing w:after="0"/>
        <w:tabs>
          <w:tab w:leader="none" w:pos="940" w:val="left"/>
        </w:tabs>
        <w:numPr>
          <w:ilvl w:val="1"/>
          <w:numId w:val="7"/>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 w:name="page6"/>
    <w:bookmarkEnd w:id="5"/>
    <w:p>
      <w:pPr>
        <w:ind w:right="200"/>
        <w:spacing w:after="0" w:line="287" w:lineRule="auto"/>
        <w:rPr>
          <w:sz w:val="20"/>
          <w:szCs w:val="20"/>
          <w:color w:val="auto"/>
        </w:rPr>
      </w:pPr>
      <w:r>
        <w:rPr>
          <w:rFonts w:ascii="Arial" w:cs="Arial" w:eastAsia="Arial" w:hAnsi="Arial"/>
          <w:sz w:val="17"/>
          <w:szCs w:val="17"/>
          <w:color w:val="auto"/>
        </w:rPr>
        <w:t>Net sales for Motion Picture and Industrial Film and Chemicals accounted for 12% and 11% of Kodak’s total net revenue for the years ended December 31, 2018 and 2017,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Materials and 3D Printing Technology</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higher-level of investment has been required. Advanced Materials and 3D Printing Technology significantly reduced the level of this investment in the fourth quarter of 2017, concentrating on opportunities that are commercialized or nearly commercialized with identified markets and customers.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Advanced Materials and 3D Printing Technology segment will also pursue partnership opportunities to commercialize materials and printed electronics technologies. These partnerships may include non-recurring engineering payments for Kodak efforts to further develop such technologies into products. Further, the Advanced Materials and 3D Printing Technology segment provides a wide range of analytical services and non-recurring engineering services to external clients at market rates for such services.</w:t>
      </w:r>
    </w:p>
    <w:p>
      <w:pPr>
        <w:spacing w:after="0" w:line="281" w:lineRule="exact"/>
        <w:rPr>
          <w:sz w:val="20"/>
          <w:szCs w:val="20"/>
          <w:color w:val="auto"/>
        </w:rPr>
      </w:pPr>
    </w:p>
    <w:p>
      <w:pPr>
        <w:ind w:left="380" w:hanging="37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Advanced Materials:</w:t>
      </w:r>
    </w:p>
    <w:p>
      <w:pPr>
        <w:spacing w:after="0" w:line="247" w:lineRule="exact"/>
        <w:rPr>
          <w:rFonts w:ascii="Arial" w:cs="Arial" w:eastAsia="Arial" w:hAnsi="Arial"/>
          <w:sz w:val="17"/>
          <w:szCs w:val="17"/>
          <w:color w:val="auto"/>
        </w:rPr>
      </w:pPr>
    </w:p>
    <w:p>
      <w:pPr>
        <w:ind w:left="1120" w:right="380" w:hanging="555"/>
        <w:spacing w:after="0" w:line="271"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198" w:lineRule="exact"/>
        <w:rPr>
          <w:rFonts w:ascii="Arial" w:cs="Arial" w:eastAsia="Arial" w:hAnsi="Arial"/>
          <w:sz w:val="17"/>
          <w:szCs w:val="17"/>
          <w:color w:val="auto"/>
        </w:rPr>
      </w:pPr>
    </w:p>
    <w:p>
      <w:pPr>
        <w:ind w:left="380" w:hanging="37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3D Printing:</w:t>
      </w:r>
    </w:p>
    <w:p>
      <w:pPr>
        <w:spacing w:after="0" w:line="247" w:lineRule="exact"/>
        <w:rPr>
          <w:rFonts w:ascii="Arial" w:cs="Arial" w:eastAsia="Arial" w:hAnsi="Arial"/>
          <w:sz w:val="17"/>
          <w:szCs w:val="17"/>
          <w:color w:val="auto"/>
        </w:rPr>
      </w:pPr>
    </w:p>
    <w:p>
      <w:pPr>
        <w:ind w:left="1120" w:right="460" w:hanging="555"/>
        <w:spacing w:after="0" w:line="287"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color w:val="auto"/>
        </w:rPr>
        <w:t>3D Printing concentrates on partnership and/or licensing opportunities in printed electronics (micro 3D printing) and materials production for macro 3D printing companies.</w:t>
      </w:r>
    </w:p>
    <w:p>
      <w:pPr>
        <w:spacing w:after="0" w:line="392" w:lineRule="exact"/>
        <w:rPr>
          <w:rFonts w:ascii="Arial" w:cs="Arial" w:eastAsia="Arial" w:hAnsi="Arial"/>
          <w:sz w:val="17"/>
          <w:szCs w:val="17"/>
          <w:color w:val="auto"/>
        </w:rPr>
      </w:pPr>
    </w:p>
    <w:p>
      <w:pPr>
        <w:ind w:left="380" w:hanging="37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IP Licensing:</w:t>
      </w:r>
    </w:p>
    <w:p>
      <w:pPr>
        <w:spacing w:after="0" w:line="247" w:lineRule="exact"/>
        <w:rPr>
          <w:rFonts w:ascii="Arial" w:cs="Arial" w:eastAsia="Arial" w:hAnsi="Arial"/>
          <w:sz w:val="17"/>
          <w:szCs w:val="17"/>
          <w:color w:val="auto"/>
        </w:rPr>
      </w:pPr>
    </w:p>
    <w:p>
      <w:pPr>
        <w:ind w:left="1120" w:right="340" w:hanging="555"/>
        <w:spacing w:after="0" w:line="296"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w:t>
      </w:r>
    </w:p>
    <w:p>
      <w:pPr>
        <w:spacing w:after="0" w:line="12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Eastman Business Park segment includes the operations of the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 Three tenants represented approximately 50% of total Eastman Business Park segment revenues in 2018. A tenant that represented approximately 20% of segment revenues for the year ending December 31, 2018 did not renew its lease upon expiration in the third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123"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Discontinued operations of Kodak include the Flexographic Packaging business. Refer to Note 27, “Discontinued Operations” in the Notes to Financial Statements for additional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RAW MATERIALS</w:t>
      </w:r>
    </w:p>
    <w:p>
      <w:pPr>
        <w:spacing w:after="0" w:line="12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based, in part, on either prevailing market prices for aluminum or on fixed prices for aluminum agreed to up to one year prior. Electronic components are used in the manufacturing of commercial printers and other electronic devices. The film and chemicals business uses many raw materials from a broad range of suppliers. Most electronic components, raw materials and other components are generally available from multiple sources. However, certain key electronic components, raw materials and other components included in the finished goods manufactured by Kodak and manufactured by and purchased from Kodak’s third-party suppliers are obtained from single or limited sources, which subjects Kodak to supply risks.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OF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Equipment and plate unit sales generally are higher in the fourth quarter, resulting from customer or industry budgeting practices and buying patterns.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flexographic and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consumer inkjet inks and media; functional printing materials, formulations, and deposition modalities; engineered microparticles for specific functions; security materials; embedded information; and color negative films, processing and print films. Each of these areas is important to existing and emerging business opportunities that bear directly on Kodak's overall business performance.</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PROTECTION</w:t>
      </w:r>
    </w:p>
    <w:p>
      <w:pPr>
        <w:spacing w:after="0" w:line="12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7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Based upon information presently available, future costs associated with environmental compliance are not expected to have a material effect on Kodak's capital expenditures or competitive position, although costs could be material to a particular quarter or year.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w:t>
      </w:r>
    </w:p>
    <w:p>
      <w:pPr>
        <w:spacing w:after="0" w:line="123"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At the end of 2018, Kodak employed the full time equivalent of approximately 5,400 people globally, of whom approximately 2,300 were employed in the U.S. The actual number of employees may be greater because some individuals work part time.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About Kodak, Investor Center, Financial Information and then SEC Filings.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30" w:right="27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7"/>
          <w:szCs w:val="17"/>
          <w:b w:val="1"/>
          <w:bCs w:val="1"/>
          <w:color w:val="auto"/>
        </w:rPr>
        <w:t>ITEM 1A.</w:t>
        <w:tab/>
        <w:t>RISK FACTORS</w:t>
      </w:r>
    </w:p>
    <w:p>
      <w:pPr>
        <w:spacing w:after="0" w:line="12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You should consider carefully the risks and uncertainties described below in addition to other information contained in this Annual Report on Form 10-K, including the Management’s Discussion and Analysis of Financial Condition and Results of Operations (MD&amp;A) section and the consolidated financial statements and related notes. The following discussion of “risk factors” identifies Kodak’s assessment of the most significant factors which may adversely affect its business, operations, financial position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Kodak’s Business</w:t>
      </w:r>
    </w:p>
    <w:p>
      <w:pPr>
        <w:spacing w:after="0" w:line="228"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 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If Kodak cannot successfully manage and complete the divestiture of the Flexographic Packaging Division, the Company’s strategic objectives and financial condition could be adversely impacted, as well as Kodak’s ability to meet debt obligations including compliance with debt covenants and other commitments as they become due.</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On November 11, 2018, Kodak entered into a definitive agreement to sell its Flexographic Packaging Division to Montagu Private Equity LLP. The transaction is expected to close as early as April 8, 2019, subject to the satisfaction of closing conditions. The net proceeds from the transaction will be used by Kodak to reduce outstanding term debt. The Company expects that the remaining outstanding term debt will be refinanced and/or repaid using cash proceeds from capital-raising activities.</w:t>
      </w:r>
    </w:p>
    <w:p>
      <w:pPr>
        <w:spacing w:after="0" w:line="20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Successfully executing and completing the divestiture transaction may be costly, difficult, and time consuming, and may require varying levels of management resources, which may divert our attention from other business obligations. The divestiture transaction may not close within the expected timeframe, which could impact Kodak’s ability to meet debt obligations and compliance with debt covenants. We could also experience greater dis-synergies than expected and the impact of the divestiture on our results of operations could be greater than anticipated.</w:t>
      </w:r>
    </w:p>
    <w:p>
      <w:pPr>
        <w:spacing w:after="0" w:line="202"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Kodak makes no assurances regarding the likelihood, certainty or timing of consummating any asset sales, including the Flexographic Packaging Division, refinancing of the Company’s existing debt, or regarding the sufficiency of any such actions to meet Kodak’s debt obligations, including compliance with debt covenants, and to eliminate substantial doubt about Kodak’s ability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ability to generate positive operating cash flows will be necessary for Kodak to continue to operate its business.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Kodak has not generated positive operating cash flows over the past five years and, based on forecasted cash flows, there are uncertainties regarding its ability to meet commitments in the U.S. as they come due. The Print Systems segment is its largest segment and has had declining revenues and segment earnings which are expected to continue to decline. Kodak expects to close the sale of its Flexographic Packaging Division which has been growing. Kodak’s stable and remaining growth businesses may not grow or continue to generate the same or enough cash flow to offset businesses with declining cash flows and investments needed for certain growth businesses. It may take Kodak longer to generate positive cash flow from operations than planned, which would have a material adverse effect on its liquidity and financial position. If Kodak is unable to generate positive cash flow from operations in the future or to adequately supplement such cash flow from operations with proceeds from the sale of businesses or assets or other monetization transactions, its ability to continue as a going concern could be impaired or limited.</w:t>
      </w:r>
    </w:p>
    <w:p>
      <w:pPr>
        <w:spacing w:after="0" w:line="183"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ind w:right="220"/>
        <w:spacing w:after="0" w:line="296" w:lineRule="auto"/>
        <w:rPr>
          <w:sz w:val="20"/>
          <w:szCs w:val="20"/>
          <w:color w:val="auto"/>
        </w:rPr>
      </w:pPr>
      <w:r>
        <w:rPr>
          <w:rFonts w:ascii="Arial" w:cs="Arial" w:eastAsia="Arial" w:hAnsi="Arial"/>
          <w:sz w:val="16"/>
          <w:szCs w:val="16"/>
          <w:color w:val="auto"/>
        </w:rPr>
        <w:t>Kodak’s business may not generate cash flow in an amount sufficient to enable it to pay the principal or mandatory redemption price of, or interest and dividends on its indebtedness and Series A Preferred Stock, or to fund Kodak’s other liquidity needs, including working capital, capital expenditures, product development efforts, strategic acquisitions, investments and alliances, restructuring actions and other general corporate requirements.</w:t>
      </w:r>
    </w:p>
    <w:p>
      <w:pPr>
        <w:spacing w:after="0" w:line="49"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Kodak’s ability to generate cash is subject to general economic, financial, competitive, litigation, regulatory and other factors beyond its control. There are no assurances:</w:t>
      </w:r>
    </w:p>
    <w:p>
      <w:pPr>
        <w:spacing w:after="0" w:line="184" w:lineRule="exact"/>
        <w:rPr>
          <w:sz w:val="20"/>
          <w:szCs w:val="20"/>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Kodak’s businesses will generate sufficient cash flow from operations;</w:t>
      </w:r>
    </w:p>
    <w:p>
      <w:pPr>
        <w:spacing w:after="0" w:line="25" w:lineRule="exact"/>
        <w:rPr>
          <w:rFonts w:ascii="Arial" w:cs="Arial" w:eastAsia="Arial" w:hAnsi="Arial"/>
          <w:sz w:val="17"/>
          <w:szCs w:val="17"/>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be able to generate expected levels of operational EBITDA;</w:t>
      </w:r>
    </w:p>
    <w:p>
      <w:pPr>
        <w:spacing w:after="0" w:line="13" w:lineRule="exact"/>
        <w:rPr>
          <w:rFonts w:ascii="Arial" w:cs="Arial" w:eastAsia="Arial" w:hAnsi="Arial"/>
          <w:sz w:val="17"/>
          <w:szCs w:val="17"/>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be able to repatriate or move cash to locations where and when it is needed;</w:t>
      </w:r>
    </w:p>
    <w:p>
      <w:pPr>
        <w:spacing w:after="0" w:line="13" w:lineRule="exact"/>
        <w:rPr>
          <w:rFonts w:ascii="Arial" w:cs="Arial" w:eastAsia="Arial" w:hAnsi="Arial"/>
          <w:sz w:val="17"/>
          <w:szCs w:val="17"/>
          <w:color w:val="auto"/>
        </w:rPr>
      </w:pPr>
    </w:p>
    <w:p>
      <w:pPr>
        <w:ind w:left="780" w:right="3000" w:hanging="385"/>
        <w:spacing w:after="0" w:line="256"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will meet all the conditions associated with making borrowings or issuing letters of credit under the ABL Credit Agreement;</w:t>
      </w:r>
    </w:p>
    <w:p>
      <w:pPr>
        <w:ind w:left="780" w:right="3020" w:hanging="385"/>
        <w:spacing w:after="0" w:line="256"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realize cost savings, earnings growth and operating improvements resulting from the execution of its business and restructuring plan;</w:t>
      </w: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not have to expend cash defending lawsuits regardless of the merits of any claims raised; or</w:t>
      </w:r>
    </w:p>
    <w:p>
      <w:pPr>
        <w:spacing w:after="0" w:line="13" w:lineRule="exact"/>
        <w:rPr>
          <w:rFonts w:ascii="Arial" w:cs="Arial" w:eastAsia="Arial" w:hAnsi="Arial"/>
          <w:sz w:val="17"/>
          <w:szCs w:val="17"/>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sources of funding will be available in amounts sufficient to enable funding of its liquidity needs.</w:t>
      </w:r>
    </w:p>
    <w:p>
      <w:pPr>
        <w:spacing w:after="0" w:line="11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 In addition, if it were able to incur additional debt, the risks associated with the Company’s substantial leverage, including the risk it will be unable to service its debt, generate cash flow sufficient to fund its liquidity needs, or maintain compliance with the covenants in the Credit Agreements, could significantly increase.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Kodak’s inability to effectively complete and manage strategic transactions could adversely impact its business performance, including its financial results.</w:t>
      </w:r>
    </w:p>
    <w:p>
      <w:pPr>
        <w:spacing w:after="0" w:line="14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particularly following the sale of the Flexographic Packaging Division. Transaction risk can be more pronounced for larger and more complicated transactions or when multiple transactions are pursued simultaneously. There are no assurances Kodak will be able to consummate any strategic transactions which it undertakes or, if consummated, Kodak will achieve the benefits sought to be achieved from such strategic transactions.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60"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If Kodak is unable to successfully develop, fund and commercialize products in certain businesses upon which it is focused or do so within an acceptable timeframe, its financial performance could be adversely affected.</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Kodak has focused its investments on imaging and printing for business, specifically, commercial inkjet, packaging, advanced materials and 3D printing, and software and services. Each of these businesses requires additional investment and may not be successful. The introduction of successful innovative products at market competitive prices and the achievement of scale are necessary for it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it is unsuccessful in growing Kodak’s investment businesses as planned, or perceiving the needs of its target customers, its financial performance could be adversely affected.</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54" w:lineRule="exact"/>
        <w:rPr>
          <w:sz w:val="20"/>
          <w:szCs w:val="20"/>
          <w:color w:val="auto"/>
        </w:rPr>
      </w:pPr>
    </w:p>
    <w:p>
      <w:pPr>
        <w:jc w:val="both"/>
        <w:ind w:right="240"/>
        <w:spacing w:after="0" w:line="271" w:lineRule="auto"/>
        <w:rPr>
          <w:sz w:val="20"/>
          <w:szCs w:val="20"/>
          <w:color w:val="auto"/>
        </w:rPr>
      </w:pPr>
      <w:r>
        <w:rPr>
          <w:rFonts w:ascii="Arial" w:cs="Arial" w:eastAsia="Arial" w:hAnsi="Arial"/>
          <w:sz w:val="17"/>
          <w:szCs w:val="17"/>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198" w:lineRule="exact"/>
        <w:rPr>
          <w:sz w:val="20"/>
          <w:szCs w:val="20"/>
          <w:color w:val="auto"/>
        </w:rPr>
      </w:pPr>
    </w:p>
    <w:p>
      <w:pPr>
        <w:ind w:left="840" w:hanging="419"/>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to obtain required regulatory and other approvals;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need to integrate acquired or combined operations with its business;</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loss of key employees;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9" w:name="page10"/>
    <w:bookmarkEnd w:id="9"/>
    <w:p>
      <w:pPr>
        <w:ind w:left="840" w:right="2760" w:hanging="419"/>
        <w:spacing w:after="0" w:line="263"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difficulty in evaluating operating costs, infrastructure requirements, environmental and other liabilities and other factors beyond its control;</w:t>
      </w: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wrong, inaccurate or changing business assumptions on which such acquisitions or combinations are predicated;</w:t>
      </w:r>
    </w:p>
    <w:p>
      <w:pPr>
        <w:spacing w:after="0" w:line="26"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lack of operating experience in new business or geographic areas;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its expenses and working capital requirements;</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management’s attention may be temporarily diverted; and</w:t>
      </w:r>
    </w:p>
    <w:p>
      <w:pPr>
        <w:spacing w:after="0" w:line="13" w:lineRule="exact"/>
        <w:rPr>
          <w:rFonts w:ascii="Arial" w:cs="Arial" w:eastAsia="Arial" w:hAnsi="Arial"/>
          <w:sz w:val="17"/>
          <w:szCs w:val="17"/>
          <w:color w:val="auto"/>
        </w:rPr>
      </w:pPr>
    </w:p>
    <w:p>
      <w:pPr>
        <w:ind w:left="840" w:right="2880" w:hanging="419"/>
        <w:spacing w:after="0" w:line="272"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possibility it may be required to issue a substantial amount of additional equity or debt securities or assume additional debt in connection with any such transactions.</w:t>
      </w:r>
    </w:p>
    <w:p>
      <w:pPr>
        <w:spacing w:after="0" w:line="66"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Due to the nature of the products it sells and Kodak’s worldwide distribution, Kodak is exposed to fluctuations in foreign currency exchange rates, interest rates and commodity costs which may adversely impact its results of operations and financial position.</w:t>
      </w:r>
    </w:p>
    <w:p>
      <w:pPr>
        <w:spacing w:after="0" w:line="54"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petroleum-based or other commodity based raw materials, the prices of which have been, and may continue to be, volatile. In the case of aluminum, recently imposed tariffs may give rise to future cost increases. If the global economic situation remains uncertain or worsens, there could be further volatility in changes in currency exchange rates, interest rates and commodity prices, which could have negative effects on its revenue and earnings.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Weakness or worsening of global economic conditions could adversely affect Kodak’s financial performance and liquidity.</w:t>
      </w:r>
    </w:p>
    <w:p>
      <w:pPr>
        <w:spacing w:after="0" w:line="11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volatility. Economic conditions could accelerate any decline in demand for products, which could also place pressure on its results of operations and liquidity.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20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June 2016, the United Kingdom (the “UK”) held a referendum in which voters opted for the country’s exit from the EU, commonly referred to as </w:t>
      </w:r>
      <w:r>
        <w:rPr>
          <w:rFonts w:ascii="Arial" w:cs="Arial" w:eastAsia="Arial" w:hAnsi="Arial"/>
          <w:sz w:val="16"/>
          <w:szCs w:val="16"/>
          <w:color w:val="333333"/>
        </w:rPr>
        <w:t>Brexit and,</w:t>
      </w:r>
      <w:r>
        <w:rPr>
          <w:rFonts w:ascii="Arial" w:cs="Arial" w:eastAsia="Arial" w:hAnsi="Arial"/>
          <w:sz w:val="16"/>
          <w:szCs w:val="16"/>
          <w:color w:val="auto"/>
        </w:rPr>
        <w:t xml:space="preserve"> </w:t>
      </w:r>
      <w:r>
        <w:rPr>
          <w:rFonts w:ascii="Arial" w:cs="Arial" w:eastAsia="Arial" w:hAnsi="Arial"/>
          <w:sz w:val="16"/>
          <w:szCs w:val="16"/>
          <w:color w:val="333333"/>
        </w:rPr>
        <w:t>accordingly, the UK is scheduled to leave the EU on April 12, 2019 (unless delayed)</w:t>
      </w:r>
      <w:r>
        <w:rPr>
          <w:rFonts w:ascii="Arial" w:cs="Arial" w:eastAsia="Arial" w:hAnsi="Arial"/>
          <w:sz w:val="16"/>
          <w:szCs w:val="16"/>
          <w:color w:val="000000"/>
        </w:rPr>
        <w:t>. The UK government has been negotiating with the EU on terms for such exit</w:t>
      </w:r>
      <w:r>
        <w:rPr>
          <w:rFonts w:ascii="Arial" w:cs="Arial" w:eastAsia="Arial" w:hAnsi="Arial"/>
          <w:sz w:val="16"/>
          <w:szCs w:val="16"/>
          <w:color w:val="333333"/>
        </w:rPr>
        <w:t xml:space="preserve"> </w:t>
      </w:r>
      <w:r>
        <w:rPr>
          <w:rFonts w:ascii="Arial" w:cs="Arial" w:eastAsia="Arial" w:hAnsi="Arial"/>
          <w:sz w:val="16"/>
          <w:szCs w:val="16"/>
          <w:color w:val="000000"/>
        </w:rPr>
        <w:t>but no agreement has yet been reached. Leaving without any agreement on terms would lead to disruption to UK/EU trade. However, we have put appropriate plans in place for continuity of supply and purchase of products, although there is likely to be some limited cost impact associated with these plans.</w:t>
      </w:r>
    </w:p>
    <w:p>
      <w:pPr>
        <w:spacing w:after="0" w:line="18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The prospect of </w:t>
      </w:r>
      <w:r>
        <w:rPr>
          <w:rFonts w:ascii="Arial" w:cs="Arial" w:eastAsia="Arial" w:hAnsi="Arial"/>
          <w:sz w:val="17"/>
          <w:szCs w:val="17"/>
          <w:color w:val="333333"/>
        </w:rPr>
        <w:t>Brexit</w:t>
      </w:r>
      <w:r>
        <w:rPr>
          <w:rFonts w:ascii="Arial" w:cs="Arial" w:eastAsia="Arial" w:hAnsi="Arial"/>
          <w:sz w:val="17"/>
          <w:szCs w:val="17"/>
          <w:color w:val="auto"/>
        </w:rPr>
        <w:t xml:space="preserve"> has also caused global stock market volatility and currency exchange rate fluctuations that resulted in strengthening of the U.S. dollar relative to other foreign currencies in which we conduct business. There may also be broader uncertainty over the position the United States will take with respect to certain treaty and trade relationships with other countries. This uncertainty may impact (i) the ability or willingness of non-U.S. companies to transact business in the United States, including with our company, (ii) regulation and trade agreements affecting U.S. companies, (iii) global stock markets and (iv) general global economic conditions. All of these factors are outside of our control but may cause us to adjust our strategy in order to compete effectively in global markets and could adversely affect our business, financial condition, operating results and cash flows.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If Kodak is unable to successfully develop or commercialize new products or do so in a timely manner, its business, financial position and operating results may suffer.</w:t>
      </w:r>
    </w:p>
    <w:p>
      <w:pPr>
        <w:spacing w:after="0" w:line="5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 generally sells its products in industries which are characterized by rapid technological changes, frequent new product and service introductions and changing industry standards. 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identify customer needs;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innovate and develop new technologies, services, and applications;</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commercialize new technologies in a timely manner;</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manufacture and deliver its products in sufficient volumes and on time;</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differentiate its offerings from its competitors’ offerings;</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price its products and services competitively;</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anticipate its competitors’ development of new products, services or technological innovations;</w:t>
      </w:r>
    </w:p>
    <w:p>
      <w:pPr>
        <w:spacing w:after="0" w:line="26"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work successfully alongside its partners; and</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control product quality in its manufacturing processes.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a result of these and other factors, products currently in development by Kodak (for example, UltraStream technology, small particle technology and Ultra NX)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160"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54"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which could adversely affect its business as well as its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reputation of Kodak or its brand erodes significantly, it could have a material impact on its financial results.</w:t>
      </w:r>
    </w:p>
    <w:p>
      <w:pPr>
        <w:spacing w:after="0" w:line="22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 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competitive pressures it faces could harm Kodak’s revenue, gross margins, cash flow and market share.</w:t>
      </w:r>
    </w:p>
    <w:p>
      <w:pPr>
        <w:spacing w:after="0" w:line="117"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198"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foresee the course of market developments more accurately than it does;</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sell superior products and provide superior services or offer a broader variety of products and services;</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have the ability to produce or supply similar products and services at a lower cost;</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have better access to supplies and the ability to acquire supplies at a lower cost;</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 stronger relationships with its suppliers or customers;</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adapt more quickly to new technologies or evolving customer requirements than it does; or</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have access to capital markets or other financing sources on more favorable terms than it can obtain.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11" w:name="page12"/>
    <w:bookmarkEnd w:id="11"/>
    <w:p>
      <w:pPr>
        <w:ind w:right="60"/>
        <w:spacing w:after="0" w:line="266" w:lineRule="auto"/>
        <w:rPr>
          <w:sz w:val="20"/>
          <w:szCs w:val="20"/>
          <w:color w:val="auto"/>
        </w:rPr>
      </w:pPr>
      <w:r>
        <w:rPr>
          <w:rFonts w:ascii="Arial" w:cs="Arial" w:eastAsia="Arial" w:hAnsi="Arial"/>
          <w:sz w:val="17"/>
          <w:szCs w:val="17"/>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5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Kodak’s key personnel, or its failure to attract and retain other highly qualified personnel in the future, could harm its business.</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b w:val="1"/>
          <w:bCs w:val="1"/>
          <w:i w:val="1"/>
          <w:iCs w:val="1"/>
          <w:color w:val="auto"/>
        </w:rPr>
        <w:t>If Kodak cannot effectively anticipate technology trends and develop and market new products to respond to changing customer preferences, its revenue, earnings and cash flow could be adversely affected.</w:t>
      </w:r>
    </w:p>
    <w:p>
      <w:pPr>
        <w:spacing w:after="0" w:line="5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Kodak serves imaging needs for business markets, including packaging, graphic communications,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makes sizeable investments in new products and services that may not achieve expected returns.</w:t>
      </w:r>
    </w:p>
    <w:p>
      <w:pPr>
        <w:spacing w:after="0" w:line="22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 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231" w:right="259" w:bottom="1440" w:gutter="0" w:footer="0" w:header="0"/>
        </w:sectPr>
      </w:pPr>
    </w:p>
    <w:bookmarkStart w:id="12" w:name="page13"/>
    <w:bookmarkEnd w:id="12"/>
    <w:p>
      <w:pPr>
        <w:ind w:right="160"/>
        <w:spacing w:after="0" w:line="287" w:lineRule="auto"/>
        <w:rPr>
          <w:sz w:val="20"/>
          <w:szCs w:val="20"/>
          <w:color w:val="auto"/>
        </w:rPr>
      </w:pPr>
      <w:r>
        <w:rPr>
          <w:rFonts w:ascii="Arial" w:cs="Arial" w:eastAsia="Arial" w:hAnsi="Arial"/>
          <w:sz w:val="17"/>
          <w:szCs w:val="17"/>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184" w:lineRule="exact"/>
        <w:rPr>
          <w:sz w:val="20"/>
          <w:szCs w:val="20"/>
          <w:color w:val="auto"/>
        </w:rPr>
      </w:pPr>
    </w:p>
    <w:p>
      <w:pPr>
        <w:ind w:left="580" w:hanging="289"/>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 manufacturing methods appropriate to Kodak’s products;</w:t>
      </w:r>
    </w:p>
    <w:p>
      <w:pPr>
        <w:spacing w:after="0" w:line="25" w:lineRule="exact"/>
        <w:rPr>
          <w:rFonts w:ascii="Arial" w:cs="Arial" w:eastAsia="Arial" w:hAnsi="Arial"/>
          <w:sz w:val="17"/>
          <w:szCs w:val="17"/>
          <w:color w:val="auto"/>
        </w:rPr>
      </w:pPr>
    </w:p>
    <w:p>
      <w:pPr>
        <w:ind w:left="580" w:hanging="289"/>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an adequate control environment;</w:t>
      </w:r>
    </w:p>
    <w:p>
      <w:pPr>
        <w:spacing w:after="0" w:line="13" w:lineRule="exact"/>
        <w:rPr>
          <w:rFonts w:ascii="Arial" w:cs="Arial" w:eastAsia="Arial" w:hAnsi="Arial"/>
          <w:sz w:val="17"/>
          <w:szCs w:val="17"/>
          <w:color w:val="auto"/>
        </w:rPr>
      </w:pPr>
    </w:p>
    <w:p>
      <w:pPr>
        <w:ind w:left="580" w:hanging="289"/>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quickly respond to changes in customer demand for Kodak’s products;</w:t>
      </w:r>
    </w:p>
    <w:p>
      <w:pPr>
        <w:spacing w:after="0" w:line="13" w:lineRule="exact"/>
        <w:rPr>
          <w:rFonts w:ascii="Arial" w:cs="Arial" w:eastAsia="Arial" w:hAnsi="Arial"/>
          <w:sz w:val="17"/>
          <w:szCs w:val="17"/>
          <w:color w:val="auto"/>
        </w:rPr>
      </w:pPr>
    </w:p>
    <w:p>
      <w:pPr>
        <w:ind w:left="580" w:hanging="289"/>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 supplies and materials necessary for the manufacturing process; or</w:t>
      </w:r>
    </w:p>
    <w:p>
      <w:pPr>
        <w:spacing w:after="0" w:line="13" w:lineRule="exact"/>
        <w:rPr>
          <w:rFonts w:ascii="Arial" w:cs="Arial" w:eastAsia="Arial" w:hAnsi="Arial"/>
          <w:sz w:val="17"/>
          <w:szCs w:val="17"/>
          <w:color w:val="auto"/>
        </w:rPr>
      </w:pPr>
    </w:p>
    <w:p>
      <w:pPr>
        <w:ind w:left="580" w:hanging="289"/>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mitigate the impact of labor shortages and/or other disruptions.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Suppliers may choose to unilaterally withhold products, components or services. In addition, Kodak may experience shortages in supply and disruptions in service as a result of unexpected demand, transportation and logistical limitations, and/or disruptions or production difficulties at its suppliers, such as disruptions due to fires,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encounter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Any significant negative change in the payment terms that Kodak has with its suppliers could adversely affect its liquidity. There is a risk that Kodak’s key suppliers could respond to any actual or apparent decrease in or any concern with its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its supply could be materially disrupted if a significant portion of its key suppliers and vendors took one or more of the actions described above, which could have a material adverse effect on its sales, customer satisfaction, cash flows, liquidity and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Kodak’s future revenue and financial condition and increase its costs and expenses.</w:t>
      </w:r>
    </w:p>
    <w:p>
      <w:pPr>
        <w:spacing w:after="0" w:line="117"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Worldwide operations could be subject to earthquakes, power shortages, telecommunications failures, 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 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It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i w:val="1"/>
          <w:iCs w:val="1"/>
          <w:color w:val="auto"/>
        </w:rPr>
        <w:t>Kodak could be adversely impacted by a security breach, through cyber-attack, cyber intrusion, insider threats or otherwise, or other significant disruption of its IT networks and related systems or of those it operates for certain of its customers.</w:t>
      </w:r>
    </w:p>
    <w:p>
      <w:pPr>
        <w:spacing w:after="0" w:line="54"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To effectively manage Kodak’s global business, it depends on secure and reliable information technology systems with accurate data. These systems and their underlying infrastructure are provided by a combination of Kodak and third-parties, and if unavailable or unreliable, could disrupt Kodak’s operations, causing delays or cancellation of customer orders, impeding the manufacturing or delivery of products, delaying the reporting of financial results, or impacting other business processes critical to running its business.</w:t>
      </w:r>
    </w:p>
    <w:p>
      <w:pPr>
        <w:spacing w:after="0" w:line="7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Kodak’s IT systems contain critical information about its business, including intellectual property and confidential information of its customers, business partners, and employees. Cyber-attacks or defects in its systems could result in this proprietary information being disclosed or modified, which could cause significant damage to its business or its reputation. Kodak has system controls and security measures in place that are designed to protect its IT systems against intentional or unintentional disruptions of its operations or disclosure of confidential information, but it may not be able to implement solutions that result in stopping or detecting all of these threats to its internal information systems or those of its third-party providers. A breach of Kodak’s security measures could result in unauthorized access to and misuse of its information, corruption of data, or disruption of operations, any of which could have a material adverse impact on its business.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spacing w:after="0" w:line="271" w:lineRule="auto"/>
        <w:rPr>
          <w:sz w:val="20"/>
          <w:szCs w:val="20"/>
          <w:color w:val="auto"/>
        </w:rPr>
      </w:pPr>
      <w:r>
        <w:rPr>
          <w:rFonts w:ascii="Arial" w:cs="Arial" w:eastAsia="Arial" w:hAnsi="Arial"/>
          <w:sz w:val="17"/>
          <w:szCs w:val="17"/>
          <w:color w:val="auto"/>
        </w:rPr>
        <w:t>Kodak also provides IT-based products and services to its customers, and operates services used by its customers and hosted by Kodak, both businesses and consumers, and a breach of its security or reliability measures, or those of its third-party service providers, could negatively impact its customers’ operations or data privacy.</w:t>
      </w:r>
    </w:p>
    <w:p>
      <w:pPr>
        <w:spacing w:after="0" w:line="6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Attacks on information technology systems continue to grow in frequency, complexity and sophistication, and Kodak is regularly targeted by unauthorized parties using malicious tactics, code and viruses. It has programs in place to prevent, detect and respond to data or cyber security incidents. However, because the techniques used to obtain unauthorized access, disable or degrade service, or sabotage systems change frequently, are increasingly more complex and sophisticated and may be difficult to detect for long periods of time, Kodak may be unable or fail to anticipate these techniques or implement adequate or timely preventive or responsive measures.</w:t>
      </w:r>
    </w:p>
    <w:p>
      <w:pPr>
        <w:spacing w:after="0" w:line="206" w:lineRule="exact"/>
        <w:rPr>
          <w:sz w:val="20"/>
          <w:szCs w:val="20"/>
          <w:color w:val="auto"/>
        </w:rPr>
      </w:pPr>
    </w:p>
    <w:p>
      <w:pPr>
        <w:ind w:right="380"/>
        <w:spacing w:after="0" w:line="357" w:lineRule="auto"/>
        <w:rPr>
          <w:sz w:val="20"/>
          <w:szCs w:val="20"/>
          <w:color w:val="auto"/>
        </w:rPr>
      </w:pPr>
      <w:r>
        <w:rPr>
          <w:rFonts w:ascii="Arial" w:cs="Arial" w:eastAsia="Arial" w:hAnsi="Arial"/>
          <w:sz w:val="15"/>
          <w:szCs w:val="15"/>
          <w:b w:val="1"/>
          <w:bCs w:val="1"/>
          <w:i w:val="1"/>
          <w:iCs w:val="1"/>
          <w:color w:val="auto"/>
        </w:rPr>
        <w:t>Failure to comply with anti-corruption laws and regulations, anti-money laundering laws and regulations, economic and trade sanctions, and similar laws could have a materially adverse effect on Kodak’s reputation, results of operations or financial condition, or have other adverse consequences.</w:t>
      </w:r>
    </w:p>
    <w:p>
      <w:pPr>
        <w:spacing w:after="0" w:line="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Kodak has a global operating presence, including in numerous developing economies where companies and government officials are more likely to engage in business practices that are prohibited by domestic and foreign laws and regulations, including the United States Foreign Corrupt Practices Act and the U.K. Bribery Act. Such laws generally prohibit improper payments or offers of payments to foreign government officials and leaders of political parties, and in some cases, to other persons, for the purpose of obtaining or retaining business. Kodak is also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 In addition, Kodak is subject to anti-money laundering laws and regulations.</w:t>
      </w:r>
    </w:p>
    <w:p>
      <w:pPr>
        <w:spacing w:after="0" w:line="6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Kodak has implemented policies and procedures to monitor and address compliance with applicable anti-corruption, economic and trade sanctions and anti-money laundering laws and regulations, and it is continuously in the process of reviewing, upgrading and enhancing certain of its policies and procedures. However, there can be no assurance that its employees, consultants or agents will not take actions in violation of its policies for which it may be ultimately responsible, or that its policies and procedures will be adequate or will be determined to be adequate by regulators. Any violations of applicable anti-corruption, economic and trade sanctions or anti-money laundering laws or regulations could limit certain of Kodak’s business activities until they are satisfactorily remediated and could result in civil and criminal penalties, including fines, which could damage its reputation and have a materially adverse effect on its results of operation or financial condition.</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Failure to comply with privacy, data protection and cyber security laws and regulations could have a materially adverse effect on Kodak’s reputation, results of operations or financial condition.</w:t>
      </w:r>
    </w:p>
    <w:p>
      <w:pPr>
        <w:spacing w:after="0" w:line="54"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 In Europe, the General Data Protection Regulation (“GDPR”) became effective on May 25, 2018 for all European Union (“EU”) member states. The GDPR includes operational requirements for companies receiving or processing personal data of EU residents that are partially different from those previously in place and includes significant penalties for non-compliance. This change,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environment demands Kodak continuously improve its design and coordination of security controls and contractual arrangements across its businesses and 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4" w:name="page15"/>
    <w:bookmarkEnd w:id="14"/>
    <w:p>
      <w:pPr>
        <w:ind w:right="220"/>
        <w:spacing w:after="0" w:line="287" w:lineRule="auto"/>
        <w:rPr>
          <w:sz w:val="20"/>
          <w:szCs w:val="20"/>
          <w:color w:val="auto"/>
        </w:rPr>
      </w:pPr>
      <w:r>
        <w:rPr>
          <w:rFonts w:ascii="Arial" w:cs="Arial" w:eastAsia="Arial" w:hAnsi="Arial"/>
          <w:sz w:val="17"/>
          <w:szCs w:val="17"/>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5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 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 Therefore, in certain jurisdictions, Kodak may be unable to protect its proprietary technology adequately against unauthorized third party copying, infringement or use, which could adversely affect its competitive position. Also, much of Kodak’s business and many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7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79"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 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17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addition, the intellectual property rights of others could inhibit Kodak’s ability to conduct its business. Other companies may hold patents on technologies used in Kodak’s industries and some of these companies are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in recent years, individuals and groups have begun purchasing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3" w:lineRule="exact"/>
        <w:rPr>
          <w:sz w:val="20"/>
          <w:szCs w:val="20"/>
          <w:color w:val="auto"/>
        </w:rPr>
      </w:pPr>
    </w:p>
    <w:p>
      <w:pPr>
        <w:ind w:left="760" w:right="3900" w:hanging="378"/>
        <w:spacing w:after="0" w:line="256"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claims can be time consuming and costly to defend and may distract management’s attention and resources;</w:t>
      </w:r>
    </w:p>
    <w:p>
      <w:pPr>
        <w:ind w:left="760" w:right="3340" w:hanging="378"/>
        <w:spacing w:after="0" w:line="256"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ind w:left="760" w:right="3480" w:hanging="378"/>
        <w:spacing w:after="0" w:line="256"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even if it has an agreement with a third party to indemnify it against such costs, the indemnifying party may be unable to uphold such party’s contractual obligations; and</w:t>
      </w:r>
    </w:p>
    <w:p>
      <w:pPr>
        <w:ind w:left="760" w:right="3340" w:hanging="378"/>
        <w:spacing w:after="0" w:line="264"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it cannot or does not license the infringed technology at all, license the technology on reasonable terms or substitute similar technology from another source, its revenue and earnings could be adversely impacted.</w:t>
      </w:r>
    </w:p>
    <w:p>
      <w:pPr>
        <w:spacing w:after="0" w:line="7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Finally, Kodak uses open source software in connection with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16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5" w:name="page16"/>
    <w:bookmarkEnd w:id="15"/>
    <w:p>
      <w:pPr>
        <w:ind w:right="20"/>
        <w:spacing w:after="0" w:line="280"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its U.S. and non-U.S.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180" w:lineRule="exact"/>
        <w:rPr>
          <w:sz w:val="20"/>
          <w:szCs w:val="20"/>
          <w:color w:val="auto"/>
        </w:rPr>
      </w:pPr>
    </w:p>
    <w:p>
      <w:pPr>
        <w:ind w:right="840"/>
        <w:spacing w:after="0" w:line="287" w:lineRule="auto"/>
        <w:rPr>
          <w:sz w:val="20"/>
          <w:szCs w:val="20"/>
          <w:color w:val="auto"/>
        </w:rPr>
      </w:pPr>
      <w:r>
        <w:rPr>
          <w:rFonts w:ascii="Arial" w:cs="Arial" w:eastAsia="Arial" w:hAnsi="Arial"/>
          <w:sz w:val="17"/>
          <w:szCs w:val="17"/>
          <w:b w:val="1"/>
          <w:bCs w:val="1"/>
          <w:i w:val="1"/>
          <w:iCs w:val="1"/>
          <w:color w:val="auto"/>
        </w:rPr>
        <w:t>Kodak may be required to recognize impairments in the value of its goodwill and/or other long-lived assets which could adversely affect its results of operations.</w:t>
      </w:r>
    </w:p>
    <w:p>
      <w:pPr>
        <w:spacing w:after="0" w:line="5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determined the fair value of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5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with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future results could be harmed if it is unsuccessful in its sales in emerging markets.</w:t>
      </w:r>
    </w:p>
    <w:p>
      <w:pPr>
        <w:spacing w:after="0" w:line="117"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184" w:lineRule="exact"/>
        <w:rPr>
          <w:sz w:val="20"/>
          <w:szCs w:val="20"/>
          <w:color w:val="auto"/>
        </w:rPr>
      </w:pPr>
    </w:p>
    <w:p>
      <w:pPr>
        <w:ind w:left="700" w:hanging="344"/>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support of multiple languages;</w:t>
      </w:r>
    </w:p>
    <w:p>
      <w:pPr>
        <w:spacing w:after="0" w:line="25" w:lineRule="exact"/>
        <w:rPr>
          <w:rFonts w:ascii="Arial" w:cs="Arial" w:eastAsia="Arial" w:hAnsi="Arial"/>
          <w:sz w:val="17"/>
          <w:szCs w:val="17"/>
          <w:color w:val="auto"/>
        </w:rPr>
      </w:pPr>
    </w:p>
    <w:p>
      <w:pPr>
        <w:ind w:left="700" w:right="3820" w:hanging="344"/>
        <w:spacing w:after="0" w:line="256"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recruitment of sales and technical support personnel with the skills to design, manufacture, sell and supply products;</w:t>
      </w:r>
    </w:p>
    <w:p>
      <w:pPr>
        <w:ind w:left="700" w:right="4140" w:hanging="344"/>
        <w:spacing w:after="0" w:line="256"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with governmental regulation of imports and exports, including obtaining required import or export approval for its products;</w:t>
      </w:r>
    </w:p>
    <w:p>
      <w:pPr>
        <w:ind w:left="700" w:hanging="344"/>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complexity of managing international operations;</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exposure to foreign currency exchange rate fluctuations;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6" w:name="page17"/>
    <w:bookmarkEnd w:id="16"/>
    <w:p>
      <w:pPr>
        <w:ind w:left="700" w:right="3940" w:hanging="344"/>
        <w:spacing w:after="0" w:line="263"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 laws and business practices which may favor local competition and the imposition of tariffs on products or raw materials imported into or exported from the U.S.;</w:t>
      </w:r>
    </w:p>
    <w:p>
      <w:pPr>
        <w:ind w:left="700" w:right="3760" w:hanging="344"/>
        <w:spacing w:after="0" w:line="256"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multiple, potentially conflicting, and changing governmental laws, regulations and practices, including differing export, import, tax, anti-corruption, anti-dumping, economic sanction, labor, and employment laws;</w:t>
      </w: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collecting accounts receivable;</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or restrictions on the repatriation of cash;</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or reductions in protection of intellectual property rights;</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complications in logistics and distribution arrangements; and</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political or economic instability.</w:t>
      </w:r>
    </w:p>
    <w:p>
      <w:pPr>
        <w:spacing w:after="0" w:line="1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There can be no assurance Kodak will be able to market and sell its products in all of its targeted markets. If its efforts are not successful, its business growth and results of operations could be harmed. As a global company, Kodak is subject to regulatory requirements and laws in the jurisdictions in which it operates, and any alleged non-compliance with these requirements or laws could result in an adverse financial or reputational impact.</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5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Kodak is subject to environmental laws and regulations world-wide that govern, for example, the discharge of pollutants, the management of hazardous materials, the cleanup of contaminated sites, and the composition and end-of-life management of its products. 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addition, the Company, the New York State Department of Environmental Conservation and the New York Empire State Development Corporation have entered into a settlement agreement concerning certain of the Company’s historical environmental liabilities at Eastman Business Park or from discharges to the Genesee River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its financial condition. The settlement agreement was implemented on May 20, 2014. The settlement agreement includes a covenant not to sue from the U.S. Environmental Protection Agency. Any uncertainties related to the Company’s environmental obligations may impact its ability to further develop and transform Eastman Business Park.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may have additional tax liabilities.</w:t>
      </w:r>
    </w:p>
    <w:p>
      <w:pPr>
        <w:spacing w:after="0" w:line="11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 For example, compliance with the Tax Cuts and Jobs Act (“2017 Tax Act”) may continue to require the exercise of significant judgment in accounting for its provisions. Many aspects of the 2017 Tax Act are unclear and may not be clarified for some time. As regulations and guidance evolve with respect to the 2017 Tax Act, and as Kodak gathers more information and performs more analysis, Kodak’s results may differ from previous estimates and may materially affect our financial position.</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business, financial position, results of operations, cash flows and reputation may be negatively impacted by legal matters.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ind w:right="240"/>
        <w:spacing w:after="0" w:line="287" w:lineRule="auto"/>
        <w:rPr>
          <w:sz w:val="20"/>
          <w:szCs w:val="20"/>
          <w:color w:val="auto"/>
        </w:rPr>
      </w:pPr>
      <w:r>
        <w:rPr>
          <w:rFonts w:ascii="Arial" w:cs="Arial" w:eastAsia="Arial" w:hAnsi="Arial"/>
          <w:sz w:val="17"/>
          <w:szCs w:val="17"/>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5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w:t>
      </w:r>
    </w:p>
    <w:p>
      <w:pPr>
        <w:spacing w:after="0" w:line="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chain. Kodak filed its most recent Conflict Minerals Disclosure report for the reporting period from January 1, 2017 to December 31, 2017 on May 31, 2018.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Indebtedness and Access to Capital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the Company will be able to comply with the terms of its various credit facilities.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 breach of any of the financial or other covenants contained in the Senior Secured First Lien Term Credit Agreement (the “Term Credit Agreement”) or the Asset Based Revolving Credit Agreement (the “ABL Credit Agreement” and, together with the Term Credit Agreement, the “Credit Agreements”) could result in an event of default under these facilities. If any default or event of default occurs and the Company is not able to either cure it or obtain a waiver from the requisite lenders under each of these facilities, the administrative agent of each credit facility may, and at the request of the requisite lenders for that facility must, declare all of the Company’s outstanding obligations under the applicable credit facility, together with accrued interest and fees, to be immediately due and payable. In addition, the agent under the ABL Credit Agreement may, and at the request of the requisite lenders must, terminate the lenders’ commitments under that facility and cease making further loans. If applicable, each respective agent could institute foreclosure proceedings against the pledged assets. Any of these outcomes would likely have an adverse effect on the Company’s operations and its ability to satisfy its obligations as they come due.</w:t>
      </w:r>
    </w:p>
    <w:p>
      <w:pPr>
        <w:spacing w:after="0" w:line="6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lenders under the Term Credit Agreement may take the position that the going concern explanatory paragraph contained in the audit report on Kodak’s financial statements as of and for the year ended December 31, 2018 does not satisfy the reporting covenant under the Term Credit Agreement. Under the Term Credit Agreement, if notice of a failure to comply with the reporting covenant is given to Kodak by the lenders, an event of default would occur thereunder if such failure is not cured within thirty days after such notice is given, unless such event of default is waived by the requisite lenders. On March 31, 2019 Kodak obtained a waiver from the agent and lenders under the ABL Credit Agreement with respect to any event of default under the reporting covenant in the ABL Credit Agreement that may be deemed to occur in relation to the going concern explanatory paragraph in the audit report. Such waiver does not waive any cross-default that may occur in the event of the occurrence of an event of default under the Term Credit Agreement, as described above. For more information on the reporting covenants under the Credit Agreements and the potential impact of the explanatory paragraph in the audit report refer to Item 7. “Management’s Discussion and Analysis of Financial Condition and Results of Operations—Liquidity and Capital Resources—Sources of Liquidity.”</w:t>
      </w:r>
    </w:p>
    <w:p>
      <w:pPr>
        <w:spacing w:after="0" w:line="63"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b w:val="1"/>
          <w:bCs w:val="1"/>
          <w:i w:val="1"/>
          <w:iCs w:val="1"/>
          <w:color w:val="auto"/>
        </w:rPr>
        <w:t>The combination of covenant requirements in the Term Credit Agreement and Kodak’s on-going investment in growth businesses, a decline in Strategic Other Business or an accelerated decline in its Planned Declining Business or continuing softness and volatility of global economic conditions and foreign currency exchange rates, could make it difficult for the Company to satisfy the leverage covenants under the Term Credit Agreement on an on-going basis.</w:t>
      </w:r>
    </w:p>
    <w:p>
      <w:pPr>
        <w:spacing w:after="0" w:line="3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is obligated to comply with a number of financial and other covenants contained in the Credit Agreements. Kodak intends to conduct its operations in a manner which will result in continued compliance with the secured leverage ratio covenants under the Term Credit Agreement; however, compliance for future quarters may depend on Kodak undertaking one or more non-operational transactions, such as a monetization of assets, a debt refinancing, the raising of equity capital, or a similar transaction. If the Company is unable to remain in compliance and does not make alternate arrangements with its term lenders, an event of default would occur under the Credit Agreements which, among other remedies, would entitle the lenders or their agents to declare the outstanding obligations under the Credit Agreements to be immediately due and payable.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require additional capital funding and such capital may not be available to us and/or may be limited.</w:t>
      </w:r>
    </w:p>
    <w:p>
      <w:pPr>
        <w:spacing w:after="0" w:line="22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Because of Kodak’s current non-investment grade credit rating and financial condition, and/or general conditions in the financial and credit markets, its access to the capital markets is limited. Moreover, the urgency of a capital-raising transaction may require it to pursue additional capital at an inopportune time or unattractive cost. The loans made under the Term Credit Agreement become due on the earlier to occur of (i) the maturity date of September 3, 2019 or (ii) the acceleration of such loans following the occurrence of an event of default (as defined in the Term Credit Agreement). The Company has issued approximately $85 million and $96 million of letters of credit under the ABL Credit Agreement as of December 31, 2018 and 2017, respectively.</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8" w:name="page19"/>
    <w:bookmarkEnd w:id="18"/>
    <w:p>
      <w:pPr>
        <w:ind w:right="20"/>
        <w:spacing w:after="0" w:line="266" w:lineRule="auto"/>
        <w:rPr>
          <w:sz w:val="20"/>
          <w:szCs w:val="20"/>
          <w:color w:val="auto"/>
        </w:rPr>
      </w:pPr>
      <w:r>
        <w:rPr>
          <w:rFonts w:ascii="Arial" w:cs="Arial" w:eastAsia="Arial" w:hAnsi="Arial"/>
          <w:sz w:val="17"/>
          <w:szCs w:val="17"/>
          <w:color w:val="auto"/>
        </w:rPr>
        <w:t>Should the Company not repay, refinance or extend the maturity of the loans under the existing Term Credit Agreement prior to June 5, 2019, the termination date will occur under the ABL Credit Agreement on such date unless the ABL Credit Agreement has been previously amended. Upon the occurrence of the termination date under the ABL Credit Agreement, the obligations thereunder will become due and the Company will need to provide alternate collateral in place of the letters of credit issued under the ABL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Kodak’s ability to obtain capital and the costs of such capital are dependent on numerous factors, including:</w:t>
      </w:r>
    </w:p>
    <w:p>
      <w:pPr>
        <w:spacing w:after="0" w:line="248"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covenants in the Credit Agreements;</w:t>
      </w:r>
    </w:p>
    <w:p>
      <w:pPr>
        <w:spacing w:after="0" w:line="25" w:lineRule="exact"/>
        <w:rPr>
          <w:rFonts w:ascii="Arial" w:cs="Arial" w:eastAsia="Arial" w:hAnsi="Arial"/>
          <w:sz w:val="17"/>
          <w:szCs w:val="17"/>
          <w:color w:val="auto"/>
        </w:rPr>
      </w:pPr>
    </w:p>
    <w:p>
      <w:pPr>
        <w:ind w:left="760" w:right="3400" w:hanging="378"/>
        <w:spacing w:after="0" w:line="256"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obtaining a consent from the holders of Series A Preferred Stock for the issuance of additional preferred shares which rank senior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Series A Preferred Stock;</w:t>
      </w: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investor confidence in Kodak and the markets in which it operates;</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financial performance and the financial performance of its subsidiaries;</w:t>
      </w:r>
    </w:p>
    <w:p>
      <w:pPr>
        <w:spacing w:after="0" w:line="13" w:lineRule="exact"/>
        <w:rPr>
          <w:rFonts w:ascii="Arial" w:cs="Arial" w:eastAsia="Arial" w:hAnsi="Arial"/>
          <w:sz w:val="17"/>
          <w:szCs w:val="17"/>
          <w:color w:val="auto"/>
        </w:rPr>
      </w:pPr>
    </w:p>
    <w:p>
      <w:pPr>
        <w:ind w:left="760" w:right="3160" w:hanging="378"/>
        <w:spacing w:after="0" w:line="256"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levels of debt and redemption obligations, including the mandatory redemption of the Series A Preferred Stock on November 15, 2021;</w:t>
      </w: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ability to complete the sale of its Flexographic Packaging Division;</w:t>
      </w:r>
    </w:p>
    <w:p>
      <w:pPr>
        <w:spacing w:after="0" w:line="92"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ability to consummate other asset sales or monetization transactions;</w:t>
      </w:r>
    </w:p>
    <w:p>
      <w:pPr>
        <w:spacing w:after="0" w:line="39"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ability to generate positive cash flow;</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requirements for posting collateral under various commercial agreements;</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credit ratings;</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cash flow;</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long-term business prospects; and</w:t>
      </w:r>
    </w:p>
    <w:p>
      <w:pPr>
        <w:spacing w:after="0" w:line="13"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economic and capital market conditions.</w:t>
      </w:r>
    </w:p>
    <w:p>
      <w:pPr>
        <w:spacing w:after="0" w:line="10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Kodak may not be successful in obtaining additional capital for these or other reasons. An inability to access capital is likely to limit its ability to meet its operating needs and, as a result, may have a material adverse effect on its financial condition, results of operations and cash flows. In particular, Kodak does not have committed refinancing or the liquidity to meet the debt obligations under the Term Credit Agreement and ABL Credit Agreement if they were to become due in accordance with their current terms, and there are no assurances Kodak will be able to amend, extend, refinance or repay the loans under the Term Credit Agreement or, as necessary, its obligations under the ABL Credit Agreement before they become due. If Kodak is unable to amend, extend or refinance the Term Credit Agreement or ABL Credit Agreement before they become due, its ability to continue as a going concern would likely be impaired.</w:t>
      </w:r>
    </w:p>
    <w:p>
      <w:pPr>
        <w:spacing w:after="0" w:line="168" w:lineRule="exact"/>
        <w:rPr>
          <w:sz w:val="20"/>
          <w:szCs w:val="20"/>
          <w:color w:val="auto"/>
        </w:rPr>
      </w:pPr>
    </w:p>
    <w:p>
      <w:pPr>
        <w:jc w:val="both"/>
        <w:ind w:right="740"/>
        <w:spacing w:after="0" w:line="357" w:lineRule="auto"/>
        <w:rPr>
          <w:sz w:val="20"/>
          <w:szCs w:val="20"/>
          <w:color w:val="auto"/>
        </w:rPr>
      </w:pPr>
      <w:r>
        <w:rPr>
          <w:rFonts w:ascii="Arial" w:cs="Arial" w:eastAsia="Arial" w:hAnsi="Arial"/>
          <w:sz w:val="15"/>
          <w:szCs w:val="15"/>
          <w:b w:val="1"/>
          <w:bCs w:val="1"/>
          <w:i w:val="1"/>
          <w:iCs w:val="1"/>
          <w:color w:val="auto"/>
        </w:rPr>
        <w:t>The current non-investment grade status and Kodak’s financial condition may adversely impact Kodak’s commercial operations, increase its liquidity requirements and increase the cost of refinancing opportunities. It may not have adequate liquidity to post required amounts of additional collateral.</w:t>
      </w:r>
    </w:p>
    <w:p>
      <w:pPr>
        <w:spacing w:after="0" w:line="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Company’s corporate family credit rating is currently below investment grade and there are no assurances its credit ratings will improve, or they will not decline, in the future. Its credit ratings and financial condition may affect the evaluation of its creditworthiness by trading counterparties and lenders, which could put it at a disadvantage to competitors with higher or investment grade ratings.</w:t>
      </w:r>
    </w:p>
    <w:p>
      <w:pPr>
        <w:spacing w:after="0" w:line="6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Kodak’s current non-investment grade credit rating and financial condition may limit its ability to obtain additional sources of liquidity, refinance its debt obligations, including any mandatory redemption of its Series A Preferred Stock, or access the capital markets at the lower borrowing costs which would presumably be available to competitors with a higher or investment grade rating or stronger financial condition. Should its ratings continue at their current levels, or should its ratings be further downgraded, it would expect these negative effects to continue and, in the case of a downgrade, become more pronounced. In particular, given the Company’s current credit ratings it would be required, if requested, to provide up to $13 million of additional letters of credit to the issuers of certain surety bonds to fully collateralize such bonds.</w:t>
      </w:r>
    </w:p>
    <w:p>
      <w:pPr>
        <w:spacing w:after="0" w:line="166" w:lineRule="exact"/>
        <w:rPr>
          <w:sz w:val="20"/>
          <w:szCs w:val="20"/>
          <w:color w:val="auto"/>
        </w:rPr>
      </w:pPr>
    </w:p>
    <w:p>
      <w:pPr>
        <w:ind w:right="440"/>
        <w:spacing w:after="0" w:line="320" w:lineRule="auto"/>
        <w:rPr>
          <w:sz w:val="20"/>
          <w:szCs w:val="20"/>
          <w:color w:val="auto"/>
        </w:rPr>
      </w:pPr>
      <w:r>
        <w:rPr>
          <w:rFonts w:ascii="Arial" w:cs="Arial" w:eastAsia="Arial" w:hAnsi="Arial"/>
          <w:sz w:val="16"/>
          <w:szCs w:val="16"/>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3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Availability under the Company’s ABL Credit Agreement is based on the amount of Eligible Receivables, Eligible Inventory, Eligible Machinery and Equipment and Eligible Cash less specified reserves as described in Note 9, “Debt and Capital Leases” to the consolidated financial statements. Kodak’s U.S. Accounts Receivable and Inventory levels have declined over the past four years, and Machinery and Equipment for purposes of the ABL Credit Agreement amortizes down by $1 million per quarter. If Eligible Receivables, Eligible Inventory and Eligible Machinery and Equipment continue to decline and an asset base cannot be maintained to support the $85 million of outstanding letters of credit and the $18.75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would not be available to support ongoing working capital and investment needs and could not be used in determining the Net Secured Leverage Ratio under the Term Credit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9" w:name="page20"/>
    <w:bookmarkEnd w:id="19"/>
    <w:p>
      <w:pPr>
        <w:ind w:right="300"/>
        <w:spacing w:after="0" w:line="287" w:lineRule="auto"/>
        <w:rPr>
          <w:sz w:val="20"/>
          <w:szCs w:val="20"/>
          <w:color w:val="auto"/>
        </w:rPr>
      </w:pPr>
      <w:r>
        <w:rPr>
          <w:rFonts w:ascii="Arial" w:cs="Arial" w:eastAsia="Arial" w:hAnsi="Arial"/>
          <w:sz w:val="17"/>
          <w:szCs w:val="17"/>
          <w:color w:val="auto"/>
        </w:rPr>
        <w:t>If the administrative agent under the ABL Credit Agreement executed cash dominion, it would increase operational complexities for the Company. An event of default would occur under these circumstances if neither of these alternatives were achieved.</w:t>
      </w:r>
    </w:p>
    <w:p>
      <w:pPr>
        <w:spacing w:after="0" w:line="54"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The Company’s substantial monetary obligations require a portion of its cash flow be used to pay interest, dividends and fund other obligations rather than be invested in the business and could adversely affect its ability to fund its operations.</w:t>
      </w:r>
    </w:p>
    <w:p>
      <w:pPr>
        <w:spacing w:after="0" w:line="54"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The Company’s indebtedness under the Credit Agreements and its other obligations including the potential mandatory redemption of the Series A Preferred Stock could have important negative consequences to the Company and investors in its securities. These include the following:</w:t>
      </w:r>
    </w:p>
    <w:p>
      <w:pPr>
        <w:spacing w:after="0" w:line="289" w:lineRule="exact"/>
        <w:rPr>
          <w:sz w:val="20"/>
          <w:szCs w:val="20"/>
          <w:color w:val="auto"/>
        </w:rPr>
      </w:pPr>
    </w:p>
    <w:p>
      <w:pPr>
        <w:ind w:left="760" w:right="3520" w:hanging="378"/>
        <w:spacing w:after="0" w:line="261"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may not be able to satisfy all of its obligations, including, but not limited to, its obligations under the Credit Agreements, which may cause a cross-default or cross-acceleration on other debt it may have incurred;</w:t>
      </w:r>
    </w:p>
    <w:p>
      <w:pPr>
        <w:jc w:val="both"/>
        <w:ind w:left="760" w:right="3980" w:hanging="378"/>
        <w:spacing w:after="0" w:line="256"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could have difficulties obtaining necessary financing in the future for working capital, capital expenditures, debt service requirements, mandatory redemption of the Series A Preferred Stock, refinancing or other purposes;</w:t>
      </w:r>
    </w:p>
    <w:p>
      <w:pPr>
        <w:ind w:left="760" w:right="3300" w:hanging="378"/>
        <w:spacing w:after="0" w:line="256"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ind w:left="760" w:hanging="378"/>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economic or industry conditions may have more of a negative impact on it.</w:t>
      </w:r>
    </w:p>
    <w:p>
      <w:pPr>
        <w:spacing w:after="0" w:line="10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Common Stock</w:t>
      </w:r>
    </w:p>
    <w:p>
      <w:pPr>
        <w:spacing w:after="0" w:line="228"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i w:val="1"/>
          <w:iCs w:val="1"/>
          <w:color w:val="auto"/>
        </w:rPr>
        <w:t>The conversion of the Company’s Series A Preferred Stock into shares of the Company’s common stock may dilute the value for the current holders of the Company’s common stock.</w:t>
      </w:r>
    </w:p>
    <w:p>
      <w:pPr>
        <w:spacing w:after="0" w:line="5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Series A Preferred Stock, the Company’s existing shareholders will own a smaller percentage of its outstanding common stock. Based on the capitalization of the Company as of March 1, 2018, the conversion of all shares of the Series A Preferred Stock would result in the issuance to holders thereof of approximately 21% of the outstanding common stock after giving effect to such conversion. Further, additional shares of common stock may be issuable pursuant to certain other features of the Series A Preferred Stock, with such issuances being further dilutive to existing holders of common stock.</w:t>
      </w:r>
    </w:p>
    <w:p>
      <w:pPr>
        <w:spacing w:after="0" w:line="63"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If Series A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shares of Series A Preferred Stock will be a dilution to dividends and distributions.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Holders of the Company’s common stock will not realize any dilution in their ownership, dividend or distribution rights solely as a result of the reservation of any shares of common stock for issuance upon conversion of the Series A Preferred Stock or for issuance of additional shares of common stock pursuant to certain other features of the Series A Preferred Stock, but will experience such dilution to the extent additional shares of common stock are issued in the future as described above.</w:t>
      </w:r>
    </w:p>
    <w:p>
      <w:pPr>
        <w:spacing w:after="0" w:line="176" w:lineRule="exact"/>
        <w:rPr>
          <w:sz w:val="20"/>
          <w:szCs w:val="20"/>
          <w:color w:val="auto"/>
        </w:rPr>
      </w:pPr>
    </w:p>
    <w:p>
      <w:pPr>
        <w:jc w:val="both"/>
        <w:ind w:right="120"/>
        <w:spacing w:after="0" w:line="388" w:lineRule="auto"/>
        <w:rPr>
          <w:sz w:val="20"/>
          <w:szCs w:val="20"/>
          <w:color w:val="auto"/>
        </w:rPr>
      </w:pPr>
      <w:r>
        <w:rPr>
          <w:rFonts w:ascii="Arial" w:cs="Arial" w:eastAsia="Arial" w:hAnsi="Arial"/>
          <w:sz w:val="14"/>
          <w:szCs w:val="14"/>
          <w:b w:val="1"/>
          <w:bCs w:val="1"/>
          <w:i w:val="1"/>
          <w:iCs w:val="1"/>
          <w:color w:val="auto"/>
        </w:rPr>
        <w:t>The holders of the Company’s Series A Preferred Stock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30% of the voting power of the Company on an as-converted basis. As a result, these holders may have the ability to influence future actions by the Company requiring shareholder approval. The Company and these holders are parties to a Shareholder Agreement that contains certain restrictions on disposition or acquisition of Company securities and other actions by these holders, some of which restrictions will expire on April 17, 2020.</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for as long as they hold any shares of Series A Preferred Stock, the current holders of the Series A Preferred Stock are entitled to nominate for election (collectively and not individually) at the Company’s annual meeting of shareholders a number of directors to the board of directors of the Company (the “Board”) commensurate with their ownership percentage of common stock on an as-converted basis. Two of the Company’s current Board members were nominated by these current holders, who also have the right to fill vacancies on the Board created by one of their nominees ceasing to serve on the Board. The nomination and other rights regarding the Board granted to the current holders of Series A Preferred Stock are not transferrable to any other person.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20" w:name="page21"/>
    <w:bookmarkEnd w:id="20"/>
    <w:p>
      <w:pPr>
        <w:ind w:right="160"/>
        <w:spacing w:after="0" w:line="260" w:lineRule="auto"/>
        <w:rPr>
          <w:sz w:val="20"/>
          <w:szCs w:val="20"/>
          <w:color w:val="auto"/>
        </w:rPr>
      </w:pPr>
      <w:r>
        <w:rPr>
          <w:rFonts w:ascii="Arial" w:cs="Arial" w:eastAsia="Arial" w:hAnsi="Arial"/>
          <w:sz w:val="17"/>
          <w:szCs w:val="17"/>
          <w:color w:val="auto"/>
        </w:rPr>
        <w:t>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 As of April 1, 2019, the Company is in arrears for two dividend payments.</w:t>
      </w:r>
    </w:p>
    <w:p>
      <w:pPr>
        <w:spacing w:after="0" w:line="183"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The Company has registered the resale of a large portion of its outstanding securities. The resale of the Company’s common stock, or the perception that such resale may occur, may adversely affect the price of its common stock.</w:t>
      </w:r>
    </w:p>
    <w:p>
      <w:pPr>
        <w:spacing w:after="0" w:line="54" w:lineRule="exact"/>
        <w:rPr>
          <w:sz w:val="20"/>
          <w:szCs w:val="20"/>
          <w:color w:val="auto"/>
        </w:rPr>
      </w:pPr>
    </w:p>
    <w:p>
      <w:pPr>
        <w:ind w:right="300"/>
        <w:spacing w:after="0" w:line="295" w:lineRule="auto"/>
        <w:rPr>
          <w:sz w:val="20"/>
          <w:szCs w:val="20"/>
          <w:color w:val="auto"/>
        </w:rPr>
      </w:pPr>
      <w:r>
        <w:rPr>
          <w:rFonts w:ascii="Arial" w:cs="Arial" w:eastAsia="Arial" w:hAnsi="Arial"/>
          <w:sz w:val="15"/>
          <w:szCs w:val="15"/>
          <w:color w:val="auto"/>
        </w:rPr>
        <w:t>In compliance with two Registration Rights Agreements to which the Company is a party, it has registered the resale of an aggregate of 20,723,050 shares of outstanding common stock, 2,000,000 shares of outstanding Series A Preferred Stock, 11,494,200 shares of common stock, subject to anti-dilution adjustments, issuable upon the conversion of outstanding Series A Preferred Stock, and 863,804 shares of common stock issuable upon the exercise of outstanding</w:t>
      </w:r>
    </w:p>
    <w:p>
      <w:pPr>
        <w:spacing w:after="0" w:line="2"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warrants.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50"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b w:val="1"/>
          <w:bCs w:val="1"/>
          <w:i w:val="1"/>
          <w:iCs w:val="1"/>
          <w:color w:val="auto"/>
        </w:rPr>
        <w:t>The resale of a significant portion of the Company’s securities registered for resale could result in a change of control of the Company and the loss of favorable tax attributes.</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has registered the resale of securities representing approximately 60% of its outstanding shares of common stock assuming the issuance of all common stock issuable upon the conversion of the Series A Preferred Stock or the exercise of the warrants corresponding to shares of common stock registered for resale. 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 If such a transaction, in combination with other transactions including the issuance of the Series A Preferred Stock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17, “Income Taxes”. The interests of the holders of the securities registered for resale may not always coincide with the interests of the other holders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stock price has been and may continue to be volatile.</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market price of the Company’s common stock has fluctuated substantially and may continue to fluctuate significantly. Future announcements or disclosures concerning the Company, its strategic initiatives, its sales and profitability, and quarterly variations in actual or anticipated operating results or comparable sales, any failure to meet analysts’ expectations and sales of large blocks of its common stock, among other factors, could cause the market price of its common stock to fluctuate substantially.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the Company’s common stock may be affected by the volatility of blockchain and cryptocurrency markets.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The trading price of the Company’s common stock has been dramatically affected by the announcement of the license granted by Kodak to WENN Digital, Inc. (“WENN”) to use Kodak’s brand in connection with WENN’s KODAKOne blockchain-based image rights management platform and Kodak-branded cryptocurrency. Kodak may, in the future, have other involvement relating to blockchain technology or cryptocurrency, either directly or as a licensor. Kodak cannot predict whether, or the extent to which, the trading price of the Company’s common stock will continue to be affected by blockchain or cryptocurrency markets and any volatility in such markets.</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Kodak's worldwide headquarters is located in Rochester, New York.</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Kodak owns 12 million square feet and leased, as lessee, approximately 1 million square feet of space that includes administrative, research and development, manufacturing and marketing facilities in several worldwide locations. Out of the owned space, Kodak leases out approximately 1 million square feet to third party tenants. The leases are for various periods and are generally renewable.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location of Kodak’s manufacturing facilities, by segment, are listed below. Properties in a location may be shared by all segments operating in that location.</w:t>
      </w:r>
    </w:p>
    <w:p>
      <w:pPr>
        <w:spacing w:after="0" w:line="272" w:lineRule="exact"/>
        <w:rPr>
          <w:sz w:val="20"/>
          <w:szCs w:val="20"/>
          <w:color w:val="auto"/>
        </w:rPr>
      </w:pPr>
    </w:p>
    <w:tbl>
      <w:tblPr>
        <w:tblLayout w:type="fixed"/>
        <w:tblInd w:w="1880" w:type="dxa"/>
        <w:tblCellMar>
          <w:top w:w="0" w:type="dxa"/>
          <w:left w:w="0" w:type="dxa"/>
          <w:bottom w:w="0" w:type="dxa"/>
          <w:right w:w="0" w:type="dxa"/>
        </w:tblCellMar>
      </w:tblPr>
      <w:tr>
        <w:trPr>
          <w:trHeight w:val="221"/>
        </w:trPr>
        <w:tc>
          <w:tcPr>
            <w:tcW w:w="2560" w:type="dxa"/>
            <w:vAlign w:val="bottom"/>
          </w:tcPr>
          <w:p>
            <w:pPr>
              <w:jc w:val="center"/>
              <w:ind w:right="553"/>
              <w:spacing w:after="0"/>
              <w:rPr>
                <w:sz w:val="20"/>
                <w:szCs w:val="20"/>
                <w:color w:val="auto"/>
              </w:rPr>
            </w:pPr>
            <w:r>
              <w:rPr>
                <w:rFonts w:ascii="Arial" w:cs="Arial" w:eastAsia="Arial" w:hAnsi="Arial"/>
                <w:sz w:val="17"/>
                <w:szCs w:val="17"/>
                <w:b w:val="1"/>
                <w:bCs w:val="1"/>
                <w:i w:val="1"/>
                <w:iCs w:val="1"/>
                <w:color w:val="auto"/>
                <w:w w:val="88"/>
              </w:rPr>
              <w:t>Enterprise Inkjet Systems</w:t>
            </w:r>
          </w:p>
        </w:tc>
        <w:tc>
          <w:tcPr>
            <w:tcW w:w="3060" w:type="dxa"/>
            <w:vAlign w:val="bottom"/>
          </w:tcPr>
          <w:p>
            <w:pPr>
              <w:jc w:val="center"/>
              <w:ind w:left="73"/>
              <w:spacing w:after="0"/>
              <w:rPr>
                <w:sz w:val="20"/>
                <w:szCs w:val="20"/>
                <w:color w:val="auto"/>
              </w:rPr>
            </w:pPr>
            <w:r>
              <w:rPr>
                <w:rFonts w:ascii="Arial" w:cs="Arial" w:eastAsia="Arial" w:hAnsi="Arial"/>
                <w:sz w:val="17"/>
                <w:szCs w:val="17"/>
                <w:b w:val="1"/>
                <w:bCs w:val="1"/>
                <w:i w:val="1"/>
                <w:iCs w:val="1"/>
                <w:color w:val="auto"/>
                <w:w w:val="86"/>
              </w:rPr>
              <w:t>Print Systems</w:t>
            </w: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i w:val="1"/>
                <w:iCs w:val="1"/>
                <w:color w:val="auto"/>
                <w:w w:val="87"/>
              </w:rPr>
              <w:t>Software and Solutions</w:t>
            </w:r>
          </w:p>
        </w:tc>
      </w:tr>
      <w:tr>
        <w:trPr>
          <w:trHeight w:val="222"/>
        </w:trPr>
        <w:tc>
          <w:tcPr>
            <w:tcW w:w="2560" w:type="dxa"/>
            <w:vAlign w:val="bottom"/>
          </w:tcPr>
          <w:p>
            <w:pPr>
              <w:jc w:val="center"/>
              <w:ind w:right="553"/>
              <w:spacing w:after="0"/>
              <w:rPr>
                <w:sz w:val="20"/>
                <w:szCs w:val="20"/>
                <w:color w:val="auto"/>
              </w:rPr>
            </w:pPr>
            <w:r>
              <w:rPr>
                <w:rFonts w:ascii="Arial" w:cs="Arial" w:eastAsia="Arial" w:hAnsi="Arial"/>
                <w:sz w:val="17"/>
                <w:szCs w:val="17"/>
                <w:color w:val="auto"/>
                <w:w w:val="93"/>
              </w:rPr>
              <w:t>Rochester, New York, USA</w:t>
            </w: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93"/>
              </w:rPr>
              <w:t>Rochester, New York, USA</w:t>
            </w: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89"/>
              </w:rPr>
              <w:t>Vancouver, Canada</w:t>
            </w:r>
          </w:p>
        </w:tc>
      </w:tr>
      <w:tr>
        <w:trPr>
          <w:trHeight w:val="222"/>
        </w:trPr>
        <w:tc>
          <w:tcPr>
            <w:tcW w:w="2560" w:type="dxa"/>
            <w:vAlign w:val="bottom"/>
          </w:tcPr>
          <w:p>
            <w:pPr>
              <w:jc w:val="center"/>
              <w:ind w:right="573"/>
              <w:spacing w:after="0"/>
              <w:rPr>
                <w:sz w:val="20"/>
                <w:szCs w:val="20"/>
                <w:color w:val="auto"/>
              </w:rPr>
            </w:pPr>
            <w:r>
              <w:rPr>
                <w:rFonts w:ascii="Arial" w:cs="Arial" w:eastAsia="Arial" w:hAnsi="Arial"/>
                <w:sz w:val="17"/>
                <w:szCs w:val="17"/>
                <w:color w:val="auto"/>
                <w:w w:val="96"/>
              </w:rPr>
              <w:t>Dayton, Ohio, USA</w:t>
            </w: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94"/>
              </w:rPr>
              <w:t>Columbus, Georgia, USA</w:t>
            </w: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93"/>
              </w:rPr>
              <w:t>(software development)</w:t>
            </w:r>
          </w:p>
        </w:tc>
      </w:tr>
      <w:tr>
        <w:trPr>
          <w:trHeight w:val="222"/>
        </w:trPr>
        <w:tc>
          <w:tcPr>
            <w:tcW w:w="2560" w:type="dxa"/>
            <w:vAlign w:val="bottom"/>
          </w:tcPr>
          <w:p>
            <w:pPr>
              <w:jc w:val="center"/>
              <w:ind w:right="553"/>
              <w:spacing w:after="0"/>
              <w:rPr>
                <w:sz w:val="20"/>
                <w:szCs w:val="20"/>
                <w:color w:val="auto"/>
              </w:rPr>
            </w:pPr>
            <w:r>
              <w:rPr>
                <w:rFonts w:ascii="Arial" w:cs="Arial" w:eastAsia="Arial" w:hAnsi="Arial"/>
                <w:sz w:val="17"/>
                <w:szCs w:val="17"/>
                <w:color w:val="auto"/>
                <w:w w:val="92"/>
              </w:rPr>
              <w:t>Shanghai, China</w:t>
            </w: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91"/>
              </w:rPr>
              <w:t>Osterode, Germany</w:t>
            </w: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90"/>
              </w:rPr>
              <w:t>Shanghai, China</w:t>
            </w:r>
          </w:p>
        </w:tc>
      </w:tr>
      <w:tr>
        <w:trPr>
          <w:trHeight w:val="222"/>
        </w:trPr>
        <w:tc>
          <w:tcPr>
            <w:tcW w:w="2560" w:type="dxa"/>
            <w:vAlign w:val="bottom"/>
          </w:tcPr>
          <w:p>
            <w:pPr>
              <w:spacing w:after="0"/>
              <w:rPr>
                <w:sz w:val="19"/>
                <w:szCs w:val="19"/>
                <w:color w:val="auto"/>
              </w:rPr>
            </w:pP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89"/>
              </w:rPr>
              <w:t>Gunma, Japan</w:t>
            </w:r>
          </w:p>
        </w:tc>
        <w:tc>
          <w:tcPr>
            <w:tcW w:w="2380" w:type="dxa"/>
            <w:vAlign w:val="bottom"/>
          </w:tcPr>
          <w:p>
            <w:pPr>
              <w:spacing w:after="0"/>
              <w:rPr>
                <w:sz w:val="19"/>
                <w:szCs w:val="19"/>
                <w:color w:val="auto"/>
              </w:rPr>
            </w:pPr>
          </w:p>
        </w:tc>
      </w:tr>
      <w:tr>
        <w:trPr>
          <w:trHeight w:val="222"/>
        </w:trPr>
        <w:tc>
          <w:tcPr>
            <w:tcW w:w="2560" w:type="dxa"/>
            <w:vAlign w:val="bottom"/>
          </w:tcPr>
          <w:p>
            <w:pPr>
              <w:jc w:val="center"/>
              <w:ind w:right="553"/>
              <w:spacing w:after="0"/>
              <w:rPr>
                <w:sz w:val="20"/>
                <w:szCs w:val="20"/>
                <w:color w:val="auto"/>
              </w:rPr>
            </w:pPr>
            <w:r>
              <w:rPr>
                <w:rFonts w:ascii="Arial" w:cs="Arial" w:eastAsia="Arial" w:hAnsi="Arial"/>
                <w:sz w:val="17"/>
                <w:szCs w:val="17"/>
                <w:b w:val="1"/>
                <w:bCs w:val="1"/>
                <w:i w:val="1"/>
                <w:iCs w:val="1"/>
                <w:color w:val="auto"/>
                <w:w w:val="90"/>
              </w:rPr>
              <w:t>Consumer and Film</w:t>
            </w: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92"/>
              </w:rPr>
              <w:t>Shanghai, China</w:t>
            </w: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i w:val="1"/>
                <w:iCs w:val="1"/>
                <w:color w:val="auto"/>
                <w:w w:val="89"/>
              </w:rPr>
              <w:t>Advanced Materials and</w:t>
            </w:r>
          </w:p>
        </w:tc>
      </w:tr>
      <w:tr>
        <w:trPr>
          <w:trHeight w:val="222"/>
        </w:trPr>
        <w:tc>
          <w:tcPr>
            <w:tcW w:w="2560" w:type="dxa"/>
            <w:vAlign w:val="bottom"/>
          </w:tcPr>
          <w:p>
            <w:pPr>
              <w:jc w:val="center"/>
              <w:ind w:right="553"/>
              <w:spacing w:after="0"/>
              <w:rPr>
                <w:sz w:val="20"/>
                <w:szCs w:val="20"/>
                <w:color w:val="auto"/>
              </w:rPr>
            </w:pPr>
            <w:r>
              <w:rPr>
                <w:rFonts w:ascii="Arial" w:cs="Arial" w:eastAsia="Arial" w:hAnsi="Arial"/>
                <w:sz w:val="17"/>
                <w:szCs w:val="17"/>
                <w:color w:val="auto"/>
                <w:w w:val="93"/>
              </w:rPr>
              <w:t>Rochester, New York, USA</w:t>
            </w: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93"/>
              </w:rPr>
              <w:t>Xiamen, China</w:t>
            </w:r>
          </w:p>
        </w:tc>
        <w:tc>
          <w:tcPr>
            <w:tcW w:w="2380" w:type="dxa"/>
            <w:vAlign w:val="bottom"/>
          </w:tcPr>
          <w:p>
            <w:pPr>
              <w:jc w:val="center"/>
              <w:ind w:left="373"/>
              <w:spacing w:after="0"/>
              <w:rPr>
                <w:sz w:val="20"/>
                <w:szCs w:val="20"/>
                <w:color w:val="auto"/>
              </w:rPr>
            </w:pPr>
            <w:r>
              <w:rPr>
                <w:rFonts w:ascii="Arial" w:cs="Arial" w:eastAsia="Arial" w:hAnsi="Arial"/>
                <w:sz w:val="17"/>
                <w:szCs w:val="17"/>
                <w:b w:val="1"/>
                <w:bCs w:val="1"/>
                <w:i w:val="1"/>
                <w:iCs w:val="1"/>
                <w:color w:val="auto"/>
                <w:w w:val="90"/>
              </w:rPr>
              <w:t>3D Printing Technology</w:t>
            </w:r>
          </w:p>
        </w:tc>
      </w:tr>
      <w:tr>
        <w:trPr>
          <w:trHeight w:val="222"/>
        </w:trPr>
        <w:tc>
          <w:tcPr>
            <w:tcW w:w="2560" w:type="dxa"/>
            <w:vAlign w:val="bottom"/>
          </w:tcPr>
          <w:p>
            <w:pPr>
              <w:jc w:val="center"/>
              <w:ind w:right="553"/>
              <w:spacing w:after="0"/>
              <w:rPr>
                <w:sz w:val="20"/>
                <w:szCs w:val="20"/>
                <w:color w:val="auto"/>
              </w:rPr>
            </w:pPr>
            <w:r>
              <w:rPr>
                <w:rFonts w:ascii="Arial" w:cs="Arial" w:eastAsia="Arial" w:hAnsi="Arial"/>
                <w:sz w:val="17"/>
                <w:szCs w:val="17"/>
                <w:color w:val="auto"/>
                <w:w w:val="93"/>
              </w:rPr>
              <w:t>Xiamen, China</w:t>
            </w:r>
          </w:p>
        </w:tc>
        <w:tc>
          <w:tcPr>
            <w:tcW w:w="3060" w:type="dxa"/>
            <w:vAlign w:val="bottom"/>
          </w:tcPr>
          <w:p>
            <w:pPr>
              <w:jc w:val="center"/>
              <w:ind w:left="93"/>
              <w:spacing w:after="0"/>
              <w:rPr>
                <w:sz w:val="20"/>
                <w:szCs w:val="20"/>
                <w:color w:val="auto"/>
              </w:rPr>
            </w:pPr>
            <w:r>
              <w:rPr>
                <w:rFonts w:ascii="Arial" w:cs="Arial" w:eastAsia="Arial" w:hAnsi="Arial"/>
                <w:sz w:val="17"/>
                <w:szCs w:val="17"/>
                <w:color w:val="auto"/>
                <w:w w:val="90"/>
              </w:rPr>
              <w:t>Vancouver, Canada</w:t>
            </w:r>
          </w:p>
        </w:tc>
        <w:tc>
          <w:tcPr>
            <w:tcW w:w="2380" w:type="dxa"/>
            <w:vAlign w:val="bottom"/>
          </w:tcPr>
          <w:p>
            <w:pPr>
              <w:jc w:val="center"/>
              <w:ind w:left="373"/>
              <w:spacing w:after="0"/>
              <w:rPr>
                <w:sz w:val="20"/>
                <w:szCs w:val="20"/>
                <w:color w:val="auto"/>
              </w:rPr>
            </w:pPr>
            <w:r>
              <w:rPr>
                <w:rFonts w:ascii="Arial" w:cs="Arial" w:eastAsia="Arial" w:hAnsi="Arial"/>
                <w:sz w:val="17"/>
                <w:szCs w:val="17"/>
                <w:color w:val="auto"/>
                <w:w w:val="93"/>
              </w:rPr>
              <w:t>Rochester, New York, USA</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Regional distribution centers are located in various places within and outside of the United States.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Research and development is headquartered at the Kodak Research Laboratories which is part of the Eastman Business Park in Rochester, New York, where Kodak conducts research and files patent applications with fundamental inventions. 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Kodak has excess capacity in some locations. Kodak is pursuing monetizing its excess capacity by selling or leasing the associated properties.</w:t>
      </w:r>
    </w:p>
    <w:p>
      <w:pPr>
        <w:spacing w:after="0" w:line="21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2018, Kodak maintained accruals of approximately $4 million for claims aggregating approximately $158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231" w:right="27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23"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Pursuant to General Instructions G (3) of Form 10-K, the following list is included as an unnumbered item in Part I of this report in lieu of being included in the Proxy Statement for the Annual Meeting of Shareholders.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460" w:type="dxa"/>
            <w:vAlign w:val="bottom"/>
            <w:gridSpan w:val="2"/>
          </w:tcPr>
          <w:p>
            <w:pPr>
              <w:ind w:left="1520"/>
              <w:spacing w:after="0"/>
              <w:rPr>
                <w:sz w:val="20"/>
                <w:szCs w:val="20"/>
                <w:color w:val="auto"/>
              </w:rPr>
            </w:pPr>
            <w:r>
              <w:rPr>
                <w:rFonts w:ascii="Arial" w:cs="Arial" w:eastAsia="Arial" w:hAnsi="Arial"/>
                <w:sz w:val="14"/>
                <w:szCs w:val="14"/>
                <w:b w:val="1"/>
                <w:bCs w:val="1"/>
                <w:color w:val="auto"/>
              </w:rPr>
              <w:t>Year First Elected</w:t>
            </w:r>
          </w:p>
        </w:tc>
      </w:tr>
      <w:tr>
        <w:trPr>
          <w:trHeight w:val="156"/>
        </w:trPr>
        <w:tc>
          <w:tcPr>
            <w:tcW w:w="1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080" w:type="dxa"/>
            <w:vAlign w:val="bottom"/>
          </w:tcPr>
          <w:p>
            <w:pPr>
              <w:jc w:val="center"/>
              <w:ind w:left="438"/>
              <w:spacing w:after="0" w:line="157" w:lineRule="exact"/>
              <w:rPr>
                <w:sz w:val="20"/>
                <w:szCs w:val="20"/>
                <w:color w:val="auto"/>
              </w:rPr>
            </w:pPr>
            <w:r>
              <w:rPr>
                <w:rFonts w:ascii="Arial" w:cs="Arial" w:eastAsia="Arial" w:hAnsi="Arial"/>
                <w:sz w:val="14"/>
                <w:szCs w:val="14"/>
                <w:b w:val="1"/>
                <w:bCs w:val="1"/>
                <w:color w:val="auto"/>
                <w:w w:val="97"/>
              </w:rPr>
              <w:t>an</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56"/>
        </w:trPr>
        <w:tc>
          <w:tcPr>
            <w:tcW w:w="1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080" w:type="dxa"/>
            <w:vAlign w:val="bottom"/>
          </w:tcPr>
          <w:p>
            <w:pPr>
              <w:jc w:val="center"/>
              <w:ind w:left="438"/>
              <w:spacing w:after="0" w:line="157" w:lineRule="exact"/>
              <w:rPr>
                <w:sz w:val="20"/>
                <w:szCs w:val="20"/>
                <w:color w:val="auto"/>
              </w:rPr>
            </w:pPr>
            <w:r>
              <w:rPr>
                <w:rFonts w:ascii="Arial" w:cs="Arial" w:eastAsia="Arial" w:hAnsi="Arial"/>
                <w:sz w:val="14"/>
                <w:szCs w:val="14"/>
                <w:b w:val="1"/>
                <w:bCs w:val="1"/>
                <w:color w:val="auto"/>
                <w:w w:val="85"/>
              </w:rPr>
              <w:t>Executive</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5"/>
              </w:rPr>
              <w:t>Present</w:t>
            </w:r>
          </w:p>
        </w:tc>
      </w:tr>
      <w:tr>
        <w:trPr>
          <w:trHeight w:val="166"/>
        </w:trPr>
        <w:tc>
          <w:tcPr>
            <w:tcW w:w="1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ind w:left="135"/>
              <w:spacing w:after="0"/>
              <w:rPr>
                <w:sz w:val="20"/>
                <w:szCs w:val="20"/>
                <w:color w:val="auto"/>
              </w:rPr>
            </w:pPr>
            <w:r>
              <w:rPr>
                <w:rFonts w:ascii="Arial" w:cs="Arial" w:eastAsia="Arial" w:hAnsi="Arial"/>
                <w:sz w:val="14"/>
                <w:szCs w:val="14"/>
                <w:b w:val="1"/>
                <w:bCs w:val="1"/>
                <w:color w:val="auto"/>
                <w:w w:val="90"/>
              </w:rPr>
              <w:t>Age</w:t>
            </w:r>
          </w:p>
        </w:tc>
        <w:tc>
          <w:tcPr>
            <w:tcW w:w="5040" w:type="dxa"/>
            <w:vAlign w:val="bottom"/>
          </w:tcPr>
          <w:p>
            <w:pPr>
              <w:ind w:left="2460"/>
              <w:spacing w:after="0"/>
              <w:rPr>
                <w:sz w:val="20"/>
                <w:szCs w:val="20"/>
                <w:color w:val="auto"/>
              </w:rPr>
            </w:pPr>
            <w:r>
              <w:rPr>
                <w:rFonts w:ascii="Arial" w:cs="Arial" w:eastAsia="Arial" w:hAnsi="Arial"/>
                <w:sz w:val="14"/>
                <w:szCs w:val="14"/>
                <w:b w:val="1"/>
                <w:bCs w:val="1"/>
                <w:color w:val="auto"/>
              </w:rPr>
              <w:t>Positions Held</w:t>
            </w:r>
          </w:p>
        </w:tc>
        <w:tc>
          <w:tcPr>
            <w:tcW w:w="2080" w:type="dxa"/>
            <w:vAlign w:val="bottom"/>
          </w:tcPr>
          <w:p>
            <w:pPr>
              <w:jc w:val="center"/>
              <w:ind w:left="438"/>
              <w:spacing w:after="0"/>
              <w:rPr>
                <w:sz w:val="20"/>
                <w:szCs w:val="20"/>
                <w:color w:val="auto"/>
              </w:rPr>
            </w:pPr>
            <w:r>
              <w:rPr>
                <w:rFonts w:ascii="Arial" w:cs="Arial" w:eastAsia="Arial" w:hAnsi="Arial"/>
                <w:sz w:val="14"/>
                <w:szCs w:val="14"/>
                <w:b w:val="1"/>
                <w:bCs w:val="1"/>
                <w:color w:val="auto"/>
                <w:w w:val="97"/>
              </w:rPr>
              <w:t>Officer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Office</w:t>
            </w:r>
          </w:p>
        </w:tc>
      </w:tr>
      <w:tr>
        <w:trPr>
          <w:trHeight w:val="222"/>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James V. Continenza</w:t>
            </w:r>
          </w:p>
        </w:tc>
        <w:tc>
          <w:tcPr>
            <w:tcW w:w="980" w:type="dxa"/>
            <w:vAlign w:val="bottom"/>
            <w:shd w:val="clear" w:color="auto" w:fill="CFF0FC"/>
          </w:tcPr>
          <w:p>
            <w:pPr>
              <w:jc w:val="center"/>
              <w:ind w:left="135"/>
              <w:spacing w:after="0"/>
              <w:rPr>
                <w:sz w:val="20"/>
                <w:szCs w:val="20"/>
                <w:color w:val="auto"/>
              </w:rPr>
            </w:pPr>
            <w:r>
              <w:rPr>
                <w:rFonts w:ascii="Arial" w:cs="Arial" w:eastAsia="Arial" w:hAnsi="Arial"/>
                <w:sz w:val="17"/>
                <w:szCs w:val="17"/>
                <w:color w:val="auto"/>
                <w:w w:val="84"/>
              </w:rPr>
              <w:t>56</w:t>
            </w:r>
          </w:p>
        </w:tc>
        <w:tc>
          <w:tcPr>
            <w:tcW w:w="5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Executive Chairman</w:t>
            </w:r>
          </w:p>
        </w:tc>
        <w:tc>
          <w:tcPr>
            <w:tcW w:w="2080" w:type="dxa"/>
            <w:vAlign w:val="bottom"/>
            <w:shd w:val="clear" w:color="auto" w:fill="CFF0FC"/>
          </w:tcPr>
          <w:p>
            <w:pPr>
              <w:jc w:val="center"/>
              <w:ind w:left="438"/>
              <w:spacing w:after="0"/>
              <w:rPr>
                <w:sz w:val="20"/>
                <w:szCs w:val="20"/>
                <w:color w:val="auto"/>
              </w:rPr>
            </w:pPr>
            <w:r>
              <w:rPr>
                <w:rFonts w:ascii="Arial" w:cs="Arial" w:eastAsia="Arial" w:hAnsi="Arial"/>
                <w:sz w:val="17"/>
                <w:szCs w:val="17"/>
                <w:color w:val="auto"/>
                <w:w w:val="95"/>
              </w:rPr>
              <w:t>2019</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2019</w:t>
            </w:r>
          </w:p>
        </w:tc>
      </w:tr>
      <w:tr>
        <w:trPr>
          <w:trHeight w:val="222"/>
        </w:trPr>
        <w:tc>
          <w:tcPr>
            <w:tcW w:w="1940" w:type="dxa"/>
            <w:vAlign w:val="bottom"/>
          </w:tcPr>
          <w:p>
            <w:pPr>
              <w:spacing w:after="0"/>
              <w:rPr>
                <w:sz w:val="20"/>
                <w:szCs w:val="20"/>
                <w:color w:val="auto"/>
              </w:rPr>
            </w:pPr>
            <w:r>
              <w:rPr>
                <w:rFonts w:ascii="Arial" w:cs="Arial" w:eastAsia="Arial" w:hAnsi="Arial"/>
                <w:sz w:val="17"/>
                <w:szCs w:val="17"/>
                <w:color w:val="auto"/>
              </w:rPr>
              <w:t>Todd R. Bigger</w:t>
            </w:r>
          </w:p>
        </w:tc>
        <w:tc>
          <w:tcPr>
            <w:tcW w:w="980" w:type="dxa"/>
            <w:vAlign w:val="bottom"/>
          </w:tcPr>
          <w:p>
            <w:pPr>
              <w:jc w:val="center"/>
              <w:ind w:left="135"/>
              <w:spacing w:after="0"/>
              <w:rPr>
                <w:sz w:val="20"/>
                <w:szCs w:val="20"/>
                <w:color w:val="auto"/>
              </w:rPr>
            </w:pPr>
            <w:r>
              <w:rPr>
                <w:rFonts w:ascii="Arial" w:cs="Arial" w:eastAsia="Arial" w:hAnsi="Arial"/>
                <w:sz w:val="17"/>
                <w:szCs w:val="17"/>
                <w:color w:val="auto"/>
                <w:w w:val="84"/>
              </w:rPr>
              <w:t>46</w:t>
            </w:r>
          </w:p>
        </w:tc>
        <w:tc>
          <w:tcPr>
            <w:tcW w:w="5040" w:type="dxa"/>
            <w:vAlign w:val="bottom"/>
          </w:tcPr>
          <w:p>
            <w:pPr>
              <w:ind w:left="260"/>
              <w:spacing w:after="0"/>
              <w:rPr>
                <w:sz w:val="20"/>
                <w:szCs w:val="20"/>
                <w:color w:val="auto"/>
              </w:rPr>
            </w:pPr>
            <w:r>
              <w:rPr>
                <w:rFonts w:ascii="Arial" w:cs="Arial" w:eastAsia="Arial" w:hAnsi="Arial"/>
                <w:sz w:val="17"/>
                <w:szCs w:val="17"/>
                <w:color w:val="auto"/>
              </w:rPr>
              <w:t>Vice President</w:t>
            </w:r>
          </w:p>
        </w:tc>
        <w:tc>
          <w:tcPr>
            <w:tcW w:w="2080" w:type="dxa"/>
            <w:vAlign w:val="bottom"/>
          </w:tcPr>
          <w:p>
            <w:pPr>
              <w:jc w:val="center"/>
              <w:ind w:left="438"/>
              <w:spacing w:after="0"/>
              <w:rPr>
                <w:sz w:val="20"/>
                <w:szCs w:val="20"/>
                <w:color w:val="auto"/>
              </w:rPr>
            </w:pPr>
            <w:r>
              <w:rPr>
                <w:rFonts w:ascii="Arial" w:cs="Arial" w:eastAsia="Arial" w:hAnsi="Arial"/>
                <w:sz w:val="17"/>
                <w:szCs w:val="17"/>
                <w:color w:val="auto"/>
                <w:w w:val="95"/>
              </w:rPr>
              <w:t>2019</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2019</w:t>
            </w:r>
          </w:p>
        </w:tc>
      </w:tr>
      <w:tr>
        <w:trPr>
          <w:trHeight w:val="222"/>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David E. Bullwinkle</w:t>
            </w:r>
          </w:p>
        </w:tc>
        <w:tc>
          <w:tcPr>
            <w:tcW w:w="980" w:type="dxa"/>
            <w:vAlign w:val="bottom"/>
            <w:shd w:val="clear" w:color="auto" w:fill="CFF0FC"/>
          </w:tcPr>
          <w:p>
            <w:pPr>
              <w:jc w:val="center"/>
              <w:ind w:left="135"/>
              <w:spacing w:after="0"/>
              <w:rPr>
                <w:sz w:val="20"/>
                <w:szCs w:val="20"/>
                <w:color w:val="auto"/>
              </w:rPr>
            </w:pPr>
            <w:r>
              <w:rPr>
                <w:rFonts w:ascii="Arial" w:cs="Arial" w:eastAsia="Arial" w:hAnsi="Arial"/>
                <w:sz w:val="17"/>
                <w:szCs w:val="17"/>
                <w:color w:val="auto"/>
                <w:w w:val="84"/>
              </w:rPr>
              <w:t>44</w:t>
            </w:r>
          </w:p>
        </w:tc>
        <w:tc>
          <w:tcPr>
            <w:tcW w:w="5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Chief Financial Officer and Senior Vice President</w:t>
            </w:r>
          </w:p>
        </w:tc>
        <w:tc>
          <w:tcPr>
            <w:tcW w:w="2080" w:type="dxa"/>
            <w:vAlign w:val="bottom"/>
            <w:shd w:val="clear" w:color="auto" w:fill="CFF0FC"/>
          </w:tcPr>
          <w:p>
            <w:pPr>
              <w:jc w:val="center"/>
              <w:ind w:left="438"/>
              <w:spacing w:after="0"/>
              <w:rPr>
                <w:sz w:val="20"/>
                <w:szCs w:val="20"/>
                <w:color w:val="auto"/>
              </w:rPr>
            </w:pPr>
            <w:r>
              <w:rPr>
                <w:rFonts w:ascii="Arial" w:cs="Arial" w:eastAsia="Arial" w:hAnsi="Arial"/>
                <w:sz w:val="17"/>
                <w:szCs w:val="17"/>
                <w:color w:val="auto"/>
                <w:w w:val="95"/>
              </w:rPr>
              <w:t>2016</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r>
      <w:tr>
        <w:trPr>
          <w:trHeight w:val="222"/>
        </w:trPr>
        <w:tc>
          <w:tcPr>
            <w:tcW w:w="1940" w:type="dxa"/>
            <w:vAlign w:val="bottom"/>
          </w:tcPr>
          <w:p>
            <w:pPr>
              <w:spacing w:after="0"/>
              <w:rPr>
                <w:sz w:val="20"/>
                <w:szCs w:val="20"/>
                <w:color w:val="auto"/>
              </w:rPr>
            </w:pPr>
            <w:r>
              <w:rPr>
                <w:rFonts w:ascii="Arial" w:cs="Arial" w:eastAsia="Arial" w:hAnsi="Arial"/>
                <w:sz w:val="17"/>
                <w:szCs w:val="17"/>
                <w:color w:val="auto"/>
              </w:rPr>
              <w:t>Roger W. Byrd</w:t>
            </w:r>
          </w:p>
        </w:tc>
        <w:tc>
          <w:tcPr>
            <w:tcW w:w="980" w:type="dxa"/>
            <w:vAlign w:val="bottom"/>
          </w:tcPr>
          <w:p>
            <w:pPr>
              <w:jc w:val="center"/>
              <w:ind w:left="135"/>
              <w:spacing w:after="0"/>
              <w:rPr>
                <w:sz w:val="20"/>
                <w:szCs w:val="20"/>
                <w:color w:val="auto"/>
              </w:rPr>
            </w:pPr>
            <w:r>
              <w:rPr>
                <w:rFonts w:ascii="Arial" w:cs="Arial" w:eastAsia="Arial" w:hAnsi="Arial"/>
                <w:sz w:val="17"/>
                <w:szCs w:val="17"/>
                <w:color w:val="auto"/>
                <w:w w:val="84"/>
              </w:rPr>
              <w:t>53</w:t>
            </w:r>
          </w:p>
        </w:tc>
        <w:tc>
          <w:tcPr>
            <w:tcW w:w="5040" w:type="dxa"/>
            <w:vAlign w:val="bottom"/>
          </w:tcPr>
          <w:p>
            <w:pPr>
              <w:ind w:left="260"/>
              <w:spacing w:after="0"/>
              <w:rPr>
                <w:sz w:val="20"/>
                <w:szCs w:val="20"/>
                <w:color w:val="auto"/>
              </w:rPr>
            </w:pPr>
            <w:r>
              <w:rPr>
                <w:rFonts w:ascii="Arial" w:cs="Arial" w:eastAsia="Arial" w:hAnsi="Arial"/>
                <w:sz w:val="17"/>
                <w:szCs w:val="17"/>
                <w:color w:val="auto"/>
              </w:rPr>
              <w:t>General Counsel, Secretary, and Senior Vice President</w:t>
            </w:r>
          </w:p>
        </w:tc>
        <w:tc>
          <w:tcPr>
            <w:tcW w:w="2080" w:type="dxa"/>
            <w:vAlign w:val="bottom"/>
          </w:tcPr>
          <w:p>
            <w:pPr>
              <w:jc w:val="center"/>
              <w:ind w:left="438"/>
              <w:spacing w:after="0"/>
              <w:rPr>
                <w:sz w:val="20"/>
                <w:szCs w:val="20"/>
                <w:color w:val="auto"/>
              </w:rPr>
            </w:pPr>
            <w:r>
              <w:rPr>
                <w:rFonts w:ascii="Arial" w:cs="Arial" w:eastAsia="Arial" w:hAnsi="Arial"/>
                <w:sz w:val="17"/>
                <w:szCs w:val="17"/>
                <w:color w:val="auto"/>
                <w:w w:val="95"/>
              </w:rPr>
              <w:t>2019</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2019</w:t>
            </w:r>
          </w:p>
        </w:tc>
      </w:tr>
      <w:tr>
        <w:trPr>
          <w:trHeight w:val="222"/>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Eric-Yves Mahe</w:t>
            </w:r>
          </w:p>
        </w:tc>
        <w:tc>
          <w:tcPr>
            <w:tcW w:w="980" w:type="dxa"/>
            <w:vAlign w:val="bottom"/>
            <w:shd w:val="clear" w:color="auto" w:fill="CFF0FC"/>
          </w:tcPr>
          <w:p>
            <w:pPr>
              <w:jc w:val="center"/>
              <w:ind w:left="135"/>
              <w:spacing w:after="0"/>
              <w:rPr>
                <w:sz w:val="20"/>
                <w:szCs w:val="20"/>
                <w:color w:val="auto"/>
              </w:rPr>
            </w:pPr>
            <w:r>
              <w:rPr>
                <w:rFonts w:ascii="Arial" w:cs="Arial" w:eastAsia="Arial" w:hAnsi="Arial"/>
                <w:sz w:val="17"/>
                <w:szCs w:val="17"/>
                <w:color w:val="auto"/>
                <w:w w:val="84"/>
              </w:rPr>
              <w:t>56</w:t>
            </w:r>
          </w:p>
        </w:tc>
        <w:tc>
          <w:tcPr>
            <w:tcW w:w="5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Senior Vice President</w:t>
            </w:r>
          </w:p>
        </w:tc>
        <w:tc>
          <w:tcPr>
            <w:tcW w:w="2080" w:type="dxa"/>
            <w:vAlign w:val="bottom"/>
            <w:shd w:val="clear" w:color="auto" w:fill="CFF0FC"/>
          </w:tcPr>
          <w:p>
            <w:pPr>
              <w:jc w:val="center"/>
              <w:ind w:left="438"/>
              <w:spacing w:after="0"/>
              <w:rPr>
                <w:sz w:val="20"/>
                <w:szCs w:val="20"/>
                <w:color w:val="auto"/>
              </w:rPr>
            </w:pPr>
            <w:r>
              <w:rPr>
                <w:rFonts w:ascii="Arial" w:cs="Arial" w:eastAsia="Arial" w:hAnsi="Arial"/>
                <w:sz w:val="17"/>
                <w:szCs w:val="17"/>
                <w:color w:val="auto"/>
                <w:w w:val="95"/>
              </w:rPr>
              <w:t>2015</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r>
      <w:tr>
        <w:trPr>
          <w:trHeight w:val="222"/>
        </w:trPr>
        <w:tc>
          <w:tcPr>
            <w:tcW w:w="1940" w:type="dxa"/>
            <w:vAlign w:val="bottom"/>
          </w:tcPr>
          <w:p>
            <w:pPr>
              <w:spacing w:after="0"/>
              <w:rPr>
                <w:sz w:val="20"/>
                <w:szCs w:val="20"/>
                <w:color w:val="auto"/>
              </w:rPr>
            </w:pPr>
            <w:r>
              <w:rPr>
                <w:rFonts w:ascii="Arial" w:cs="Arial" w:eastAsia="Arial" w:hAnsi="Arial"/>
                <w:sz w:val="17"/>
                <w:szCs w:val="17"/>
                <w:color w:val="auto"/>
              </w:rPr>
              <w:t>John O'Grady</w:t>
            </w:r>
          </w:p>
        </w:tc>
        <w:tc>
          <w:tcPr>
            <w:tcW w:w="980" w:type="dxa"/>
            <w:vAlign w:val="bottom"/>
          </w:tcPr>
          <w:p>
            <w:pPr>
              <w:jc w:val="center"/>
              <w:ind w:left="135"/>
              <w:spacing w:after="0"/>
              <w:rPr>
                <w:sz w:val="20"/>
                <w:szCs w:val="20"/>
                <w:color w:val="auto"/>
              </w:rPr>
            </w:pPr>
            <w:r>
              <w:rPr>
                <w:rFonts w:ascii="Arial" w:cs="Arial" w:eastAsia="Arial" w:hAnsi="Arial"/>
                <w:sz w:val="17"/>
                <w:szCs w:val="17"/>
                <w:color w:val="auto"/>
                <w:w w:val="84"/>
              </w:rPr>
              <w:t>55</w:t>
            </w:r>
          </w:p>
        </w:tc>
        <w:tc>
          <w:tcPr>
            <w:tcW w:w="504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080" w:type="dxa"/>
            <w:vAlign w:val="bottom"/>
          </w:tcPr>
          <w:p>
            <w:pPr>
              <w:jc w:val="center"/>
              <w:ind w:left="438"/>
              <w:spacing w:after="0"/>
              <w:rPr>
                <w:sz w:val="20"/>
                <w:szCs w:val="20"/>
                <w:color w:val="auto"/>
              </w:rPr>
            </w:pPr>
            <w:r>
              <w:rPr>
                <w:rFonts w:ascii="Arial" w:cs="Arial" w:eastAsia="Arial" w:hAnsi="Arial"/>
                <w:sz w:val="17"/>
                <w:szCs w:val="17"/>
                <w:color w:val="auto"/>
                <w:w w:val="95"/>
              </w:rPr>
              <w:t>2016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2016</w:t>
            </w:r>
          </w:p>
        </w:tc>
      </w:tr>
      <w:tr>
        <w:trPr>
          <w:trHeight w:val="222"/>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Christopher J. Payne</w:t>
            </w:r>
          </w:p>
        </w:tc>
        <w:tc>
          <w:tcPr>
            <w:tcW w:w="980" w:type="dxa"/>
            <w:vAlign w:val="bottom"/>
            <w:shd w:val="clear" w:color="auto" w:fill="CFF0FC"/>
          </w:tcPr>
          <w:p>
            <w:pPr>
              <w:jc w:val="center"/>
              <w:ind w:left="135"/>
              <w:spacing w:after="0"/>
              <w:rPr>
                <w:sz w:val="20"/>
                <w:szCs w:val="20"/>
                <w:color w:val="auto"/>
              </w:rPr>
            </w:pPr>
            <w:r>
              <w:rPr>
                <w:rFonts w:ascii="Arial" w:cs="Arial" w:eastAsia="Arial" w:hAnsi="Arial"/>
                <w:sz w:val="17"/>
                <w:szCs w:val="17"/>
                <w:color w:val="auto"/>
                <w:w w:val="84"/>
              </w:rPr>
              <w:t>54</w:t>
            </w:r>
          </w:p>
        </w:tc>
        <w:tc>
          <w:tcPr>
            <w:tcW w:w="5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Vice President</w:t>
            </w:r>
          </w:p>
        </w:tc>
        <w:tc>
          <w:tcPr>
            <w:tcW w:w="2080" w:type="dxa"/>
            <w:vAlign w:val="bottom"/>
            <w:shd w:val="clear" w:color="auto" w:fill="CFF0FC"/>
          </w:tcPr>
          <w:p>
            <w:pPr>
              <w:jc w:val="center"/>
              <w:ind w:left="438"/>
              <w:spacing w:after="0"/>
              <w:rPr>
                <w:sz w:val="20"/>
                <w:szCs w:val="20"/>
                <w:color w:val="auto"/>
              </w:rPr>
            </w:pPr>
            <w:r>
              <w:rPr>
                <w:rFonts w:ascii="Arial" w:cs="Arial" w:eastAsia="Arial" w:hAnsi="Arial"/>
                <w:sz w:val="17"/>
                <w:szCs w:val="17"/>
                <w:color w:val="auto"/>
                <w:w w:val="95"/>
              </w:rPr>
              <w:t>2017</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2017</w:t>
            </w:r>
          </w:p>
        </w:tc>
      </w:tr>
      <w:tr>
        <w:trPr>
          <w:trHeight w:val="222"/>
        </w:trPr>
        <w:tc>
          <w:tcPr>
            <w:tcW w:w="1940" w:type="dxa"/>
            <w:vAlign w:val="bottom"/>
          </w:tcPr>
          <w:p>
            <w:pPr>
              <w:spacing w:after="0"/>
              <w:rPr>
                <w:sz w:val="20"/>
                <w:szCs w:val="20"/>
                <w:color w:val="auto"/>
              </w:rPr>
            </w:pPr>
            <w:r>
              <w:rPr>
                <w:rFonts w:ascii="Arial" w:cs="Arial" w:eastAsia="Arial" w:hAnsi="Arial"/>
                <w:sz w:val="17"/>
                <w:szCs w:val="17"/>
                <w:color w:val="auto"/>
              </w:rPr>
              <w:t>Eric H. Samuels</w:t>
            </w:r>
          </w:p>
        </w:tc>
        <w:tc>
          <w:tcPr>
            <w:tcW w:w="980" w:type="dxa"/>
            <w:vAlign w:val="bottom"/>
          </w:tcPr>
          <w:p>
            <w:pPr>
              <w:jc w:val="center"/>
              <w:ind w:left="135"/>
              <w:spacing w:after="0"/>
              <w:rPr>
                <w:sz w:val="20"/>
                <w:szCs w:val="20"/>
                <w:color w:val="auto"/>
              </w:rPr>
            </w:pPr>
            <w:r>
              <w:rPr>
                <w:rFonts w:ascii="Arial" w:cs="Arial" w:eastAsia="Arial" w:hAnsi="Arial"/>
                <w:sz w:val="17"/>
                <w:szCs w:val="17"/>
                <w:color w:val="auto"/>
                <w:w w:val="84"/>
              </w:rPr>
              <w:t>51</w:t>
            </w:r>
          </w:p>
        </w:tc>
        <w:tc>
          <w:tcPr>
            <w:tcW w:w="5040" w:type="dxa"/>
            <w:vAlign w:val="bottom"/>
          </w:tcPr>
          <w:p>
            <w:pPr>
              <w:ind w:left="260"/>
              <w:spacing w:after="0"/>
              <w:rPr>
                <w:sz w:val="20"/>
                <w:szCs w:val="20"/>
                <w:color w:val="auto"/>
              </w:rPr>
            </w:pPr>
            <w:r>
              <w:rPr>
                <w:rFonts w:ascii="Arial" w:cs="Arial" w:eastAsia="Arial" w:hAnsi="Arial"/>
                <w:sz w:val="17"/>
                <w:szCs w:val="17"/>
                <w:color w:val="auto"/>
              </w:rPr>
              <w:t>Chief Accounting Officer and Corporate Controller</w:t>
            </w:r>
          </w:p>
        </w:tc>
        <w:tc>
          <w:tcPr>
            <w:tcW w:w="2080" w:type="dxa"/>
            <w:vAlign w:val="bottom"/>
          </w:tcPr>
          <w:p>
            <w:pPr>
              <w:jc w:val="center"/>
              <w:ind w:left="438"/>
              <w:spacing w:after="0"/>
              <w:rPr>
                <w:sz w:val="20"/>
                <w:szCs w:val="20"/>
                <w:color w:val="auto"/>
              </w:rPr>
            </w:pPr>
            <w:r>
              <w:rPr>
                <w:rFonts w:ascii="Arial" w:cs="Arial" w:eastAsia="Arial" w:hAnsi="Arial"/>
                <w:sz w:val="17"/>
                <w:szCs w:val="17"/>
                <w:color w:val="auto"/>
                <w:w w:val="95"/>
              </w:rPr>
              <w:t>2009</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2009</w:t>
            </w:r>
          </w:p>
        </w:tc>
      </w:tr>
      <w:tr>
        <w:trPr>
          <w:trHeight w:val="222"/>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Terry R. Taber</w:t>
            </w:r>
          </w:p>
        </w:tc>
        <w:tc>
          <w:tcPr>
            <w:tcW w:w="980" w:type="dxa"/>
            <w:vAlign w:val="bottom"/>
            <w:shd w:val="clear" w:color="auto" w:fill="CFF0FC"/>
          </w:tcPr>
          <w:p>
            <w:pPr>
              <w:jc w:val="center"/>
              <w:ind w:left="135"/>
              <w:spacing w:after="0"/>
              <w:rPr>
                <w:sz w:val="20"/>
                <w:szCs w:val="20"/>
                <w:color w:val="auto"/>
              </w:rPr>
            </w:pPr>
            <w:r>
              <w:rPr>
                <w:rFonts w:ascii="Arial" w:cs="Arial" w:eastAsia="Arial" w:hAnsi="Arial"/>
                <w:sz w:val="17"/>
                <w:szCs w:val="17"/>
                <w:color w:val="auto"/>
                <w:w w:val="84"/>
              </w:rPr>
              <w:t>64</w:t>
            </w:r>
          </w:p>
        </w:tc>
        <w:tc>
          <w:tcPr>
            <w:tcW w:w="5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Senior Vice President</w:t>
            </w:r>
          </w:p>
        </w:tc>
        <w:tc>
          <w:tcPr>
            <w:tcW w:w="2080" w:type="dxa"/>
            <w:vAlign w:val="bottom"/>
            <w:shd w:val="clear" w:color="auto" w:fill="CFF0FC"/>
          </w:tcPr>
          <w:p>
            <w:pPr>
              <w:jc w:val="center"/>
              <w:ind w:left="438"/>
              <w:spacing w:after="0"/>
              <w:rPr>
                <w:sz w:val="20"/>
                <w:szCs w:val="20"/>
                <w:color w:val="auto"/>
              </w:rPr>
            </w:pPr>
            <w:r>
              <w:rPr>
                <w:rFonts w:ascii="Arial" w:cs="Arial" w:eastAsia="Arial" w:hAnsi="Arial"/>
                <w:sz w:val="17"/>
                <w:szCs w:val="17"/>
                <w:color w:val="auto"/>
                <w:w w:val="95"/>
              </w:rPr>
              <w:t>2009</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2010</w:t>
            </w:r>
          </w:p>
        </w:tc>
      </w:tr>
      <w:tr>
        <w:trPr>
          <w:trHeight w:val="221"/>
        </w:trPr>
        <w:tc>
          <w:tcPr>
            <w:tcW w:w="1940" w:type="dxa"/>
            <w:vAlign w:val="bottom"/>
          </w:tcPr>
          <w:p>
            <w:pPr>
              <w:spacing w:after="0"/>
              <w:rPr>
                <w:sz w:val="20"/>
                <w:szCs w:val="20"/>
                <w:color w:val="auto"/>
              </w:rPr>
            </w:pPr>
            <w:r>
              <w:rPr>
                <w:rFonts w:ascii="Arial" w:cs="Arial" w:eastAsia="Arial" w:hAnsi="Arial"/>
                <w:sz w:val="17"/>
                <w:szCs w:val="17"/>
                <w:color w:val="auto"/>
              </w:rPr>
              <w:t>Randy D. Vandagriff</w:t>
            </w:r>
          </w:p>
        </w:tc>
        <w:tc>
          <w:tcPr>
            <w:tcW w:w="980" w:type="dxa"/>
            <w:vAlign w:val="bottom"/>
          </w:tcPr>
          <w:p>
            <w:pPr>
              <w:jc w:val="center"/>
              <w:ind w:left="135"/>
              <w:spacing w:after="0"/>
              <w:rPr>
                <w:sz w:val="20"/>
                <w:szCs w:val="20"/>
                <w:color w:val="auto"/>
              </w:rPr>
            </w:pPr>
            <w:r>
              <w:rPr>
                <w:rFonts w:ascii="Arial" w:cs="Arial" w:eastAsia="Arial" w:hAnsi="Arial"/>
                <w:sz w:val="17"/>
                <w:szCs w:val="17"/>
                <w:color w:val="auto"/>
                <w:w w:val="84"/>
              </w:rPr>
              <w:t>56</w:t>
            </w:r>
          </w:p>
        </w:tc>
        <w:tc>
          <w:tcPr>
            <w:tcW w:w="5040" w:type="dxa"/>
            <w:vAlign w:val="bottom"/>
          </w:tcPr>
          <w:p>
            <w:pPr>
              <w:ind w:left="260"/>
              <w:spacing w:after="0"/>
              <w:rPr>
                <w:sz w:val="20"/>
                <w:szCs w:val="20"/>
                <w:color w:val="auto"/>
              </w:rPr>
            </w:pPr>
            <w:r>
              <w:rPr>
                <w:rFonts w:ascii="Arial" w:cs="Arial" w:eastAsia="Arial" w:hAnsi="Arial"/>
                <w:sz w:val="17"/>
                <w:szCs w:val="17"/>
                <w:color w:val="auto"/>
              </w:rPr>
              <w:t>Vice President</w:t>
            </w:r>
          </w:p>
        </w:tc>
        <w:tc>
          <w:tcPr>
            <w:tcW w:w="2080" w:type="dxa"/>
            <w:vAlign w:val="bottom"/>
          </w:tcPr>
          <w:p>
            <w:pPr>
              <w:jc w:val="center"/>
              <w:ind w:left="438"/>
              <w:spacing w:after="0"/>
              <w:rPr>
                <w:sz w:val="20"/>
                <w:szCs w:val="20"/>
                <w:color w:val="auto"/>
              </w:rPr>
            </w:pPr>
            <w:r>
              <w:rPr>
                <w:rFonts w:ascii="Arial" w:cs="Arial" w:eastAsia="Arial" w:hAnsi="Arial"/>
                <w:sz w:val="17"/>
                <w:szCs w:val="17"/>
                <w:color w:val="auto"/>
                <w:w w:val="95"/>
              </w:rPr>
              <w:t>2017</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2017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biographies follow: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James V. Continenza</w:t>
      </w:r>
    </w:p>
    <w:p>
      <w:pPr>
        <w:spacing w:after="0" w:line="123"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Jim Continenza is the Executive Chairman of Kodak, appointed to that position by the Board of Directors on February 20, 2019. Continenza joined the Board of Directors of Kodak in April 2013 and became Chairman of the Board in September 2013.</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Continenza brings robust experience and a track record guiding several leading, innovative technology companies through transformations. Since September 2012, Continenza has served as the Chairman and Chief Executive Officer of Vivial, Inc., a privately held marketing technology and communications company. He served as the President of STi Prepaid, LLC, a telecommunications company, from June 2010 to February 2011. Continenza served as Interim Chief Executive Officer of Anchor Glass Container Corp., a leading manufacturer of glass containers, from September 2006 to December 2006. He served as President and Chief Executive Officer of Teligent, Inc., which provides communications services including voice, data, and internet access, from September 2002 to June 2004, served as its Chief Operating Officer from May 2001 to September 2002, and served as its Senior Vice President of Strategic Operations from September 2000 to May 2001. From April 1999 to September 2000, he was the President and Chief Executive Officer of Lucent Technologies Product Finance, a global leader in telecom equipment, and served as its Senior Vice President of Worldwide Sales and Marketing from September 1997 to April 1999. Continenza served at AT&amp;T from 1991 until September 1997.</w:t>
      </w:r>
    </w:p>
    <w:p>
      <w:pPr>
        <w:spacing w:after="0" w:line="8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addition to his management experience, Continenza currently serves on the board of NII Holdings, Inc. (since August 2015), a provider of wireless communication services under the Nextel brand</w:t>
      </w:r>
      <w:r>
        <w:rPr>
          <w:rFonts w:ascii="Arial" w:cs="Arial" w:eastAsia="Arial" w:hAnsi="Arial"/>
          <w:sz w:val="14"/>
          <w:szCs w:val="14"/>
          <w:color w:val="auto"/>
        </w:rPr>
        <w:t>TM</w:t>
      </w:r>
      <w:r>
        <w:rPr>
          <w:rFonts w:ascii="Arial" w:cs="Arial" w:eastAsia="Arial" w:hAnsi="Arial"/>
          <w:sz w:val="17"/>
          <w:szCs w:val="17"/>
          <w:color w:val="auto"/>
        </w:rPr>
        <w:t xml:space="preserve"> in Brazil. Continenza served on the board of Tembec, Inc., a manufacturer of specialty products, acetates and ethers, from February 2008 to November 2017 and on the board of Neff Corporation, a regional equipment rental company in the United States, or its predecessor from October 2010 to October 2017. He also serves or has served on the boards of a number of private companies.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Continenza received a B.S. degree in Liberal Arts from the University of Wisconsin.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Todd R. Bigger</w:t>
      </w:r>
    </w:p>
    <w:p>
      <w:pPr>
        <w:spacing w:after="0" w:line="123"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Effective January 8, 2019, Todd Bigger is President of Kodak Software Division (formerly Unified Workflow Solutions Division), which provides print production software, automation tools and professional services that enhance workflow efficiencies for graphic arts, packaging and commercial print customers. He reports to Executive Chairman Jim Continenza.</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Bigger joined Kodak in 1996 and has held various roles in the company. Most recently, from December 2015 to January 2019, Bigger was the United States and Canada Regional Business Director &amp; Vice President Print Systems Division. From April 2011 to December 2015, he was Worldwide Director of Product Management, Print Systems Division, and from December 2009 to April 2011 he was Worldwide Plate Operations Director, Print Systems Division. The Board of Directors elected Bigger a corporate vice president in January 2019.</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Bigger received a B.S. degree in Printing Management from Rochester Institute of Technology.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E. Bullwinkle</w:t>
      </w:r>
    </w:p>
    <w:p>
      <w:pPr>
        <w:spacing w:after="0" w:line="1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Dave Bullwinkle is the Chief Financial Officer and Senior Vice President of Kodak. The Board of Directors elected Bullwinkle to this position effective July 2016. Effective November 6, 2018, Bullwinkle is President of the Eastman Business Park Division. Bullwinkle is responsible for advancing the growth strategy for Eastman Business Park and leading Kodak’s worldwide finance, corporate development, internal audit and purchasing teams. Bullwinkle reports to Executive Chairman Jim Continenza.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23" w:name="page24"/>
    <w:bookmarkEnd w:id="23"/>
    <w:p>
      <w:pPr>
        <w:ind w:right="140"/>
        <w:spacing w:after="0" w:line="271" w:lineRule="auto"/>
        <w:rPr>
          <w:sz w:val="20"/>
          <w:szCs w:val="20"/>
          <w:color w:val="auto"/>
        </w:rPr>
      </w:pPr>
      <w:r>
        <w:rPr>
          <w:rFonts w:ascii="Arial" w:cs="Arial" w:eastAsia="Arial" w:hAnsi="Arial"/>
          <w:sz w:val="17"/>
          <w:szCs w:val="17"/>
          <w:color w:val="auto"/>
        </w:rPr>
        <w:t>Bullwinkle joined Kodak in 2004 and has worked in several financial management roles at the company including Worldwide BU Controller, Assistant Corporate Controller and External Reporting Manager. He served as the Director of Corporate Financial Planning and Analysis and Vice President, Finance at Kodak from November 2010 to June 2016, and Director of Investor Relations from August 2013 to June 2016.</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Prior to joining Kodak, Bullwinkle worked as the Manager of Financial Reporting at Birds Eye Foods, Inc. and previously at PricewaterhouseCoopers from 1996 to 2002 in various roles including serving as an Assurance Manager.</w:t>
      </w:r>
    </w:p>
    <w:p>
      <w:pPr>
        <w:spacing w:after="0" w:line="54"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Bullwinkle has an MBA from St. John Fisher College and Bachelor of Science in Accounting degree from SUNY Geneseo. Bullwinkle is also a Certified Public Accountant in the State of New York.</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Roger W. Byrd</w:t>
      </w:r>
    </w:p>
    <w:p>
      <w:pPr>
        <w:spacing w:after="0" w:line="123" w:lineRule="exact"/>
        <w:rPr>
          <w:sz w:val="20"/>
          <w:szCs w:val="20"/>
          <w:color w:val="auto"/>
        </w:rPr>
      </w:pPr>
    </w:p>
    <w:p>
      <w:pPr>
        <w:ind w:right="300"/>
        <w:spacing w:after="0" w:line="320" w:lineRule="auto"/>
        <w:rPr>
          <w:sz w:val="20"/>
          <w:szCs w:val="20"/>
          <w:color w:val="auto"/>
        </w:rPr>
      </w:pPr>
      <w:r>
        <w:rPr>
          <w:rFonts w:ascii="Arial" w:cs="Arial" w:eastAsia="Arial" w:hAnsi="Arial"/>
          <w:sz w:val="16"/>
          <w:szCs w:val="16"/>
          <w:color w:val="auto"/>
        </w:rPr>
        <w:t>Roger Byrd was appointed General Counsel, Secretary and Senior Vice President of Kodak in January 2019. He is responsible for leading the company's global legal function and for providing legal guidance to senior leadership and the Board of Directors. Byrd reports to Executive Chairman Jim Continenza.</w:t>
      </w:r>
    </w:p>
    <w:p>
      <w:pPr>
        <w:spacing w:after="0" w:line="3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Byrd joined Kodak in 2014 as Assistant General Counsel and Vice President, Legal Department and while at Kodak has focused on M&amp;A and financing transactions, joint ventures, and other strategic initiatives. Byrd has also been active in providing credit agreement compliance, securities reporting and corporate governance support to the Company. The Board of Directors elected him to Senior Vice President and Secretary in January 2019.</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Prior to joining Kodak, Byrd was a Partner at Nixon Peabody LLP. During his 23-year career at Nixon Peabody, he represented a broad range of clients in connection a variety of M&amp;A, financing and other corporate transactions. Byrd also served as General Counsel at Choice One Communications, Inc. from 2005 – 2006, a competitive local exchange carrier.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Byrd received a B.S. degree in accounting from Bob Jones University and a J.D. from Duke University School of Law.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Eric-Yves Mahe</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January 8, 2019, Mahe is President of Brand, Film &amp; Imaging Division, a newly formed division combining the former Software and Solutions Division’s Kodak Technology Solutions, Kodak Services for Business and KODAKIT with the Consumer Products, Brand Licensing, and Motion Picture and Industry Film and Chemicals businesses. He reports to Executive Chairman Jim Continenza.</w:t>
      </w:r>
    </w:p>
    <w:p>
      <w:pPr>
        <w:spacing w:after="0" w:line="6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June 11, 2018 to January 8, 2019 Mahe was President of the Consumer and Film Division, leading Kodak’s most consumer-facing division, with responsibility for motion picture and commercial films, synthetic chemicals, and consumer products, including products from Kodak brand licensees. This division was responsible for the exploration of other potential initiatives in the consumer space.</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From January 1, 2015 to January 8, 2019, Mahe was President of Software and Solutions, which served existing and future workflow software customers with software to manage digital and conventional print content from creation to output, as well as serving enterprise customers primarily in the government and financial services sectors with managed media services to assist with printing requirements and document management services, including the capture, archiving, retrieval and delivery of documents. The division also contained Kodakit, which is a platform that connects businesses with professional photographers to cater to their photography needs.</w:t>
      </w:r>
    </w:p>
    <w:p>
      <w:pPr>
        <w:spacing w:after="0" w:line="7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Beginning April 2014, Mahe was Senior Vice President Kodak Technology Solutions, Sales Strategy and Sales Operations. In that capacity, Mahe was responsible for formulating a strategy to drive and measure sales of Kodak’s unique and innovative portfolio of hardware, consumables, software and services. Mahe also advised Kodak’s senior management team on software, OEM partnerships and the sale of complex solutions. In April 2014, the Board of Directors elected Mahe a senior vice president.</w:t>
      </w:r>
    </w:p>
    <w:p>
      <w:pPr>
        <w:spacing w:after="0" w:line="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Mahe has more than 25 years of experience in the IT industry with several multinational companies. Prior to joining Kodak, he was based in Singapore with Pitney Bowes Inc., most recently as President, Global Growth Markets, with responsibility for the company’s operations in Latin America, Asia Pacific, Middle East, Africa and emerging markets, from July 2010 until March 2014. Mahe managed this innovation-centered business from inception, and in two years, it became Pitney Bowes’s best performing operation worldwide. Mahe joined Pitney Bowes in 2007 as President, Asia Pacific, Middle East and Africa.</w:t>
      </w:r>
    </w:p>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Previously, Mahe was Vice President and General Manager of Asia North for CA, Inc. (now called CA Technologies), with responsibility for business operations and enterprise sales in China, Hong Kong and Taiwan. He also has held sales management positions with Sun Microsystems, where he focused on OEM partnerships, Siemens Nixdorf and Xerox.</w:t>
      </w:r>
    </w:p>
    <w:p>
      <w:pPr>
        <w:spacing w:after="0" w:line="68" w:lineRule="exact"/>
        <w:rPr>
          <w:sz w:val="20"/>
          <w:szCs w:val="20"/>
          <w:color w:val="auto"/>
        </w:rPr>
      </w:pPr>
    </w:p>
    <w:p>
      <w:pPr>
        <w:ind w:right="600"/>
        <w:spacing w:after="0" w:line="384" w:lineRule="auto"/>
        <w:rPr>
          <w:sz w:val="20"/>
          <w:szCs w:val="20"/>
          <w:color w:val="auto"/>
        </w:rPr>
      </w:pPr>
      <w:r>
        <w:rPr>
          <w:rFonts w:ascii="Arial" w:cs="Arial" w:eastAsia="Arial" w:hAnsi="Arial"/>
          <w:sz w:val="17"/>
          <w:szCs w:val="17"/>
          <w:color w:val="auto"/>
        </w:rPr>
        <w:t xml:space="preserve">Mahe earned his MBA in Marketing and International Trade from Ecole Superieure de Commerce et d’Administration des Enterprises in Bretagne, France. </w:t>
      </w:r>
      <w:r>
        <w:rPr>
          <w:rFonts w:ascii="Arial" w:cs="Arial" w:eastAsia="Arial" w:hAnsi="Arial"/>
          <w:sz w:val="17"/>
          <w:szCs w:val="17"/>
          <w:b w:val="1"/>
          <w:bCs w:val="1"/>
          <w:color w:val="auto"/>
        </w:rPr>
        <w:t>John O’Grady</w:t>
      </w:r>
    </w:p>
    <w:p>
      <w:pPr>
        <w:ind w:right="520"/>
        <w:spacing w:after="0" w:line="271" w:lineRule="auto"/>
        <w:rPr>
          <w:sz w:val="20"/>
          <w:szCs w:val="20"/>
          <w:color w:val="auto"/>
        </w:rPr>
      </w:pPr>
      <w:r>
        <w:rPr>
          <w:rFonts w:ascii="Arial" w:cs="Arial" w:eastAsia="Arial" w:hAnsi="Arial"/>
          <w:sz w:val="17"/>
          <w:szCs w:val="17"/>
          <w:color w:val="auto"/>
        </w:rPr>
        <w:t>Effective April 24, 2018, John O’Grady is President, Print Systems Division, which serves graphic arts and commercial print customers with printing plates, computer to plate imaging solutions, electrophotographic printing solutions, OEM toner, and equipment services. He reports to Executive Chairman Jim Continenza.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231" w:right="259" w:bottom="1440" w:gutter="0" w:footer="0" w:header="0"/>
        </w:sectPr>
      </w:pPr>
    </w:p>
    <w:bookmarkStart w:id="24" w:name="page25"/>
    <w:bookmarkEnd w:id="24"/>
    <w:p>
      <w:pPr>
        <w:spacing w:after="0" w:line="278" w:lineRule="auto"/>
        <w:rPr>
          <w:sz w:val="20"/>
          <w:szCs w:val="20"/>
          <w:color w:val="auto"/>
        </w:rPr>
      </w:pPr>
      <w:r>
        <w:rPr>
          <w:rFonts w:ascii="Arial" w:cs="Arial" w:eastAsia="Arial" w:hAnsi="Arial"/>
          <w:sz w:val="16"/>
          <w:szCs w:val="16"/>
          <w:color w:val="auto"/>
        </w:rPr>
        <w:t>From December 1, 2017 to April 24, 2018, O’Grady was President of Consumer Imaging Division. In this role, he was responsible for motion picture and commercial films, synthetic chemicals, and consumer products, including products from Kodak brand licensees. From January 2016 to December 2017, O’Grady was General Manager, Worldwide Sales, Print Systems Division, responsible for managing the sales, service and regional marketing for the Print Systems Division on a worldwide basis in addition to the go-to-market back office operations for Kodak. From January 2015 to December 2015, O’Grady was Managing Director of the Europe, United States and Canada, Australia and New Zealand (EUCAN) Region. From December 2010 to December 2014, he was Managing Director, U.S. &amp; Canada Region. From December 2008 to December 2010, O’Grady was Regional Managing Director, Europe, Africa and Middle East Region (EAMER) and Chairman Eastman Kodak Sàrl, and from May 2007 to December 2008, he was Managing Director, EAMER, Consumer Businesses. The Board of Directors elected him a corporate vice president in March 2007, and a senior vice president in August 2016.</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O’Grady joined Kodak in 1997 and has held key business development and regional management positions in Kodak’s digital imaging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Prior to joining Kodak, O’Grady had a 12-year career at Verbatim.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O’Grady graduated from the University of Limerick in Ireland with a B.S. degree in Electronics.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Christopher J. Payne</w:t>
      </w:r>
    </w:p>
    <w:p>
      <w:pPr>
        <w:spacing w:after="0" w:line="123" w:lineRule="exact"/>
        <w:rPr>
          <w:sz w:val="20"/>
          <w:szCs w:val="20"/>
          <w:color w:val="auto"/>
        </w:rPr>
      </w:pPr>
    </w:p>
    <w:p>
      <w:pPr>
        <w:ind w:right="380"/>
        <w:spacing w:after="0" w:line="320" w:lineRule="auto"/>
        <w:rPr>
          <w:sz w:val="20"/>
          <w:szCs w:val="20"/>
          <w:color w:val="auto"/>
        </w:rPr>
      </w:pPr>
      <w:r>
        <w:rPr>
          <w:rFonts w:ascii="Arial" w:cs="Arial" w:eastAsia="Arial" w:hAnsi="Arial"/>
          <w:sz w:val="16"/>
          <w:szCs w:val="16"/>
          <w:color w:val="auto"/>
        </w:rPr>
        <w:t>Effective May 1, 2017, Christopher Payne is President of the Flexographic Packaging Division, which provides solutions and services for the Flexo Packaging industry that drive differentiation across the value chain from brand owners to printers. He reports to Executive Chairman Jim Continenza.</w:t>
      </w:r>
    </w:p>
    <w:p>
      <w:pPr>
        <w:spacing w:after="0" w:line="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From January 2015 to May 2017, Payne was General Manager of the Flexographic Packaging Solutions business. From May 2009 through December 2014, he was the Director and Vice President, Marketing, Commercial Imaging Business, responsible for marketing and strategic planning for Kodak’s print businesses, and from April 1999 to April 2009, he held senior marketing roles in Kodak’s Graphic Communication Group and at NexPress Solutions LLC, which at the time was a joint venture between Kodak and Heidelberg. The Board of Directors elected Payne a vice president effective May 1, 2017.</w:t>
      </w:r>
    </w:p>
    <w:p>
      <w:pPr>
        <w:spacing w:after="0" w:line="5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Prior to joining Kodak, Payne served as Director of Marketing at Xeikon N.V. and Vice President of Marketing for Xeikon North America Inc. Earlier in his career, he was employed by prepress equipment manufacturer Crosfield Electronics Ltd.</w:t>
      </w:r>
    </w:p>
    <w:p>
      <w:pPr>
        <w:spacing w:after="0" w:line="54"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Payne has been a full member of the Chartered Institute of Marketing (UK) since 1995 and is a past chair of The Association for Print Technologies (formerly known as NPES), a trade association supporting the commercial printing value chain.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Payne graduated from Napier College, Edinburgh, where he studied printing, administration and production.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 H. Samuels</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Eric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 Samuels reports to Chief Financial Officer David Bullwinkle.</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5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Terry R. Taber, PhD</w:t>
      </w:r>
    </w:p>
    <w:p>
      <w:pPr>
        <w:spacing w:after="0" w:line="1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Terry Taber has served as Kodak’s Chief Technical Officer since January 2009. Effective May 1, 2017, he was named President of the Advanced Materials and 3D Printing Technology Division which contains the research laboratories and includes licensing as well as new business development activities related to Kodak’s patents and proprietary technology, and focuses on opportunities in smart material applications, printed electronics markets and 3D printing materials. Taber reports to Executive Chairman Jim Continenza.</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From January 1, 2015 to May 1, 2017, Taber was President of the Intellectual Property Solutions Division. From January 2007 to December 2008 he was the Chief Operating Officer of Kodak’s Image Sensor Solutions (“ISS”) business, a leading developer of advanced CCD and CMOS sensors serving imaging and industrial markets, and prior to Terry’s role with ISS, he held a series of senior positions in Kodak’s research and development and product organizations. The Board of Directors elected Taber a vice president in December 2008 and a senior vice president in December 2010.</w:t>
      </w:r>
    </w:p>
    <w:p>
      <w:pPr>
        <w:spacing w:after="0" w:line="72"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During his more than 35 years at Kodak, Taber has been involved in new materials research, product development and commercialization, manufacturing, and executive positions in R&amp;D and business management. 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25" w:name="page26"/>
    <w:bookmarkEnd w:id="25"/>
    <w:p>
      <w:pPr>
        <w:spacing w:after="0" w:line="263" w:lineRule="auto"/>
        <w:rPr>
          <w:sz w:val="20"/>
          <w:szCs w:val="20"/>
          <w:color w:val="auto"/>
        </w:rPr>
      </w:pPr>
      <w:r>
        <w:rPr>
          <w:rFonts w:ascii="Arial" w:cs="Arial" w:eastAsia="Arial" w:hAnsi="Arial"/>
          <w:sz w:val="17"/>
          <w:szCs w:val="17"/>
          <w:color w:val="auto"/>
        </w:rPr>
        <w:t>Taber received a B.S. degree in Chemistry from Purdue University and a Ph.D. in Organic Chemistry from the California Institute of Technology. He also received an M.S. in General Management from MIT as a Kodak Sloan Fellow. In past board service, he was a founding Board Member of the Innovation &amp; Material Sciences Institute and served on the Executive Advisory Board of FIRST Rochester (For Inspiration and Recognition of Science and Technology). Taber currently serves on the George Eastman Museum Board, effective June 2018. He also serves on the Executive Committee of the Greater Rochester Chamber of Commerce and on the Board of Trustees for Roberts Wesleyan College and Northeastern Seminary.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Randy D. Vandagriff</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Effective May 1, 2017, Randy D. Vandagriff is President, Enterprise Inkjet Systems Division, responsible for delivering commercial inkjet technology, printers and solutions to the market. He reports to Executive Chairman Jim Continenza.</w:t>
      </w:r>
    </w:p>
    <w:p>
      <w:pPr>
        <w:spacing w:after="0" w:line="54"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Vandagriff has spent his 37-year career innovating inkjet technology for the printing market. From January 2004 to August 2012, Vandagriff was Vice President, Research and Development for Kodak Versamark, responsible for leading a worldwide R&amp;D organization responsible for developing four generations of inkjet technologies and delivering industry-leading performance, including Kodak Stream and ULTRASTREAM inkjet technologies. From January 2015 to May 2017, Vandagriff led the Kodak Creo Server business located in Tel Aviv, Israel. The Board of Directors elected him a vice president effective May 1, 2017.</w:t>
      </w:r>
    </w:p>
    <w:p>
      <w:pPr>
        <w:spacing w:after="0" w:line="42"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In addition to his strong product development capabilities, Vandagriff has traveled internationally, working with key Kodak customers to successfully implement commercial inkjet into their production processes. His respected knowledge, broad background, and deep industry network has contributed to making Kodak the world’s leader in high volume variable printing solutions.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Vandagriff holds an MBA degree from the University of Phoenix and a Bachelor of Science in Mechanical Engineering from Wright State University.</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PART II</w:t>
      </w:r>
    </w:p>
    <w:p>
      <w:pPr>
        <w:spacing w:after="0" w:line="222" w:lineRule="exact"/>
        <w:rPr>
          <w:sz w:val="20"/>
          <w:szCs w:val="20"/>
          <w:color w:val="auto"/>
        </w:rPr>
      </w:pPr>
    </w:p>
    <w:p>
      <w:pPr>
        <w:ind w:left="1040" w:right="500" w:hanging="1029"/>
        <w:spacing w:after="0" w:line="294" w:lineRule="auto"/>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49" w:lineRule="exact"/>
        <w:rPr>
          <w:sz w:val="20"/>
          <w:szCs w:val="20"/>
          <w:color w:val="auto"/>
        </w:rPr>
      </w:pPr>
    </w:p>
    <w:p>
      <w:pPr>
        <w:ind w:right="300"/>
        <w:spacing w:after="0" w:line="320" w:lineRule="auto"/>
        <w:rPr>
          <w:sz w:val="20"/>
          <w:szCs w:val="20"/>
          <w:color w:val="auto"/>
        </w:rPr>
      </w:pPr>
      <w:r>
        <w:rPr>
          <w:rFonts w:ascii="Arial" w:cs="Arial" w:eastAsia="Arial" w:hAnsi="Arial"/>
          <w:sz w:val="16"/>
          <w:szCs w:val="16"/>
          <w:color w:val="auto"/>
        </w:rPr>
        <w:t>The Company’s common stock is listed on the New York Stock Exchange (NYSE) under the symbol “KODK” and has been trading since September 23, 2013, following emergence from bankruptcy on September 3, 2013 after confirmation of the revised First Amended Joint Chapter 11 Plan of Reorganization.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There were 2,630 shareholders of record of common stock on December 31, 2018.</w:t>
      </w:r>
    </w:p>
    <w:p>
      <w:pPr>
        <w:spacing w:after="0" w:line="248"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 dividends on common stock were declared or paid during 2018 or 2017.</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Dividends for common shareholders may be restricted under Kodak’s Credit Agreements and the Series A Preferred Stock Agreement. Refer to Note 9, “Debt and Capital Leases,” and Note 10, “Redeemable, Convertible Series A Preferred Stock” in the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60"/>
          </w:cols>
          <w:pgMar w:left="240" w:top="231" w:right="29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ISSUER PURCHASES OF EQUITY SECURITIES DURING THE QUARTER ENDED DECEMBER 31, 2018 (1)</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Total Number</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Total Number of Shares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That May</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Purchased as Part of</w:t>
            </w:r>
          </w:p>
        </w:tc>
        <w:tc>
          <w:tcPr>
            <w:tcW w:w="14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Be Purchased</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5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4"/>
              </w:rPr>
              <w:t>of Shares</w:t>
            </w: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Price Paid</w:t>
            </w:r>
          </w:p>
        </w:tc>
        <w:tc>
          <w:tcPr>
            <w:tcW w:w="200" w:type="dxa"/>
            <w:vAlign w:val="bottom"/>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Publicly Announced Plans</w:t>
            </w:r>
          </w:p>
        </w:tc>
        <w:tc>
          <w:tcPr>
            <w:tcW w:w="14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under the Plans or</w:t>
            </w:r>
          </w:p>
        </w:tc>
        <w:tc>
          <w:tcPr>
            <w:tcW w:w="0" w:type="dxa"/>
            <w:vAlign w:val="bottom"/>
          </w:tcPr>
          <w:p>
            <w:pPr>
              <w:spacing w:after="0"/>
              <w:rPr>
                <w:sz w:val="1"/>
                <w:szCs w:val="1"/>
                <w:color w:val="auto"/>
              </w:rPr>
            </w:pPr>
          </w:p>
        </w:tc>
      </w:tr>
      <w:tr>
        <w:trPr>
          <w:trHeight w:val="166"/>
        </w:trPr>
        <w:tc>
          <w:tcPr>
            <w:tcW w:w="420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20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Share</w:t>
            </w:r>
          </w:p>
        </w:tc>
        <w:tc>
          <w:tcPr>
            <w:tcW w:w="20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or Programs </w:t>
            </w:r>
            <w:r>
              <w:rPr>
                <w:rFonts w:ascii="Arial" w:cs="Arial" w:eastAsia="Arial" w:hAnsi="Arial"/>
                <w:sz w:val="11"/>
                <w:szCs w:val="11"/>
                <w:b w:val="1"/>
                <w:bCs w:val="1"/>
                <w:color w:val="auto"/>
                <w:w w:val="91"/>
              </w:rPr>
              <w:t>(2)</w:t>
            </w:r>
          </w:p>
        </w:tc>
        <w:tc>
          <w:tcPr>
            <w:tcW w:w="10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October 1 through 31, 2018</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7,332</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w:t>
            </w: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4"/>
              </w:rPr>
              <w:t>n/a</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7"/>
                <w:szCs w:val="17"/>
                <w:color w:val="auto"/>
              </w:rPr>
              <w:t>November 1 through 30, 2018</w:t>
            </w:r>
          </w:p>
        </w:tc>
        <w:tc>
          <w:tcPr>
            <w:tcW w:w="1300" w:type="dxa"/>
            <w:vAlign w:val="bottom"/>
          </w:tcPr>
          <w:p>
            <w:pPr>
              <w:jc w:val="right"/>
              <w:spacing w:after="0"/>
              <w:rPr>
                <w:sz w:val="20"/>
                <w:szCs w:val="20"/>
                <w:color w:val="auto"/>
              </w:rPr>
            </w:pPr>
            <w:r>
              <w:rPr>
                <w:rFonts w:ascii="Arial" w:cs="Arial" w:eastAsia="Arial" w:hAnsi="Arial"/>
                <w:sz w:val="17"/>
                <w:szCs w:val="17"/>
                <w:color w:val="auto"/>
              </w:rPr>
              <w:t>1,031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3.95</w:t>
            </w:r>
          </w:p>
        </w:tc>
        <w:tc>
          <w:tcPr>
            <w:tcW w:w="20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n/a</w:t>
            </w:r>
          </w:p>
        </w:tc>
        <w:tc>
          <w:tcPr>
            <w:tcW w:w="1420" w:type="dxa"/>
            <w:vAlign w:val="bottom"/>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December 1 through 31, 2018</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15,629</w:t>
            </w:r>
          </w:p>
        </w:tc>
        <w:tc>
          <w:tcPr>
            <w:tcW w:w="20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2.86</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4"/>
              </w:rPr>
              <w:t>n/a</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7"/>
                <w:szCs w:val="17"/>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23,992</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These purchases were made to satisfy tax withholding obligations in connection with the vesting of restricted stock units issued to employees.</w:t>
      </w:r>
    </w:p>
    <w:p>
      <w:pPr>
        <w:spacing w:after="0" w:line="128" w:lineRule="exact"/>
        <w:rPr>
          <w:rFonts w:ascii="Arial" w:cs="Arial" w:eastAsia="Arial" w:hAnsi="Arial"/>
          <w:sz w:val="14"/>
          <w:szCs w:val="14"/>
          <w:color w:val="auto"/>
        </w:rPr>
      </w:pPr>
    </w:p>
    <w:p>
      <w:pPr>
        <w:ind w:left="760" w:hanging="378"/>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7"/>
          <w:szCs w:val="17"/>
          <w:color w:val="auto"/>
        </w:rPr>
        <w:t>Kodak does not currently have a publicly announced repurchase plan or program.</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Kodak is a smaller reporting company as defined by Rule 12b-2 of the Exchange Act and is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results of operations and financial condition of Kodak for the years ended December 31, 2018 and 2017. All references to Notes relate to Notes to the Financial Statements in Item 8. “Financial Statements and Supplementary Data.”</w:t>
      </w:r>
    </w:p>
    <w:p>
      <w:pPr>
        <w:spacing w:after="0" w:line="166" w:lineRule="exact"/>
        <w:rPr>
          <w:sz w:val="20"/>
          <w:szCs w:val="20"/>
          <w:color w:val="auto"/>
        </w:rPr>
      </w:pPr>
    </w:p>
    <w:p>
      <w:pPr>
        <w:ind w:right="20"/>
        <w:spacing w:after="0" w:line="422" w:lineRule="auto"/>
        <w:rPr>
          <w:sz w:val="20"/>
          <w:szCs w:val="20"/>
          <w:color w:val="auto"/>
        </w:rPr>
      </w:pPr>
      <w:r>
        <w:rPr>
          <w:rFonts w:ascii="Arial" w:cs="Arial" w:eastAsia="Arial" w:hAnsi="Arial"/>
          <w:sz w:val="17"/>
          <w:szCs w:val="17"/>
          <w:b w:val="1"/>
          <w:bCs w:val="1"/>
          <w:color w:val="auto"/>
        </w:rPr>
        <w:t xml:space="preserve">CAUTIONARY STATEMENT PURSUANT TO SAFE HARBOR PROVISIONS OF THE PRIVATE SECURITIES LITIGATION REFORM ACT OF 1995 </w:t>
      </w:r>
      <w:r>
        <w:rPr>
          <w:rFonts w:ascii="Arial" w:cs="Arial" w:eastAsia="Arial" w:hAnsi="Arial"/>
          <w:sz w:val="17"/>
          <w:szCs w:val="17"/>
          <w:color w:val="auto"/>
        </w:rPr>
        <w:t>This report on Form 10-K includes "forward–looking statements" as that term is defined under the Private Securities Litigation Reform Act of 1995.</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81" w:lineRule="exact"/>
        <w:rPr>
          <w:sz w:val="20"/>
          <w:szCs w:val="20"/>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cash flow, profitability and other financial results;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achieve cash forecasts, financial projections, and projected growth;</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various credit facilities;</w:t>
      </w:r>
    </w:p>
    <w:p>
      <w:pPr>
        <w:spacing w:after="0" w:line="117" w:lineRule="exact"/>
        <w:rPr>
          <w:rFonts w:ascii="Arial" w:cs="Arial" w:eastAsia="Arial" w:hAnsi="Arial"/>
          <w:sz w:val="17"/>
          <w:szCs w:val="17"/>
          <w:color w:val="auto"/>
        </w:rPr>
      </w:pPr>
    </w:p>
    <w:p>
      <w:pPr>
        <w:jc w:val="both"/>
        <w:ind w:left="1020" w:right="460" w:hanging="507"/>
        <w:spacing w:after="0" w:line="27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repay, refinance or extend the maturity of the loans under the existing Term Credit Agreement prior to their maturity date of September 3, 2019 or prior to June 5, 2019, the date on which the ABL Credit Agreement will terminate unless such repayment, refinancing or extension has occurred, or the ABL Credit Agreement has been amended;</w:t>
      </w:r>
    </w:p>
    <w:p>
      <w:pPr>
        <w:spacing w:after="0" w:line="67" w:lineRule="exact"/>
        <w:rPr>
          <w:rFonts w:ascii="Arial" w:cs="Arial" w:eastAsia="Arial" w:hAnsi="Arial"/>
          <w:sz w:val="17"/>
          <w:szCs w:val="17"/>
          <w:color w:val="auto"/>
        </w:rPr>
      </w:pPr>
    </w:p>
    <w:p>
      <w:pPr>
        <w:ind w:left="1020" w:right="500" w:hanging="507"/>
        <w:spacing w:after="0" w:line="287"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consummate the sale of its Flexographic Packaging segment when expected and to discontinue, sell or spin-off certain other businesses or operations or otherwise monetize other assets;</w:t>
      </w:r>
    </w:p>
    <w:p>
      <w:pPr>
        <w:spacing w:after="0" w:line="53"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28" w:lineRule="exact"/>
        <w:rPr>
          <w:rFonts w:ascii="Arial" w:cs="Arial" w:eastAsia="Arial" w:hAnsi="Arial"/>
          <w:sz w:val="16"/>
          <w:szCs w:val="16"/>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effectively anticipate technology trends and develop and market new products, solutions and technologies;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Kodak’s ability to effectively compete with large, well-financed industry participants;</w:t>
      </w:r>
    </w:p>
    <w:p>
      <w:pPr>
        <w:spacing w:after="0" w:line="117" w:lineRule="exact"/>
        <w:rPr>
          <w:rFonts w:ascii="Arial" w:cs="Arial" w:eastAsia="Arial" w:hAnsi="Arial"/>
          <w:sz w:val="17"/>
          <w:szCs w:val="17"/>
          <w:color w:val="auto"/>
        </w:rPr>
      </w:pPr>
    </w:p>
    <w:p>
      <w:pPr>
        <w:ind w:left="1020" w:right="120" w:hanging="507"/>
        <w:spacing w:after="0" w:line="287"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53"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performance by third parties of their obligations to supply products, components or services to Kodak; and</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the global economic environment on Kodak.</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film-based products), equipment, software, services, integrated solutions, and intellectual property and brand licensing. Complex arrangements with nonstandard terms and conditions may require significant contract interpretation to determine the appropriate accounting, including the allocation of transaction price to the various performance obligations and determination of the stand-alone selling price of each performance obligation.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the time revenue is recognized, Kodak also records reductions to revenue for customer incentive programs. Such incentive programs include cash and volume discounts and promotional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 Future market conditions and product transitions may require Kodak to take actions to increase customer incentive offers, possibly resulting in an incremental reduction of revenue at the time the incentive is offered.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and Useful Lives of Long-Lived Assets, Including Goodwill and Intangible Assets</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Kodak performs a test for goodwill impairment annually and whenever events or changes in circumstances occur that would more likely than not reduce the fair value of the reporting unit below its carrying amount.</w:t>
      </w:r>
    </w:p>
    <w:p>
      <w:pPr>
        <w:spacing w:after="0" w:line="54" w:lineRule="exact"/>
        <w:rPr>
          <w:sz w:val="20"/>
          <w:szCs w:val="20"/>
          <w:color w:val="auto"/>
        </w:rPr>
      </w:pPr>
    </w:p>
    <w:p>
      <w:pPr>
        <w:ind w:right="200"/>
        <w:spacing w:after="0" w:line="320" w:lineRule="auto"/>
        <w:rPr>
          <w:sz w:val="20"/>
          <w:szCs w:val="20"/>
          <w:color w:val="auto"/>
        </w:rPr>
      </w:pPr>
      <w:r>
        <w:rPr>
          <w:rFonts w:ascii="Arial" w:cs="Arial" w:eastAsia="Arial" w:hAnsi="Arial"/>
          <w:sz w:val="16"/>
          <w:szCs w:val="16"/>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w:t>
      </w:r>
    </w:p>
    <w:p>
      <w:pPr>
        <w:spacing w:after="0" w:line="3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Print Systems segment has two goodwill reporting units: Prepress Solutions and Electrophotographic Printing Solutions. The Software and Solutions segment has two goodwill reporting units: Kodak Technology Solutions and Unified Workflow Solutions. The Consumer and Film segment has two goodwill reporting units, Motion Picture, Industrial Chemicals and Films and Consumer Products. The Enterprise Inkjet Systems segment, Advanced Materials and 3D Printing segment and Eastman Business Park segment all have one goodwill reporting unit. As of December 31, 2018, goodwill is recorded in the Unified Workflow Solutions and Consumer Products reporting units. Goodwill is also recorded in the Flexographic Packaging business and is reported in Current assets held for sale in the Consolidated Statement of Financial Position.</w:t>
      </w:r>
    </w:p>
    <w:p>
      <w:pPr>
        <w:spacing w:after="0" w:line="20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Kodak early adopted Accounting Standards Update (“ASU”) 2017-04, Intangibles – Goodwill and Other (Topic 350): Simplifying the Accounting for Goodwill Impairment effective January 1, 2017 which requires entities to calculate a goodwill impairment as the amount by which a reporting unit’s carrying value exceeds its fair value, not to exceed the carrying amount of goodwill.</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 performed a quantitative test of impairment for all reporting units for its annual goodwill impairment test as of December 31, 2018. Kodak utilized the discounted cash flow method and guideline public company method to estimate the fair value of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9" w:name="page30"/>
    <w:bookmarkEnd w:id="29"/>
    <w:p>
      <w:pPr>
        <w:ind w:right="60"/>
        <w:spacing w:after="0" w:line="281"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January 1, 2019 to December 31, 2023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13% to 55% were utilized in the valuation based on Kodak’s best estimates of the after-tax weighted-average cost of capital of each reporting unit.</w:t>
      </w:r>
    </w:p>
    <w:p>
      <w:pPr>
        <w:spacing w:after="0" w:line="6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 terminal value was included for all reporting units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Based upon the results of Kodak’s December 31, 2018 analysis, Kodak concluded that the fair value of the reporting units substantially exceeded their carrying values, therefore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values, or as a result of changes in operating segments or reporting units.</w:t>
      </w:r>
    </w:p>
    <w:p>
      <w:pPr>
        <w:spacing w:after="0" w:line="202"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The carrying value of the indefinite-lived intangible asset related to the Kodak trade name is evaluated for potential impairment annually or whenever events or changes in circumstances indicate that it is more likely than not that the asset is impaired.</w:t>
      </w:r>
    </w:p>
    <w:p>
      <w:pPr>
        <w:spacing w:after="0" w:line="5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Kodak performed its annual test of impairment for the Kodak trade name as of December 31, 2018. The fair value of the Kodak trade name was valued using the income approach, specifically the relief from royalty method based on the following significant assumptions: (a) forecasted revenues ranging from January 1, 2019 to December 31, 2023, including a terminal year with growth rates ranging from -2% to 2.5%; (b) after-tax royalty rates ranging from .4% to .8% of expected net sales determined with regard to comparable market transactions and profitability analysis; and (c) discount rates ranging from 17% to 32%, which were based on the after-tax weighted-average cost of capital</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Based on the results of Kodak’s December 31, 2018 assessment, the carrying value of the Kodak trade name exceeded its fair value and Kodak recorded a pre-tax impairment charge of $13 million. Impairment of the Kodak trade name could occur in the future if expected revenues decline or if there are significant changes in the discount rates or royalty rates.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7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Stock Embedded Conversion Features Derivative</w:t>
      </w:r>
    </w:p>
    <w:p>
      <w:pPr>
        <w:spacing w:after="0" w:line="11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On November 15, 2016, the Company issued 2,000,000 shares of 5.50% Series A Convertible Preferred Stock, no par value per share (the “Series A Preferred Stock”). 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The Company allocated $43 million of the net proceeds received to the derivative liability based on the aggregate fair value of the embedded conversion features on the date of issuance which reduced the original carrying value of the Series A Preferred Stock. The derivative is being accounted for at fair value with subsequent changes in the fair value being reported as part of Other (income) charges, net in the Consolidated Statement of Operations. The fair value of the derivative as of both December 31, 2018 and 2017 was an asset of $4 million and is included within Other long-term assets in the accompanying Consolidated Statement of Financial Position.</w:t>
      </w:r>
    </w:p>
    <w:p>
      <w:pPr>
        <w:spacing w:after="0" w:line="19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The fair value of the Series A Preferred Stock embedded conversion features derivative is calculated using a binomial lattice model. The following table presents the key inputs in the determination of fair value at December 31, 2018 and 2017:</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0" w:name="page31"/>
    <w:bookmarkEnd w:id="30"/>
    <w:tbl>
      <w:tblPr>
        <w:tblLayout w:type="fixed"/>
        <w:tblInd w:w="1720" w:type="dxa"/>
        <w:tblCellMar>
          <w:top w:w="0" w:type="dxa"/>
          <w:left w:w="0" w:type="dxa"/>
          <w:bottom w:w="0" w:type="dxa"/>
          <w:right w:w="0" w:type="dxa"/>
        </w:tblCellMar>
      </w:tblPr>
      <w:tr>
        <w:trPr>
          <w:trHeight w:val="180"/>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Valuation Date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68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89"/>
              </w:rPr>
              <w:t>For the Year Ended December 31,</w:t>
            </w:r>
          </w:p>
        </w:tc>
        <w:tc>
          <w:tcPr>
            <w:tcW w:w="0" w:type="dxa"/>
            <w:vAlign w:val="bottom"/>
          </w:tcPr>
          <w:p>
            <w:pPr>
              <w:spacing w:after="0"/>
              <w:rPr>
                <w:sz w:val="1"/>
                <w:szCs w:val="1"/>
                <w:color w:val="auto"/>
              </w:rPr>
            </w:pPr>
          </w:p>
        </w:tc>
      </w:tr>
      <w:tr>
        <w:trPr>
          <w:trHeight w:val="65"/>
        </w:trPr>
        <w:tc>
          <w:tcPr>
            <w:tcW w:w="4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00" w:type="dxa"/>
            <w:vAlign w:val="bottom"/>
            <w:vMerge w:val="restart"/>
          </w:tcPr>
          <w:p>
            <w:pPr>
              <w:ind w:left="240"/>
              <w:spacing w:after="0"/>
              <w:rPr>
                <w:sz w:val="20"/>
                <w:szCs w:val="20"/>
                <w:color w:val="auto"/>
              </w:rPr>
            </w:pPr>
            <w:r>
              <w:rPr>
                <w:rFonts w:ascii="Arial" w:cs="Arial" w:eastAsia="Arial" w:hAnsi="Arial"/>
                <w:sz w:val="17"/>
                <w:szCs w:val="17"/>
                <w:color w:val="auto"/>
              </w:rPr>
              <w:t>Total value of embedded derivative asset</w:t>
            </w:r>
          </w:p>
        </w:tc>
        <w:tc>
          <w:tcPr>
            <w:tcW w:w="1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vMerge w:val="continue"/>
          </w:tcPr>
          <w:p>
            <w:pPr>
              <w:spacing w:after="0"/>
              <w:rPr>
                <w:sz w:val="18"/>
                <w:szCs w:val="18"/>
                <w:color w:val="auto"/>
              </w:rPr>
            </w:pPr>
          </w:p>
        </w:tc>
        <w:tc>
          <w:tcPr>
            <w:tcW w:w="1820" w:type="dxa"/>
            <w:vAlign w:val="bottom"/>
            <w:gridSpan w:val="2"/>
          </w:tcPr>
          <w:p>
            <w:pPr>
              <w:jc w:val="right"/>
              <w:ind w:right="551"/>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Kodak's closing stock price</w:t>
            </w: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40"/>
              <w:spacing w:after="0"/>
              <w:rPr>
                <w:sz w:val="20"/>
                <w:szCs w:val="20"/>
                <w:color w:val="auto"/>
              </w:rPr>
            </w:pPr>
            <w:r>
              <w:rPr>
                <w:rFonts w:ascii="Arial" w:cs="Arial" w:eastAsia="Arial" w:hAnsi="Arial"/>
                <w:sz w:val="17"/>
                <w:szCs w:val="17"/>
                <w:color w:val="auto"/>
              </w:rPr>
              <w:t>Expected stock price volatility</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3"/>
              </w:rPr>
              <w:t>95.55%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58.22%</w:t>
            </w: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Risk free rate</w:t>
            </w: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21"/>
        </w:trPr>
        <w:tc>
          <w:tcPr>
            <w:tcW w:w="4200" w:type="dxa"/>
            <w:vAlign w:val="bottom"/>
          </w:tcPr>
          <w:p>
            <w:pPr>
              <w:ind w:left="240"/>
              <w:spacing w:after="0"/>
              <w:rPr>
                <w:sz w:val="20"/>
                <w:szCs w:val="20"/>
                <w:color w:val="auto"/>
              </w:rPr>
            </w:pPr>
            <w:r>
              <w:rPr>
                <w:rFonts w:ascii="Arial" w:cs="Arial" w:eastAsia="Arial" w:hAnsi="Arial"/>
                <w:sz w:val="17"/>
                <w:szCs w:val="17"/>
                <w:color w:val="auto"/>
              </w:rPr>
              <w:t>Yield on the preferred stock</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3"/>
              </w:rPr>
              <w:t>23.77%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22.31%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The Fundamental Change and Reorganization Conversion value exceeded the value of the embedded conversion features derivative liability at December 31, 2018 and 2017 resulting in the derivative being reported as an asset.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w:t>
      </w:r>
    </w:p>
    <w:p>
      <w:pPr>
        <w:spacing w:after="0" w:line="248"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2018, Kodak has net deferred tax assets before valuation allowances of approximately $999 million and a valuation allowance related to those net deferred tax assets of approximately $853 million, resulting in net deferred tax assets of approximately $146 million. The net deferred tax assets can be used to offset taxable income in future periods and reduce Kodak’s income tax payable in those future periods. At this time, it is considered more likely than not that taxable income in the future will be sufficient to allow realization of these net deferred tax assets. However, if Kodak is unable to generate sufficient taxable income, then a valuation allowance to reduce net deferred tax assets may be required, which could materially increase expenses in the period the valuation allowance is recognized. Conversely, if Kodak were to make a determination that it is more likely than not that deferred tax assets, for which there is currently a valuation allowance, would be realized, the related valuation allowance would be reduced and a benefit to earnings would be recorded. Kodak considers both positive and negative evidence, in determining whether a valuation allowance is needed by territory, including, but not limited to, whether particular entities are in three-year cumulative income positions. During 2018 and 2017, Kodak determined that it was more likely than not that a portion of the deferred tax assets outside the U.S. would be realized as a result of increased profits in locations outside the U.S. and accordingly recorded a benefit of $4 million and $101 million, respectively, associated with the release of a valuation allowance on those deferred tax assets. Additionally, during 2018, Kodak determined that it was more likely than not that a portion of the deferred tax assets outside the U.S. would not be realized due to reduced sales volumes in a location outside the U.S. and accordingly recorded a provision of $15 million associated with the establishment of a valuation allowance on those deferred tax assets. During 2017, Kodak determined that it was more likely than not that a portion of the deferred tax assets outside the U.S. would not be realized due to reduced manufacturing volumes negatively impacting profitability in a location outside the U.S. and accordingly, recorded a provision of $7 million associated with the establishment of a valuation allowance on those deferred tax assets.</w:t>
      </w:r>
    </w:p>
    <w:p>
      <w:pPr>
        <w:spacing w:after="0" w:line="39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Kodak may be able to make the determination that the realization of deferred tax assets in certain foreign jurisdictions are more likely than not in the future. Kodak will continue to evaluate whether valuation allowances are needed, at a jurisdictional level, in future reporting periods. 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20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Utilization of post-emergence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three-year testing period. The Company has a relatively high concentration of five percent stockholders. There have been reported transactions within the testing period that, combined with future transactions, could aggregate an ownership change during the testing period in excess of 50 percentage points. A Section 382 ownership change would significantly impair Kodak’s ability to utilize NOLs and tax credits in the U.S. As of December 31, 2018, Kodak had available U.S. NOL carry-forwards for income tax purposes of approximately $804 million and unused foreign tax credits of $357 million. Any impairment of these tax attributes would be fully offset by a corresponding decrease in Kodak’s U.S. valuation allowance, which would result in no net tax provision.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95" w:right="239" w:bottom="1440" w:gutter="0" w:footer="0" w:header="0"/>
        </w:sectPr>
      </w:pPr>
    </w:p>
    <w:bookmarkStart w:id="31" w:name="page32"/>
    <w:bookmarkEnd w:id="31"/>
    <w:p>
      <w:pPr>
        <w:spacing w:after="0" w:line="278" w:lineRule="auto"/>
        <w:rPr>
          <w:sz w:val="20"/>
          <w:szCs w:val="20"/>
          <w:color w:val="auto"/>
        </w:rPr>
      </w:pPr>
      <w:r>
        <w:rPr>
          <w:rFonts w:ascii="Arial" w:cs="Arial" w:eastAsia="Arial" w:hAnsi="Arial"/>
          <w:sz w:val="16"/>
          <w:szCs w:val="16"/>
          <w:color w:val="auto"/>
        </w:rPr>
        <w:t>On December 22, 2017, the 2017 Tax Act was signed into law. The legislation significantly changed U.S. tax law by, among other things, lowering corporate income tax rates, implementing a territorial tax system and imposing a repatriation tax on deemed repatriated earnings of foreign subsidiaries. Additionally, the SEC staff issued Staff Accounting Bulletin No. 118 (“SAB 118”) to address the application of U.S. GAAP in situations when a registrant did not have the necessary information available, prepared, or analyzed (including computations) in reasonable detail to complete the accounting for certain income tax effects of the 2017 Tax Act. Kodak recognized provisional tax impacts related to the one-time transition tax on mandatory deemed repatriation of cumulative foreign earnings and the revaluation of deferred tax assets and liabilities in its consolidated financial statements for the year ended December 31, 2017. December 22, 2018 marked the end of the measurement period for purposes of SAB 118. Kodak completed its analysis based on legislative updates relating to the 2017 Tax Act available by the end of 2018 resulting in adjustments which were fully offset by Kodak’s U.S. valuation allowance, resulting in no net tax provision or benefit.</w:t>
      </w:r>
    </w:p>
    <w:p>
      <w:pPr>
        <w:spacing w:after="0" w:line="17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Kodak has deferred tax liabilities of $22 million and $20 million for potential taxes on undistributed earnings, including foreign withholding taxes, as of December 31, 2018 and 2017, respectively.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extraordinary items,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20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Other Postretirement Benefits</w:t>
      </w:r>
    </w:p>
    <w:p>
      <w:pPr>
        <w:spacing w:after="0" w:line="11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62"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Asset and liability modeling studies are utilized by Kodak to adjust asset exposures and review a liability hedging program through the use of forward-looking correlation, risk and return estimates. Those forward-looking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seven-year horizon, and weighting the exposures by the current asset allocation. Historical inputs are utilized in the forecasting model to frame the current market environment with adjustments made based on the forward-looking view. 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5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2018, both the calculated value and the fair value of the assets of Kodak’s major U.S. and non-U.S. defined benefit pension plans were approximately $4.1 billion. Asset gains and losses that are not yet reflected in the calculated value of plan assets are not included in amortization of unrecognized gains and losses.</w:t>
      </w:r>
    </w:p>
    <w:p>
      <w:pPr>
        <w:spacing w:after="0" w:line="76"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the 2018 net pension expense for major U.S. and non-U.S. defined benefit pension plans were 6.40% and 3.98%, respectively.</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plans, the Citigroup Above Median Pension Discount Curve is used. For Kodak’s other non-U.S. plans, discount rates are determined by comparison to published local high quality bond yields or indices considering estimated plan duration and removing any outlying bonds, as warranted.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ind w:right="200"/>
        <w:spacing w:after="0" w:line="287" w:lineRule="auto"/>
        <w:rPr>
          <w:sz w:val="20"/>
          <w:szCs w:val="20"/>
          <w:color w:val="auto"/>
        </w:rPr>
      </w:pPr>
      <w:r>
        <w:rPr>
          <w:rFonts w:ascii="Arial" w:cs="Arial" w:eastAsia="Arial" w:hAnsi="Arial"/>
          <w:sz w:val="17"/>
          <w:szCs w:val="17"/>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54" w:lineRule="exact"/>
        <w:rPr>
          <w:sz w:val="20"/>
          <w:szCs w:val="20"/>
          <w:color w:val="auto"/>
        </w:rPr>
      </w:pPr>
    </w:p>
    <w:p>
      <w:pPr>
        <w:ind w:right="340"/>
        <w:spacing w:after="0" w:line="320" w:lineRule="auto"/>
        <w:rPr>
          <w:sz w:val="20"/>
          <w:szCs w:val="20"/>
          <w:color w:val="auto"/>
        </w:rPr>
      </w:pPr>
      <w:r>
        <w:rPr>
          <w:rFonts w:ascii="Arial" w:cs="Arial" w:eastAsia="Arial" w:hAnsi="Arial"/>
          <w:sz w:val="16"/>
          <w:szCs w:val="16"/>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31"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following table illustrates the sensitivity to a change to certain key assumptions used in the calculation of expense for the year ending December 31, 2019 and the projected benefit obligation (“PBO”) at December 31, 2018 for Kodak's major U.S. and non-U.S. defined benefit pension plans: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3"/>
          </w:tcPr>
          <w:p>
            <w:pPr>
              <w:jc w:val="center"/>
              <w:ind w:right="391"/>
              <w:spacing w:after="0"/>
              <w:rPr>
                <w:sz w:val="20"/>
                <w:szCs w:val="20"/>
                <w:color w:val="auto"/>
              </w:rPr>
            </w:pPr>
            <w:r>
              <w:rPr>
                <w:rFonts w:ascii="Arial" w:cs="Arial" w:eastAsia="Arial" w:hAnsi="Arial"/>
                <w:sz w:val="14"/>
                <w:szCs w:val="14"/>
                <w:b w:val="1"/>
                <w:bCs w:val="1"/>
                <w:color w:val="auto"/>
                <w:w w:val="90"/>
              </w:rPr>
              <w:t>Impact on 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3"/>
          </w:tcPr>
          <w:p>
            <w:pPr>
              <w:jc w:val="center"/>
              <w:ind w:right="151"/>
              <w:spacing w:after="0"/>
              <w:rPr>
                <w:sz w:val="20"/>
                <w:szCs w:val="20"/>
                <w:color w:val="auto"/>
              </w:rPr>
            </w:pPr>
            <w:r>
              <w:rPr>
                <w:rFonts w:ascii="Arial" w:cs="Arial" w:eastAsia="Arial" w:hAnsi="Arial"/>
                <w:sz w:val="14"/>
                <w:szCs w:val="14"/>
                <w:b w:val="1"/>
                <w:bCs w:val="1"/>
                <w:color w:val="auto"/>
                <w:w w:val="91"/>
              </w:rPr>
              <w:t>Impact on PBO</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100" w:type="dxa"/>
            <w:vAlign w:val="bottom"/>
            <w:gridSpan w:val="4"/>
          </w:tcPr>
          <w:p>
            <w:pPr>
              <w:jc w:val="center"/>
              <w:ind w:left="166"/>
              <w:spacing w:after="0" w:line="143" w:lineRule="exact"/>
              <w:rPr>
                <w:sz w:val="20"/>
                <w:szCs w:val="20"/>
                <w:color w:val="auto"/>
              </w:rPr>
            </w:pPr>
            <w:r>
              <w:rPr>
                <w:rFonts w:ascii="Arial" w:cs="Arial" w:eastAsia="Arial" w:hAnsi="Arial"/>
                <w:sz w:val="14"/>
                <w:szCs w:val="14"/>
                <w:b w:val="1"/>
                <w:bCs w:val="1"/>
                <w:color w:val="auto"/>
                <w:w w:val="87"/>
              </w:rPr>
              <w:t>Pre-Tax Pension Expense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left="391"/>
              <w:spacing w:after="0" w:line="143" w:lineRule="exact"/>
              <w:rPr>
                <w:sz w:val="20"/>
                <w:szCs w:val="20"/>
                <w:color w:val="auto"/>
              </w:rPr>
            </w:pPr>
            <w:r>
              <w:rPr>
                <w:rFonts w:ascii="Arial" w:cs="Arial" w:eastAsia="Arial" w:hAnsi="Arial"/>
                <w:sz w:val="14"/>
                <w:szCs w:val="14"/>
                <w:b w:val="1"/>
                <w:bCs w:val="1"/>
                <w:color w:val="auto"/>
                <w:w w:val="88"/>
              </w:rPr>
              <w:t>December 31, 2018</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260" w:type="dxa"/>
            <w:vAlign w:val="bottom"/>
            <w:vMerge w:val="continue"/>
          </w:tcPr>
          <w:p>
            <w:pPr>
              <w:spacing w:after="0"/>
              <w:rPr>
                <w:sz w:val="14"/>
                <w:szCs w:val="14"/>
                <w:color w:val="auto"/>
              </w:rPr>
            </w:pPr>
          </w:p>
        </w:tc>
        <w:tc>
          <w:tcPr>
            <w:tcW w:w="2100" w:type="dxa"/>
            <w:vAlign w:val="bottom"/>
            <w:tcBorders>
              <w:bottom w:val="single" w:sz="8" w:color="auto"/>
            </w:tcBorders>
            <w:gridSpan w:val="4"/>
          </w:tcPr>
          <w:p>
            <w:pPr>
              <w:jc w:val="center"/>
              <w:ind w:left="146"/>
              <w:spacing w:after="0"/>
              <w:rPr>
                <w:sz w:val="20"/>
                <w:szCs w:val="20"/>
                <w:color w:val="auto"/>
              </w:rPr>
            </w:pPr>
            <w:r>
              <w:rPr>
                <w:rFonts w:ascii="Arial" w:cs="Arial" w:eastAsia="Arial" w:hAnsi="Arial"/>
                <w:sz w:val="14"/>
                <w:szCs w:val="14"/>
                <w:b w:val="1"/>
                <w:bCs w:val="1"/>
                <w:color w:val="auto"/>
                <w:w w:val="87"/>
              </w:rPr>
              <w:t>Increase (Decrease)</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auto"/>
            </w:tcBorders>
            <w:gridSpan w:val="4"/>
          </w:tcPr>
          <w:p>
            <w:pPr>
              <w:jc w:val="center"/>
              <w:ind w:left="391"/>
              <w:spacing w:after="0"/>
              <w:rPr>
                <w:sz w:val="20"/>
                <w:szCs w:val="20"/>
                <w:color w:val="auto"/>
              </w:rPr>
            </w:pPr>
            <w:r>
              <w:rPr>
                <w:rFonts w:ascii="Arial" w:cs="Arial" w:eastAsia="Arial" w:hAnsi="Arial"/>
                <w:sz w:val="14"/>
                <w:szCs w:val="14"/>
                <w:b w:val="1"/>
                <w:bCs w:val="1"/>
                <w:color w:val="auto"/>
                <w:w w:val="87"/>
              </w:rPr>
              <w:t>Increase (Decrease)</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Non-U.S.</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0" w:type="dxa"/>
            <w:vAlign w:val="bottom"/>
            <w:tcBorders>
              <w:bottom w:val="single" w:sz="8" w:color="auto"/>
            </w:tcBorders>
            <w:gridSpan w:val="2"/>
          </w:tcPr>
          <w:p>
            <w:pPr>
              <w:jc w:val="right"/>
              <w:ind w:right="313"/>
              <w:spacing w:after="0" w:line="149" w:lineRule="exact"/>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Change in assumption:</w:t>
            </w: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25 basis point decrease in discount rate</w:t>
            </w:r>
          </w:p>
        </w:tc>
        <w:tc>
          <w:tcPr>
            <w:tcW w:w="680" w:type="dxa"/>
            <w:vAlign w:val="bottom"/>
          </w:tcPr>
          <w:p>
            <w:pPr>
              <w:jc w:val="right"/>
              <w:ind w:right="506"/>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w:t>
            </w:r>
          </w:p>
        </w:tc>
        <w:tc>
          <w:tcPr>
            <w:tcW w:w="940" w:type="dxa"/>
            <w:vAlign w:val="bottom"/>
            <w:gridSpan w:val="2"/>
          </w:tcPr>
          <w:p>
            <w:pPr>
              <w:jc w:val="right"/>
              <w:ind w:right="671"/>
              <w:spacing w:after="0"/>
              <w:rPr>
                <w:sz w:val="20"/>
                <w:szCs w:val="20"/>
                <w:color w:val="auto"/>
              </w:rPr>
            </w:pPr>
            <w:r>
              <w:rPr>
                <w:rFonts w:ascii="Arial" w:cs="Arial" w:eastAsia="Arial" w:hAnsi="Arial"/>
                <w:sz w:val="17"/>
                <w:szCs w:val="17"/>
                <w:color w:val="auto"/>
              </w:rPr>
              <w:t>$</w:t>
            </w:r>
          </w:p>
        </w:tc>
        <w:tc>
          <w:tcPr>
            <w:tcW w:w="1120" w:type="dxa"/>
            <w:vAlign w:val="bottom"/>
            <w:gridSpan w:val="3"/>
          </w:tcPr>
          <w:p>
            <w:pPr>
              <w:ind w:left="60"/>
              <w:spacing w:after="0"/>
              <w:rPr>
                <w:sz w:val="20"/>
                <w:szCs w:val="20"/>
                <w:color w:val="auto"/>
              </w:rPr>
            </w:pPr>
            <w:r>
              <w:rPr>
                <w:rFonts w:ascii="Arial" w:cs="Arial" w:eastAsia="Arial" w:hAnsi="Arial"/>
                <w:sz w:val="17"/>
                <w:szCs w:val="17"/>
                <w:color w:val="auto"/>
              </w:rPr>
              <w:t>—   $</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72</w:t>
            </w:r>
          </w:p>
        </w:tc>
        <w:tc>
          <w:tcPr>
            <w:tcW w:w="74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25 basis point increase in discount rate</w:t>
            </w: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831"/>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25 basis point decrease in EROA</w:t>
            </w:r>
          </w:p>
        </w:tc>
        <w:tc>
          <w:tcPr>
            <w:tcW w:w="680" w:type="dxa"/>
            <w:vAlign w:val="bottom"/>
          </w:tcPr>
          <w:p>
            <w:pPr>
              <w:spacing w:after="0"/>
              <w:rPr>
                <w:sz w:val="19"/>
                <w:szCs w:val="19"/>
                <w:color w:val="auto"/>
              </w:rPr>
            </w:pPr>
          </w:p>
        </w:tc>
        <w:tc>
          <w:tcPr>
            <w:tcW w:w="480" w:type="dxa"/>
            <w:vAlign w:val="bottom"/>
          </w:tcPr>
          <w:p>
            <w:pPr>
              <w:jc w:val="right"/>
              <w:ind w:right="37"/>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25 basis point increase in EROA</w:t>
            </w: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Total pension income from continuing operations before special termination benefits, curtailments and settlements for the major defined benefit pension plan in the U.S. was $103 million for 2018 and is expected to be approximately $88 million in 2019. Pension income from continuing operations before special termination benefits, curtailments and settlements for the major non-U.S. defined benefit pension plans was $6 million for 2018 and is projected to be approximately $2 million in 2019. The reductions in income are driven primarily by higher expected 2019 interest expense for the U.S. plan and lower expected 2019 asset gains due to reduced asset balances for both the U.S. and non-U.S. plans.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Inventories are stated at the lower of cost or market. Carrying values of excess and obsolete inventories are reduced to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Reserves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Accounts receivable reserves are based on historical collections experience as well as reserves for specific receivables deemed to be at risk for collection. The collectability of customer receivables is reviewed on an ongoing basis considering past due invoices and the current creditworthiness of each customer. Judgment is required in assessing the ultimate realization of accounts receivables.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new accounting pronouncements is contained in Note 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Revenue declined $61 million (4.4%) from 2017 to 2018. Currency impacted revenue favorably in 2018 compared to 2017 ($19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Kodak’s strategy is to:</w:t>
      </w:r>
    </w:p>
    <w:p>
      <w:pPr>
        <w:spacing w:after="0" w:line="117" w:lineRule="exact"/>
        <w:rPr>
          <w:sz w:val="20"/>
          <w:szCs w:val="20"/>
          <w:color w:val="auto"/>
        </w:rPr>
      </w:pPr>
    </w:p>
    <w:p>
      <w:pPr>
        <w:ind w:left="1020" w:hanging="50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Focus product investment in growth engines - Sonora, Ultrastream, Advanced Materials and 3D Printing and Software and Services;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 market leadership position and cash flows associated with Prepress Solutions;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Manage the expected decline in and maximize cash generated by mature businesses;</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to streamline processes to drive cost reductions and improve operating leverage; and</w:t>
      </w:r>
    </w:p>
    <w:p>
      <w:pPr>
        <w:spacing w:after="0" w:line="117" w:lineRule="exact"/>
        <w:rPr>
          <w:rFonts w:ascii="Arial" w:cs="Arial" w:eastAsia="Arial" w:hAnsi="Arial"/>
          <w:sz w:val="17"/>
          <w:szCs w:val="17"/>
          <w:color w:val="auto"/>
        </w:rPr>
      </w:pPr>
    </w:p>
    <w:p>
      <w:pPr>
        <w:ind w:left="1020" w:hanging="50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to explore opportunities to monetize the asset base.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opportunities and challenges related to Kodak’s strategy follows:</w:t>
      </w:r>
    </w:p>
    <w:p>
      <w:pPr>
        <w:spacing w:after="0" w:line="248" w:lineRule="exact"/>
        <w:rPr>
          <w:sz w:val="20"/>
          <w:szCs w:val="20"/>
          <w:color w:val="auto"/>
        </w:rPr>
      </w:pPr>
    </w:p>
    <w:p>
      <w:pPr>
        <w:ind w:left="1040" w:right="60" w:hanging="566"/>
        <w:spacing w:after="0" w:line="263"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$395 million of outstanding indebtedness under the Term Credit Agreement. The loans made under the Term Credit Agreement become due on the earlier of (i) the maturity date of September 3, 2019 or (ii) the acceleration of such loans following the occurrence of an event of default (as defined in the Term Credit Agreement). Kodak does not have committed refinancing or the liquidity to meet the debt obligation as it becomes due. Kodak is working to both reduce the overall debt balance by using proceeds from asset sales, including the sale of its Flexographic Packaging segment, to pay down debt and to renew or replace the Term Credit Agreement.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231" w:right="279" w:bottom="1440" w:gutter="0" w:footer="0" w:header="0"/>
        </w:sectPr>
      </w:pPr>
    </w:p>
    <w:bookmarkStart w:id="33" w:name="page34"/>
    <w:bookmarkEnd w:id="33"/>
    <w:p>
      <w:pPr>
        <w:ind w:left="1040" w:right="40" w:hanging="566"/>
        <w:spacing w:after="0" w:line="276"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are expected to mitigate the impact on earnings from revenue declines. Print Systems’ revenues, which accounted for 68% of Kodak’s total revenues in 2018, declined $47 million (5%) in 2018 including the favorable impact of currency ($14 million). Segment earnings declined $22 million from 2017 to 2018 including the unfavorable impact of currency ($5 million), driven by competitive pricing pressures, lower volumes and higher aluminum costs partially offset by manufacturing efficiencies and cost reductions. Prices for aluminum have risen over the past year, in part due to strong global demand and more recently due to the imposition of U.S. tariffs. Kodak seeks to mitigate the impact of high aluminum prices and competitive selling environment through a combination of price increases, commodity contracts, improved production efficiency and cost reduction initiatives. In January 2019, Kodak received exemptions on U.S. tariffs for aluminum.</w:t>
      </w:r>
    </w:p>
    <w:p>
      <w:pPr>
        <w:spacing w:after="0" w:line="195" w:lineRule="exact"/>
        <w:rPr>
          <w:rFonts w:ascii="Arial" w:cs="Arial" w:eastAsia="Arial" w:hAnsi="Arial"/>
          <w:sz w:val="16"/>
          <w:szCs w:val="16"/>
          <w:color w:val="auto"/>
        </w:rPr>
      </w:pPr>
    </w:p>
    <w:p>
      <w:pPr>
        <w:ind w:left="1040" w:right="140" w:hanging="566"/>
        <w:spacing w:after="0" w:line="263"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 Enterprise Inkjet Systems’ revenue declined $8 million in 2018. Segment earnings improved $1 million from 2017 to 2018 driven by cost controls.</w:t>
      </w:r>
    </w:p>
    <w:p>
      <w:pPr>
        <w:spacing w:after="0" w:line="180" w:lineRule="exact"/>
        <w:rPr>
          <w:rFonts w:ascii="Arial" w:cs="Arial" w:eastAsia="Arial" w:hAnsi="Arial"/>
          <w:sz w:val="17"/>
          <w:szCs w:val="17"/>
          <w:color w:val="auto"/>
        </w:rPr>
      </w:pPr>
    </w:p>
    <w:p>
      <w:pPr>
        <w:ind w:left="1040" w:right="20" w:hanging="566"/>
        <w:spacing w:after="0" w:line="262"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Kodak Services for Business and Kodakit. The contributions these business initiatives make to earnings are expected to grow with a modest amount of additional investment. Software and Solutions’ revenue declined $1 million (1%) in 2018, primarily reflecting volume declines in Unified Workflow Solutions. Sales in Kodak Technology Solutions are project based and can vary from year to year depending on the nature and number of projects in existence in a given year.</w:t>
      </w:r>
    </w:p>
    <w:p>
      <w:pPr>
        <w:spacing w:after="0" w:line="205" w:lineRule="exact"/>
        <w:rPr>
          <w:rFonts w:ascii="Arial" w:cs="Arial" w:eastAsia="Arial" w:hAnsi="Arial"/>
          <w:sz w:val="17"/>
          <w:szCs w:val="17"/>
          <w:color w:val="auto"/>
        </w:rPr>
      </w:pPr>
    </w:p>
    <w:p>
      <w:pPr>
        <w:ind w:left="1020" w:right="180" w:hanging="507"/>
        <w:spacing w:after="0" w:line="266" w:lineRule="auto"/>
        <w:tabs>
          <w:tab w:leader="none" w:pos="10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Consumer and Film’s revenue declined $9 million (5%) from 2017 to 2018. Earnings of the Consumer and Film segment declined $1 million (6%) from 2017 to 2018. China tariffs on U.S. made film are increasing material costs in China for printed circuit board film. Prolonged trade disputes with increasing tariffs could have incremental negative impacts on material costs. Kodak plans to continue to promote the use of film to utilize as much film manufacturing capacity as possible.</w:t>
      </w:r>
    </w:p>
    <w:p>
      <w:pPr>
        <w:spacing w:after="0" w:line="176" w:lineRule="exact"/>
        <w:rPr>
          <w:rFonts w:ascii="Arial" w:cs="Arial" w:eastAsia="Arial" w:hAnsi="Arial"/>
          <w:sz w:val="17"/>
          <w:szCs w:val="17"/>
          <w:color w:val="auto"/>
        </w:rPr>
      </w:pPr>
    </w:p>
    <w:p>
      <w:pPr>
        <w:ind w:left="1020" w:right="160" w:hanging="507"/>
        <w:spacing w:after="0" w:line="287" w:lineRule="auto"/>
        <w:tabs>
          <w:tab w:leader="none" w:pos="10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Film and related component manufacturing operations and Kodak Research Laboratories utilize capacity at Eastman Business Park (“EBP”), which helps cost absorption at EBP.</w:t>
      </w:r>
    </w:p>
    <w:p>
      <w:pPr>
        <w:spacing w:after="0" w:line="184" w:lineRule="exact"/>
        <w:rPr>
          <w:rFonts w:ascii="Arial" w:cs="Arial" w:eastAsia="Arial" w:hAnsi="Arial"/>
          <w:sz w:val="17"/>
          <w:szCs w:val="17"/>
          <w:color w:val="auto"/>
        </w:rPr>
      </w:pPr>
    </w:p>
    <w:p>
      <w:pPr>
        <w:ind w:left="1020" w:right="340" w:hanging="507"/>
        <w:spacing w:after="0" w:line="287" w:lineRule="auto"/>
        <w:tabs>
          <w:tab w:leader="none" w:pos="10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Kodak plans to capitalize on its intellectual property through new business or licensing opportunities, focusing on opportunities in smart material applications and printed electronics markets and also pursuing limited opportunities in 3D printing materials.</w:t>
      </w:r>
    </w:p>
    <w:p>
      <w:pPr>
        <w:spacing w:after="0" w:line="158" w:lineRule="exact"/>
        <w:rPr>
          <w:rFonts w:ascii="Arial" w:cs="Arial" w:eastAsia="Arial" w:hAnsi="Arial"/>
          <w:sz w:val="17"/>
          <w:szCs w:val="17"/>
          <w:color w:val="auto"/>
        </w:rPr>
      </w:pPr>
    </w:p>
    <w:p>
      <w:pPr>
        <w:ind w:left="1020" w:right="60" w:hanging="507"/>
        <w:spacing w:after="0" w:line="287" w:lineRule="auto"/>
        <w:tabs>
          <w:tab w:leader="none" w:pos="10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Kodak plans to continue to pursue monetization of its asset base, selling and licensing intellectual property and selling and leasing excess capacity in its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4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vMerge w:val="restart"/>
          </w:tcPr>
          <w:p>
            <w:pPr>
              <w:ind w:left="1160"/>
              <w:spacing w:after="0"/>
              <w:rPr>
                <w:sz w:val="20"/>
                <w:szCs w:val="20"/>
                <w:color w:val="auto"/>
              </w:rPr>
            </w:pPr>
            <w:r>
              <w:rPr>
                <w:rFonts w:ascii="Arial" w:cs="Arial" w:eastAsia="Arial" w:hAnsi="Arial"/>
                <w:sz w:val="14"/>
                <w:szCs w:val="14"/>
                <w:color w:val="auto"/>
              </w:rPr>
              <w:t>(in millions)</w:t>
            </w: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3120" w:type="dxa"/>
            <w:vAlign w:val="bottom"/>
            <w:gridSpan w:val="2"/>
            <w:shd w:val="clear" w:color="auto" w:fill="CFF0FC"/>
          </w:tcPr>
          <w:p>
            <w:pPr>
              <w:jc w:val="right"/>
              <w:ind w:right="67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ind w:left="1160"/>
              <w:spacing w:after="0"/>
              <w:rPr>
                <w:sz w:val="20"/>
                <w:szCs w:val="20"/>
                <w:color w:val="auto"/>
              </w:rPr>
            </w:pPr>
            <w:r>
              <w:rPr>
                <w:rFonts w:ascii="Arial" w:cs="Arial" w:eastAsia="Arial" w:hAnsi="Arial"/>
                <w:sz w:val="17"/>
                <w:szCs w:val="17"/>
                <w:color w:val="auto"/>
              </w:rPr>
              <w:t>Enterprise Inkjet Systems</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Solutions</w:t>
            </w:r>
          </w:p>
        </w:tc>
        <w:tc>
          <w:tcPr>
            <w:tcW w:w="2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ind w:left="1160"/>
              <w:spacing w:after="0"/>
              <w:rPr>
                <w:sz w:val="20"/>
                <w:szCs w:val="20"/>
                <w:color w:val="auto"/>
              </w:rPr>
            </w:pPr>
            <w:r>
              <w:rPr>
                <w:rFonts w:ascii="Arial" w:cs="Arial" w:eastAsia="Arial" w:hAnsi="Arial"/>
                <w:sz w:val="17"/>
                <w:szCs w:val="17"/>
                <w:color w:val="auto"/>
              </w:rPr>
              <w:t>Consumer and Film</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2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ind w:left="1160"/>
              <w:spacing w:after="0"/>
              <w:rPr>
                <w:sz w:val="20"/>
                <w:szCs w:val="20"/>
                <w:color w:val="auto"/>
              </w:rPr>
            </w:pPr>
            <w:r>
              <w:rPr>
                <w:rFonts w:ascii="Arial" w:cs="Arial" w:eastAsia="Arial" w:hAnsi="Arial"/>
                <w:sz w:val="17"/>
                <w:szCs w:val="17"/>
                <w:color w:val="auto"/>
              </w:rPr>
              <w:t>Eastman Business Park</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23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60" w:type="dxa"/>
            <w:vAlign w:val="bottom"/>
          </w:tcPr>
          <w:p>
            <w:pPr>
              <w:spacing w:after="0"/>
              <w:rPr>
                <w:sz w:val="18"/>
                <w:szCs w:val="18"/>
                <w:color w:val="auto"/>
              </w:rPr>
            </w:pPr>
          </w:p>
        </w:tc>
        <w:tc>
          <w:tcPr>
            <w:tcW w:w="3940" w:type="dxa"/>
            <w:vAlign w:val="bottom"/>
            <w:vMerge w:val="continue"/>
            <w:shd w:val="clear" w:color="auto" w:fill="CFF0FC"/>
          </w:tcPr>
          <w:p>
            <w:pPr>
              <w:spacing w:after="0"/>
              <w:rPr>
                <w:sz w:val="18"/>
                <w:szCs w:val="18"/>
                <w:color w:val="auto"/>
              </w:rPr>
            </w:pPr>
          </w:p>
        </w:tc>
        <w:tc>
          <w:tcPr>
            <w:tcW w:w="3120" w:type="dxa"/>
            <w:vAlign w:val="bottom"/>
            <w:gridSpan w:val="2"/>
            <w:shd w:val="clear" w:color="auto" w:fill="CFF0FC"/>
          </w:tcPr>
          <w:p>
            <w:pPr>
              <w:jc w:val="right"/>
              <w:ind w:right="67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1,325</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1,386</w:t>
            </w:r>
          </w:p>
        </w:tc>
        <w:tc>
          <w:tcPr>
            <w:tcW w:w="1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bottom w:val="single" w:sz="8" w:color="CFF0FC"/>
            </w:tcBorders>
            <w:vMerge w:val="restart"/>
          </w:tcPr>
          <w:p>
            <w:pPr>
              <w:jc w:val="right"/>
              <w:ind w:right="1517"/>
              <w:spacing w:after="0"/>
              <w:rPr>
                <w:sz w:val="20"/>
                <w:szCs w:val="20"/>
                <w:color w:val="auto"/>
              </w:rPr>
            </w:pPr>
            <w:r>
              <w:rPr>
                <w:rFonts w:ascii="Arial" w:cs="Arial" w:eastAsia="Arial" w:hAnsi="Arial"/>
                <w:sz w:val="17"/>
                <w:szCs w:val="17"/>
                <w:color w:val="auto"/>
              </w:rPr>
              <w:t>34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Segment Operational EBITDA and Consolidated Earnings (Loss) from Continuing Operations Before Income Taxes</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r>
      <w:tr>
        <w:trPr>
          <w:trHeight w:val="166"/>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FF0FC"/>
          </w:tcPr>
          <w:p>
            <w:pPr>
              <w:spacing w:after="0"/>
              <w:rPr>
                <w:sz w:val="18"/>
                <w:szCs w:val="18"/>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Solutions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Consumer and Film</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w:t>
            </w: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Eastman Business Park</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(77)</w:t>
            </w: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r>
      <w:tr>
        <w:trPr>
          <w:trHeight w:val="222"/>
        </w:trPr>
        <w:tc>
          <w:tcPr>
            <w:tcW w:w="7060" w:type="dxa"/>
            <w:vAlign w:val="bottom"/>
          </w:tcPr>
          <w:p>
            <w:pPr>
              <w:spacing w:after="0" w:line="222"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5"/>
                <w:szCs w:val="25"/>
                <w:color w:val="auto"/>
                <w:vertAlign w:val="superscript"/>
              </w:rPr>
              <w:t>(1)</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(2)</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r>
      <w:tr>
        <w:trPr>
          <w:trHeight w:val="221"/>
        </w:trPr>
        <w:tc>
          <w:tcPr>
            <w:tcW w:w="7060" w:type="dxa"/>
            <w:vAlign w:val="bottom"/>
          </w:tcPr>
          <w:p>
            <w:pPr>
              <w:spacing w:after="0"/>
              <w:rPr>
                <w:sz w:val="20"/>
                <w:szCs w:val="20"/>
                <w:color w:val="auto"/>
              </w:rPr>
            </w:pPr>
            <w:r>
              <w:rPr>
                <w:rFonts w:ascii="Arial" w:cs="Arial" w:eastAsia="Arial" w:hAnsi="Arial"/>
                <w:sz w:val="17"/>
                <w:szCs w:val="17"/>
                <w:color w:val="auto"/>
              </w:rPr>
              <w:t xml:space="preserve">Other operating (expense) income, net </w:t>
            </w:r>
            <w:r>
              <w:rPr>
                <w:rFonts w:ascii="Arial" w:cs="Arial" w:eastAsia="Arial" w:hAnsi="Arial"/>
                <w:sz w:val="14"/>
                <w:szCs w:val="14"/>
                <w:color w:val="auto"/>
              </w:rPr>
              <w:t>(3)</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Goodwill impairment loss </w:t>
            </w:r>
            <w:r>
              <w:rPr>
                <w:rFonts w:ascii="Arial" w:cs="Arial" w:eastAsia="Arial" w:hAnsi="Arial"/>
                <w:sz w:val="14"/>
                <w:szCs w:val="14"/>
                <w:color w:val="auto"/>
              </w:rPr>
              <w:t>(3)</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(56)</w:t>
            </w:r>
          </w:p>
        </w:tc>
      </w:tr>
      <w:tr>
        <w:trPr>
          <w:trHeight w:val="221"/>
        </w:trPr>
        <w:tc>
          <w:tcPr>
            <w:tcW w:w="706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Pension income excluding service cost component </w:t>
            </w:r>
            <w:r>
              <w:rPr>
                <w:rFonts w:ascii="Arial" w:cs="Arial" w:eastAsia="Arial" w:hAnsi="Arial"/>
                <w:sz w:val="14"/>
                <w:szCs w:val="14"/>
                <w:color w:val="auto"/>
              </w:rPr>
              <w:t>(3)</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FF0FC"/>
          </w:tcPr>
          <w:p>
            <w:pPr>
              <w:spacing w:after="0"/>
              <w:rPr>
                <w:sz w:val="19"/>
                <w:szCs w:val="19"/>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 xml:space="preserve">Other income (charges), net </w:t>
            </w:r>
            <w:r>
              <w:rPr>
                <w:rFonts w:ascii="Arial" w:cs="Arial" w:eastAsia="Arial" w:hAnsi="Arial"/>
                <w:sz w:val="14"/>
                <w:szCs w:val="14"/>
                <w:color w:val="auto"/>
              </w:rPr>
              <w:t>(3)</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r>
      <w:tr>
        <w:trPr>
          <w:trHeight w:val="202"/>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Consolidated loss from continuing operations</w:t>
            </w: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1"/>
        </w:trPr>
        <w:tc>
          <w:tcPr>
            <w:tcW w:w="70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before income taxes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left="380" w:hanging="376"/>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7"/>
          <w:szCs w:val="17"/>
          <w:color w:val="auto"/>
        </w:rPr>
        <w:t>Consulting and other costs are professional services and internal costs associated with certain corporate strategic initiatives.</w:t>
      </w:r>
    </w:p>
    <w:p>
      <w:pPr>
        <w:spacing w:after="0" w:line="247" w:lineRule="exact"/>
        <w:rPr>
          <w:rFonts w:ascii="Arial" w:cs="Arial" w:eastAsia="Arial" w:hAnsi="Arial"/>
          <w:sz w:val="15"/>
          <w:szCs w:val="15"/>
          <w:color w:val="auto"/>
        </w:rPr>
      </w:pPr>
    </w:p>
    <w:p>
      <w:pPr>
        <w:ind w:left="380" w:right="120" w:hanging="376"/>
        <w:spacing w:after="0" w:line="287" w:lineRule="auto"/>
        <w:tabs>
          <w:tab w:leader="none" w:pos="380" w:val="left"/>
        </w:tabs>
        <w:numPr>
          <w:ilvl w:val="0"/>
          <w:numId w:val="25"/>
        </w:numPr>
        <w:rPr>
          <w:rFonts w:ascii="Arial" w:cs="Arial" w:eastAsia="Arial" w:hAnsi="Arial"/>
          <w:sz w:val="15"/>
          <w:szCs w:val="15"/>
          <w:color w:val="auto"/>
        </w:rPr>
      </w:pPr>
      <w:r>
        <w:rPr>
          <w:rFonts w:ascii="Arial" w:cs="Arial" w:eastAsia="Arial" w:hAnsi="Arial"/>
          <w:sz w:val="17"/>
          <w:szCs w:val="17"/>
          <w:color w:val="auto"/>
        </w:rPr>
        <w:t>Consists of third-party costs such as security, maintenance, and utilities required to maintain land and buildings in certain locations not used in any Kodak operations.</w:t>
      </w:r>
    </w:p>
    <w:p>
      <w:pPr>
        <w:spacing w:after="0" w:line="184" w:lineRule="exact"/>
        <w:rPr>
          <w:rFonts w:ascii="Arial" w:cs="Arial" w:eastAsia="Arial" w:hAnsi="Arial"/>
          <w:sz w:val="15"/>
          <w:szCs w:val="15"/>
          <w:color w:val="auto"/>
        </w:rPr>
      </w:pPr>
    </w:p>
    <w:p>
      <w:pPr>
        <w:ind w:left="380" w:hanging="376"/>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7"/>
          <w:szCs w:val="17"/>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Kodak reduced workers’ compensation reserves by approximately $5 million in 2018 due to changes in discount rates and reduction in estimated ultimate losses.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reduction in reserves impacted gross profit by approximately $3 million and SG&amp;A by approximately $2 million.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Segments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Segments</w:t>
      </w:r>
    </w:p>
    <w:p>
      <w:pPr>
        <w:spacing w:after="0" w:line="2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Effective in January 2019 Kodak changed its organizational structure. Kodak Technology Solutions, formerly part of the Software and Solutions segment, was moved into the Consumer and Film segment. The Consumer and Film segment was renamed the Brand, Film &amp; Imaging segment. The Unified Workflow Solutions business, formerly part of the Software and Solutions segment, will operate as a dedicated segment named Kodak Software segment.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 Measure of Profitability</w:t>
      </w:r>
    </w:p>
    <w:p>
      <w:pPr>
        <w:spacing w:after="0" w:line="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the first quarter of 2019 the segment measure was changed to exclude the costs, net of any rental income received, of underutilized portions of certain properties. Additionally, the allocation of costs from EBP to the Consumer and Film segment and Advanced Materials and 3D Printing Technology segment as tenants of EBP and to each of the segments as users of shared corporate space at the global headquarters is changing.</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502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8"/>
              </w:rPr>
              <w:t>Year Ended</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8"/>
              </w:rPr>
              <w:t>Year Ended</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19"/>
                <w:szCs w:val="19"/>
                <w:color w:val="auto"/>
              </w:rPr>
            </w:pPr>
          </w:p>
        </w:tc>
        <w:tc>
          <w:tcPr>
            <w:tcW w:w="1380" w:type="dxa"/>
            <w:vAlign w:val="bottom"/>
            <w:gridSpan w:val="4"/>
          </w:tcPr>
          <w:p>
            <w:pPr>
              <w:ind w:left="140"/>
              <w:spacing w:after="0"/>
              <w:rPr>
                <w:sz w:val="20"/>
                <w:szCs w:val="20"/>
                <w:color w:val="auto"/>
              </w:rPr>
            </w:pPr>
            <w:r>
              <w:rPr>
                <w:rFonts w:ascii="Arial" w:cs="Arial" w:eastAsia="Arial" w:hAnsi="Arial"/>
                <w:sz w:val="17"/>
                <w:szCs w:val="17"/>
                <w:b w:val="1"/>
                <w:bCs w:val="1"/>
                <w:color w:val="auto"/>
              </w:rPr>
              <w:t>December 31,</w:t>
            </w:r>
          </w:p>
        </w:tc>
        <w:tc>
          <w:tcPr>
            <w:tcW w:w="1340" w:type="dxa"/>
            <w:vAlign w:val="bottom"/>
            <w:gridSpan w:val="2"/>
          </w:tcPr>
          <w:p>
            <w:pPr>
              <w:ind w:left="300"/>
              <w:spacing w:after="0"/>
              <w:rPr>
                <w:sz w:val="20"/>
                <w:szCs w:val="20"/>
                <w:color w:val="auto"/>
              </w:rPr>
            </w:pPr>
            <w:r>
              <w:rPr>
                <w:rFonts w:ascii="Arial" w:cs="Arial" w:eastAsia="Arial" w:hAnsi="Arial"/>
                <w:sz w:val="17"/>
                <w:szCs w:val="17"/>
                <w:b w:val="1"/>
                <w:bCs w:val="1"/>
                <w:color w:val="auto"/>
              </w:rPr>
              <w:t>% of</w:t>
            </w: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1340" w:type="dxa"/>
            <w:vAlign w:val="bottom"/>
            <w:gridSpan w:val="2"/>
          </w:tcPr>
          <w:p>
            <w:pPr>
              <w:ind w:left="300"/>
              <w:spacing w:after="0"/>
              <w:rPr>
                <w:sz w:val="20"/>
                <w:szCs w:val="20"/>
                <w:color w:val="auto"/>
              </w:rPr>
            </w:pPr>
            <w:r>
              <w:rPr>
                <w:rFonts w:ascii="Arial" w:cs="Arial" w:eastAsia="Arial" w:hAnsi="Arial"/>
                <w:sz w:val="17"/>
                <w:szCs w:val="17"/>
                <w:b w:val="1"/>
                <w:bCs w:val="1"/>
                <w:color w:val="auto"/>
              </w:rPr>
              <w:t>% of</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9"/>
              </w:rPr>
              <w:t>$ Change vs.</w:t>
            </w:r>
          </w:p>
        </w:tc>
        <w:tc>
          <w:tcPr>
            <w:tcW w:w="0" w:type="dxa"/>
            <w:vAlign w:val="bottom"/>
          </w:tcPr>
          <w:p>
            <w:pPr>
              <w:spacing w:after="0"/>
              <w:rPr>
                <w:sz w:val="1"/>
                <w:szCs w:val="1"/>
                <w:color w:val="auto"/>
              </w:rPr>
            </w:pPr>
          </w:p>
        </w:tc>
      </w:tr>
      <w:tr>
        <w:trPr>
          <w:trHeight w:val="227"/>
        </w:trPr>
        <w:tc>
          <w:tcPr>
            <w:tcW w:w="50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Sales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Sales</w:t>
            </w:r>
          </w:p>
        </w:tc>
        <w:tc>
          <w:tcPr>
            <w:tcW w:w="3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1,144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1,175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15%</w:t>
            </w: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22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22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225</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239</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(income), net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Goodwill impairment loss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2"/>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from continuing operations before interest expense, pension</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w w:val="93"/>
              </w:rPr>
              <w:t>income excluding service cost component, other charges (income), net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and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(118)</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(207)</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Pension income excluding service cost component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(131)</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(152)</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Other charges (income),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(37)</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continuing operations before income taxes</w:t>
            </w: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w:t>
            </w:r>
          </w:p>
        </w:tc>
        <w:tc>
          <w:tcPr>
            <w:tcW w:w="13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(26)</w:t>
            </w:r>
          </w:p>
        </w:tc>
        <w:tc>
          <w:tcPr>
            <w:tcW w:w="1340" w:type="dxa"/>
            <w:vAlign w:val="bottom"/>
            <w:gridSpan w:val="2"/>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(120)</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Equity in loss of equity method investment, net of income</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7"/>
                <w:szCs w:val="17"/>
                <w:color w:val="auto"/>
              </w:rPr>
              <w:t>(Loss) earnings from continuing operations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7%</w:t>
            </w: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7"/>
                <w:szCs w:val="17"/>
                <w:color w:val="auto"/>
              </w:rPr>
              <w:t>NET (LOSS) EARNINGS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7%</w:t>
            </w: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20" w:type="dxa"/>
            <w:vAlign w:val="bottom"/>
            <w:vMerge w:val="continue"/>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31"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For the year ended December 31, 2018, revenues decreased by approximately $61 million compared with the same period in 2017. Volume and pricing declines within Print Systems ($60 million) and Enterprise and Inkjet Systems ($10 million) and volume declines in Consumer and Film ($11 million) were offset by favorable foreign currency ($19 million). See segment discussions for additional details.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3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Gross profit for 2018 decreased by approximately $30 million. The decrease reflected volume and pricing declines within Print Systems ($14 million) and Enterprise Inkjet Systems ($10 million), and higher aluminum costs within Print Systems ($23 million), partially offset by reduced inventory write-offs due to restructuring ($7 million), favorable costs (excluding the impact of aluminum costs) in Print Systems ($8 million) and higher volumes and lower costs in Advanced Materials and 3D Printing Technology ($7 million). See segment discussions for additional details.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3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Consolidated SG&amp;A for 2018 decreased $14 million primarily due to lower investment in selling and marketing activities ($15 million), driven by a lower investment in Print Systems, Enterprise Inkjet Systems and Consumer and Film ($16 million), a reduction in workers’ compensation reserves ($2 million), lower stock compensation expense and foreign currency (each $3 million) partially offset by higher costs associated with strategic initiatives such as asset sales and debt restructuring ($9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3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Consolidated R&amp;D expenses decreased $16 million in 2018 primarily due to lower investment in Advanced Materials and 3D Printing Technology ($10 million) as well as lower investment in segment R&amp;D activities driven by a lower investment in Print Systems and Enterprise Inkjet Systems ($5 million).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31"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These costs, as well as the restructuring costs reported in Cost of revenues, are discussed under the "RESTRUCTURING COSTS AND OTHER" section in this MD&amp;A.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 Expense (Income), Net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15, “Other Operating Expense (Income), Net.”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Pension Income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19, “Retirement Plans.”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Charges, Net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16, “Other (Income) Charges, Net.”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from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17,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123" w:lineRule="exact"/>
        <w:rPr>
          <w:sz w:val="20"/>
          <w:szCs w:val="20"/>
          <w:color w:val="auto"/>
        </w:rPr>
      </w:pPr>
    </w:p>
    <w:p>
      <w:pPr>
        <w:jc w:val="both"/>
        <w:ind w:right="40"/>
        <w:spacing w:after="0" w:line="287" w:lineRule="auto"/>
        <w:rPr>
          <w:sz w:val="20"/>
          <w:szCs w:val="20"/>
          <w:color w:val="auto"/>
        </w:rPr>
      </w:pPr>
      <w:r>
        <w:rPr>
          <w:rFonts w:ascii="Arial" w:cs="Arial" w:eastAsia="Arial" w:hAnsi="Arial"/>
          <w:sz w:val="17"/>
          <w:szCs w:val="17"/>
          <w:color w:val="auto"/>
        </w:rPr>
        <w:t>Discontinued operations of Kodak include the Flexographic Packaging segment. Refer to Note 27, “Discontinued Operations” in the Notes to Financial Statements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 SEGMENT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FF0FC"/>
            </w:tcBorders>
          </w:tcPr>
          <w:p>
            <w:pPr>
              <w:spacing w:after="0"/>
              <w:rPr>
                <w:sz w:val="12"/>
                <w:szCs w:val="12"/>
                <w:color w:val="auto"/>
              </w:rPr>
            </w:pPr>
          </w:p>
        </w:tc>
        <w:tc>
          <w:tcPr>
            <w:tcW w:w="192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84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23"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decrease in Print Systems revenues of approximately $47 million reflected lower pricing ($8 million) driven by competitive pressures in the industry combined with volume declines in Prepress Solutions ($41 million) and Electrophotographic Printing Solutions consumables and service ($9 million). Partially offsetting the declines was favorable foreign currency ($14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decrease in Print Systems Operational EBITDA of approximately $22 million reflected lower pricing ($8 million) and volume declines ($5 million) in Prepress Solutions, higher aluminum costs ($23 million), unfavorable costs in Electrophotographic Printing Solutions ($5 million) and the unfavorable impact of currency ($5 million) partially offset by manufacturing cost improvements in Prepress consumables ($12 million), a lower level of investment in product development, advertising and sales activities ($13 million) and a reduction in workers’ compensation reserves ($2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 SEGMENT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FF0FC"/>
            </w:tcBorders>
          </w:tcPr>
          <w:p>
            <w:pPr>
              <w:spacing w:after="0"/>
              <w:rPr>
                <w:sz w:val="12"/>
                <w:szCs w:val="12"/>
                <w:color w:val="auto"/>
              </w:rPr>
            </w:pPr>
          </w:p>
        </w:tc>
        <w:tc>
          <w:tcPr>
            <w:tcW w:w="192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19"/>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84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9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decrease in Enterprise Inkjet Systems revenues of approximately $8 million primarily reflected lower volume of VERSAMARK service and consumables ($12 million) due to declines in the installed base of VERSAMARK systems, lower volume of VERSAMARK system placements ($5 million) primarily due to the placement of used equipment in the prior year and unfavorable volume, product mix and pricing for Prosper components ($4 million). The unfavorable impacts were partially offset by volume improvements in PROSPER systems ($8 million), including the conversion of two rental units to customer owned units ($5 million), volume improvements in PROSPER services and consumables ($4 million) due to increases in the installed base as well as the favorable impact of currency ($2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Operational EBITDA</w:t>
      </w:r>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increase in Enterprise Inkjet Systems Operational EBITDA of $1 million was primarily due to a lower level of investment in marketing, advertising and sales activities ($5 million) and R&amp;D activities ($3 million), service and manufacturing cost improvements ($2 million) and volume improvements in PROSPER services and consumables ($1 million) partially offset by the lower volume of VERSAMARK service, consumables and equipment ($6 million) and unfavorable volume, product mix and pricing for Prosper components ($4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 SEGMENT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FF0FC"/>
            </w:tcBorders>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19"/>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880" w:type="dxa"/>
            <w:vAlign w:val="bottom"/>
            <w:gridSpan w:val="2"/>
            <w:shd w:val="clear" w:color="auto" w:fill="CFF0FC"/>
          </w:tcPr>
          <w:p>
            <w:pPr>
              <w:jc w:val="right"/>
              <w:ind w:right="81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3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9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decrease in Software and Solutions revenues of approximately $1 million primarily reflected lower volume in Unified Workflow Solutions ($5 million) and lower volume in Kodak Services for Business ($2 million) partially offset by volume improvements for Kodakit ($3 million) and the favorable impact of currency ($1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increase in Software and Solutions Operational EBITDA of $1 was primarily due to improved cost of sales ($2 million), volume improvements in Kodakit and a lower level of investment in marketing, advertising and sales activities (each $1 million) partially offset by volume declines in Unified Workflow Solutions ($3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AND FILM SEGMENT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FF0FC"/>
            </w:tcBorders>
          </w:tcPr>
          <w:p>
            <w:pPr>
              <w:spacing w:after="0"/>
              <w:rPr>
                <w:sz w:val="12"/>
                <w:szCs w:val="12"/>
                <w:color w:val="auto"/>
              </w:rPr>
            </w:pPr>
          </w:p>
        </w:tc>
        <w:tc>
          <w:tcPr>
            <w:tcW w:w="192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84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decrease in Consumer and Film revenues of approximately $9 million reflected volume declines in Consumer Inkjet Systems ($9 million) driven by lower sales of ink to the existing installed base of printers, lower brand licensing revenue ($3 million) driven by the modification of a brand licensing agreement in the prior year offset by higher volume in Industrial Film and Chemicals ($2 million) primarily due to timing of customer orders and the favorable impact of currency ($2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decrease in Consumer and Film Operational EBITDA of approximately $1 million reflected declines in Consumer Inkjet Systems ($6 million) primarily driven by lower volumes due to declining sales of ink to the existing installed base of printers, lower brand licensing revenue as described above ($3 million), unfavorable volume and product mix ($2 million) and the impact of China tariffs ($1 million) in Industrial Film and Chemicals. Offsetting the unfavorable impacts were costs improvements in Motion Picture ($4 million) (the prior year period had higher costs associated with a vendor transition), reduced SG&amp;A costs ($5 million) and the favorable impact of currency ($2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MATERIALS AND 3D PRINTING TECHNOLOGY SEGMENT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19"/>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51"/>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N/M</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N/M</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Advanced Materials and 3D Printing Technology Operational EBITDA improved by approximately $13 million primarily due to the reduced level of investment as well as improved revenues primarily reflecting increased IP licensing, analytical services and 3D Printing revenues (each $1 million).</w:t>
      </w:r>
    </w:p>
    <w:p>
      <w:pPr>
        <w:sectPr>
          <w:pgSz w:w="11900" w:h="16838" w:orient="portrait"/>
          <w:cols w:equalWidth="0" w:num="1">
            <w:col w:w="11420"/>
          </w:cols>
          <w:pgMar w:left="240" w:top="33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29297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EASTMAN BUSINESS PARK SEGMENT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Eastman Business Park revenue and Operational EBITDA did not change significantly in the reporting periods.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w:t>
      </w:r>
    </w:p>
    <w:p>
      <w:pPr>
        <w:spacing w:after="0" w:line="12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Restructuring actions taken in 2018 were initiated to reduce Kodak’s cost structure as part of its commitment to drive sustainable profitability and included cost rationalization in France, consolidation of R&amp;D sites in Israel, EPS manufacturing cost reductions in Germany, and various targeted reductions in manufacturing, service, sales, research and development, and other administrative functions.</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As a result of these actions, for the year ended December 31, 2018 Kodak recorded $17 million of charges which were reported as Restructuring costs and other in the accompanying Consolidated Statement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$14 million for the year ended December 31, 2018.</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restructuring actions implemented in 2018 are expected to generate future annual cash savings of approximately $26 million. These savings are expected to reduce future annual Cost of revenues, SG&amp;A and R&amp;D expenses by $8 million, $11 million and $7 million, respectively. Kodak expects the majority of the annual savings to be in effect by the end of the second quarter of 2019 as actions are completed.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w:t>
      </w:r>
    </w:p>
    <w:p>
      <w:pPr>
        <w:spacing w:after="0" w:line="123" w:lineRule="exact"/>
        <w:rPr>
          <w:sz w:val="20"/>
          <w:szCs w:val="20"/>
          <w:color w:val="auto"/>
        </w:rPr>
      </w:pPr>
    </w:p>
    <w:p>
      <w:pPr>
        <w:ind w:right="120"/>
        <w:spacing w:after="0" w:line="320" w:lineRule="auto"/>
        <w:rPr>
          <w:sz w:val="20"/>
          <w:szCs w:val="20"/>
          <w:color w:val="auto"/>
        </w:rPr>
      </w:pPr>
      <w:r>
        <w:rPr>
          <w:rFonts w:ascii="Arial" w:cs="Arial" w:eastAsia="Arial" w:hAnsi="Arial"/>
          <w:sz w:val="16"/>
          <w:szCs w:val="16"/>
          <w:color w:val="auto"/>
        </w:rPr>
        <w:t>For the year ended December 31, 2017 Kodak recorded $38 million of charges, including $7 million of charges for inventory write-downs which were reported in Cost of revenues and $31 million which was reported as Restructuring costs and other in the accompanying Consolidated Statement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4"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Kodak has debt due in 2019 and is facing liquidity challenges due to negative cash flow. Based on forecasted cash flows, there are uncertainties regarding Kodak’s ability to meet commitments in the U.S. as they come due. Kodak’s plans to improve cash flow include reducing interest expense by decreasing the debt balance using proceeds from asset sales, including the sale of the Flexographic Packaging segment; further restructuring Kodak’s cost structure; and paring investment in new technology by eliminating, slowing, and partnering with investors in product development programs. The divestiture of the Flexographic Packaging segment will negatively impact segment earnings and cash flow. Kodak is also exploring options regarding additional liquidity from other sources.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30" w:right="279" w:bottom="1440" w:gutter="0" w:footer="0" w:header="0"/>
        </w:sectPr>
      </w:pPr>
    </w:p>
    <w:bookmarkStart w:id="39" w:name="page40"/>
    <w:bookmarkEnd w:id="39"/>
    <w:p>
      <w:pPr>
        <w:spacing w:after="0" w:line="312" w:lineRule="auto"/>
        <w:rPr>
          <w:sz w:val="20"/>
          <w:szCs w:val="20"/>
          <w:color w:val="auto"/>
        </w:rPr>
      </w:pPr>
      <w:r>
        <w:rPr>
          <w:rFonts w:ascii="Arial" w:cs="Arial" w:eastAsia="Arial" w:hAnsi="Arial"/>
          <w:sz w:val="15"/>
          <w:szCs w:val="15"/>
          <w:color w:val="auto"/>
        </w:rPr>
        <w:t>The sale of the Flexographic Packaging segment and/or refinancing of the loans under the Term Credit Agreement (as defined below) are not solely within Kodak’s control. Executing agreements for the sale or a refinancing of the loans under the Term Credit Agreement and the timing for a closing of the sale or a refinancing of the loans under the Term Credit Agreement are dependent upon several external factors outside Kodak’s control, including but not limited to, the ability of the Company to reach acceptable agreements with different counterparties and the time required to meet conditions to closing under a sale agreement or credit facility.</w:t>
      </w:r>
    </w:p>
    <w:p>
      <w:pPr>
        <w:spacing w:after="0" w:line="4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Kodak makes no assurances regarding the likelihood, certainty or timing of consummating any asset sales, including of the Flexographic Packaging segment, or refinancing of the Company’s existing debt, or regarding the sufficiency of any such actions to meet Kodak’s debt obligations, including compliance with debt covenants, or other commitments in the U.S. as they come due.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These conditions raise substantial doubt about Kodak’s ability to continue as a going concern.</w:t>
      </w:r>
    </w:p>
    <w:p>
      <w:pPr>
        <w:spacing w:after="0" w:line="117" w:lineRule="exact"/>
        <w:rPr>
          <w:sz w:val="20"/>
          <w:szCs w:val="20"/>
          <w:color w:val="auto"/>
        </w:rPr>
      </w:pPr>
    </w:p>
    <w:p>
      <w:pPr>
        <w:ind w:right="320"/>
        <w:spacing w:after="0" w:line="357" w:lineRule="auto"/>
        <w:rPr>
          <w:sz w:val="20"/>
          <w:szCs w:val="20"/>
          <w:color w:val="auto"/>
        </w:rPr>
      </w:pPr>
      <w:r>
        <w:rPr>
          <w:rFonts w:ascii="Arial" w:cs="Arial" w:eastAsia="Arial" w:hAnsi="Arial"/>
          <w:sz w:val="15"/>
          <w:szCs w:val="15"/>
          <w:color w:val="auto"/>
        </w:rPr>
        <w:t>Refer to the Going Concern section of Note 1, “Summary of Significant Accounting Policies”,; Note 9, "Debt and Capital Leases," and Note 10, “Redeemable, Convertible Series A Preferred Stock” in the Notes to Financial Statements for further discussion of long-term debt and convertible preferred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60" w:type="dxa"/>
            <w:vAlign w:val="bottom"/>
          </w:tcPr>
          <w:p>
            <w:pPr>
              <w:spacing w:after="0"/>
              <w:rPr>
                <w:sz w:val="14"/>
                <w:szCs w:val="14"/>
                <w:color w:val="auto"/>
              </w:rPr>
            </w:pPr>
          </w:p>
        </w:tc>
        <w:tc>
          <w:tcPr>
            <w:tcW w:w="4680" w:type="dxa"/>
            <w:vAlign w:val="bottom"/>
            <w:gridSpan w:val="3"/>
            <w:vMerge w:val="restart"/>
          </w:tcPr>
          <w:p>
            <w:pPr>
              <w:ind w:left="560"/>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As of December 31,</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6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Cash, cash equivalents and restricted cash</w:t>
            </w:r>
          </w:p>
        </w:tc>
        <w:tc>
          <w:tcPr>
            <w:tcW w:w="13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3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4"/>
            <w:vMerge w:val="restart"/>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40" w:type="dxa"/>
            <w:vAlign w:val="bottom"/>
            <w:gridSpan w:val="4"/>
            <w:vMerge w:val="continue"/>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4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840" w:type="dxa"/>
            <w:vAlign w:val="bottom"/>
            <w:gridSpan w:val="4"/>
          </w:tcPr>
          <w:p>
            <w:pPr>
              <w:ind w:left="1160"/>
              <w:spacing w:after="0"/>
              <w:rPr>
                <w:sz w:val="20"/>
                <w:szCs w:val="20"/>
                <w:color w:val="auto"/>
              </w:rPr>
            </w:pPr>
            <w:r>
              <w:rPr>
                <w:rFonts w:ascii="Arial" w:cs="Arial" w:eastAsia="Arial" w:hAnsi="Arial"/>
                <w:sz w:val="14"/>
                <w:szCs w:val="14"/>
                <w:color w:val="auto"/>
              </w:rPr>
              <w:t>(in millions)</w:t>
            </w:r>
          </w:p>
        </w:tc>
        <w:tc>
          <w:tcPr>
            <w:tcW w:w="14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4680" w:type="dxa"/>
            <w:vAlign w:val="bottom"/>
            <w:tcBorders>
              <w:top w:val="single" w:sz="8" w:color="CFF0FC"/>
            </w:tcBorders>
            <w:gridSpan w:val="3"/>
            <w:shd w:val="clear" w:color="auto" w:fill="CFF0FC"/>
          </w:tcPr>
          <w:p>
            <w:pPr>
              <w:spacing w:after="0" w:line="176" w:lineRule="exact"/>
              <w:rPr>
                <w:sz w:val="20"/>
                <w:szCs w:val="20"/>
                <w:color w:val="auto"/>
              </w:rPr>
            </w:pPr>
            <w:r>
              <w:rPr>
                <w:rFonts w:ascii="Arial" w:cs="Arial" w:eastAsia="Arial" w:hAnsi="Arial"/>
                <w:sz w:val="17"/>
                <w:szCs w:val="17"/>
                <w:color w:val="auto"/>
              </w:rPr>
              <w:t>Cash flows from operating activities:</w:t>
            </w:r>
          </w:p>
        </w:tc>
        <w:tc>
          <w:tcPr>
            <w:tcW w:w="70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00" w:type="dxa"/>
            <w:vAlign w:val="bottom"/>
            <w:tcBorders>
              <w:right w:val="single" w:sz="8" w:color="auto"/>
            </w:tcBorders>
            <w:shd w:val="clear" w:color="auto" w:fill="000000"/>
          </w:tcPr>
          <w:p>
            <w:pPr>
              <w:spacing w:after="0"/>
              <w:rPr>
                <w:sz w:val="3"/>
                <w:szCs w:val="3"/>
                <w:color w:val="auto"/>
              </w:rPr>
            </w:pPr>
          </w:p>
        </w:tc>
        <w:tc>
          <w:tcPr>
            <w:tcW w:w="212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4"/>
          </w:tcPr>
          <w:p>
            <w:pPr>
              <w:ind w:left="1160"/>
              <w:spacing w:after="0"/>
              <w:rPr>
                <w:sz w:val="20"/>
                <w:szCs w:val="20"/>
                <w:color w:val="auto"/>
              </w:rPr>
            </w:pPr>
            <w:r>
              <w:rPr>
                <w:rFonts w:ascii="Arial" w:cs="Arial" w:eastAsia="Arial" w:hAnsi="Arial"/>
                <w:sz w:val="17"/>
                <w:szCs w:val="17"/>
                <w:color w:val="auto"/>
              </w:rPr>
              <w:t>Net cash used in operating activities</w:t>
            </w:r>
          </w:p>
        </w:tc>
        <w:tc>
          <w:tcPr>
            <w:tcW w:w="1340" w:type="dxa"/>
            <w:vAlign w:val="bottom"/>
            <w:gridSpan w:val="2"/>
          </w:tcPr>
          <w:p>
            <w:pPr>
              <w:jc w:val="right"/>
              <w:ind w:right="46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48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4680" w:type="dxa"/>
            <w:vAlign w:val="bottom"/>
            <w:tcBorders>
              <w:top w:val="single" w:sz="8" w:color="CFF0FC"/>
            </w:tcBorders>
            <w:gridSpan w:val="3"/>
            <w:shd w:val="clear" w:color="auto" w:fill="CFF0FC"/>
          </w:tcPr>
          <w:p>
            <w:pPr>
              <w:spacing w:after="0" w:line="176" w:lineRule="exact"/>
              <w:rPr>
                <w:sz w:val="20"/>
                <w:szCs w:val="20"/>
                <w:color w:val="auto"/>
              </w:rPr>
            </w:pPr>
            <w:r>
              <w:rPr>
                <w:rFonts w:ascii="Arial" w:cs="Arial" w:eastAsia="Arial" w:hAnsi="Arial"/>
                <w:sz w:val="17"/>
                <w:szCs w:val="17"/>
                <w:color w:val="auto"/>
              </w:rPr>
              <w:t>Cash flows from investing activities:</w:t>
            </w:r>
          </w:p>
        </w:tc>
        <w:tc>
          <w:tcPr>
            <w:tcW w:w="70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00" w:type="dxa"/>
            <w:vAlign w:val="bottom"/>
            <w:tcBorders>
              <w:right w:val="single" w:sz="8" w:color="CFF0FC"/>
            </w:tcBorders>
            <w:shd w:val="clear" w:color="auto" w:fill="000000"/>
          </w:tcPr>
          <w:p>
            <w:pPr>
              <w:spacing w:after="0"/>
              <w:rPr>
                <w:sz w:val="3"/>
                <w:szCs w:val="3"/>
                <w:color w:val="auto"/>
              </w:rPr>
            </w:pPr>
          </w:p>
        </w:tc>
        <w:tc>
          <w:tcPr>
            <w:tcW w:w="212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4"/>
          </w:tcPr>
          <w:p>
            <w:pPr>
              <w:ind w:left="1160"/>
              <w:spacing w:after="0"/>
              <w:rPr>
                <w:sz w:val="20"/>
                <w:szCs w:val="20"/>
                <w:color w:val="auto"/>
              </w:rPr>
            </w:pPr>
            <w:r>
              <w:rPr>
                <w:rFonts w:ascii="Arial" w:cs="Arial" w:eastAsia="Arial" w:hAnsi="Arial"/>
                <w:sz w:val="17"/>
                <w:szCs w:val="17"/>
                <w:color w:val="auto"/>
              </w:rPr>
              <w:t>Net cash used in investing activities</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4680" w:type="dxa"/>
            <w:vAlign w:val="bottom"/>
            <w:tcBorders>
              <w:top w:val="single" w:sz="8" w:color="CFF0FC"/>
            </w:tcBorders>
            <w:gridSpan w:val="3"/>
            <w:shd w:val="clear" w:color="auto" w:fill="CFF0FC"/>
          </w:tcPr>
          <w:p>
            <w:pPr>
              <w:spacing w:after="0" w:line="176" w:lineRule="exact"/>
              <w:rPr>
                <w:sz w:val="20"/>
                <w:szCs w:val="20"/>
                <w:color w:val="auto"/>
              </w:rPr>
            </w:pPr>
            <w:r>
              <w:rPr>
                <w:rFonts w:ascii="Arial" w:cs="Arial" w:eastAsia="Arial" w:hAnsi="Arial"/>
                <w:sz w:val="17"/>
                <w:szCs w:val="17"/>
                <w:color w:val="auto"/>
              </w:rPr>
              <w:t>Cash flows from financing activities:</w:t>
            </w:r>
          </w:p>
        </w:tc>
        <w:tc>
          <w:tcPr>
            <w:tcW w:w="70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00" w:type="dxa"/>
            <w:vAlign w:val="bottom"/>
            <w:tcBorders>
              <w:right w:val="single" w:sz="8" w:color="auto"/>
            </w:tcBorders>
            <w:shd w:val="clear" w:color="auto" w:fill="000000"/>
          </w:tcPr>
          <w:p>
            <w:pPr>
              <w:spacing w:after="0"/>
              <w:rPr>
                <w:sz w:val="3"/>
                <w:szCs w:val="3"/>
                <w:color w:val="auto"/>
              </w:rPr>
            </w:pPr>
          </w:p>
        </w:tc>
        <w:tc>
          <w:tcPr>
            <w:tcW w:w="212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4"/>
          </w:tcPr>
          <w:p>
            <w:pPr>
              <w:ind w:left="1160"/>
              <w:spacing w:after="0"/>
              <w:rPr>
                <w:sz w:val="20"/>
                <w:szCs w:val="20"/>
                <w:color w:val="auto"/>
              </w:rPr>
            </w:pPr>
            <w:r>
              <w:rPr>
                <w:rFonts w:ascii="Arial" w:cs="Arial" w:eastAsia="Arial" w:hAnsi="Arial"/>
                <w:sz w:val="17"/>
                <w:szCs w:val="17"/>
                <w:color w:val="auto"/>
              </w:rPr>
              <w:t>Net cash used in financing activities</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gridSpan w:val="3"/>
            <w:vMerge w:val="restart"/>
            <w:shd w:val="clear" w:color="auto" w:fill="CFF0FC"/>
          </w:tcPr>
          <w:p>
            <w:pPr>
              <w:spacing w:after="0"/>
              <w:rPr>
                <w:sz w:val="20"/>
                <w:szCs w:val="20"/>
                <w:color w:val="auto"/>
              </w:rPr>
            </w:pPr>
            <w:r>
              <w:rPr>
                <w:rFonts w:ascii="Arial" w:cs="Arial" w:eastAsia="Arial" w:hAnsi="Arial"/>
                <w:sz w:val="17"/>
                <w:szCs w:val="17"/>
                <w:color w:val="auto"/>
              </w:rPr>
              <w:t>Effect of exchange rate changes on cash</w:t>
            </w: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60" w:type="dxa"/>
            <w:vAlign w:val="bottom"/>
          </w:tcPr>
          <w:p>
            <w:pPr>
              <w:spacing w:after="0"/>
              <w:rPr>
                <w:sz w:val="18"/>
                <w:szCs w:val="18"/>
                <w:color w:val="auto"/>
              </w:rPr>
            </w:pPr>
          </w:p>
        </w:tc>
        <w:tc>
          <w:tcPr>
            <w:tcW w:w="4680" w:type="dxa"/>
            <w:vAlign w:val="bottom"/>
            <w:gridSpan w:val="3"/>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w:t>
            </w: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840" w:type="dxa"/>
            <w:vAlign w:val="bottom"/>
            <w:gridSpan w:val="4"/>
            <w:vMerge w:val="restart"/>
          </w:tcPr>
          <w:p>
            <w:pPr>
              <w:ind w:left="1160"/>
              <w:spacing w:after="0"/>
              <w:rPr>
                <w:sz w:val="20"/>
                <w:szCs w:val="20"/>
                <w:color w:val="auto"/>
              </w:rPr>
            </w:pPr>
            <w:r>
              <w:rPr>
                <w:rFonts w:ascii="Arial" w:cs="Arial" w:eastAsia="Arial" w:hAnsi="Arial"/>
                <w:sz w:val="17"/>
                <w:szCs w:val="17"/>
                <w:color w:val="auto"/>
              </w:rPr>
              <w:t>Net decrease in cash, cash equivalents and restricted cash</w:t>
            </w: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right"/>
              <w:ind w:right="462"/>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(102)</w:t>
            </w:r>
          </w:p>
        </w:tc>
        <w:tc>
          <w:tcPr>
            <w:tcW w:w="480" w:type="dxa"/>
            <w:vAlign w:val="bottom"/>
          </w:tcPr>
          <w:p>
            <w:pP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Net cash used in operating activities improved $5 million for the year ended December 31, 2018 as compared with the prior year primarily due to improved cash earnings partially offset by less favorable accounts payable terms.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5" w:lineRule="exact"/>
        <w:rPr>
          <w:sz w:val="20"/>
          <w:szCs w:val="20"/>
          <w:color w:val="auto"/>
        </w:rPr>
      </w:pPr>
    </w:p>
    <w:p>
      <w:pPr>
        <w:ind w:right="520"/>
        <w:spacing w:after="0" w:line="272" w:lineRule="auto"/>
        <w:rPr>
          <w:sz w:val="20"/>
          <w:szCs w:val="20"/>
          <w:color w:val="auto"/>
        </w:rPr>
      </w:pPr>
      <w:r>
        <w:rPr>
          <w:rFonts w:ascii="Arial" w:cs="Arial" w:eastAsia="Arial" w:hAnsi="Arial"/>
          <w:sz w:val="17"/>
          <w:szCs w:val="17"/>
          <w:color w:val="auto"/>
        </w:rPr>
        <w:t>Net cash used in investing activities improved $2 million for the year ended December 31, 2018 as compared to the prior year due to a lower level of capital improvements.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5"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Net cash used in financing activities improved $18 million in the year ended December 31, 2018 as compared to the prior year primarily due to a lower level of debt repayment and the timing of the payment for contingent consideration related to the sale of a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Available liquidity includes cash balances and the unused portion of the ABL Credit Agreement. The amount of available liquidity is subject to fluctuations and includes cash balances held by various entities worldwide. At December 31, 2018 and 2017, approximately $117 million and $172 million, respectively, of cash and cash equivalents were held within the U.S. and approximately $131 million and $172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Kodak utilizes cash balances outside the U.S. to fund needs in the U.S. through the use of intercompany loans. As of December 31, 2018 and 2017 outstanding intercompany loans to the U.S. were $390 million and $358 million, respectively, which includes short-term intercompany loans of $92 million and $59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$72 million and $108 million, respectively, of cash and cash equivalents were held as of December 31, 2018 and 2017, there are limitations related to net asset balances that impact the ability to make cash available to other jurisdictions in the world. Under the terms of the Credit Agreements, the Company is permitted to invest up to $100 million at any time in subsidiaries and joint ventures that are not party to the loan agreement.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0" w:name="page41"/>
    <w:bookmarkEnd w:id="40"/>
    <w:p>
      <w:pPr>
        <w:ind w:right="60"/>
        <w:spacing w:after="0" w:line="260" w:lineRule="auto"/>
        <w:rPr>
          <w:sz w:val="20"/>
          <w:szCs w:val="20"/>
          <w:color w:val="auto"/>
        </w:rPr>
      </w:pPr>
      <w:r>
        <w:rPr>
          <w:rFonts w:ascii="Arial" w:cs="Arial" w:eastAsia="Arial" w:hAnsi="Arial"/>
          <w:sz w:val="17"/>
          <w:szCs w:val="17"/>
          <w:color w:val="auto"/>
        </w:rPr>
        <w:t>Under the ABL Credit Agreement, if Excess Availability ($19 million as of December 31, 2018) falls below 12.5% of lender commitments ($18.75 million as of December 31, 2018), Kodak may, in addition to the requirement to be in compliance with a minimum Fixed Charge Coverage Ratio, become subject to cash dominion control. Kodak intends to continue to maintain Excess Availability above the minimum threshold which may require additional funding of Eligible Cash. In addition to Eligible Cash, the borrowing base is supported by Eligible Receivables, Eligible Inventory and Eligible Equipment. To the extent the assets supporting the borrowing base decline, if the remaining assets included in the borrowing base are not sufficient to support the required Excess Availability amount, additional funding of Eligible Cash may be required. Since Excess Availability was greater than 12.5% of lender commitments Kodak is not required to have a minimum Fixed Charge Coverage Ratio of 1.0 to 1.0. As of December 31, 2018 EBITDA exceeded fixed charges (as defined in the ABL Credit Agreement) by approximately $5 million.</w:t>
      </w:r>
    </w:p>
    <w:p>
      <w:pPr>
        <w:spacing w:after="0" w:line="209" w:lineRule="exact"/>
        <w:rPr>
          <w:sz w:val="20"/>
          <w:szCs w:val="20"/>
          <w:color w:val="auto"/>
        </w:rPr>
      </w:pPr>
    </w:p>
    <w:p>
      <w:pPr>
        <w:ind w:right="320"/>
        <w:spacing w:after="0" w:line="320" w:lineRule="auto"/>
        <w:rPr>
          <w:sz w:val="20"/>
          <w:szCs w:val="20"/>
          <w:color w:val="auto"/>
        </w:rPr>
      </w:pPr>
      <w:r>
        <w:rPr>
          <w:rFonts w:ascii="Arial" w:cs="Arial" w:eastAsia="Arial" w:hAnsi="Arial"/>
          <w:sz w:val="16"/>
          <w:szCs w:val="16"/>
          <w:color w:val="auto"/>
        </w:rPr>
        <w:t>Kodak funded $3 million and $6 million to the Eligible Cash account held with the ABL Credit Agreement Administrative Agent as of December 31, 2018 and 2017, which is classified as Restricted cash in the Consolidated Statement of Financial Position, supporting the Excess Availability amount.</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During the second quarter of 2017, the Company reduced the amount of outstanding letters of credit issued under the ABL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 letters of credit. As a result of the Company’s current credit ratings, the Company was required to provide $6 million in letters of credit to the issuers of the surety bonds during the third quarter of 2018. The Company could be required to provide up to an additional $13 million of letters of credit to the issuers of the surety bonds in the future to fully collateralize the bonds.</w:t>
      </w:r>
    </w:p>
    <w:p>
      <w:pPr>
        <w:spacing w:after="0" w:line="206"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Under the terms of the Term Credit Agreement, Kodak is required to maintain a Secured Leverage Ratio not to exceed specified levels. The Secured Leverage Ratio is tested at the end of each quarter based on the prior four quarters and is generally determined by dividing secured debt, net of U.S. cash and cash equivalents, by consolidated EBITDA, as calculated under the Term Credit Agreement. The maximum Secured Leverage Ratio permitted under the Term Credit Agreement is 2.75 to 1. As of December 31, 2018, Kodak’s EBITDA, as calculated under the Term Credit Agreement, exceeded the EBITDA necessary to satisfy the covenant ratio by approximately $20 million.</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ABL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0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$12 million for the year ended December 31, 2018, which represents 1% of Kodak’s consolidated sales. Collectively, these subsidiaries had assets of $21 million as of December 31, 2018, which represents 1% of Kodak’s consolidated assets as of December 31, 2018.</w:t>
      </w:r>
    </w:p>
    <w:p>
      <w:pPr>
        <w:spacing w:after="0" w:line="206"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The designation of these subsidiaries as Unrestricted Subsidiaries increased the amount by which the Company’s EBITDA, as calculated under the Term Credit Agreement and the ABL Credit Agreement, exceeded the amount of EBITDA needed to satisfy the Net Secured Leverage Ratio covenant of 2.75 to 1.0 by $21 million and the Fixed Charge Coverage Ratio of 1.0 to 1.0 by $22 million as of December 31, 2018. Each of the capitalized but undefined terms has the meaning ascribed to such term in the Credit Agreements.</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future compliance may depend on Kodak undertaking one or more non-operational transactions, such as the repatriation of cash into the U.S., the management of operating cash outflows, the designation of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Credit Agreements to be immediately due and payable.</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Reporting requirements under the Term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Lenders may take the position that the going concern explanatory paragraph contained in the audit report on the Company’s financial statements as of and for the year ended December 31, 2018 does not satisfy the requirements under the Term Credit Agreement. Under the Term Credit Agreement, if notice of a failure to comply with the reporting covenant is given to the Company by the lenders, an event of default would occur thereunder if such failure is not cured within thirty days after such notice is given, unless such event of default is waived by the requisite lenders. In the event of default, the debt could become immediately due.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1" w:name="page42"/>
    <w:bookmarkEnd w:id="41"/>
    <w:p>
      <w:pPr>
        <w:ind w:right="140"/>
        <w:spacing w:after="0" w:line="284" w:lineRule="auto"/>
        <w:rPr>
          <w:sz w:val="20"/>
          <w:szCs w:val="20"/>
          <w:color w:val="auto"/>
        </w:rPr>
      </w:pPr>
      <w:r>
        <w:rPr>
          <w:rFonts w:ascii="Arial" w:cs="Arial" w:eastAsia="Arial" w:hAnsi="Arial"/>
          <w:sz w:val="16"/>
          <w:szCs w:val="16"/>
          <w:color w:val="auto"/>
        </w:rPr>
        <w:t>The Company’s ABL Credit Agreement contains an opinion delivery requirement that corresponds to the requirement under the Term Credit Agreement, although under the ABL Credit Agreement there is an additional requirement that the opinion be reasonably acceptable to the agent under the ABL Credit Agreement. On March 31, 2019 the Company obtained a waiver from the agent and lenders under the ABL Credit Agreement with respect to any event of default under the reporting covenant that may be deemed to occur in relation to the going concern explanatory paragraph in the audit report. Such waiver does not waive any cross-default that may occur in the event of the occurrence of an event of default under the Term Credit Agreement, as described above.</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loans made under the Term Credit Agreement become due on the earlier to occur of (i) the maturity date of September 3, 2019 or (ii) an acceleration of such loans following the occurrence of an event of default (as defined in the Term Credit Agreement). The Company also has issued approximately $85 million and $96 million of letters of credit under the ABL Credit Agreement as of December 31, 2018 and 2017, respectively. Should the Company not repay, refinance or extend the maturity of the loans under the existing Term Credit Agreement prior to June 5, 2019, the termination date will occur under the ABL Credit Agreement on such date unless the ABL Credit Agreement has been amended in the interim. Upon the occurrence of the termination date under the ABL Credit Agreement, the obligations thereunder will become due and the Company will need to provide alternate collateral in place of the letters of credit issued under the ABL Credit Agreement. Kodak entered into an agreement to sell its Flexographic Packaging Division (“FPD”) on November 11, 2018. The Company expects to close the sale of FPD as early as April 8, 2019 and intends to use the proceeds of such sale to reduce the loans outstanding under the Term Credit Agreement. The Company has also been engaged in negotiations to refinance the portion of the Term Credit Agreement that will not be paid from proceeds from the sale of FPD. The Company intends to amend and restate or refinance the Term Credit Agreement prior to the maturity of the Term Credit Agreement or ABL Credit Agreement and prior to the date on which any event of default would occur under the Term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Benefit Pension and Postretirement Plans</w:t>
      </w:r>
    </w:p>
    <w:p>
      <w:pPr>
        <w:spacing w:after="0" w:line="31"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Kodak made contributions (funded plans) or paid net benefits (unfunded plans) totaling approximately $15 million relating to its defined benefit pension and postretirement benefit plans in 2018. For 2019, the forecasted contribution (funded plans) and net benefit payment (unfunded plans) requirements for its defined benefit pension and postretirement plans are approximately $20 million.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31" w:lineRule="exact"/>
        <w:rPr>
          <w:sz w:val="20"/>
          <w:szCs w:val="20"/>
          <w:color w:val="auto"/>
        </w:rPr>
      </w:pPr>
    </w:p>
    <w:p>
      <w:pPr>
        <w:ind w:right="520"/>
        <w:spacing w:after="0" w:line="272" w:lineRule="auto"/>
        <w:rPr>
          <w:sz w:val="20"/>
          <w:szCs w:val="20"/>
          <w:color w:val="auto"/>
        </w:rPr>
      </w:pPr>
      <w:r>
        <w:rPr>
          <w:rFonts w:ascii="Arial" w:cs="Arial" w:eastAsia="Arial" w:hAnsi="Arial"/>
          <w:sz w:val="17"/>
          <w:szCs w:val="17"/>
          <w:color w:val="auto"/>
        </w:rPr>
        <w:t>Cash flows from investing activities included $33 million for capital expenditures for the year ended December 31, 2018. Kodak expects approximately $15 million to $25 million of cash flows for investing activities from capital expenditures for the year ended December 31, 2019.</w:t>
      </w:r>
    </w:p>
    <w:p>
      <w:pPr>
        <w:spacing w:after="0" w:line="1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mid-2019 and will initially focus on supplying FLEXCEL NX Plates to customers in the United States, Canada and Latin America. Kodak invested approximately $7 million in both 2018 and 2017. The total investment for the project is expected to be approximately $15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IRS and Korean National Tax Service Agreement</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June 2012, Kodak filed a Request for Competent Authority Assistance with the United States Internal Revenue Service (IRS). The request related to a potential double taxation issue with respect to patent licensing royalty payments received by Kodak in 2010. In October 2018, an agreement was reached by the IRS and Korean National Tax Service, resulting in a partial refund of Korean withholding taxes in the amount of $32 million. Kodak had previously agreed with the licensee that made the royalty payments that any refunds of the related Korean withholding taxes would be shared equally between Kodak and the licensee. Kodak received the $16 million net payment in the fourth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RED-Rochester, LLC</w:t>
      </w:r>
    </w:p>
    <w:p>
      <w:pPr>
        <w:spacing w:after="0" w:line="3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January 2019 Kodak entered into a series of agreements with RED-Rochester, LLC (“RED”), which provides utilities to the Eastman Business Park. Under the agreements, future utility costs at Eastman Business Park may increase. In exchange for the increase in utility costs, Kodak received a payment of $14 million from RED. Kodak is required to pay a minimum annual overhead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$4 million and the outstanding amount for those guarantees is $1 million.</w:t>
      </w:r>
    </w:p>
    <w:p>
      <w:pPr>
        <w:spacing w:after="0" w:line="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connection with the settlement of certain of the Company’s historical environmental liabilities at EBP and in accordance with the terms of the associated settlement agreement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154"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Kodak issues indemnifications in certain instances when it sells businesses and real estate, and in the ordinary course of business with its customers, suppliers, service providers and business partners.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line="266" w:lineRule="auto"/>
        <w:rPr>
          <w:sz w:val="20"/>
          <w:szCs w:val="20"/>
          <w:color w:val="auto"/>
        </w:rPr>
      </w:pPr>
      <w:r>
        <w:rPr>
          <w:rFonts w:ascii="Arial" w:cs="Arial" w:eastAsia="Arial" w:hAnsi="Arial"/>
          <w:sz w:val="17"/>
          <w:szCs w:val="17"/>
          <w:color w:val="auto"/>
        </w:rPr>
        <w:t>Further, the Company indemnifies its directors and officers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2018 was not material to Kodak’s financial position, results of operations or cash flows.</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Kodak is a smaller reporting company as defined by Rule 12b-2 of the Exchange Act and is not required to provide the information under this item.</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00"/>
          </w:cols>
          <w:pgMar w:left="240" w:top="336"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have audited the accompanying consolidated statements of financial position of Eastman Kodak Company and its subsidiaries (the “Company”) as of December 31, 2018 and 2017, and the related consolidated statements of operations, comprehensive income (loss), equity (deficit), and cash flows for each of the two years in the period ended December 31, 2018, including the related notes, and schedule of valuation and qualifying accounts for each of the two years in the period ended December 31, 2018 appearing under Item 15(a)(2) (collectively referred to as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20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Substantial Doubt About the Company’s Ability to Continue as a Going Concern</w:t>
      </w:r>
    </w:p>
    <w:p>
      <w:pPr>
        <w:spacing w:after="0" w:line="24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debt maturing in 2019, operating losses and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Principles</w:t>
      </w:r>
    </w:p>
    <w:p>
      <w:pPr>
        <w:spacing w:after="0" w:line="248"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As discussed in Note 1 to the consolidated financial statements, the Company changed the manner in which it accounts for revenues from contracts with customers and the manner in which it accounts for retirement benefits in 2018.</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4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ind w:right="520"/>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4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1, 2019</w:t>
      </w: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We have served as the Company’s auditor since at least 1924. We have not been able to determine the specific year we began serving as auditor of the Company.</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4"/>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40"/>
              <w:spacing w:after="0"/>
              <w:rPr>
                <w:sz w:val="20"/>
                <w:szCs w:val="20"/>
                <w:color w:val="auto"/>
              </w:rPr>
            </w:pPr>
            <w:r>
              <w:rPr>
                <w:rFonts w:ascii="Arial" w:cs="Arial" w:eastAsia="Arial" w:hAnsi="Arial"/>
                <w:sz w:val="17"/>
                <w:szCs w:val="17"/>
                <w:color w:val="auto"/>
              </w:rPr>
              <w:t>Sales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1,044</w:t>
            </w:r>
          </w:p>
        </w:tc>
        <w:tc>
          <w:tcPr>
            <w:tcW w:w="180" w:type="dxa"/>
            <w:vAlign w:val="bottom"/>
          </w:tcPr>
          <w:p>
            <w:pPr>
              <w:spacing w:after="0"/>
              <w:rPr>
                <w:sz w:val="19"/>
                <w:szCs w:val="19"/>
                <w:color w:val="auto"/>
              </w:rPr>
            </w:pPr>
          </w:p>
        </w:tc>
        <w:tc>
          <w:tcPr>
            <w:tcW w:w="7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net revenues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1,325</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40"/>
              <w:spacing w:after="0"/>
              <w:rPr>
                <w:sz w:val="20"/>
                <w:szCs w:val="20"/>
                <w:color w:val="auto"/>
              </w:rPr>
            </w:pPr>
            <w:r>
              <w:rPr>
                <w:rFonts w:ascii="Arial" w:cs="Arial" w:eastAsia="Arial" w:hAnsi="Arial"/>
                <w:sz w:val="17"/>
                <w:szCs w:val="17"/>
                <w:color w:val="auto"/>
              </w:rPr>
              <w:t>Sales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cost of revenues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(income), net</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Goodwill impairment loss</w:t>
            </w:r>
          </w:p>
        </w:tc>
        <w:tc>
          <w:tcPr>
            <w:tcW w:w="9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w w:val="96"/>
              </w:rPr>
              <w:t>Loss from continuing operations before interest expense, pension income excluding service cost component,</w:t>
            </w: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other charges (income), net and income taxes</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Interest expense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Pension income excluding service cost component</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Other charges (income), net</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78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continuing operations before income taxes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9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Equity in loss of equity method investment, net of income</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taxes</w:t>
            </w: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7"/>
                <w:szCs w:val="17"/>
                <w:color w:val="auto"/>
              </w:rPr>
              <w:t>(Loss) earnings from continuing operations</w:t>
            </w: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NET (LOSS) EARNINGS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880" w:type="dxa"/>
            <w:vAlign w:val="bottom"/>
            <w:vMerge w:val="continue"/>
          </w:tcPr>
          <w:p>
            <w:pPr>
              <w:spacing w:after="0"/>
              <w:rPr>
                <w:sz w:val="22"/>
                <w:szCs w:val="22"/>
                <w:color w:val="auto"/>
              </w:rPr>
            </w:pP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7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8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80" w:type="dxa"/>
            <w:vAlign w:val="bottom"/>
          </w:tcPr>
          <w:p>
            <w:pPr>
              <w:spacing w:after="0"/>
              <w:rPr>
                <w:sz w:val="20"/>
                <w:szCs w:val="20"/>
                <w:color w:val="auto"/>
              </w:rPr>
            </w:pPr>
            <w:r>
              <w:rPr>
                <w:rFonts w:ascii="Arial" w:cs="Arial" w:eastAsia="Arial" w:hAnsi="Arial"/>
                <w:sz w:val="17"/>
                <w:szCs w:val="17"/>
                <w:color w:val="auto"/>
              </w:rPr>
              <w:t>Basic (loss) earnings per share attributable to</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tcPr>
          <w:p>
            <w:pPr>
              <w:ind w:left="140"/>
              <w:spacing w:after="0"/>
              <w:rPr>
                <w:sz w:val="20"/>
                <w:szCs w:val="20"/>
                <w:color w:val="auto"/>
              </w:rPr>
            </w:pPr>
            <w:r>
              <w:rPr>
                <w:rFonts w:ascii="Arial" w:cs="Arial" w:eastAsia="Arial" w:hAnsi="Arial"/>
                <w:sz w:val="17"/>
                <w:szCs w:val="17"/>
                <w:color w:val="auto"/>
              </w:rPr>
              <w:t>Eastman Kodak Company common shareholders: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Continuing operations</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(0.68)</w:t>
            </w: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40"/>
              <w:spacing w:after="0"/>
              <w:rPr>
                <w:sz w:val="20"/>
                <w:szCs w:val="20"/>
                <w:color w:val="auto"/>
              </w:rPr>
            </w:pPr>
            <w:r>
              <w:rPr>
                <w:rFonts w:ascii="Arial" w:cs="Arial" w:eastAsia="Arial" w:hAnsi="Arial"/>
                <w:sz w:val="17"/>
                <w:szCs w:val="17"/>
                <w:color w:val="auto"/>
              </w:rPr>
              <w:t>Discontinued operations</w:t>
            </w:r>
          </w:p>
        </w:tc>
        <w:tc>
          <w:tcPr>
            <w:tcW w:w="9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(0.84)</w:t>
            </w: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Diluted (loss) earnings per share attributable to Eastman Kodak Company common shareholders:</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120"/>
              <w:spacing w:after="0"/>
              <w:rPr>
                <w:sz w:val="20"/>
                <w:szCs w:val="20"/>
                <w:color w:val="auto"/>
              </w:rPr>
            </w:pPr>
            <w:r>
              <w:rPr>
                <w:rFonts w:ascii="Arial" w:cs="Arial" w:eastAsia="Arial" w:hAnsi="Arial"/>
                <w:sz w:val="17"/>
                <w:szCs w:val="17"/>
                <w:color w:val="auto"/>
              </w:rPr>
              <w:t>Continuing operations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(0.68)</w:t>
            </w:r>
          </w:p>
        </w:tc>
        <w:tc>
          <w:tcPr>
            <w:tcW w:w="7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Discontinued operations</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120"/>
              <w:spacing w:after="0"/>
              <w:rPr>
                <w:sz w:val="20"/>
                <w:szCs w:val="20"/>
                <w:color w:val="auto"/>
              </w:rPr>
            </w:pPr>
            <w:r>
              <w:rPr>
                <w:rFonts w:ascii="Arial" w:cs="Arial" w:eastAsia="Arial" w:hAnsi="Arial"/>
                <w:sz w:val="17"/>
                <w:szCs w:val="17"/>
                <w:color w:val="auto"/>
              </w:rPr>
              <w:t>Total</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880" w:type="dxa"/>
            <w:vAlign w:val="bottom"/>
            <w:vMerge w:val="continue"/>
          </w:tcPr>
          <w:p>
            <w:pPr>
              <w:spacing w:after="0"/>
              <w:rPr>
                <w:sz w:val="22"/>
                <w:szCs w:val="22"/>
                <w:color w:val="auto"/>
              </w:rPr>
            </w:pP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(0.84)</w:t>
            </w:r>
          </w:p>
        </w:tc>
        <w:tc>
          <w:tcPr>
            <w:tcW w:w="7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8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ind w:left="120" w:right="3020" w:hanging="118"/>
        <w:spacing w:after="0" w:line="280" w:lineRule="auto"/>
        <w:rPr>
          <w:sz w:val="20"/>
          <w:szCs w:val="20"/>
          <w:color w:val="auto"/>
        </w:rPr>
      </w:pPr>
      <w:r>
        <w:rPr>
          <w:rFonts w:ascii="Arial" w:cs="Arial" w:eastAsia="Arial" w:hAnsi="Arial"/>
          <w:sz w:val="17"/>
          <w:szCs w:val="17"/>
          <w:color w:val="auto"/>
        </w:rPr>
        <w:t>Number of common shares used in basic and diluted (loss) earnings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149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Diluted</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42.7</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42.7</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42.5</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42.7</w:t>
      </w:r>
    </w:p>
    <w:p>
      <w:pPr>
        <w:spacing w:after="0" w:line="631" w:lineRule="exact"/>
        <w:rPr>
          <w:sz w:val="20"/>
          <w:szCs w:val="20"/>
          <w:color w:val="auto"/>
        </w:rPr>
      </w:pPr>
    </w:p>
    <w:p>
      <w:pPr>
        <w:sectPr>
          <w:pgSz w:w="11900" w:h="16838" w:orient="portrait"/>
          <w:cols w:equalWidth="0" w:num="3">
            <w:col w:w="8400" w:space="720"/>
            <w:col w:w="1140" w:space="720"/>
            <w:col w:w="440"/>
          </w:cols>
          <w:pgMar w:left="240" w:top="121" w:right="2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29297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INCOME (LOSS)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76"/>
              <w:spacing w:after="0" w:line="14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FF0FC"/>
          </w:tcPr>
          <w:p>
            <w:pPr>
              <w:spacing w:after="0"/>
              <w:rPr>
                <w:sz w:val="20"/>
                <w:szCs w:val="20"/>
                <w:color w:val="auto"/>
              </w:rPr>
            </w:pPr>
            <w:r>
              <w:rPr>
                <w:rFonts w:ascii="Arial" w:cs="Arial" w:eastAsia="Arial" w:hAnsi="Arial"/>
                <w:sz w:val="17"/>
                <w:szCs w:val="17"/>
                <w:color w:val="auto"/>
              </w:rPr>
              <w:t>NET (LOSS) EARNINGS</w:t>
            </w:r>
          </w:p>
        </w:tc>
        <w:tc>
          <w:tcPr>
            <w:tcW w:w="1980" w:type="dxa"/>
            <w:vAlign w:val="bottom"/>
            <w:gridSpan w:val="2"/>
            <w:shd w:val="clear" w:color="auto" w:fill="CFF0FC"/>
          </w:tcPr>
          <w:p>
            <w:pPr>
              <w:jc w:val="right"/>
              <w:ind w:right="902"/>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w:t>
            </w:r>
          </w:p>
        </w:tc>
        <w:tc>
          <w:tcPr>
            <w:tcW w:w="680" w:type="dxa"/>
            <w:vAlign w:val="bottom"/>
            <w:shd w:val="clear" w:color="auto" w:fill="CFF0FC"/>
          </w:tcPr>
          <w:p>
            <w:pPr>
              <w:jc w:val="right"/>
              <w:ind w:right="4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w:t>
            </w:r>
          </w:p>
        </w:tc>
        <w:tc>
          <w:tcPr>
            <w:tcW w:w="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7"/>
                <w:szCs w:val="17"/>
                <w:color w:val="auto"/>
              </w:rPr>
              <w:t>Currency translation adjustments</w:t>
            </w: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(11)</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 plan obligation activity, net of tax</w:t>
            </w:r>
          </w:p>
        </w:tc>
        <w:tc>
          <w:tcPr>
            <w:tcW w:w="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7"/>
                <w:szCs w:val="17"/>
                <w:color w:val="auto"/>
              </w:rPr>
              <w:t>Other comprehensive (loss) income, net attributable to Eastman Kodak Company</w:t>
            </w:r>
          </w:p>
        </w:tc>
        <w:tc>
          <w:tcPr>
            <w:tcW w:w="9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(20)</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COMPREHENSIVE (LOSS) INCOME, NET</w:t>
            </w:r>
          </w:p>
        </w:tc>
        <w:tc>
          <w:tcPr>
            <w:tcW w:w="9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vMerge w:val="continue"/>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(36)</w:t>
            </w:r>
          </w:p>
        </w:tc>
        <w:tc>
          <w:tcPr>
            <w:tcW w:w="680" w:type="dxa"/>
            <w:vAlign w:val="bottom"/>
            <w:shd w:val="clear" w:color="auto" w:fill="CFF0FC"/>
          </w:tcPr>
          <w:p>
            <w:pPr>
              <w:jc w:val="right"/>
              <w:ind w:right="4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0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2018</w:t>
            </w:r>
          </w:p>
        </w:tc>
        <w:tc>
          <w:tcPr>
            <w:tcW w:w="13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200" w:type="dxa"/>
            <w:vAlign w:val="bottom"/>
            <w:gridSpan w:val="2"/>
          </w:tcPr>
          <w:p>
            <w:pPr>
              <w:jc w:val="right"/>
              <w:ind w:right="78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246</w:t>
            </w:r>
          </w:p>
        </w:tc>
        <w:tc>
          <w:tcPr>
            <w:tcW w:w="280" w:type="dxa"/>
            <w:vAlign w:val="bottom"/>
          </w:tcPr>
          <w:p>
            <w:pPr>
              <w:spacing w:after="0"/>
              <w:rPr>
                <w:sz w:val="19"/>
                <w:szCs w:val="19"/>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Trade receivables, net of allowances of $9 and $9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Inventories,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Current assets held for sale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current assets</w:t>
            </w: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878</w:t>
            </w:r>
          </w:p>
        </w:tc>
        <w:tc>
          <w:tcPr>
            <w:tcW w:w="2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Property, plant and equipment, net of accumulated depreciation of $422 and $384, respectively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assets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Long-term assets held for sale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1,511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1,707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REDEEMABLE, CONVERTIBLE PREFERRED STOCK AND EQUITY (DEFICIT)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Accounts payable, trade</w:t>
            </w:r>
          </w:p>
        </w:tc>
        <w:tc>
          <w:tcPr>
            <w:tcW w:w="1200" w:type="dxa"/>
            <w:vAlign w:val="bottom"/>
            <w:gridSpan w:val="2"/>
          </w:tcPr>
          <w:p>
            <w:pPr>
              <w:jc w:val="right"/>
              <w:ind w:right="78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149</w:t>
            </w:r>
          </w:p>
        </w:tc>
        <w:tc>
          <w:tcPr>
            <w:tcW w:w="280" w:type="dxa"/>
            <w:vAlign w:val="bottom"/>
          </w:tcPr>
          <w:p>
            <w:pPr>
              <w:spacing w:after="0"/>
              <w:rPr>
                <w:sz w:val="19"/>
                <w:szCs w:val="19"/>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Short-term borrowings and current portion of long-term debt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Other current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 held for sale</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778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 of current portion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Pension and other postretirement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Long-term liabilities held for sale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1,341</w:t>
            </w:r>
          </w:p>
        </w:tc>
        <w:tc>
          <w:tcPr>
            <w:tcW w:w="2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Redeemable, convertible Series A preferred stock, no par value, $100 per share liquidation preference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 (Deficit)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Common stock, $0.01 par value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 in capital</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Treasury stock, at cost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(200)</w:t>
            </w: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(411)</w:t>
            </w: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equity (deficit)</w:t>
            </w: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ind w:left="220"/>
              <w:spacing w:after="0"/>
              <w:rPr>
                <w:sz w:val="20"/>
                <w:szCs w:val="20"/>
                <w:color w:val="auto"/>
              </w:rPr>
            </w:pPr>
            <w:r>
              <w:rPr>
                <w:rFonts w:ascii="Arial" w:cs="Arial" w:eastAsia="Arial" w:hAnsi="Arial"/>
                <w:sz w:val="17"/>
                <w:szCs w:val="17"/>
                <w:b w:val="1"/>
                <w:bCs w:val="1"/>
                <w:color w:val="auto"/>
              </w:rPr>
              <w:t>TOTAL LIABILITIES, REDEEMABLE CONVERTIBLE PREFERRED STOCK AND EQUITY</w:t>
            </w:r>
          </w:p>
        </w:tc>
        <w:tc>
          <w:tcPr>
            <w:tcW w:w="2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7"/>
                <w:szCs w:val="17"/>
                <w:b w:val="1"/>
                <w:bCs w:val="1"/>
                <w:color w:val="auto"/>
              </w:rPr>
              <w:t>(DEFICIT)</w:t>
            </w:r>
          </w:p>
        </w:tc>
        <w:tc>
          <w:tcPr>
            <w:tcW w:w="1200" w:type="dxa"/>
            <w:vAlign w:val="bottom"/>
            <w:gridSpan w:val="2"/>
          </w:tcPr>
          <w:p>
            <w:pPr>
              <w:jc w:val="right"/>
              <w:ind w:right="78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1,511</w:t>
            </w:r>
          </w:p>
        </w:tc>
        <w:tc>
          <w:tcPr>
            <w:tcW w:w="280" w:type="dxa"/>
            <w:vAlign w:val="bottom"/>
          </w:tcPr>
          <w:p>
            <w:pPr>
              <w:spacing w:after="0"/>
              <w:rPr>
                <w:sz w:val="19"/>
                <w:szCs w:val="19"/>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Series A</w:t>
            </w: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Redeemable</w:t>
            </w: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3"/>
              </w:rPr>
              <w:t>Paid in</w:t>
            </w:r>
          </w:p>
        </w:tc>
        <w:tc>
          <w:tcPr>
            <w:tcW w:w="100" w:type="dxa"/>
            <w:vAlign w:val="bottom"/>
          </w:tcPr>
          <w:p>
            <w:pPr>
              <w:spacing w:after="0"/>
              <w:rPr>
                <w:sz w:val="12"/>
                <w:szCs w:val="12"/>
                <w:color w:val="auto"/>
              </w:rPr>
            </w:pPr>
          </w:p>
        </w:tc>
        <w:tc>
          <w:tcPr>
            <w:tcW w:w="10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0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0" w:type="dxa"/>
            <w:vAlign w:val="bottom"/>
          </w:tcPr>
          <w:p>
            <w:pPr>
              <w:spacing w:after="0"/>
              <w:rPr>
                <w:sz w:val="1"/>
                <w:szCs w:val="1"/>
                <w:color w:val="auto"/>
              </w:rPr>
            </w:pPr>
          </w:p>
        </w:tc>
      </w:tr>
      <w:tr>
        <w:trPr>
          <w:trHeight w:val="156"/>
        </w:trPr>
        <w:tc>
          <w:tcPr>
            <w:tcW w:w="366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Stock </w:t>
            </w:r>
            <w:r>
              <w:rPr>
                <w:rFonts w:ascii="Arial" w:cs="Arial" w:eastAsia="Arial" w:hAnsi="Arial"/>
                <w:sz w:val="11"/>
                <w:szCs w:val="11"/>
                <w:b w:val="1"/>
                <w:bCs w:val="1"/>
                <w:color w:val="auto"/>
              </w:rPr>
              <w:t>(1)</w:t>
            </w:r>
          </w:p>
        </w:tc>
        <w:tc>
          <w:tcPr>
            <w:tcW w:w="1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Preferred Stock</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60" w:type="dxa"/>
            <w:vAlign w:val="bottom"/>
            <w:vMerge w:val="continue"/>
          </w:tcPr>
          <w:p>
            <w:pPr>
              <w:spacing w:after="0"/>
              <w:rPr>
                <w:sz w:val="17"/>
                <w:szCs w:val="17"/>
                <w:color w:val="auto"/>
              </w:rPr>
            </w:pP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641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(268)</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Net (loss) earnings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Currency translation adjustments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line="191" w:lineRule="exact"/>
              <w:rPr>
                <w:sz w:val="20"/>
                <w:szCs w:val="20"/>
                <w:color w:val="auto"/>
              </w:rPr>
            </w:pPr>
            <w:r>
              <w:rPr>
                <w:rFonts w:ascii="Arial" w:cs="Arial" w:eastAsia="Arial" w:hAnsi="Arial"/>
                <w:sz w:val="17"/>
                <w:szCs w:val="17"/>
                <w:color w:val="auto"/>
              </w:rPr>
              <w:t>Pension and other postretirement</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360"/>
              <w:spacing w:after="0"/>
              <w:rPr>
                <w:sz w:val="20"/>
                <w:szCs w:val="20"/>
                <w:color w:val="auto"/>
              </w:rPr>
            </w:pPr>
            <w:r>
              <w:rPr>
                <w:rFonts w:ascii="Arial" w:cs="Arial" w:eastAsia="Arial" w:hAnsi="Arial"/>
                <w:sz w:val="17"/>
                <w:szCs w:val="17"/>
                <w:color w:val="auto"/>
              </w:rPr>
              <w:t>liability adjustments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w:t>
            </w: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dividends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Arial" w:cs="Arial" w:eastAsia="Arial" w:hAnsi="Arial"/>
                <w:sz w:val="17"/>
                <w:szCs w:val="17"/>
                <w:color w:val="auto"/>
              </w:rPr>
              <w:t>Series A preferred stock deemed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20"/>
              <w:spacing w:after="0"/>
              <w:rPr>
                <w:sz w:val="20"/>
                <w:szCs w:val="20"/>
                <w:color w:val="auto"/>
              </w:rPr>
            </w:pPr>
            <w:r>
              <w:rPr>
                <w:rFonts w:ascii="Arial" w:cs="Arial" w:eastAsia="Arial" w:hAnsi="Arial"/>
                <w:sz w:val="17"/>
                <w:szCs w:val="17"/>
                <w:color w:val="auto"/>
              </w:rPr>
              <w:t>dividends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Arial" w:cs="Arial" w:eastAsia="Arial" w:hAnsi="Arial"/>
                <w:sz w:val="17"/>
                <w:szCs w:val="17"/>
                <w:color w:val="auto"/>
              </w:rPr>
              <w:t>Purchases of treasury stock, (98,056</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60" w:type="dxa"/>
            <w:vAlign w:val="bottom"/>
          </w:tcPr>
          <w:p>
            <w:pPr>
              <w:ind w:left="120"/>
              <w:spacing w:after="0"/>
              <w:rPr>
                <w:sz w:val="20"/>
                <w:szCs w:val="20"/>
                <w:color w:val="auto"/>
              </w:rPr>
            </w:pPr>
            <w:r>
              <w:rPr>
                <w:rFonts w:ascii="Arial" w:cs="Arial" w:eastAsia="Arial" w:hAnsi="Arial"/>
                <w:sz w:val="17"/>
                <w:szCs w:val="17"/>
                <w:color w:val="auto"/>
              </w:rPr>
              <w:t xml:space="preserve">shares) </w:t>
            </w:r>
            <w:r>
              <w:rPr>
                <w:rFonts w:ascii="Arial" w:cs="Arial" w:eastAsia="Arial" w:hAnsi="Arial"/>
                <w:sz w:val="14"/>
                <w:szCs w:val="14"/>
                <w:color w:val="auto"/>
              </w:rPr>
              <w:t>(2)</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Equity (deficit) as of December 31, 2017</w:t>
            </w: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vMerge w:val="continue"/>
            <w:shd w:val="clear" w:color="auto" w:fill="CFF0FC"/>
          </w:tcPr>
          <w:p>
            <w:pPr>
              <w:spacing w:after="0"/>
              <w:rPr>
                <w:sz w:val="17"/>
                <w:szCs w:val="17"/>
                <w:color w:val="auto"/>
              </w:rPr>
            </w:pP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2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2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Net earnings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Adjustments due to ASU 2014-09</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Currency translation adjustments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line="191" w:lineRule="exact"/>
              <w:rPr>
                <w:sz w:val="20"/>
                <w:szCs w:val="20"/>
                <w:color w:val="auto"/>
              </w:rPr>
            </w:pPr>
            <w:r>
              <w:rPr>
                <w:rFonts w:ascii="Arial" w:cs="Arial" w:eastAsia="Arial" w:hAnsi="Arial"/>
                <w:sz w:val="17"/>
                <w:szCs w:val="17"/>
                <w:color w:val="auto"/>
              </w:rPr>
              <w:t>Pension and other postretirement</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360"/>
              <w:spacing w:after="0"/>
              <w:rPr>
                <w:sz w:val="20"/>
                <w:szCs w:val="20"/>
                <w:color w:val="auto"/>
              </w:rPr>
            </w:pPr>
            <w:r>
              <w:rPr>
                <w:rFonts w:ascii="Arial" w:cs="Arial" w:eastAsia="Arial" w:hAnsi="Arial"/>
                <w:sz w:val="17"/>
                <w:szCs w:val="17"/>
                <w:color w:val="auto"/>
              </w:rPr>
              <w:t>liability adjustments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and accrued</w:t>
            </w: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dividends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Arial" w:cs="Arial" w:eastAsia="Arial" w:hAnsi="Arial"/>
                <w:sz w:val="17"/>
                <w:szCs w:val="17"/>
                <w:color w:val="auto"/>
              </w:rPr>
              <w:t>Series A preferred stock deemed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20"/>
              <w:spacing w:after="0"/>
              <w:rPr>
                <w:sz w:val="20"/>
                <w:szCs w:val="20"/>
                <w:color w:val="auto"/>
              </w:rPr>
            </w:pPr>
            <w:r>
              <w:rPr>
                <w:rFonts w:ascii="Arial" w:cs="Arial" w:eastAsia="Arial" w:hAnsi="Arial"/>
                <w:sz w:val="17"/>
                <w:szCs w:val="17"/>
                <w:color w:val="auto"/>
              </w:rPr>
              <w:t>dividends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7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7"/>
                <w:szCs w:val="17"/>
                <w:color w:val="auto"/>
              </w:rPr>
              <w:t>Equity (deficit) as of December 31, 2018</w:t>
            </w: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hanging="376"/>
        <w:spacing w:after="0"/>
        <w:tabs>
          <w:tab w:leader="none" w:pos="380" w:val="left"/>
        </w:tabs>
        <w:numPr>
          <w:ilvl w:val="0"/>
          <w:numId w:val="26"/>
        </w:numPr>
        <w:rPr>
          <w:rFonts w:ascii="Arial" w:cs="Arial" w:eastAsia="Arial" w:hAnsi="Arial"/>
          <w:sz w:val="15"/>
          <w:szCs w:val="15"/>
          <w:color w:val="auto"/>
        </w:rPr>
      </w:pPr>
      <w:r>
        <w:rPr>
          <w:rFonts w:ascii="Arial" w:cs="Arial" w:eastAsia="Arial" w:hAnsi="Arial"/>
          <w:sz w:val="17"/>
          <w:szCs w:val="17"/>
          <w:color w:val="auto"/>
        </w:rPr>
        <w:t>There are 60 million shares of no par value preferred stock authorized, 2 million of which have been issued.</w:t>
      </w:r>
    </w:p>
    <w:p>
      <w:pPr>
        <w:spacing w:after="0" w:line="117" w:lineRule="exact"/>
        <w:rPr>
          <w:rFonts w:ascii="Arial" w:cs="Arial" w:eastAsia="Arial" w:hAnsi="Arial"/>
          <w:sz w:val="15"/>
          <w:szCs w:val="15"/>
          <w:color w:val="auto"/>
        </w:rPr>
      </w:pPr>
    </w:p>
    <w:p>
      <w:pPr>
        <w:ind w:left="380" w:hanging="376"/>
        <w:spacing w:after="0"/>
        <w:tabs>
          <w:tab w:leader="none" w:pos="380" w:val="left"/>
        </w:tabs>
        <w:numPr>
          <w:ilvl w:val="0"/>
          <w:numId w:val="26"/>
        </w:numPr>
        <w:rPr>
          <w:rFonts w:ascii="Arial" w:cs="Arial" w:eastAsia="Arial" w:hAnsi="Arial"/>
          <w:sz w:val="15"/>
          <w:szCs w:val="15"/>
          <w:color w:val="auto"/>
        </w:rPr>
      </w:pPr>
      <w:r>
        <w:rPr>
          <w:rFonts w:ascii="Arial" w:cs="Arial" w:eastAsia="Arial" w:hAnsi="Arial"/>
          <w:sz w:val="17"/>
          <w:szCs w:val="17"/>
          <w:color w:val="auto"/>
        </w:rPr>
        <w:t>Represents purchases of common stock and/ or warrants to satisfy tax withholding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706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320" w:type="dxa"/>
            <w:vAlign w:val="bottom"/>
          </w:tcPr>
          <w:p>
            <w:pPr>
              <w:spacing w:after="0"/>
              <w:rPr>
                <w:sz w:val="15"/>
                <w:szCs w:val="15"/>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8"/>
        </w:trPr>
        <w:tc>
          <w:tcPr>
            <w:tcW w:w="7060" w:type="dxa"/>
            <w:vAlign w:val="bottom"/>
            <w:tcBorders>
              <w:bottom w:val="single" w:sz="8" w:color="CFF0FC"/>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Net (loss) earnings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income</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Change in fair value of embedded conversion features derivative liability</w:t>
            </w: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Non-cash restructuring costs, asset impairments and other charges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Prosper asset remeasurement</w:t>
            </w: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Stock based compensation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Non-cash changes in workers' compensation and legal reserves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(11)</w:t>
            </w: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Net gains on sales of businesses/assets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Provision (benefit) from 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Decrease in trade receivables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Increase in inventories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Decrease in trade accounts payable</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(31)</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Decrease in liabilities excluding borrowings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Other items,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7"/>
                <w:szCs w:val="17"/>
                <w:color w:val="auto"/>
              </w:rPr>
              <w:t>Total adjustments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(62)</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5"/>
        </w:trPr>
        <w:tc>
          <w:tcPr>
            <w:tcW w:w="7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Additions to properties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(33)</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Net proceeds from sales of businesses/assets,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Proceeds from sales of marketable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5"/>
        </w:trPr>
        <w:tc>
          <w:tcPr>
            <w:tcW w:w="7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Repayment of emergence credit facilities</w:t>
            </w: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dividend payments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Payment of contingent consideration related to the sale of a business</w:t>
            </w: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Capital lease payments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Treasury stock purchases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20"/>
                <w:szCs w:val="20"/>
                <w:color w:val="auto"/>
              </w:rPr>
            </w:pPr>
            <w:r>
              <w:rPr>
                <w:rFonts w:ascii="Arial" w:cs="Arial" w:eastAsia="Arial" w:hAnsi="Arial"/>
                <w:sz w:val="17"/>
                <w:szCs w:val="17"/>
                <w:color w:val="auto"/>
              </w:rPr>
              <w:t>Effect of exchange rate changes on cash, cash equivalents and</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12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decrease in cash and cash equivalents and restricted cash</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(102)</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2"/>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and restricted cash, end of period</w:t>
            </w: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 (Continued)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CASH FLOW INFORMATION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2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9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7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paid for interest and income taxes was:</w:t>
            </w:r>
          </w:p>
        </w:tc>
        <w:tc>
          <w:tcPr>
            <w:tcW w:w="1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7"/>
                <w:szCs w:val="17"/>
                <w:color w:val="auto"/>
              </w:rPr>
              <w:t>Interest, net of portion capitalized of $1 as of both December 31, 2018 and 2017.</w:t>
            </w:r>
          </w:p>
        </w:tc>
        <w:tc>
          <w:tcPr>
            <w:tcW w:w="204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9"/>
              <w:spacing w:after="0"/>
              <w:rPr>
                <w:sz w:val="20"/>
                <w:szCs w:val="20"/>
                <w:color w:val="auto"/>
              </w:rPr>
            </w:pPr>
            <w:r>
              <w:rPr>
                <w:rFonts w:ascii="Arial" w:cs="Arial" w:eastAsia="Arial" w:hAnsi="Arial"/>
                <w:sz w:val="17"/>
                <w:szCs w:val="17"/>
                <w:color w:val="auto"/>
              </w:rPr>
              <w:t>28</w:t>
            </w:r>
          </w:p>
        </w:tc>
        <w:tc>
          <w:tcPr>
            <w:tcW w:w="82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Income taxes (net of refunds)</w:t>
            </w:r>
          </w:p>
        </w:tc>
        <w:tc>
          <w:tcPr>
            <w:tcW w:w="2040" w:type="dxa"/>
            <w:vAlign w:val="bottom"/>
            <w:gridSpan w:val="2"/>
            <w:shd w:val="clear" w:color="auto" w:fill="CFF0FC"/>
          </w:tcPr>
          <w:p>
            <w:pPr>
              <w:jc w:val="right"/>
              <w:ind w:right="8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20" w:type="dxa"/>
            <w:vAlign w:val="bottom"/>
            <w:gridSpan w:val="2"/>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SIGNIFICANT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PRINCIPLES</w:t>
      </w:r>
    </w:p>
    <w:p>
      <w:pPr>
        <w:spacing w:after="0" w:line="123"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254"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consolidated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9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has $395 million of outstanding indebtedness under the Term Credit Agreement. The loans made under the Term Credit Agreement become due on the earlier to occur of (i) the maturity date of September 3, 2019 or (ii) the acceleration of such loans following the occurrence of an event of default (as defined in the Term Credit Agreement). The Company also has issued approximately $85 million and $96 million of letters of credit under the ABL Credit Agreement as of December 31, 2018 and 2017, respectively. Should the Company not repay, refinance or extend the maturity of the loans under the existing Term Credit Agreement prior to June 5, 2019, the termination date will occur under the ABL Credit Agreement on such date unless the ABL Credit Agreement has been amended in the interim. Upon the occurrence of the termination date under the ABL Credit Agreement, the obligations thereunder will become due and the Company will need to provide alternate collateral in place of the letters of credit issued under the ABL Credit Agreement.</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2018 and 2017, Kodak had approximately $246 million and $343 million, respectively, of cash and cash equivalents. $117 million and $172 million was held in the U.S. as of December 31, 2018 and 2017, respectively, and $129 million and $171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December 31, 2018 and 2017 were $390 million and $358 million, respectively, which includes short-term intercompany loans from Kodak’s international finance center of $92 million and $59 million as of December 31, 2018 and 2017, respectively. In China, where approximately $72 million and $108 million of cash and cash equivalents was held as of December 31, 2018 and 2017, respectively, there are limitations related to net asset balances that may impact the ability to make cash available to other jurisdictions in the world. Kodak had a net decrease in cash, cash equivalents, and restricted cash of $102 million and $109 million for the years ended December 31, 2018, and 2017, respectively.</w:t>
      </w:r>
    </w:p>
    <w:p>
      <w:pPr>
        <w:spacing w:after="0" w:line="12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8"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As of the date of issuance of these financial statements, Kodak has debt coming due within twelve months and does not have committed financing or available liquidity to meet such debt obligations if they were to become due in accordance with their current terms.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Reporting requirements under the Term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Lenders may take the position that the going concern explanatory paragraph contained in the audit report on the Company’s financial statements as of and for the year ended December 31, 2018 does not satisfy the requirements under the Term Credit Agreement. Under the Term Credit Agreement, if notice of a failure to comply with the reporting covenant is given to the Company by the lenders, an event of default would occur thereunder if such failure is not cured within thirty days after such notice is given, unless such event of default is waived by the requisite lenders. In the event of default, the debt could become immediately due.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right="80"/>
        <w:spacing w:after="0" w:line="284" w:lineRule="auto"/>
        <w:rPr>
          <w:sz w:val="20"/>
          <w:szCs w:val="20"/>
          <w:color w:val="auto"/>
        </w:rPr>
      </w:pPr>
      <w:r>
        <w:rPr>
          <w:rFonts w:ascii="Arial" w:cs="Arial" w:eastAsia="Arial" w:hAnsi="Arial"/>
          <w:sz w:val="16"/>
          <w:szCs w:val="16"/>
          <w:color w:val="auto"/>
        </w:rPr>
        <w:t>The Company’s ABL Credit Agreement contains an opinion delivery requirement that corresponds to the requirement under the Term Credit Agreement, although under the ABL Credit Agreement there is an additional requirement that the opinion be reasonably acceptable to the agent under the ABL Credit Agreement. On March 31, 2019 the Company obtained a waiver from the agent and lenders under the ABL Credit Agreement with respect to any event of default under the reporting covenant that may be deemed to occur in relation to the going concern explanatory paragraph in the audit report. Such waiver does not waive any cross-default that may occur in the event of the occurrence of an event of default under the Term Credit Agreement as described above.</w:t>
      </w:r>
    </w:p>
    <w:p>
      <w:pPr>
        <w:spacing w:after="0" w:line="1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Kodak entered into an agreement to sell its Flexographic Packaging Division (“FPD”) on November 11, 2018. The Company expects to close the sale of FPD as early as April 8, 2019 and intends to use the proceeds of such sale to reduce the loans outstanding under the Term Credit Agreement. The Company has also been engaged in negotiations to refinance the portion of the Term Credit Agreement that will not be paid from proceeds from the sale of FPD. The Company intends to amend and restate or refinance the Term Credit Agreement prior to the maturity of the Term Credit Agreement or ABL Credit Agreement and prior to the date on which any event of default would occur under the Term Credit Agreement.</w:t>
      </w:r>
    </w:p>
    <w:p>
      <w:pPr>
        <w:spacing w:after="0" w:line="20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Additionally, Kodak is facing liquidity challenges due to operating losses and negative cash flow. Based on forecasted cash flows, there are uncertainties regarding Kodak’s ability to meet commitments in the U.S. as they come due. Kodak’s plans to improve cash flow include reducing interest expense by decreasing the debt balance using proceeds from asset sales, including the sale of the Flexographic Packaging segment; further restructuring Kodak’s cost structure; and paring investment in new technology by eliminating, slowing, and partnering with investors in product development programs.</w:t>
      </w:r>
    </w:p>
    <w:p>
      <w:pPr>
        <w:spacing w:after="0" w:line="18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sale of the Flexographic Packaging segment and/or refinancing of the loans under the Term Credit Agreement are not solely within Kodak’s control. Executing agreements for the sale or a refinancing of the loans under the Term Credit Agreement and the timing for a closing of the sale or a refinancing of the loans under the Term Credit Agreement are dependent upon several external factors outside Kodak’s control, including but not limited to, the ability of the Company to reach acceptable agreements with different counterparties and the time required to meet conditions to closing under a sale agreement or credit facility.</w:t>
      </w:r>
    </w:p>
    <w:p>
      <w:pPr>
        <w:spacing w:after="0" w:line="172" w:lineRule="exact"/>
        <w:rPr>
          <w:sz w:val="20"/>
          <w:szCs w:val="20"/>
          <w:color w:val="auto"/>
        </w:rPr>
      </w:pPr>
    </w:p>
    <w:p>
      <w:pPr>
        <w:jc w:val="both"/>
        <w:ind w:right="400"/>
        <w:spacing w:after="0" w:line="271" w:lineRule="auto"/>
        <w:rPr>
          <w:sz w:val="20"/>
          <w:szCs w:val="20"/>
          <w:color w:val="auto"/>
        </w:rPr>
      </w:pPr>
      <w:r>
        <w:rPr>
          <w:rFonts w:ascii="Arial" w:cs="Arial" w:eastAsia="Arial" w:hAnsi="Arial"/>
          <w:sz w:val="17"/>
          <w:szCs w:val="17"/>
          <w:color w:val="auto"/>
        </w:rPr>
        <w:t>Kodak makes no assurances regarding the likelihood, certainty or timing of consummating any asset sales, including of the Flexographic Packaging segment, refinancing of the Company’s existing debt, or regarding the sufficiency of any such actions to meet Kodak’s debt obligations, including compliance with debt covenants, or other commitments in the U.S. as they come due.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These conditions raise substantial doubt about Kodak’s ability to continue as a going concern</w:t>
      </w:r>
      <w:r>
        <w:rPr>
          <w:rFonts w:ascii="Arial" w:cs="Arial" w:eastAsia="Arial" w:hAnsi="Arial"/>
          <w:sz w:val="17"/>
          <w:szCs w:val="17"/>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the Term Credit Agreement, the ABL Credit Agreement and debt covenants see Note 9, “Debt and Capital Leases”.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2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due to adoption of Accounting Standards Update (“ASU”) ASU 2017-07, Compensation – Retirements Benefits (Topic 715): Improving the Presentation of Net Periodic Pension Cost and New Periodic Postretirement Benefit Cost and a change in segment measure to exclude amortization of prior service costs and credits. Refer to Note 1, Summary of Significant Accounting Policies – Recently Adopted Accounting Standards and Note 26, “Segment Information”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For certain other subsidiaries and branches outside the U.S., operations are conducted primarily in U.S. dollars, which is therefore the functional</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(income) charges, net in the accompanying Consolidated Statement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3" w:name="page54"/>
    <w:bookmarkEnd w:id="53"/>
    <w:p>
      <w:pPr>
        <w:ind w:right="260"/>
        <w:spacing w:after="0" w:line="287" w:lineRule="auto"/>
        <w:rPr>
          <w:sz w:val="20"/>
          <w:szCs w:val="20"/>
          <w:color w:val="auto"/>
        </w:rPr>
      </w:pPr>
      <w:r>
        <w:rPr>
          <w:rFonts w:ascii="Arial" w:cs="Arial" w:eastAsia="Arial" w:hAnsi="Arial"/>
          <w:sz w:val="17"/>
          <w:szCs w:val="17"/>
          <w:color w:val="auto"/>
        </w:rPr>
        <w:t>The effects of foreign currency transactions, including related hedging activities, are included in Other (income) charges, net, in the accompanying Consolidated Statement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Financial instruments that potentially subject Kodak to significant concentrations of credit risk consist principally of cash and cash equivalents, receivables, restricted cash and derivative instruments. Kodak places its cash, cash equivalents and restricted cash with high-quality financial 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 maintains reserves for potential credit losses and such losses, in the aggregate, have not exceeded management’s expectations. Counterparties to the derivative instrument contracts are major financial institutions. Kodak has not experienced non-performance by any of its derivative instrument counterparties.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All highly liquid investments with a remaining maturity of three months or less at date of purchase are considered to be cash equivalents.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23"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Inventories are stated at the lower of cost or market. The cost of all of Kodak’s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Kodak calculates depreciation expense using the straight-line method over the assets’ estimated useful lives, which are as follows:</w:t>
      </w:r>
    </w:p>
    <w:p>
      <w:pPr>
        <w:spacing w:after="0" w:line="255"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4640" w:type="dxa"/>
            <w:vAlign w:val="bottom"/>
          </w:tcPr>
          <w:p>
            <w:pPr>
              <w:spacing w:after="0"/>
              <w:rPr>
                <w:sz w:val="18"/>
                <w:szCs w:val="18"/>
                <w:color w:val="auto"/>
              </w:rPr>
            </w:pPr>
          </w:p>
        </w:tc>
        <w:tc>
          <w:tcPr>
            <w:tcW w:w="3360" w:type="dxa"/>
            <w:vAlign w:val="bottom"/>
          </w:tcPr>
          <w:p>
            <w:pPr>
              <w:jc w:val="center"/>
              <w:ind w:left="1813"/>
              <w:spacing w:after="0"/>
              <w:rPr>
                <w:sz w:val="20"/>
                <w:szCs w:val="20"/>
                <w:color w:val="auto"/>
              </w:rPr>
            </w:pPr>
            <w:r>
              <w:rPr>
                <w:rFonts w:ascii="Arial" w:cs="Arial" w:eastAsia="Arial" w:hAnsi="Arial"/>
                <w:sz w:val="17"/>
                <w:szCs w:val="17"/>
                <w:b w:val="1"/>
                <w:bCs w:val="1"/>
                <w:color w:val="auto"/>
                <w:w w:val="91"/>
              </w:rPr>
              <w:t>Estimated Useful</w:t>
            </w:r>
          </w:p>
        </w:tc>
      </w:tr>
      <w:tr>
        <w:trPr>
          <w:trHeight w:val="227"/>
        </w:trPr>
        <w:tc>
          <w:tcPr>
            <w:tcW w:w="4640" w:type="dxa"/>
            <w:vAlign w:val="bottom"/>
          </w:tcPr>
          <w:p>
            <w:pPr>
              <w:spacing w:after="0"/>
              <w:rPr>
                <w:sz w:val="19"/>
                <w:szCs w:val="19"/>
                <w:color w:val="auto"/>
              </w:rPr>
            </w:pPr>
          </w:p>
        </w:tc>
        <w:tc>
          <w:tcPr>
            <w:tcW w:w="3360" w:type="dxa"/>
            <w:vAlign w:val="bottom"/>
          </w:tcPr>
          <w:p>
            <w:pPr>
              <w:jc w:val="center"/>
              <w:ind w:left="1833"/>
              <w:spacing w:after="0"/>
              <w:rPr>
                <w:sz w:val="20"/>
                <w:szCs w:val="20"/>
                <w:color w:val="auto"/>
              </w:rPr>
            </w:pPr>
            <w:r>
              <w:rPr>
                <w:rFonts w:ascii="Arial" w:cs="Arial" w:eastAsia="Arial" w:hAnsi="Arial"/>
                <w:sz w:val="17"/>
                <w:szCs w:val="17"/>
                <w:b w:val="1"/>
                <w:bCs w:val="1"/>
                <w:color w:val="auto"/>
                <w:w w:val="91"/>
              </w:rPr>
              <w:t>Lives</w:t>
            </w:r>
          </w:p>
        </w:tc>
      </w:tr>
      <w:tr>
        <w:trPr>
          <w:trHeight w:val="222"/>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Buildings and building improvements</w:t>
            </w:r>
          </w:p>
        </w:tc>
        <w:tc>
          <w:tcPr>
            <w:tcW w:w="3360" w:type="dxa"/>
            <w:vAlign w:val="bottom"/>
            <w:shd w:val="clear" w:color="auto" w:fill="CFF0FC"/>
          </w:tcPr>
          <w:p>
            <w:pPr>
              <w:jc w:val="center"/>
              <w:ind w:left="1833"/>
              <w:spacing w:after="0"/>
              <w:rPr>
                <w:sz w:val="20"/>
                <w:szCs w:val="20"/>
                <w:color w:val="auto"/>
              </w:rPr>
            </w:pPr>
            <w:r>
              <w:rPr>
                <w:rFonts w:ascii="Arial" w:cs="Arial" w:eastAsia="Arial" w:hAnsi="Arial"/>
                <w:sz w:val="17"/>
                <w:szCs w:val="17"/>
                <w:color w:val="auto"/>
                <w:w w:val="93"/>
              </w:rPr>
              <w:t>5-40</w:t>
            </w:r>
          </w:p>
        </w:tc>
      </w:tr>
      <w:tr>
        <w:trPr>
          <w:trHeight w:val="222"/>
        </w:trPr>
        <w:tc>
          <w:tcPr>
            <w:tcW w:w="4640" w:type="dxa"/>
            <w:vAlign w:val="bottom"/>
          </w:tcPr>
          <w:p>
            <w:pPr>
              <w:spacing w:after="0"/>
              <w:rPr>
                <w:sz w:val="20"/>
                <w:szCs w:val="20"/>
                <w:color w:val="auto"/>
              </w:rPr>
            </w:pPr>
            <w:r>
              <w:rPr>
                <w:rFonts w:ascii="Arial" w:cs="Arial" w:eastAsia="Arial" w:hAnsi="Arial"/>
                <w:sz w:val="17"/>
                <w:szCs w:val="17"/>
                <w:color w:val="auto"/>
              </w:rPr>
              <w:t>Land improvements</w:t>
            </w:r>
          </w:p>
        </w:tc>
        <w:tc>
          <w:tcPr>
            <w:tcW w:w="3360" w:type="dxa"/>
            <w:vAlign w:val="bottom"/>
          </w:tcPr>
          <w:p>
            <w:pPr>
              <w:jc w:val="center"/>
              <w:ind w:left="1833"/>
              <w:spacing w:after="0"/>
              <w:rPr>
                <w:sz w:val="20"/>
                <w:szCs w:val="20"/>
                <w:color w:val="auto"/>
              </w:rPr>
            </w:pPr>
            <w:r>
              <w:rPr>
                <w:rFonts w:ascii="Arial" w:cs="Arial" w:eastAsia="Arial" w:hAnsi="Arial"/>
                <w:sz w:val="17"/>
                <w:szCs w:val="17"/>
                <w:color w:val="auto"/>
                <w:w w:val="93"/>
              </w:rPr>
              <w:t>4-20</w:t>
            </w:r>
          </w:p>
        </w:tc>
      </w:tr>
      <w:tr>
        <w:trPr>
          <w:trHeight w:val="222"/>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3360" w:type="dxa"/>
            <w:vAlign w:val="bottom"/>
            <w:shd w:val="clear" w:color="auto" w:fill="CFF0FC"/>
          </w:tcPr>
          <w:p>
            <w:pPr>
              <w:jc w:val="center"/>
              <w:ind w:left="1833"/>
              <w:spacing w:after="0"/>
              <w:rPr>
                <w:sz w:val="20"/>
                <w:szCs w:val="20"/>
                <w:color w:val="auto"/>
              </w:rPr>
            </w:pPr>
            <w:r>
              <w:rPr>
                <w:rFonts w:ascii="Arial" w:cs="Arial" w:eastAsia="Arial" w:hAnsi="Arial"/>
                <w:sz w:val="17"/>
                <w:szCs w:val="17"/>
                <w:color w:val="auto"/>
                <w:w w:val="93"/>
              </w:rPr>
              <w:t>3-20</w:t>
            </w:r>
          </w:p>
        </w:tc>
      </w:tr>
      <w:tr>
        <w:trPr>
          <w:trHeight w:val="222"/>
        </w:trPr>
        <w:tc>
          <w:tcPr>
            <w:tcW w:w="4640" w:type="dxa"/>
            <w:vAlign w:val="bottom"/>
          </w:tcPr>
          <w:p>
            <w:pPr>
              <w:spacing w:after="0"/>
              <w:rPr>
                <w:sz w:val="20"/>
                <w:szCs w:val="20"/>
                <w:color w:val="auto"/>
              </w:rPr>
            </w:pPr>
            <w:r>
              <w:rPr>
                <w:rFonts w:ascii="Arial" w:cs="Arial" w:eastAsia="Arial" w:hAnsi="Arial"/>
                <w:sz w:val="17"/>
                <w:szCs w:val="17"/>
                <w:color w:val="auto"/>
              </w:rPr>
              <w:t>Equipment</w:t>
            </w:r>
          </w:p>
        </w:tc>
        <w:tc>
          <w:tcPr>
            <w:tcW w:w="3360" w:type="dxa"/>
            <w:vAlign w:val="bottom"/>
          </w:tcPr>
          <w:p>
            <w:pPr>
              <w:jc w:val="center"/>
              <w:ind w:left="1833"/>
              <w:spacing w:after="0"/>
              <w:rPr>
                <w:sz w:val="20"/>
                <w:szCs w:val="20"/>
                <w:color w:val="auto"/>
              </w:rPr>
            </w:pPr>
            <w:r>
              <w:rPr>
                <w:rFonts w:ascii="Arial" w:cs="Arial" w:eastAsia="Arial" w:hAnsi="Arial"/>
                <w:sz w:val="17"/>
                <w:szCs w:val="17"/>
                <w:color w:val="auto"/>
                <w:w w:val="93"/>
              </w:rPr>
              <w:t>3-20</w:t>
            </w:r>
          </w:p>
        </w:tc>
      </w:tr>
      <w:tr>
        <w:trPr>
          <w:trHeight w:val="222"/>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Tooling</w:t>
            </w:r>
          </w:p>
        </w:tc>
        <w:tc>
          <w:tcPr>
            <w:tcW w:w="3360" w:type="dxa"/>
            <w:vAlign w:val="bottom"/>
            <w:shd w:val="clear" w:color="auto" w:fill="CFF0FC"/>
          </w:tcPr>
          <w:p>
            <w:pPr>
              <w:jc w:val="center"/>
              <w:ind w:left="1813"/>
              <w:spacing w:after="0"/>
              <w:rPr>
                <w:sz w:val="20"/>
                <w:szCs w:val="20"/>
                <w:color w:val="auto"/>
              </w:rPr>
            </w:pPr>
            <w:r>
              <w:rPr>
                <w:rFonts w:ascii="Arial" w:cs="Arial" w:eastAsia="Arial" w:hAnsi="Arial"/>
                <w:sz w:val="17"/>
                <w:szCs w:val="17"/>
                <w:color w:val="auto"/>
                <w:w w:val="89"/>
              </w:rPr>
              <w:t>1-3</w:t>
            </w:r>
          </w:p>
        </w:tc>
      </w:tr>
      <w:tr>
        <w:trPr>
          <w:trHeight w:val="221"/>
        </w:trPr>
        <w:tc>
          <w:tcPr>
            <w:tcW w:w="46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360" w:type="dxa"/>
            <w:vAlign w:val="bottom"/>
          </w:tcPr>
          <w:p>
            <w:pPr>
              <w:jc w:val="center"/>
              <w:ind w:left="1833"/>
              <w:spacing w:after="0"/>
              <w:rPr>
                <w:sz w:val="20"/>
                <w:szCs w:val="20"/>
                <w:color w:val="auto"/>
              </w:rPr>
            </w:pPr>
            <w:r>
              <w:rPr>
                <w:rFonts w:ascii="Arial" w:cs="Arial" w:eastAsia="Arial" w:hAnsi="Arial"/>
                <w:sz w:val="17"/>
                <w:szCs w:val="17"/>
                <w:color w:val="auto"/>
                <w:w w:val="93"/>
              </w:rPr>
              <w:t>5-10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 depreciates leasehold improvements over the shorter of the lease term or the asset’s estimated useful life.</w:t>
      </w:r>
    </w:p>
    <w:p>
      <w:pPr>
        <w:spacing w:after="0" w:line="117"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Equipment subject to operating leases is included in Property, plant and equipment, net in the Consolidated Statement of Financial Position. Equipment subject to operating leases consists of equipment rented to customers and is depreciated to estimated salvage value over its expected useful life. Equipment operating lease terms and depreciable lives generally vary from 3 to 7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3"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to test for a potential impairment of goodwill. The amount of goodwill impairment, if any, is calculated as the amount by which a reporting unit’s carrying value exceeds its fair value, not to exceed the carrying amount of goodwill. Determining the fair value of a reporting unit involves the use of significant estimates and assumptions. Refer to Note 5, “Goodwill and Other Intangible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WORKERS’ COMPENSATION</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7, “Other Current Liabilities” and Note 8,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2018 and 2017 was $20 million and $25 million, respectively, of which $17 million and $22 million, respectively, is reported in Other long-term assets in the Consolidated Statement of Financial Position. The remaining $3 million at each year end is reported in Other current assets in the Consolidated Statement of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25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Kodak’s revenue transactions include sales of products (such as components and consumables for use in Kodak and other manufacturers’ equipment and film-based products): equipment, software, services, integrated solutions, intellectual property and brand licensing; and real estate management activities. Revenue from services includes extended warranty, customer support and maintenance agreements, consulting, business process services, training and education.</w:t>
      </w:r>
    </w:p>
    <w:p>
      <w:pPr>
        <w:spacing w:after="0" w:line="15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Revenue is recognized when control of the promised goods or services is transferred to customers in an amount that reflects the consideration Kodak expects to be entitled to in exchange for those goods or services.</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 product sales (such as plates, film, inks, chemicals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materials-based agreements is recognized as services is performed.</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Equipment is generally dependent on, and interrelated with, the underlying operating system (firm 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may be prepaid or paid over-time and range from three months to six years. For such arrangements, revenue is allocated to each performance obligation based on its relative standalone selling price. Standalone selling prices are based on the prices charged to customers or using expected cost-plus margin.</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For non-complex equipment installations and software sales (Prepress and Prosper Components and Unified Workflow Solutions businesses)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Unified Workflow Solutions) revenue is deferred until receipt of customer acceptance and control has transferred to the buyer.</w:t>
      </w:r>
    </w:p>
    <w:p>
      <w:pPr>
        <w:spacing w:after="0" w:line="18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Software licenses are sold both in bundled equipment arrangements as discussed above or on a stand-alone basis (Unified Workflow Solutions business). Software licenses are generally perpetual and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service arrangements such as consulting or business process services (Kodak Technology Solutions business) where final acceptance by the customer is required, revenue is deferred until all acceptance criteria have been met and Kodak has a legal right to payment.</w:t>
      </w:r>
    </w:p>
    <w:p>
      <w:pPr>
        <w:spacing w:after="0" w:line="15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Kodak’s licensing revenue is comprised of software licenses as discussed above, licenses to use functional intellectual property (patents and technical know-how) and licenses to use symbolic intellectual property (brand names and trademarks) (Consumer and Film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181"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Real estate management revenue consists primarily of tenant lease income, common area maintenance charges and utilities. Usage based revenue is recognized as earned while tenant lease income is recognized on a straight-line basis over the lease term.</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30" w:right="25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7"/>
          <w:szCs w:val="17"/>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17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58"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Kodak expenses sales commissions when incurred if the amortization period would be one year or less. These costs are recorded in Selling, general and administrative expenses. Kodak accrues the estimated cost of post-sale obligations, including basic product warranties, at the time of revenue recognition. Shipping and handling costs are accounted for as fulfillment costs and are included in cost of sales.</w:t>
      </w:r>
    </w:p>
    <w:p>
      <w:pPr>
        <w:spacing w:after="0" w:line="17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December 31, 2018, there was approximately $70 million of unrecognized revenue from unsatisfied performance obligations. Approximately 35% of the revenue from unsatisfied performance obligations is expected to be recognized in 2019, 30% in 2020, 15% in 2021 and 20% thereafter.</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23"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123" w:lineRule="exact"/>
        <w:rPr>
          <w:sz w:val="20"/>
          <w:szCs w:val="20"/>
          <w:color w:val="auto"/>
        </w:rPr>
      </w:pPr>
    </w:p>
    <w:p>
      <w:pPr>
        <w:ind w:right="540"/>
        <w:spacing w:after="0" w:line="320"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 of Operations. Advertising expenses amounted to $4 million and $6 million for the years ended December 31, 2018 and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Amounts charged to customers and costs incurred by Kodak related to shipping and handling are included in net sales and cost of sales,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3"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recoverability of the carrying values of long-lived assets is assessed by first grouping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76"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2018 and 2017, refer to Note 17, “Income Taxes.”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6" w:name="page57"/>
    <w:bookmarkEnd w:id="56"/>
    <w:p>
      <w:pPr>
        <w:ind w:right="80"/>
        <w:spacing w:after="0" w:line="287"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5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In February 2018, the Financial Accounting Standards Board (“FASB”) issued Accounting Standards Update (“ASU”) ASU 2018-05, “Income Taxes (Topic 740): Amendments to SEC Paragraphs Pursuant to SEC Staff Accounting Bulletin No. 118” (“ASU 2018-05”), which updates the income tax accounting in U.S. generally accepted accounting principles (GAAP) to reflect the SEC interpretive guidance released on December 22, 2017, when the 2017 Act was signed into law. Additional information regarding the adoption of this standard is contained in Note 17, Income Taxes.</w:t>
      </w:r>
    </w:p>
    <w:p>
      <w:pPr>
        <w:spacing w:after="0" w:line="202"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In March 2017, the FASB issued ASU 2017-07, Compensation—Retirements Benefits (Topic 715): Improving the Presentation of Net Periodic Pension Cost and Net Periodic Postretirement Benefit Cost. ASU 2017-07 requires entities to report the service cost component of net periodic pension and postretirement benefit cost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Kodak adopted ASU 2017-07 effective January 1, 2018, retrospectively for the presentation of the service cost and other cost components and prospectively for the application of the capitalization eligibility. The components of net benefit cost are shown in Note 19, “Retirement Plans” and Note 20, “Other Postretirement Benefits”. The guidance impacted presentation in Kodak’s consolidated financial statements and the capitalization of costs to inventory. The presentation of the service cost component was consistent with the requirements of the new standard. The other components (which were presented within Cost of revenues, Selling and general administrative expenses and Research and development costs) are being presented separately on the face of the Consolidated Statement of Operations. The segment measure of profit and loss previously included only the service cost and amortization of prior service credits components of net periodic pension and postretirement benefit costs (refer to Note 26, “Segment Information”). Effective January 1, 2018, the segment measure of profit and loss only includes the service cost component of net periodic pension and postretirement benefit costs and prior periods have been reclassified to conform to this presentation.</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Kodak adopted ASU 2017-05 effective January 1, 2018 using the modified retrospective adoption approach. The application of this standard did not have a material impact on Kodak’s consolidated financial statements.</w:t>
      </w:r>
    </w:p>
    <w:p>
      <w:pPr>
        <w:spacing w:after="0" w:line="1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Kodak adopted ASU 2016-01 effective January 1, 2018. The adoption of this guidance did not have a material impact on Kodak’s consolidated financial statements.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Kodak adopted the provisions of the new standard effective January 1, 2018 using the modified retrospective method which allows companies to record a one-time adjustment to opening retained earnings for the cumulative effect of the standard on open contracts at the time of adoption. Kodak derives revenue from various brand licensing arrangements, which may include upfront payments and/or sales-based royalties subject to minimum annual guaranteed amounts. Kodak recorded a cumulative effect adjustment of approximately $10 million as a decrease to the opening balance of retained earnings related to these arrangements. With the exception of brand license revenue, Kodak did not identify any changes in the timing of revenue recognition that resulted in a material transition adjustment.</w:t>
      </w:r>
    </w:p>
    <w:p>
      <w:pPr>
        <w:spacing w:after="0" w:line="81"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The cumulative effect of the changes made to the Consolidated Statement of Financial Position for January 1, 2018 for the adoption of ASU 2014-09 were as follows. The net reduction in opening retained earnings primarily reflected the impact related to brand licensing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57" w:name="page58"/>
    <w:bookmarkEnd w:id="57"/>
    <w:tbl>
      <w:tblPr>
        <w:tblLayout w:type="fixed"/>
        <w:tblInd w:w="11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Balance at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December 31,</w:t>
            </w:r>
          </w:p>
        </w:tc>
        <w:tc>
          <w:tcPr>
            <w:tcW w:w="240" w:type="dxa"/>
            <w:vAlign w:val="bottom"/>
          </w:tcPr>
          <w:p>
            <w:pPr>
              <w:spacing w:after="0"/>
              <w:rPr>
                <w:sz w:val="18"/>
                <w:szCs w:val="18"/>
                <w:color w:val="auto"/>
              </w:rPr>
            </w:pPr>
          </w:p>
        </w:tc>
        <w:tc>
          <w:tcPr>
            <w:tcW w:w="21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Adjustments Due to</w:t>
            </w: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5"/>
              </w:rPr>
              <w:t>January 1,</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220" w:type="dxa"/>
            <w:vAlign w:val="bottom"/>
          </w:tcPr>
          <w:p>
            <w:pPr>
              <w:spacing w:after="0"/>
              <w:rPr>
                <w:sz w:val="19"/>
                <w:szCs w:val="19"/>
                <w:color w:val="auto"/>
              </w:rPr>
            </w:pPr>
          </w:p>
        </w:tc>
        <w:tc>
          <w:tcPr>
            <w:tcW w:w="1500" w:type="dxa"/>
            <w:vAlign w:val="bottom"/>
          </w:tcPr>
          <w:p>
            <w:pPr>
              <w:jc w:val="center"/>
              <w:ind w:right="153"/>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2"/>
          </w:tcPr>
          <w:p>
            <w:pPr>
              <w:jc w:val="right"/>
              <w:ind w:right="760"/>
              <w:spacing w:after="0"/>
              <w:rPr>
                <w:sz w:val="20"/>
                <w:szCs w:val="20"/>
                <w:color w:val="auto"/>
              </w:rPr>
            </w:pPr>
            <w:r>
              <w:rPr>
                <w:rFonts w:ascii="Arial" w:cs="Arial" w:eastAsia="Arial" w:hAnsi="Arial"/>
                <w:sz w:val="17"/>
                <w:szCs w:val="17"/>
                <w:b w:val="1"/>
                <w:bCs w:val="1"/>
                <w:color w:val="auto"/>
              </w:rPr>
              <w:t>ASU 2014-09</w:t>
            </w:r>
          </w:p>
        </w:tc>
        <w:tc>
          <w:tcPr>
            <w:tcW w:w="340" w:type="dxa"/>
            <w:vAlign w:val="bottom"/>
          </w:tcPr>
          <w:p>
            <w:pPr>
              <w:spacing w:after="0"/>
              <w:rPr>
                <w:sz w:val="19"/>
                <w:szCs w:val="19"/>
                <w:color w:val="auto"/>
              </w:rPr>
            </w:pPr>
          </w:p>
        </w:tc>
        <w:tc>
          <w:tcPr>
            <w:tcW w:w="1580" w:type="dxa"/>
            <w:vAlign w:val="bottom"/>
          </w:tcPr>
          <w:p>
            <w:pPr>
              <w:jc w:val="center"/>
              <w:ind w:right="253"/>
              <w:spacing w:after="0"/>
              <w:rPr>
                <w:sz w:val="20"/>
                <w:szCs w:val="20"/>
                <w:color w:val="auto"/>
              </w:rPr>
            </w:pPr>
            <w:r>
              <w:rPr>
                <w:rFonts w:ascii="Arial" w:cs="Arial" w:eastAsia="Arial" w:hAnsi="Arial"/>
                <w:sz w:val="17"/>
                <w:szCs w:val="17"/>
                <w:b w:val="1"/>
                <w:bCs w:val="1"/>
                <w:color w:val="auto"/>
                <w:w w:val="95"/>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7"/>
                <w:szCs w:val="17"/>
                <w:b w:val="1"/>
                <w:bCs w:val="1"/>
                <w:color w:val="auto"/>
              </w:rPr>
              <w:t>Deficit</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(174)</w:t>
            </w:r>
          </w:p>
        </w:tc>
        <w:tc>
          <w:tcPr>
            <w:tcW w:w="2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impact of the adoption on the Consolidated Statement of Operations and Consolidated Statement of Financial Position are presented in the tables below. For the year ended December 31, 2018, Kodak recognized $3 million of the $10 million cumulative effect adjustment recorded under ASC 606, however, this revenue was offset by $3 million of revenue under new brand licensing arrangements that was deferred under ASC 606 but would have been recognized in 2018 under ASC 605.</w:t>
      </w: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4"/>
          </w:tcPr>
          <w:p>
            <w:pPr>
              <w:spacing w:after="0"/>
              <w:rPr>
                <w:sz w:val="20"/>
                <w:szCs w:val="20"/>
                <w:color w:val="auto"/>
              </w:rPr>
            </w:pPr>
            <w:r>
              <w:rPr>
                <w:rFonts w:ascii="Arial" w:cs="Arial" w:eastAsia="Arial" w:hAnsi="Arial"/>
                <w:sz w:val="17"/>
                <w:szCs w:val="17"/>
                <w:b w:val="1"/>
                <w:bCs w:val="1"/>
                <w:color w:val="auto"/>
                <w:w w:val="93"/>
              </w:rPr>
              <w:t>Year Ended December 31, 2018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3"/>
              </w:rPr>
              <w:t>Amounts without Adoption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9"/>
              </w:rPr>
              <w:t>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Effect of Change</w:t>
            </w:r>
          </w:p>
        </w:tc>
        <w:tc>
          <w:tcPr>
            <w:tcW w:w="0" w:type="dxa"/>
            <w:vAlign w:val="bottom"/>
          </w:tcPr>
          <w:p>
            <w:pPr>
              <w:spacing w:after="0"/>
              <w:rPr>
                <w:sz w:val="1"/>
                <w:szCs w:val="1"/>
                <w:color w:val="auto"/>
              </w:rPr>
            </w:pPr>
          </w:p>
        </w:tc>
      </w:tr>
      <w:tr>
        <w:trPr>
          <w:trHeight w:val="227"/>
        </w:trPr>
        <w:tc>
          <w:tcPr>
            <w:tcW w:w="278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w w:val="98"/>
              </w:rPr>
              <w:t>As Reported</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3"/>
              </w:rPr>
              <w:t>ASU 2014-09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Higher (Lower)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Revenues</w:t>
            </w: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100"/>
              <w:spacing w:after="0"/>
              <w:rPr>
                <w:sz w:val="20"/>
                <w:szCs w:val="20"/>
                <w:color w:val="auto"/>
              </w:rPr>
            </w:pPr>
            <w:r>
              <w:rPr>
                <w:rFonts w:ascii="Arial" w:cs="Arial" w:eastAsia="Arial" w:hAnsi="Arial"/>
                <w:sz w:val="17"/>
                <w:szCs w:val="17"/>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1,044</w:t>
            </w:r>
          </w:p>
        </w:tc>
        <w:tc>
          <w:tcPr>
            <w:tcW w:w="24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1,044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Services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1,325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8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3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7"/>
                <w:szCs w:val="17"/>
                <w:b w:val="1"/>
                <w:bCs w:val="1"/>
                <w:color w:val="auto"/>
              </w:rPr>
              <w:t>December 31, 2018</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gridSpan w:val="4"/>
          </w:tcPr>
          <w:p>
            <w:pPr>
              <w:ind w:left="40"/>
              <w:spacing w:after="0"/>
              <w:rPr>
                <w:sz w:val="20"/>
                <w:szCs w:val="20"/>
                <w:color w:val="auto"/>
              </w:rPr>
            </w:pPr>
            <w:r>
              <w:rPr>
                <w:rFonts w:ascii="Arial" w:cs="Arial" w:eastAsia="Arial" w:hAnsi="Arial"/>
                <w:sz w:val="17"/>
                <w:szCs w:val="17"/>
                <w:b w:val="1"/>
                <w:bCs w:val="1"/>
                <w:color w:val="auto"/>
                <w:w w:val="96"/>
              </w:rPr>
              <w:t>Balances without Adoption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ind w:right="153"/>
              <w:spacing w:after="0"/>
              <w:rPr>
                <w:sz w:val="20"/>
                <w:szCs w:val="20"/>
                <w:color w:val="auto"/>
              </w:rPr>
            </w:pPr>
            <w:r>
              <w:rPr>
                <w:rFonts w:ascii="Arial" w:cs="Arial" w:eastAsia="Arial" w:hAnsi="Arial"/>
                <w:sz w:val="17"/>
                <w:szCs w:val="17"/>
                <w:b w:val="1"/>
                <w:bCs w:val="1"/>
                <w:color w:val="auto"/>
                <w:w w:val="91"/>
              </w:rPr>
              <w:t>Effect of 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8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As Reported</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3"/>
          </w:tcPr>
          <w:p>
            <w:pPr>
              <w:jc w:val="right"/>
              <w:ind w:right="760"/>
              <w:spacing w:after="0"/>
              <w:rPr>
                <w:sz w:val="20"/>
                <w:szCs w:val="20"/>
                <w:color w:val="auto"/>
              </w:rPr>
            </w:pPr>
            <w:r>
              <w:rPr>
                <w:rFonts w:ascii="Arial" w:cs="Arial" w:eastAsia="Arial" w:hAnsi="Arial"/>
                <w:sz w:val="17"/>
                <w:szCs w:val="17"/>
                <w:b w:val="1"/>
                <w:bCs w:val="1"/>
                <w:color w:val="auto"/>
              </w:rPr>
              <w:t>ASU 2014-09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Higher (Lower)</w:t>
            </w: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213</w:t>
            </w:r>
          </w:p>
        </w:tc>
        <w:tc>
          <w:tcPr>
            <w:tcW w:w="340" w:type="dxa"/>
            <w:vAlign w:val="bottom"/>
            <w:gridSpan w:val="2"/>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209</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7"/>
                <w:szCs w:val="17"/>
                <w:color w:val="auto"/>
              </w:rPr>
              <w:t>179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(200)</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(190)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(December 31, 2020 for Kodak). Early adoption is permitted. The standard addresses disclosures only and will not have an impact on Kodak’s consolidated financial statements. Kodak will retrospectively adopt the ASU December 31, 2020.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8" w:name="page59"/>
    <w:bookmarkEnd w:id="58"/>
    <w:p>
      <w:pPr>
        <w:ind w:right="20"/>
        <w:spacing w:after="0" w:line="278"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ASC 820 by adding, changing, or removing certain disclosures. The ASU applies to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expects to prospectively adopt the provisions related to new disclosures January 1, 2020. The standard addresses disclosures only and will not have an impact on Kodak’s consolidated financial statements.</w:t>
      </w:r>
    </w:p>
    <w:p>
      <w:pPr>
        <w:spacing w:after="0" w:line="19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 xml:space="preserve">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Early adoption is permitted. </w:t>
      </w:r>
      <w:r>
        <w:rPr>
          <w:rFonts w:ascii="Arial" w:cs="Arial" w:eastAsia="Arial" w:hAnsi="Arial"/>
          <w:sz w:val="14"/>
          <w:szCs w:val="14"/>
          <w:color w:val="auto"/>
        </w:rPr>
        <w:t>The ASU should be applied either retrospectively or prospectively to all implementation costs incurred</w:t>
      </w:r>
      <w:r>
        <w:rPr>
          <w:rFonts w:ascii="Arial" w:cs="Arial" w:eastAsia="Arial" w:hAnsi="Arial"/>
          <w:sz w:val="16"/>
          <w:szCs w:val="16"/>
          <w:color w:val="auto"/>
        </w:rPr>
        <w:t xml:space="preserve"> </w:t>
      </w:r>
      <w:r>
        <w:rPr>
          <w:rFonts w:ascii="Arial" w:cs="Arial" w:eastAsia="Arial" w:hAnsi="Arial"/>
          <w:sz w:val="14"/>
          <w:szCs w:val="14"/>
          <w:color w:val="auto"/>
        </w:rPr>
        <w:t xml:space="preserve">after the date of adoption. </w:t>
      </w:r>
      <w:r>
        <w:rPr>
          <w:rFonts w:ascii="Arial" w:cs="Arial" w:eastAsia="Arial" w:hAnsi="Arial"/>
          <w:sz w:val="16"/>
          <w:szCs w:val="16"/>
          <w:color w:val="auto"/>
        </w:rPr>
        <w:t>Kodak is currently evaluating the impact and will adopt the ASU prospectively January 1, 2020.</w:t>
      </w:r>
    </w:p>
    <w:p>
      <w:pPr>
        <w:spacing w:after="0" w:line="19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Early adoption is permitted and may be applied either in the period of adoption or retrospectively to each period (or periods) in which the effect of the change in the U.S. federal corporate income tax rate in the 2017 Tax Act is recognized. Kodak plans to adopt the new standard on the effective date. The adoption of this ASU will not have an impact on the Consolidated Financial Statements as a result of Kodak’s U.S. valuation allowance.</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(including amendments in ASU 2018-19)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Kodak plans to adopt the new standard on the effective date and is currently evaluating the impact of this ASU.</w:t>
      </w:r>
    </w:p>
    <w:p>
      <w:pPr>
        <w:spacing w:after="0" w:line="207" w:lineRule="exact"/>
        <w:rPr>
          <w:sz w:val="20"/>
          <w:szCs w:val="20"/>
          <w:color w:val="auto"/>
        </w:rPr>
      </w:pPr>
    </w:p>
    <w:p>
      <w:pPr>
        <w:ind w:right="80"/>
        <w:spacing w:after="0" w:line="296" w:lineRule="auto"/>
        <w:rPr>
          <w:sz w:val="20"/>
          <w:szCs w:val="20"/>
          <w:color w:val="auto"/>
        </w:rPr>
      </w:pPr>
      <w:r>
        <w:rPr>
          <w:rFonts w:ascii="Arial" w:cs="Arial" w:eastAsia="Arial" w:hAnsi="Arial"/>
          <w:sz w:val="15"/>
          <w:szCs w:val="15"/>
          <w:color w:val="auto"/>
        </w:rPr>
        <w:t>In February 2016, the FASB issued ASU 2016-02, Leases (Topic 842). Topic 842 (as amended by ASU’s 2018-01, 10, 11 and 20) requires lessees to recognize most leases on their balance sheets as lease liabilities with corresponding right-of-use assets and eliminates certain real estate-specific provisions. The new standard requires lessors to account for leases using an approach that is substantially equivalent to existing guidance for sales-type leases and operating leases. The new leasing standard is effective for fiscal years, and for interim periods within those fiscal years, beginning after December 15, 2018 (January 1, 2019 for Kodak). Early adoption is permitted. The original guidance required application on a modified retrospective basis to the earliest period presented. ASU 2018-11, Targeted improvements to ASC 842, includes an option to not restate comparative periods in transition and elect to use the effective date of ASC 842 as the date of initial application of transition. Kodak adopted the new standard on the effective date applying the new transition method allowed under ASU 2018-11 and continues to evaluate the impact of adoption on its financial statements. Kodak is continuing to accumulate all the necessary information required to properly account for the leases under the new standard. Kodak anticipates that the adoption of the amended lease guidance will materially increase the assets and liabilities recorded in its Consolidated Statement of Financial Position due to the recognition of right-of-use assets and liabilities. Kodak will also recognize a cumulative-effect adjustment to increase retained earnings of approximately $5 million due to the derecognition of assets and deferred gain on previous sale-leaseback transactions. In addition, certain changes to Kodak’s systems and processes may be made related to the new lease accounting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RESTRICTED CASH</w:t>
      </w:r>
    </w:p>
    <w:p>
      <w:pPr>
        <w:spacing w:after="0" w:line="25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ind w:left="806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61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15"/>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FF0FC"/>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7"/>
                <w:szCs w:val="17"/>
                <w:color w:val="auto"/>
              </w:rPr>
              <w:t>Restricted cash included in Other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r>
      <w:tr>
        <w:trPr>
          <w:trHeight w:val="222"/>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Long-term restricted cash</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9"/>
                <w:szCs w:val="19"/>
                <w:color w:val="auto"/>
              </w:rPr>
            </w:pPr>
          </w:p>
        </w:tc>
      </w:tr>
      <w:tr>
        <w:trPr>
          <w:trHeight w:val="222"/>
        </w:trPr>
        <w:tc>
          <w:tcPr>
            <w:tcW w:w="6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included in assets held for sale</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r>
      <w:tr>
        <w:trPr>
          <w:trHeight w:val="215"/>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w w:val="92"/>
              </w:rPr>
              <w:t>Total cash, cash equivalents and restricted cash shown in the Statement of Cash Flows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CFF0FC"/>
          </w:tcPr>
          <w:p>
            <w:pPr>
              <w:spacing w:after="0"/>
              <w:rPr>
                <w:sz w:val="18"/>
                <w:szCs w:val="18"/>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Long-term restricted cash as of December 31, 2018 and 2017 includes $5 million and $6 million, respectively, of security posted related to Brazilian legal contingencies. Long-term restricted cash as of December 31, 2018 and 2017 also included $3 million and $6 million, respectively, supporting compliance with the Excess Availability threshold under the ABL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INVENTORIES, NET</w:t>
      </w:r>
    </w:p>
    <w:p>
      <w:pPr>
        <w:spacing w:after="0" w:line="31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66"/>
        </w:trPr>
        <w:tc>
          <w:tcPr>
            <w:tcW w:w="3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15"/>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24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FF0FC"/>
          </w:tcPr>
          <w:p>
            <w:pPr>
              <w:spacing w:after="0"/>
              <w:rPr>
                <w:sz w:val="18"/>
                <w:szCs w:val="18"/>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7"/>
                <w:szCs w:val="17"/>
                <w:color w:val="auto"/>
              </w:rPr>
              <w:t>Work in process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r>
      <w:tr>
        <w:trPr>
          <w:trHeight w:val="222"/>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Raw materials</w:t>
            </w: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FF0FC"/>
          </w:tcPr>
          <w:p>
            <w:pPr>
              <w:spacing w:after="0"/>
              <w:rPr>
                <w:sz w:val="19"/>
                <w:szCs w:val="19"/>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7"/>
                <w:szCs w:val="17"/>
                <w:color w:val="auto"/>
              </w:rPr>
              <w:t>Total</w:t>
            </w:r>
          </w:p>
        </w:tc>
        <w:tc>
          <w:tcPr>
            <w:tcW w:w="2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236</w:t>
            </w:r>
          </w:p>
        </w:tc>
        <w:tc>
          <w:tcPr>
            <w:tcW w:w="20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PLANT AND EQUIPMENT, NET AND EQUIPMENT SUBJECT TO OPERATING LEASES, NET</w:t>
      </w:r>
    </w:p>
    <w:p>
      <w:pPr>
        <w:spacing w:after="0" w:line="31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40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Land</w:t>
            </w:r>
          </w:p>
        </w:tc>
        <w:tc>
          <w:tcPr>
            <w:tcW w:w="1680" w:type="dxa"/>
            <w:vAlign w:val="bottom"/>
            <w:gridSpan w:val="2"/>
            <w:shd w:val="clear" w:color="auto" w:fill="CFF0FC"/>
          </w:tcPr>
          <w:p>
            <w:pPr>
              <w:jc w:val="right"/>
              <w:ind w:right="104"/>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Construction in progress</w:t>
            </w:r>
          </w:p>
        </w:tc>
        <w:tc>
          <w:tcPr>
            <w:tcW w:w="1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1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40" w:type="dxa"/>
            <w:vAlign w:val="bottom"/>
            <w:vMerge w:val="continue"/>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$59 million and $60 million for the years ended December 31, 2018 and 2017, respectively.</w:t>
      </w:r>
    </w:p>
    <w:p>
      <w:pPr>
        <w:spacing w:after="0" w:line="248"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During the first quarter of 2017, Kodak recorded a pre-tax charge of $8 million to adjust the Prosper fixed asset carrying value to the amount that would have been recorded had the Prosper fixed assets been continuously classified as held and used. Refer to Note 15, “Other Operating Expense (Income), net”.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and the related accumulated depreciation were as follows: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4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Equipment subject to operating leases</w:t>
            </w:r>
          </w:p>
        </w:tc>
        <w:tc>
          <w:tcPr>
            <w:tcW w:w="1520" w:type="dxa"/>
            <w:vAlign w:val="bottom"/>
            <w:gridSpan w:val="2"/>
            <w:shd w:val="clear" w:color="auto" w:fill="CFF0FC"/>
          </w:tcPr>
          <w:p>
            <w:pPr>
              <w:jc w:val="right"/>
              <w:ind w:right="104"/>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Equipment subject to operating leases, net</w:t>
            </w:r>
          </w:p>
        </w:tc>
        <w:tc>
          <w:tcPr>
            <w:tcW w:w="1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0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Minimum future rental revenues on operating leases with original terms of one year or longer are not significant to Kodak.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20"/>
          </w:cols>
          <w:pgMar w:left="240" w:top="134"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NOTE 5: GOODWILL AND OTHER INTANGIBLE ASSETS</w:t>
      </w:r>
    </w:p>
    <w:p>
      <w:pPr>
        <w:spacing w:after="0" w:line="123"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The following table presents the changes in the carrying value of goodwill by reportable segment. The Enterprise Inkjet Systems, Advanced Materials and 3D Printing Technology, and Eastman Business Park segments do not have goodwill and are therefore not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Print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78"/>
              <w:spacing w:after="0"/>
              <w:rPr>
                <w:sz w:val="20"/>
                <w:szCs w:val="20"/>
                <w:color w:val="auto"/>
              </w:rPr>
            </w:pPr>
            <w:r>
              <w:rPr>
                <w:rFonts w:ascii="Arial" w:cs="Arial" w:eastAsia="Arial" w:hAnsi="Arial"/>
                <w:sz w:val="14"/>
                <w:szCs w:val="14"/>
                <w:b w:val="1"/>
                <w:bCs w:val="1"/>
                <w:color w:val="auto"/>
              </w:rPr>
              <w:t>Software and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78"/>
              <w:spacing w:after="0"/>
              <w:rPr>
                <w:sz w:val="20"/>
                <w:szCs w:val="20"/>
                <w:color w:val="auto"/>
              </w:rPr>
            </w:pPr>
            <w:r>
              <w:rPr>
                <w:rFonts w:ascii="Arial" w:cs="Arial" w:eastAsia="Arial" w:hAnsi="Arial"/>
                <w:sz w:val="14"/>
                <w:szCs w:val="14"/>
                <w:b w:val="1"/>
                <w:bCs w:val="1"/>
                <w:color w:val="auto"/>
              </w:rPr>
              <w:t>Consumer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0"/>
              </w:rPr>
              <w:t>Consolidated 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Systems</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Solutions</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and Film</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2016</w:t>
            </w:r>
          </w:p>
        </w:tc>
        <w:tc>
          <w:tcPr>
            <w:tcW w:w="2140" w:type="dxa"/>
            <w:vAlign w:val="bottom"/>
            <w:gridSpan w:val="2"/>
            <w:shd w:val="clear" w:color="auto" w:fill="CFF0FC"/>
          </w:tcPr>
          <w:p>
            <w:pPr>
              <w:jc w:val="right"/>
              <w:ind w:right="968"/>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7"/>
                <w:szCs w:val="17"/>
                <w:color w:val="auto"/>
              </w:rPr>
              <w:t>Impairment</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5"/>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2017</w:t>
            </w:r>
          </w:p>
        </w:tc>
        <w:tc>
          <w:tcPr>
            <w:tcW w:w="10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Impairment</w:t>
            </w:r>
          </w:p>
        </w:tc>
        <w:tc>
          <w:tcPr>
            <w:tcW w:w="10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F"/>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2018</w:t>
            </w:r>
          </w:p>
        </w:tc>
        <w:tc>
          <w:tcPr>
            <w:tcW w:w="1000" w:type="dxa"/>
            <w:vAlign w:val="bottom"/>
            <w:shd w:val="clear" w:color="auto" w:fill="CFF0FC"/>
          </w:tcPr>
          <w:p>
            <w:pPr>
              <w:spacing w:after="0"/>
              <w:rPr>
                <w:sz w:val="18"/>
                <w:szCs w:val="18"/>
                <w:color w:val="auto"/>
              </w:rPr>
            </w:pPr>
          </w:p>
        </w:tc>
        <w:tc>
          <w:tcPr>
            <w:tcW w:w="1140" w:type="dxa"/>
            <w:vAlign w:val="bottom"/>
            <w:shd w:val="clear" w:color="auto" w:fill="CFF0FF"/>
          </w:tcPr>
          <w:p>
            <w:pPr>
              <w:jc w:val="right"/>
              <w:ind w:right="98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F"/>
          </w:tcPr>
          <w:p>
            <w:pPr>
              <w:jc w:val="right"/>
              <w:ind w:right="1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F"/>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Gross goodwill and accumulated impairment losses were $76 million and $64 million as of December 31, 2018 and 2017,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The Print Systems segment has two goodwill reporting units: Prepress Solutions and Electrophotographic Printing Solutions. The Software and Solutions segment</w:t>
      </w:r>
    </w:p>
    <w:p>
      <w:pPr>
        <w:spacing w:after="0" w:line="48"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has two goodwill reporting units: Kodak Technology Solutions and Unified Workflow Solutions. The Consumer and Film segment has two goodwill reporting units: Consumer Products and Motion Picture, Industrial Chemicals and Films. The Enterprise Inkjet Systems segment, Advanced Materials and 3D Printing segment and the Eastman Business Park segment each have one goodwill reporting unit.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results of Kodak’s December 31, 2018 annual impairment test, no impairment of goodwill is indicated.</w:t>
      </w:r>
    </w:p>
    <w:p>
      <w:pPr>
        <w:spacing w:after="0" w:line="24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Given the decline in Kodak’s financial projections in 2017 and in its market capitalization from the 2016 goodwill impairment test, Kodak performed an interim goodwill impairment test as of September 30, 2017. Kodak utilized the discounted cash flow method and guideline public company method for the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Based upon the results of Kodak’s September 30, 2017 analysis, Kodak concluded that the Prepress Solutions reporting unit’s carrying value exceeded its fair value and recorded a pre-tax goodwill impairment loss of $56 million in the Consolidated Statement of Operations. No impairment of goodwill was indicated for the other reporting units.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2018 and 2017 were as follows:</w:t>
      </w:r>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178"/>
              <w:spacing w:after="0" w:line="140"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ind w:left="100"/>
              <w:spacing w:after="0" w:line="140"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66"/>
        </w:trPr>
        <w:tc>
          <w:tcPr>
            <w:tcW w:w="22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9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140" w:type="dxa"/>
            <w:vAlign w:val="bottom"/>
          </w:tcPr>
          <w:p>
            <w:pPr>
              <w:jc w:val="right"/>
              <w:ind w:right="291"/>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Amortization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Technology-based</w:t>
            </w:r>
          </w:p>
        </w:tc>
        <w:tc>
          <w:tcPr>
            <w:tcW w:w="9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vMerge w:val="continue"/>
            <w:shd w:val="clear" w:color="auto" w:fill="CFF0FC"/>
          </w:tcPr>
          <w:p>
            <w:pPr>
              <w:spacing w:after="0"/>
              <w:rPr>
                <w:sz w:val="18"/>
                <w:szCs w:val="18"/>
                <w:color w:val="auto"/>
              </w:rPr>
            </w:pPr>
          </w:p>
        </w:tc>
        <w:tc>
          <w:tcPr>
            <w:tcW w:w="1020" w:type="dxa"/>
            <w:vAlign w:val="bottom"/>
            <w:gridSpan w:val="2"/>
            <w:shd w:val="clear" w:color="auto" w:fill="CFF0FC"/>
          </w:tcPr>
          <w:p>
            <w:pPr>
              <w:jc w:val="right"/>
              <w:ind w:right="4"/>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400" w:type="dxa"/>
            <w:vAlign w:val="bottom"/>
            <w:gridSpan w:val="2"/>
            <w:shd w:val="clear" w:color="auto" w:fill="CFF0FC"/>
          </w:tcPr>
          <w:p>
            <w:pPr>
              <w:jc w:val="right"/>
              <w:ind w:right="991"/>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60" w:type="dxa"/>
            <w:vAlign w:val="bottom"/>
            <w:gridSpan w:val="2"/>
            <w:shd w:val="clear" w:color="auto" w:fill="CFF0FC"/>
          </w:tcPr>
          <w:p>
            <w:pPr>
              <w:jc w:val="center"/>
              <w:ind w:right="40"/>
              <w:spacing w:after="0"/>
              <w:rPr>
                <w:sz w:val="20"/>
                <w:szCs w:val="20"/>
                <w:color w:val="auto"/>
              </w:rPr>
            </w:pPr>
            <w:r>
              <w:rPr>
                <w:rFonts w:ascii="Arial" w:cs="Arial" w:eastAsia="Arial" w:hAnsi="Arial"/>
                <w:sz w:val="17"/>
                <w:szCs w:val="17"/>
                <w:color w:val="auto"/>
                <w:w w:val="89"/>
              </w:rPr>
              <w:t>6 years</w:t>
            </w:r>
          </w:p>
        </w:tc>
        <w:tc>
          <w:tcPr>
            <w:tcW w:w="0" w:type="dxa"/>
            <w:vAlign w:val="bottom"/>
          </w:tcPr>
          <w:p>
            <w:pPr>
              <w:spacing w:after="0"/>
              <w:rPr>
                <w:sz w:val="1"/>
                <w:szCs w:val="1"/>
                <w:color w:val="auto"/>
              </w:rPr>
            </w:pPr>
          </w:p>
        </w:tc>
      </w:tr>
      <w:tr>
        <w:trPr>
          <w:trHeight w:val="222"/>
        </w:trPr>
        <w:tc>
          <w:tcPr>
            <w:tcW w:w="2240" w:type="dxa"/>
            <w:vAlign w:val="bottom"/>
            <w:gridSpan w:val="3"/>
          </w:tcPr>
          <w:p>
            <w:pPr>
              <w:spacing w:after="0"/>
              <w:rPr>
                <w:sz w:val="20"/>
                <w:szCs w:val="20"/>
                <w:color w:val="auto"/>
              </w:rPr>
            </w:pPr>
            <w:r>
              <w:rPr>
                <w:rFonts w:ascii="Arial" w:cs="Arial" w:eastAsia="Arial" w:hAnsi="Arial"/>
                <w:sz w:val="17"/>
                <w:szCs w:val="17"/>
                <w:color w:val="auto"/>
              </w:rPr>
              <w:t>Kodak trade name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7"/>
                <w:szCs w:val="17"/>
                <w:color w:val="auto"/>
              </w:rPr>
              <w:t>Indefinite life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Customer-related</w:t>
            </w:r>
          </w:p>
        </w:tc>
        <w:tc>
          <w:tcPr>
            <w:tcW w:w="9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tcBorders>
              <w:right w:val="single" w:sz="8" w:color="CFF0FC"/>
            </w:tcBorders>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60" w:type="dxa"/>
            <w:vAlign w:val="bottom"/>
            <w:gridSpan w:val="2"/>
            <w:shd w:val="clear" w:color="auto" w:fill="CFF0FC"/>
          </w:tcPr>
          <w:p>
            <w:pPr>
              <w:jc w:val="center"/>
              <w:ind w:right="40"/>
              <w:spacing w:after="0"/>
              <w:rPr>
                <w:sz w:val="20"/>
                <w:szCs w:val="20"/>
                <w:color w:val="auto"/>
              </w:rPr>
            </w:pPr>
            <w:r>
              <w:rPr>
                <w:rFonts w:ascii="Arial" w:cs="Arial" w:eastAsia="Arial" w:hAnsi="Arial"/>
                <w:sz w:val="17"/>
                <w:szCs w:val="17"/>
                <w:color w:val="auto"/>
                <w:w w:val="89"/>
              </w:rPr>
              <w:t>5 years</w:t>
            </w:r>
          </w:p>
        </w:tc>
        <w:tc>
          <w:tcPr>
            <w:tcW w:w="0" w:type="dxa"/>
            <w:vAlign w:val="bottom"/>
          </w:tcPr>
          <w:p>
            <w:pPr>
              <w:spacing w:after="0"/>
              <w:rPr>
                <w:sz w:val="1"/>
                <w:szCs w:val="1"/>
                <w:color w:val="auto"/>
              </w:rPr>
            </w:pPr>
          </w:p>
        </w:tc>
      </w:tr>
      <w:tr>
        <w:trPr>
          <w:trHeight w:val="222"/>
        </w:trPr>
        <w:tc>
          <w:tcPr>
            <w:tcW w:w="2240" w:type="dxa"/>
            <w:vAlign w:val="bottom"/>
            <w:gridSpan w:val="3"/>
          </w:tcPr>
          <w:p>
            <w:pPr>
              <w:spacing w:after="0"/>
              <w:rPr>
                <w:sz w:val="20"/>
                <w:szCs w:val="20"/>
                <w:color w:val="auto"/>
              </w:rPr>
            </w:pPr>
            <w:r>
              <w:rPr>
                <w:rFonts w:ascii="Arial" w:cs="Arial" w:eastAsia="Arial" w:hAnsi="Arial"/>
                <w:sz w:val="17"/>
                <w:szCs w:val="17"/>
                <w:color w:val="auto"/>
              </w:rPr>
              <w:t>Other</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2"/>
          </w:tcPr>
          <w:p>
            <w:pPr>
              <w:jc w:val="center"/>
              <w:ind w:right="40"/>
              <w:spacing w:after="0"/>
              <w:rPr>
                <w:sz w:val="20"/>
                <w:szCs w:val="20"/>
                <w:color w:val="auto"/>
              </w:rPr>
            </w:pPr>
            <w:r>
              <w:rPr>
                <w:rFonts w:ascii="Arial" w:cs="Arial" w:eastAsia="Arial" w:hAnsi="Arial"/>
                <w:sz w:val="17"/>
                <w:szCs w:val="17"/>
                <w:color w:val="auto"/>
                <w:w w:val="88"/>
              </w:rPr>
              <w:t>20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9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vMerge w:val="continue"/>
            <w:shd w:val="clear" w:color="auto" w:fill="CFF0FC"/>
          </w:tcPr>
          <w:p>
            <w:pPr>
              <w:spacing w:after="0"/>
              <w:rPr>
                <w:sz w:val="18"/>
                <w:szCs w:val="18"/>
                <w:color w:val="auto"/>
              </w:rPr>
            </w:pPr>
          </w:p>
        </w:tc>
        <w:tc>
          <w:tcPr>
            <w:tcW w:w="1020" w:type="dxa"/>
            <w:vAlign w:val="bottom"/>
            <w:gridSpan w:val="2"/>
            <w:shd w:val="clear" w:color="auto" w:fill="CFF0FC"/>
          </w:tcPr>
          <w:p>
            <w:pPr>
              <w:jc w:val="right"/>
              <w:ind w:right="4"/>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400" w:type="dxa"/>
            <w:vAlign w:val="bottom"/>
            <w:gridSpan w:val="2"/>
            <w:shd w:val="clear" w:color="auto" w:fill="CFF0FC"/>
          </w:tcPr>
          <w:p>
            <w:pPr>
              <w:jc w:val="right"/>
              <w:ind w:right="991"/>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138"/>
              <w:spacing w:after="0" w:line="140" w:lineRule="exact"/>
              <w:rPr>
                <w:sz w:val="20"/>
                <w:szCs w:val="20"/>
                <w:color w:val="auto"/>
              </w:rPr>
            </w:pPr>
            <w:r>
              <w:rPr>
                <w:rFonts w:ascii="Arial" w:cs="Arial" w:eastAsia="Arial" w:hAnsi="Arial"/>
                <w:sz w:val="14"/>
                <w:szCs w:val="14"/>
                <w:b w:val="1"/>
                <w:bCs w:val="1"/>
                <w:color w:val="auto"/>
                <w:w w:val="98"/>
              </w:rPr>
              <w:t>Gross 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ind w:left="100"/>
              <w:spacing w:after="0" w:line="140"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jc w:val="center"/>
              <w:ind w:right="19"/>
              <w:spacing w:after="0" w:line="140" w:lineRule="exact"/>
              <w:rPr>
                <w:sz w:val="20"/>
                <w:szCs w:val="20"/>
                <w:color w:val="auto"/>
              </w:rPr>
            </w:pPr>
            <w:r>
              <w:rPr>
                <w:rFonts w:ascii="Arial" w:cs="Arial" w:eastAsia="Arial" w:hAnsi="Arial"/>
                <w:sz w:val="14"/>
                <w:szCs w:val="14"/>
                <w:b w:val="1"/>
                <w:bCs w:val="1"/>
                <w:color w:val="auto"/>
                <w:w w:val="89"/>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Amortization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Technology-based</w:t>
            </w:r>
          </w:p>
        </w:tc>
        <w:tc>
          <w:tcPr>
            <w:tcW w:w="9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vMerge w:val="continue"/>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400" w:type="dxa"/>
            <w:vAlign w:val="bottom"/>
            <w:gridSpan w:val="2"/>
            <w:shd w:val="clear" w:color="auto" w:fill="CFF0FC"/>
          </w:tcPr>
          <w:p>
            <w:pPr>
              <w:jc w:val="right"/>
              <w:ind w:right="1011"/>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39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60" w:type="dxa"/>
            <w:vAlign w:val="bottom"/>
            <w:shd w:val="clear" w:color="auto" w:fill="CFF0FC"/>
          </w:tcPr>
          <w:p>
            <w:pPr>
              <w:jc w:val="center"/>
              <w:ind w:right="19"/>
              <w:spacing w:after="0"/>
              <w:rPr>
                <w:sz w:val="20"/>
                <w:szCs w:val="20"/>
                <w:color w:val="auto"/>
              </w:rPr>
            </w:pPr>
            <w:r>
              <w:rPr>
                <w:rFonts w:ascii="Arial" w:cs="Arial" w:eastAsia="Arial" w:hAnsi="Arial"/>
                <w:sz w:val="17"/>
                <w:szCs w:val="17"/>
                <w:color w:val="auto"/>
                <w:w w:val="89"/>
              </w:rPr>
              <w:t>6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2"/>
          </w:tcPr>
          <w:p>
            <w:pPr>
              <w:ind w:left="100"/>
              <w:spacing w:after="0"/>
              <w:rPr>
                <w:sz w:val="20"/>
                <w:szCs w:val="20"/>
                <w:color w:val="auto"/>
              </w:rPr>
            </w:pPr>
            <w:r>
              <w:rPr>
                <w:rFonts w:ascii="Arial" w:cs="Arial" w:eastAsia="Arial" w:hAnsi="Arial"/>
                <w:sz w:val="17"/>
                <w:szCs w:val="17"/>
                <w:color w:val="auto"/>
              </w:rPr>
              <w:t>Kodak trade name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4"/>
              </w:rPr>
              <w:t>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Indefinite life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Customer-related</w:t>
            </w:r>
          </w:p>
        </w:tc>
        <w:tc>
          <w:tcPr>
            <w:tcW w:w="9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right w:val="single" w:sz="8" w:color="CFF0FC"/>
            </w:tcBorders>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60" w:type="dxa"/>
            <w:vAlign w:val="bottom"/>
            <w:shd w:val="clear" w:color="auto" w:fill="CFF0FC"/>
          </w:tcPr>
          <w:p>
            <w:pPr>
              <w:jc w:val="center"/>
              <w:ind w:right="19"/>
              <w:spacing w:after="0"/>
              <w:rPr>
                <w:sz w:val="20"/>
                <w:szCs w:val="20"/>
                <w:color w:val="auto"/>
              </w:rPr>
            </w:pPr>
            <w:r>
              <w:rPr>
                <w:rFonts w:ascii="Arial" w:cs="Arial" w:eastAsia="Arial" w:hAnsi="Arial"/>
                <w:sz w:val="17"/>
                <w:szCs w:val="17"/>
                <w:color w:val="auto"/>
                <w:w w:val="89"/>
              </w:rPr>
              <w:t>6 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2"/>
          </w:tcPr>
          <w:p>
            <w:pPr>
              <w:ind w:left="100"/>
              <w:spacing w:after="0"/>
              <w:rPr>
                <w:sz w:val="20"/>
                <w:szCs w:val="20"/>
                <w:color w:val="auto"/>
              </w:rPr>
            </w:pPr>
            <w:r>
              <w:rPr>
                <w:rFonts w:ascii="Arial" w:cs="Arial" w:eastAsia="Arial" w:hAnsi="Arial"/>
                <w:sz w:val="17"/>
                <w:szCs w:val="17"/>
                <w:color w:val="auto"/>
              </w:rPr>
              <w:t>Other</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21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9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vMerge w:val="continue"/>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400" w:type="dxa"/>
            <w:vAlign w:val="bottom"/>
            <w:gridSpan w:val="2"/>
            <w:shd w:val="clear" w:color="auto" w:fill="CFF0FC"/>
          </w:tcPr>
          <w:p>
            <w:pPr>
              <w:jc w:val="right"/>
              <w:ind w:right="1011"/>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84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40"/>
        <w:spacing w:after="0" w:line="320" w:lineRule="auto"/>
        <w:rPr>
          <w:sz w:val="20"/>
          <w:szCs w:val="20"/>
          <w:color w:val="auto"/>
        </w:rPr>
      </w:pPr>
      <w:r>
        <w:rPr>
          <w:rFonts w:ascii="Arial" w:cs="Arial" w:eastAsia="Arial" w:hAnsi="Arial"/>
          <w:sz w:val="16"/>
          <w:szCs w:val="16"/>
          <w:color w:val="auto"/>
        </w:rPr>
        <w:t>In the fourth quarter of 2018 and 2017, Kodak concluded the carrying value of the Kodak trade name exceeded its fair value. Pre-tax impairment charges of $13 million and $2 million, respectively, are included in Other operating expense (income), net in the Consolidated Statement of Operations.</w:t>
      </w:r>
    </w:p>
    <w:p>
      <w:pPr>
        <w:spacing w:after="0" w:line="16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In the third quarter of 2017, due to canceling its copper mesh touch screen program, Kodak wrote off related intangible assets with a gross carrying amount of $33 million and accumulated amortization of $21 million and recorded an impairment charge of $12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line="271" w:lineRule="auto"/>
        <w:rPr>
          <w:sz w:val="20"/>
          <w:szCs w:val="20"/>
          <w:color w:val="auto"/>
        </w:rPr>
      </w:pPr>
      <w:r>
        <w:rPr>
          <w:rFonts w:ascii="Arial" w:cs="Arial" w:eastAsia="Arial" w:hAnsi="Arial"/>
          <w:sz w:val="17"/>
          <w:szCs w:val="17"/>
          <w:color w:val="auto"/>
        </w:rPr>
        <w:t>During the first quarter of 2017, Kodak recorded a pre-tax charge of $4 million to adjust the Prosper intangible asset carrying value to the amount that would have been recorded had the Prosper intangible assets been continuously classified as held and used. Refer to Note 15, “Other Operating Expense (Income), net” and Note 27, “Discontinued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was $11 million and $17 million for the years ended December 31, 2018 and 2017,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related to intangible assets that are currently being amortized as of December 31, 2018 was as follows:</w:t>
      </w:r>
    </w:p>
    <w:p>
      <w:pPr>
        <w:spacing w:after="0" w:line="255"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2"/>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660" w:type="dxa"/>
            <w:vAlign w:val="bottom"/>
            <w:gridSpan w:val="2"/>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60" w:type="dxa"/>
            <w:vAlign w:val="bottom"/>
            <w:shd w:val="clear" w:color="auto" w:fill="CFF0FC"/>
          </w:tcPr>
          <w:p>
            <w:pPr>
              <w:spacing w:after="0"/>
              <w:rPr>
                <w:sz w:val="19"/>
                <w:szCs w:val="19"/>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7"/>
                <w:szCs w:val="17"/>
                <w:color w:val="auto"/>
              </w:rPr>
              <w:t>2020</w:t>
            </w:r>
          </w:p>
        </w:tc>
        <w:tc>
          <w:tcPr>
            <w:tcW w:w="2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9"/>
                <w:szCs w:val="19"/>
                <w:color w:val="auto"/>
              </w:rPr>
            </w:pPr>
          </w:p>
        </w:tc>
      </w:tr>
      <w:tr>
        <w:trPr>
          <w:trHeight w:val="222"/>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60" w:type="dxa"/>
            <w:vAlign w:val="bottom"/>
            <w:shd w:val="clear" w:color="auto" w:fill="CFF0FC"/>
          </w:tcPr>
          <w:p>
            <w:pPr>
              <w:spacing w:after="0"/>
              <w:rPr>
                <w:sz w:val="19"/>
                <w:szCs w:val="19"/>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7"/>
                <w:szCs w:val="17"/>
                <w:color w:val="auto"/>
              </w:rPr>
              <w:t>2022</w:t>
            </w:r>
          </w:p>
        </w:tc>
        <w:tc>
          <w:tcPr>
            <w:tcW w:w="2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9"/>
                <w:szCs w:val="19"/>
                <w:color w:val="auto"/>
              </w:rPr>
            </w:pPr>
          </w:p>
        </w:tc>
      </w:tr>
      <w:tr>
        <w:trPr>
          <w:trHeight w:val="222"/>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FF0FC"/>
          </w:tcPr>
          <w:p>
            <w:pPr>
              <w:spacing w:after="0"/>
              <w:rPr>
                <w:sz w:val="19"/>
                <w:szCs w:val="19"/>
                <w:color w:val="auto"/>
              </w:rPr>
            </w:pPr>
          </w:p>
        </w:tc>
      </w:tr>
      <w:tr>
        <w:trPr>
          <w:trHeight w:val="222"/>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2024 and thereafter</w:t>
            </w:r>
          </w:p>
        </w:tc>
        <w:tc>
          <w:tcPr>
            <w:tcW w:w="2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Borders>
              <w:bottom w:val="single" w:sz="8" w:color="CFF0FC"/>
            </w:tcBorders>
          </w:tcPr>
          <w:p>
            <w:pPr>
              <w:spacing w:after="0"/>
              <w:rPr>
                <w:sz w:val="19"/>
                <w:szCs w:val="19"/>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660" w:type="dxa"/>
            <w:vAlign w:val="bottom"/>
            <w:gridSpan w:val="2"/>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60" w:type="dxa"/>
            <w:vAlign w:val="bottom"/>
            <w:shd w:val="clear" w:color="auto" w:fill="CFF0FC"/>
          </w:tcPr>
          <w:p>
            <w:pPr>
              <w:spacing w:after="0"/>
              <w:rPr>
                <w:sz w:val="18"/>
                <w:szCs w:val="18"/>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OTHER LONG-TERM ASSETS</w:t>
      </w:r>
    </w:p>
    <w:p>
      <w:pPr>
        <w:spacing w:after="0" w:line="200" w:lineRule="exact"/>
        <w:rPr>
          <w:sz w:val="20"/>
          <w:szCs w:val="20"/>
          <w:color w:val="auto"/>
        </w:rPr>
      </w:pPr>
    </w:p>
    <w:p>
      <w:pPr>
        <w:spacing w:after="0" w:line="35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5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4"/>
                <w:szCs w:val="14"/>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Pension assets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8"/>
                <w:szCs w:val="18"/>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7"/>
                <w:szCs w:val="17"/>
                <w:color w:val="auto"/>
              </w:rPr>
              <w:t>Estimated workers' compensation recoveries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r>
      <w:tr>
        <w:trPr>
          <w:trHeight w:val="222"/>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Long-term receivables, net of allowance of $4 million and $4 million</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9"/>
                <w:szCs w:val="19"/>
                <w:color w:val="auto"/>
              </w:rPr>
            </w:pPr>
          </w:p>
        </w:tc>
      </w:tr>
      <w:tr>
        <w:trPr>
          <w:trHeight w:val="222"/>
        </w:trPr>
        <w:tc>
          <w:tcPr>
            <w:tcW w:w="5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FF0FC"/>
            </w:tcBorders>
          </w:tcPr>
          <w:p>
            <w:pPr>
              <w:spacing w:after="0"/>
              <w:rPr>
                <w:sz w:val="19"/>
                <w:szCs w:val="19"/>
                <w:color w:val="auto"/>
              </w:rPr>
            </w:pPr>
          </w:p>
        </w:tc>
      </w:tr>
      <w:tr>
        <w:trPr>
          <w:trHeight w:val="215"/>
        </w:trPr>
        <w:tc>
          <w:tcPr>
            <w:tcW w:w="55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FF0FC"/>
          </w:tcPr>
          <w:p>
            <w:pPr>
              <w:spacing w:after="0"/>
              <w:rPr>
                <w:sz w:val="18"/>
                <w:szCs w:val="18"/>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OTHER CURRENT LIABILITIES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5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Employment-related liabilities</w:t>
            </w:r>
          </w:p>
        </w:tc>
        <w:tc>
          <w:tcPr>
            <w:tcW w:w="1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vMerge w:val="continue"/>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Customer rebates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 xml:space="preserve">Deferred consideration on disposed businesses </w:t>
            </w:r>
            <w:r>
              <w:rPr>
                <w:rFonts w:ascii="Arial" w:cs="Arial" w:eastAsia="Arial" w:hAnsi="Arial"/>
                <w:sz w:val="14"/>
                <w:szCs w:val="14"/>
                <w:color w:val="auto"/>
              </w:rPr>
              <w:t>(1)</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7"/>
                <w:szCs w:val="17"/>
                <w:color w:val="auto"/>
              </w:rPr>
              <w:t>Restructuring liabilities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6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ind w:left="220"/>
              <w:spacing w:after="0"/>
              <w:rPr>
                <w:sz w:val="20"/>
                <w:szCs w:val="20"/>
                <w:color w:val="auto"/>
              </w:rPr>
            </w:pPr>
            <w:r>
              <w:rPr>
                <w:rFonts w:ascii="Arial" w:cs="Arial" w:eastAsia="Arial" w:hAnsi="Arial"/>
                <w:sz w:val="17"/>
                <w:szCs w:val="17"/>
                <w:color w:val="auto"/>
              </w:rPr>
              <w:t>Total</w:t>
            </w:r>
          </w:p>
        </w:tc>
        <w:tc>
          <w:tcPr>
            <w:tcW w:w="1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213</w:t>
            </w:r>
          </w:p>
        </w:tc>
        <w:tc>
          <w:tcPr>
            <w:tcW w:w="1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660" w:hanging="382"/>
        <w:spacing w:after="0" w:line="261"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On September 3, 2013, Kodak consummated the sale of certain assets and the assumption of certain liabilities of the Personalized Imaging and Document Imaging Businesses (“PI/DI Businesses”) to the trustee of the U. K. pension plan (and/or its subsidiaries, collectively the “KPP Purchasing Parties”) for net cash consideration of $325 million. Up to $35 million in aggregate of the purchase price is subject to repayment if the PI/DI Business does not achieve certain annual adjusted EBITDA targets over the four-year period ending December 31, 2018. The PI/DI Business did not achieve the adjusted annual EBITDA target for 2017, 2016 or 2015. The amounts owed for 2015 and 2016 were paid in 2016 and 2017, respectively. The amount owed for 2017 of $10 million was paid in January 2019. The maximum potential payment related to the year ending December 31, 2018 of $14 million was accrued at the time of the divestiture of the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customer rebate amounts will potentially be settled through customer deductions applied to outstanding trade receivables in lieu of cash payments.</w:t>
      </w:r>
    </w:p>
    <w:p>
      <w:pPr>
        <w:spacing w:after="0" w:line="248"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NOTE 8: OTHER LONG-TERM LIABILITIES</w:t>
      </w:r>
    </w:p>
    <w:p>
      <w:pPr>
        <w:spacing w:after="0" w:line="31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66"/>
        </w:trPr>
        <w:tc>
          <w:tcPr>
            <w:tcW w:w="4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FF0FC"/>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7"/>
                <w:szCs w:val="17"/>
                <w:color w:val="auto"/>
              </w:rPr>
              <w:t>Asset retirement obligations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r>
      <w:tr>
        <w:trPr>
          <w:trHeight w:val="222"/>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Deferred taxes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7"/>
                <w:szCs w:val="17"/>
                <w:color w:val="auto"/>
              </w:rPr>
              <w:t>Environmental liabilities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r>
      <w:tr>
        <w:trPr>
          <w:trHeight w:val="222"/>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Deferred consideration on disposed businesses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9"/>
                <w:szCs w:val="19"/>
                <w:color w:val="auto"/>
              </w:rPr>
            </w:pPr>
          </w:p>
        </w:tc>
      </w:tr>
      <w:tr>
        <w:trPr>
          <w:trHeight w:val="222"/>
        </w:trPr>
        <w:tc>
          <w:tcPr>
            <w:tcW w:w="43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FF0FC"/>
            </w:tcBorders>
          </w:tcPr>
          <w:p>
            <w:pPr>
              <w:spacing w:after="0"/>
              <w:rPr>
                <w:sz w:val="19"/>
                <w:szCs w:val="19"/>
                <w:color w:val="auto"/>
              </w:rPr>
            </w:pPr>
          </w:p>
        </w:tc>
      </w:tr>
      <w:tr>
        <w:trPr>
          <w:trHeight w:val="215"/>
        </w:trPr>
        <w:tc>
          <w:tcPr>
            <w:tcW w:w="4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FF0FC"/>
          </w:tcPr>
          <w:p>
            <w:pPr>
              <w:spacing w:after="0"/>
              <w:rPr>
                <w:sz w:val="18"/>
                <w:szCs w:val="18"/>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3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NOTE 9: DEBT AND CAPITAL 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Debt and capital leases and related maturities and interest rates were as follows at December 31, 2018 and 2017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5"/>
          </w:tcPr>
          <w:p>
            <w:pPr>
              <w:ind w:left="9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Weighted-Average</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Type</w:t>
            </w: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8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9"/>
              </w:rPr>
              <w:t>Effective</w:t>
            </w:r>
          </w:p>
        </w:tc>
        <w:tc>
          <w:tcPr>
            <w:tcW w:w="20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2"/>
                <w:szCs w:val="12"/>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20"/>
                <w:szCs w:val="20"/>
                <w:color w:val="auto"/>
              </w:rPr>
            </w:pPr>
            <w:r>
              <w:rPr>
                <w:rFonts w:ascii="Arial" w:cs="Arial" w:eastAsia="Arial" w:hAnsi="Arial"/>
                <w:sz w:val="14"/>
                <w:szCs w:val="14"/>
                <w:color w:val="auto"/>
              </w:rPr>
              <w:t>(in millions)</w:t>
            </w:r>
          </w:p>
        </w:tc>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 Rate</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Current portion:</w:t>
            </w: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Term note</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1"/>
              </w:rPr>
              <w:t>8.84%</w:t>
            </w:r>
          </w:p>
        </w:tc>
        <w:tc>
          <w:tcPr>
            <w:tcW w:w="28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394</w:t>
            </w:r>
          </w:p>
        </w:tc>
        <w:tc>
          <w:tcPr>
            <w:tcW w:w="28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9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89"/>
              </w:rPr>
              <w:t>Capital leases</w:t>
            </w: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center"/>
              <w:ind w:right="300"/>
              <w:spacing w:after="0"/>
              <w:rPr>
                <w:sz w:val="20"/>
                <w:szCs w:val="20"/>
                <w:color w:val="auto"/>
              </w:rPr>
            </w:pPr>
            <w:r>
              <w:rPr>
                <w:rFonts w:ascii="Arial" w:cs="Arial" w:eastAsia="Arial" w:hAnsi="Arial"/>
                <w:sz w:val="17"/>
                <w:szCs w:val="17"/>
                <w:color w:val="auto"/>
                <w:w w:val="90"/>
              </w:rPr>
              <w:t>Various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Other debt</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Various</w:t>
            </w: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Non-current portion:</w:t>
            </w: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Term note</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1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1"/>
              </w:rPr>
              <w:t>8.84%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89"/>
              </w:rPr>
              <w:t>Capital leases</w:t>
            </w:r>
          </w:p>
        </w:tc>
        <w:tc>
          <w:tcPr>
            <w:tcW w:w="154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93"/>
              </w:rPr>
              <w:t>Various</w:t>
            </w:r>
          </w:p>
        </w:tc>
        <w:tc>
          <w:tcPr>
            <w:tcW w:w="1860" w:type="dxa"/>
            <w:vAlign w:val="bottom"/>
            <w:gridSpan w:val="2"/>
            <w:shd w:val="clear" w:color="auto" w:fill="CFF0FC"/>
          </w:tcPr>
          <w:p>
            <w:pPr>
              <w:jc w:val="center"/>
              <w:ind w:right="300"/>
              <w:spacing w:after="0"/>
              <w:rPr>
                <w:sz w:val="20"/>
                <w:szCs w:val="20"/>
                <w:color w:val="auto"/>
              </w:rPr>
            </w:pPr>
            <w:r>
              <w:rPr>
                <w:rFonts w:ascii="Arial" w:cs="Arial" w:eastAsia="Arial" w:hAnsi="Arial"/>
                <w:sz w:val="17"/>
                <w:szCs w:val="17"/>
                <w:color w:val="auto"/>
                <w:w w:val="90"/>
              </w:rPr>
              <w:t>Various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7"/>
                <w:szCs w:val="17"/>
                <w:color w:val="auto"/>
                <w:w w:val="92"/>
              </w:rPr>
              <w:t>Other debt</w:t>
            </w:r>
          </w:p>
        </w:tc>
        <w:tc>
          <w:tcPr>
            <w:tcW w:w="154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7"/>
                <w:szCs w:val="17"/>
                <w:color w:val="auto"/>
                <w:w w:val="93"/>
              </w:rPr>
              <w:t>Various</w:t>
            </w:r>
          </w:p>
        </w:tc>
        <w:tc>
          <w:tcPr>
            <w:tcW w:w="1860" w:type="dxa"/>
            <w:vAlign w:val="bottom"/>
            <w:tcBorders>
              <w:bottom w:val="single" w:sz="8" w:color="CFF0FC"/>
            </w:tcBorders>
            <w:gridSpan w:val="2"/>
          </w:tcPr>
          <w:p>
            <w:pPr>
              <w:jc w:val="center"/>
              <w:ind w:right="300"/>
              <w:spacing w:after="0"/>
              <w:rPr>
                <w:sz w:val="20"/>
                <w:szCs w:val="20"/>
                <w:color w:val="auto"/>
              </w:rPr>
            </w:pPr>
            <w:r>
              <w:rPr>
                <w:rFonts w:ascii="Arial" w:cs="Arial" w:eastAsia="Arial" w:hAnsi="Arial"/>
                <w:sz w:val="17"/>
                <w:szCs w:val="17"/>
                <w:color w:val="auto"/>
                <w:w w:val="90"/>
              </w:rPr>
              <w:t>Various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Annual maturities of debt and capital leases outstanding at December 31, 2018, were as follows (in millions):</w:t>
      </w:r>
    </w:p>
    <w:p>
      <w:pPr>
        <w:spacing w:after="0" w:line="200" w:lineRule="exact"/>
        <w:rPr>
          <w:sz w:val="20"/>
          <w:szCs w:val="20"/>
          <w:color w:val="auto"/>
        </w:rPr>
      </w:pP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3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7"/>
                <w:szCs w:val="17"/>
                <w:b w:val="1"/>
                <w:bCs w:val="1"/>
                <w:color w:val="auto"/>
              </w:rPr>
              <w:t>Carrying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Maturity</w:t>
            </w:r>
          </w:p>
        </w:tc>
      </w:tr>
      <w:tr>
        <w:trPr>
          <w:trHeight w:val="227"/>
        </w:trPr>
        <w:tc>
          <w:tcPr>
            <w:tcW w:w="3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 millions)</w:t>
            </w:r>
          </w:p>
        </w:tc>
        <w:tc>
          <w:tcPr>
            <w:tcW w:w="2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Value</w:t>
            </w:r>
          </w:p>
        </w:tc>
        <w:tc>
          <w:tcPr>
            <w:tcW w:w="100" w:type="dxa"/>
            <w:vAlign w:val="bottom"/>
            <w:tcBorders>
              <w:bottom w:val="single" w:sz="8" w:color="CFF0FC"/>
            </w:tcBorders>
          </w:tcPr>
          <w:p>
            <w:pPr>
              <w:spacing w:after="0"/>
              <w:rPr>
                <w:sz w:val="19"/>
                <w:szCs w:val="19"/>
                <w:color w:val="auto"/>
              </w:rPr>
            </w:pPr>
          </w:p>
        </w:tc>
      </w:tr>
      <w:tr>
        <w:trPr>
          <w:trHeight w:val="215"/>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FF0FC"/>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7"/>
                <w:szCs w:val="17"/>
                <w:color w:val="auto"/>
              </w:rPr>
              <w:t>2020</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222"/>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7"/>
                <w:szCs w:val="17"/>
                <w:color w:val="auto"/>
              </w:rPr>
              <w:t>2022</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222"/>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2"/>
        </w:trPr>
        <w:tc>
          <w:tcPr>
            <w:tcW w:w="3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2024 and thereafter</w:t>
            </w:r>
          </w:p>
        </w:tc>
        <w:tc>
          <w:tcPr>
            <w:tcW w:w="2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FF0FC"/>
            </w:tcBorders>
          </w:tcPr>
          <w:p>
            <w:pPr>
              <w:spacing w:after="0"/>
              <w:rPr>
                <w:sz w:val="19"/>
                <w:szCs w:val="19"/>
                <w:color w:val="auto"/>
              </w:rPr>
            </w:pPr>
          </w:p>
        </w:tc>
      </w:tr>
      <w:tr>
        <w:trPr>
          <w:trHeight w:val="215"/>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FF0FC"/>
          </w:tcPr>
          <w:p>
            <w:pPr>
              <w:spacing w:after="0"/>
              <w:rPr>
                <w:sz w:val="18"/>
                <w:szCs w:val="18"/>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On September 3, 2013, the Company entered into (i) a Senior Secured First Lien Term Credit Agreement (the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loans made under the Term Credit Agreement become due on the earlier to occur of (i) the maturity date of September 3, 2019 or (ii) the acceleration of such loans following the occurrence of an event of default (as defined in the Term Credit Agreement). The Second Lien Term Credit Agreement was prepaid and terminated on November 15, 2016 using the proceeds from the sale of Series A Preferred Stock together with cash on hand.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37" w:lineRule="exact"/>
        <w:rPr>
          <w:sz w:val="20"/>
          <w:szCs w:val="20"/>
          <w:color w:val="auto"/>
        </w:rPr>
      </w:pPr>
    </w:p>
    <w:p>
      <w:pPr>
        <w:ind w:right="20" w:firstLine="4"/>
        <w:spacing w:after="0" w:line="280" w:lineRule="auto"/>
        <w:tabs>
          <w:tab w:leader="none" w:pos="3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dispose of assets, (iv) 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line="273" w:lineRule="auto"/>
        <w:rPr>
          <w:sz w:val="20"/>
          <w:szCs w:val="20"/>
          <w:color w:val="auto"/>
        </w:rPr>
      </w:pPr>
      <w:r>
        <w:rPr>
          <w:rFonts w:ascii="Arial" w:cs="Arial" w:eastAsia="Arial" w:hAnsi="Arial"/>
          <w:sz w:val="16"/>
          <w:szCs w:val="16"/>
          <w:color w:val="auto"/>
        </w:rPr>
        <w:t>The First Lien Loans bear interest at the rate of LIBOR plus 6.25% per annum, with a LIBOR floor of 1% or Alternate Base Rate (as defined in the Term Credit Agreement) plus 5.25%. Under the ABL Credit Agreement, the ABL Loans bore interest at the rate of LIBOR plus 2.75%-3.25% per annum or Base Rate (as defined in the ABL Credit Agreement) plus 1.75%-2.25% per annum, based on Excess Availability (as defined in the ABL Credit Agreement) until the ABL Credit Agreement was amended as discussed below.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Asset Based Revolving Credit Agreement are secured by: (i) a first lien on cash, accounts receivable, inventory, machinery and equipment (the “ABL Collateral”) and</w:t>
      </w:r>
    </w:p>
    <w:p>
      <w:pPr>
        <w:spacing w:after="0" w:line="6" w:lineRule="exact"/>
        <w:rPr>
          <w:sz w:val="20"/>
          <w:szCs w:val="20"/>
          <w:color w:val="auto"/>
        </w:rPr>
      </w:pPr>
    </w:p>
    <w:p>
      <w:pPr>
        <w:ind w:right="140" w:firstLine="4"/>
        <w:spacing w:after="0" w:line="272" w:lineRule="auto"/>
        <w:tabs>
          <w:tab w:leader="none" w:pos="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second lien on the Term Collateral. The aggregate carrying value of the Term Collateral and ABL Collateral as of December 31, 2018 and 2017 was $1,310 million and $1,385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voluntarily prepay the First Lien Loans.</w:t>
      </w:r>
    </w:p>
    <w:p>
      <w:pPr>
        <w:spacing w:after="0" w:line="24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As defined in the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October 2, 2017, Kodak prepaid $6 million of principal under the Term Credit Agreement from proceeds from a royalty</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payment. On July 7, 2016, Kodak prepaid $5 million of principal under the Term Credit Agreement from proceeds received from the sale of a business. Under the terms of the Term Credit Agreement, the prepayments were applied first to the installment principal payments of $4 million due over the next twelve months, then ratably to the remaining scheduled payments. With the prepayments, Kodak does not owe any future scheduled principal payments until the maturity date of the loan.</w:t>
      </w:r>
    </w:p>
    <w:p>
      <w:pPr>
        <w:spacing w:after="0" w:line="206"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On an annual basis, the Company will prepay on June 30 of the following fiscal year loans in an amount equal to a percentage of Excess Cash Flow (“ECF”) as defined in the Term Credit Agreement, provided no such prepayment is required if such prepayment would cause U.S. liquidity (as defined in the Term Credit Agreement) to be less than $100 million or the Secured Leverage ratio is less than 2.25 to 1.00. For the years ended December 31, 2018 and 2017, ECF was a negative amount. For 2016, the Secured Leverage Ratio was below 2.25 to 1.00. Therefore, no prepayments of First Lien term debt have been required. Any mandatory prepayments as described above shall be reduced by any mandatory prepayments of the First Lien Loans.</w:t>
      </w:r>
    </w:p>
    <w:p>
      <w:pPr>
        <w:spacing w:after="0" w:line="18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Under the Term Credit Agreement, the Company is required to maintain a Secured Leverage Ratio (as defined therein) not to exceed specified levels. The Secured Leverage Ratio under the Term Credit Agreement is tested at the end of each quarter based on the prior four quarters. The maximum Secured Leverage Ratio permitted under the Term Credit Agreement declined on June 30, 2015 from 3.75:1 to 3.25:1 and further declined on December 31, 2015 from 3.25:1 to 2.75:1, with no further adjustments for the remainder of the agreement.</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ABL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206"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have sales of approximately $12 million for the year ended December 31, 2018 and assets of $21 million as of December 31, 2018, which represent 1% and 1%, respectively, of Kodak’s consolidated sales for the year ended December 31, 2018 and consolidated assets as of December 31, 2018. Each of the capitalized but undefined terms has the meaning ascribed to such term in the Credit Agreements. EBITDA of the Unrestricted Subsidiaries, as calculated under the Term Credit Agreement and the ABL Credit Agreement, is a loss and is excluded from the calculation of the Secured Leverage Ratio. Therefore, designating these Subsidiaries as Unrestricted had the impact of improving the Secured Leverage Ratio.</w:t>
      </w:r>
    </w:p>
    <w:p>
      <w:pPr>
        <w:spacing w:after="0" w:line="180"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Kodak intends to conduct its operations in a manner that will result in continued compliance with the secured leverage ratio covenant; however, future compliance may depend on Kodak undertaking one or more actions, such as the repatriation of cash into the U.S., the management of operating cash outflows, the designation of subsidiaries as Unrestricted Subsidiaries, a monetization of assets, a debt refinancing, the raising of equity capital, or a similar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See also the Going Concern subsection of Note 1, “Basis of Presentation and Recent Accounting Pronouncements”.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i w:val="1"/>
          <w:iCs w:val="1"/>
          <w:color w:val="auto"/>
        </w:rPr>
        <w:t>ABL Credit Agreement</w:t>
      </w:r>
    </w:p>
    <w:p>
      <w:pPr>
        <w:spacing w:after="0" w:line="22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May 26, 2016, the Company and certain of its domestic subsidiaries (the “Subsidiary Guarantors”) entered into an Amended and Restated Credit Agreement (the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ABL Credit Agreement has the meaning ascribed to such term in the ABL Credit Agreement.</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ABL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ABL Credit Agreement, among other things, lowered reserve requirements by eliminating the Availability Block and removed the ability to use Qualified Cash to support Excess Availability.</w:t>
      </w:r>
    </w:p>
    <w:p>
      <w:pPr>
        <w:spacing w:after="0" w:line="20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ABL Credit Agreement.</w:t>
      </w:r>
    </w:p>
    <w:p>
      <w:pPr>
        <w:spacing w:after="0" w:line="19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Lenders will make available asset-based revolving loans (the “ABL Loans”) and letters of credit in an aggregate amount of up to $150 million, subject to the Borrowing Base. The Company has issued approximately $85 million and $96 million of letters of credit under the ABL Credit Agreement as of December 31, 2018 and 2017. The Company had approximately $19 million and $20 million of Excess Availability under the ABL Credit Agreement as of December 31, 2018 and 2017. Availability is subject to the borrowing base calculation, reserves and other limitations.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5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$11 million, as of December 31, 2018 (which $11 million decreases by $1 million per quarter) and (iv) Eligible Cash less (a) Rent and Charges Reserves, (b) Principal Outstanding and (c) Outstanding Letters of Credit.</w:t>
      </w:r>
    </w:p>
    <w:p>
      <w:pPr>
        <w:spacing w:after="0" w:line="176"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Under the ABL Credit Agreement, Kodak is required to maintain a minimum Fixed Charge Coverage Ratio of 1.00 to 1.00 when Excess Availability is less than 12.5% of lender commitments. As of December 31, 2018 and 2017 12.5% of lender commitments were $18.75 million.</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2017, Kodak is not required to have a minimum Fixed Charges Coverage Ratio of 1.0 to 1.0.</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As of December 31, 2018 and 2017, Kodak had funded $3 million and $6 million, respectively, to the Eligible Cash account, held with the ABL Credit Agreement Administrative Agent, which is classified as Restricted cash in the Consolidated Statement of Financial Position.</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Reporting requirements under the Term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Lenders may take the position that the going concern explanatory paragraph contained in the audit report on the Company’s financial statements as of and for the year ended December 31, 2018 does not satisfy the requirements under the Term Credit Agreement. Under the Term Credit Agreement, if notice of a failure to comply with the reporting covenant is given to the Company by the lenders, an event of default would occur thereunder if such failure is not cured within thirty days after such notice is given, unless such event of default is waived by the requisite lenders. In the event of default, the debt could become immediately due.</w:t>
      </w:r>
    </w:p>
    <w:p>
      <w:pPr>
        <w:spacing w:after="0" w:line="20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Company’s ABL Credit Agreement contains an opinion delivery requirement that corresponds to the requirement under the Term Credit Agreement, although under the ABL Credit Agreement there is an additional requirement that the opinion be reasonably acceptable to the agent under the ABL Credit Agreement. On March 31, 2019 the Company obtained a waiver from the agent and lenders under the ABL Credit Agreement with respect to any event of default under the reporting covenant that may be deemed to occur in relation to the going concern explanatory paragraph in the audit report. Such waiver does not waive any cross-default that may occur in the event of the occurrence of an event of default under the Term Credit Agreement as described above.</w:t>
      </w:r>
    </w:p>
    <w:p>
      <w:pPr>
        <w:spacing w:after="0" w:line="189"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Company intends to repay the Term Credit Agreement using proceeds from the sale of the Flexographic Packaging segment and to amend and restate or refinance the Term Credit Agreement prior to the maturity of the Term Credit Agreement or ABL Credit Agreement and prior to the date on which any event of default would occur under the Term Credit Agreement.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NOTE 10: REDEEMABLE, CONVERTIBLE SERIES A PREFERRED STOCK</w:t>
      </w:r>
    </w:p>
    <w:p>
      <w:pPr>
        <w:spacing w:after="0" w:line="25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(the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received net proceeds of $198 million after issuance costs.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classified the Series A Preferred Stock as temporary equity in the Consolidated Statement of Financial Position.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and Other Rights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On November 14, 2016, the Company filed with the Department of Treasury of the State of New Jersey a Certificate of Amendment to the Second Amended and Restated Certificate of Incorporation of the Company (the “Certificate of Designations”) which established the designation, number of shares, rights, preferences and limitations of the Series A Preferred Stock which became effective upon filing. The Series A Preferred Stock ranks senior to the Company’s common stock (“Common Stock”) with respect to dividend rights and rights on liquidation, winding-up and dissolution. The Series A Preferred Stock has a liquidation preference of $100 per share, and 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Holders of Series A Preferred Stock are entitled to vote together with the holders of the Common Stock as a single class, in each case, on an as-converted basis, except where a separate class vote is required by law. Holders of Series A Preferred Stock have certain limited special approval rights, including with respect to the issuance of pari passu or senior equity securities of the Company.</w:t>
      </w:r>
    </w:p>
    <w:p>
      <w:pPr>
        <w:spacing w:after="0" w:line="19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allows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Feature</w:t>
      </w:r>
      <w:r>
        <w:rPr>
          <w:rFonts w:ascii="Arial" w:cs="Arial" w:eastAsia="Arial" w:hAnsi="Arial"/>
          <w:sz w:val="17"/>
          <w:szCs w:val="17"/>
          <w:b w:val="1"/>
          <w:bCs w:val="1"/>
          <w:color w:val="auto"/>
        </w:rPr>
        <w:t>s</w:t>
      </w:r>
    </w:p>
    <w:p>
      <w:pPr>
        <w:spacing w:after="0" w:line="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Each share of Series A Preferred Stock is convertible, at the option of each holder at any time, into shares of Common Stock at the initial conversion rate of 5.7471 (equivalent to an initial conversion price of $17.40 per share of Common Stock). If a holder elects to convert any shares of Series A Preferred Stock during a specified period in connection with a fundamental change (as defined in the Certificate of Designations), the conversion rate will be adjusted under certain circumstances and such holder will also be entitled to a payment in respect of accumulated dividends. If a holder elects to convert any shares of Series A Preferred Stock during a specified period following a reorganization event (as defined in the Certificate of Designations), such holder can elect to have the conversion rate adjusted. In addition, the Company will have the right to require holders to convert any shares of Series A Preferred Stock in connection with certain reorganization events, in which case the conversion rate will be adjusted under certain circumstances. If shares of Series A Preferred Stock are not converted in connection with a reorganization event, such shares will become convertible into the exchanged property from the reorganization event.</w:t>
      </w:r>
    </w:p>
    <w:p>
      <w:pPr>
        <w:spacing w:after="0" w:line="17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Company will have the right to convert Series A Preferred Stock into Common Stock at any time after the second anniversary of the initial issuance, if the closing price of the Common Stock has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initial conversion rate and the corresponding conversion price are subject to customary anti-dilution adjustments as well as an adjustment if the Company is obligated to make a cash payment under the settlement agreement relating to the remediation of historical environmental liabilities at EBP, as discussed in Note 12, “Guarantees”.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7" w:name="page68"/>
    <w:bookmarkEnd w:id="67"/>
    <w:p>
      <w:pPr>
        <w:ind w:right="160"/>
        <w:spacing w:after="0" w:line="259" w:lineRule="auto"/>
        <w:rPr>
          <w:sz w:val="20"/>
          <w:szCs w:val="20"/>
          <w:color w:val="auto"/>
        </w:rPr>
      </w:pPr>
      <w:r>
        <w:rPr>
          <w:rFonts w:ascii="Arial" w:cs="Arial" w:eastAsia="Arial" w:hAnsi="Arial"/>
          <w:sz w:val="17"/>
          <w:szCs w:val="17"/>
          <w:color w:val="auto"/>
        </w:rPr>
        <w:t>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The Company allocated $43 million of the net proceeds received to the derivative liability based on the aggregate fair value of the embedded conversion features on the date of issuance which reduced the original carrying value of the Series A Preferred Stock. The derivative is being accounted for at fair value with subsequent changes in the fair value being reported as part of Other (income) charges, net in the Consolidated Statement of Operations. The fair value of the derivative as of December 31, 2018 and 2017 was an asset of $4 million and is included within Other long-term assets in the accompanying Consolidated Statement of Financial Position. Refer to Note 13, “Financial Instruments” for information on the valuation of the derivative.</w:t>
      </w:r>
    </w:p>
    <w:p>
      <w:pPr>
        <w:spacing w:after="0" w:line="21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Features</w:t>
      </w:r>
    </w:p>
    <w:p>
      <w:pPr>
        <w:spacing w:after="0" w:line="2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If any shares of Series A Preferred Stock have not been converted prior to the fifth anniversary of the initial issuance of the Series A Preferred Stock, the Company is required to redeem such shares at $100 per share plus the amount of accrued and unpaid dividends. As the Company concluded that the Series A Preferred Stock is considered more akin to a debt-type instrument, the redemption feature is considered to be clearly and closely related to the host contract and therefore was not required to be separated from the Series A Preferred Stock.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Registration Rights Agreement</w:t>
      </w:r>
    </w:p>
    <w:p>
      <w:pPr>
        <w:spacing w:after="0" w:line="25" w:lineRule="exact"/>
        <w:rPr>
          <w:sz w:val="20"/>
          <w:szCs w:val="20"/>
          <w:color w:val="auto"/>
        </w:rPr>
      </w:pPr>
    </w:p>
    <w:p>
      <w:pPr>
        <w:ind w:right="380"/>
        <w:spacing w:after="0" w:line="282" w:lineRule="auto"/>
        <w:rPr>
          <w:sz w:val="20"/>
          <w:szCs w:val="20"/>
          <w:color w:val="auto"/>
        </w:rPr>
      </w:pPr>
      <w:r>
        <w:rPr>
          <w:rFonts w:ascii="Arial" w:cs="Arial" w:eastAsia="Arial" w:hAnsi="Arial"/>
          <w:sz w:val="16"/>
          <w:szCs w:val="16"/>
          <w:color w:val="auto"/>
        </w:rPr>
        <w:t>On November 15, 2016, the Company, Southeastern and the Purchasers entered into a Registration Rights Agreement (the “Series A Registration Rights Agreement”), pursuant to which the Company agreed to register under the Securities Act and take certain actions with respect to the offer and sale by the Purchasers of shares of Series A Preferred Stock purchased by the Purchasers and shares of Common Stock issuable upon conversion of the Series A Preferred Stock and issuable pursuant to the terms of the Series A Preferred Stock (the “Series A registrable securities”).</w:t>
      </w:r>
    </w:p>
    <w:p>
      <w:pPr>
        <w:spacing w:after="0" w:line="192"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Pursuant to the Registration Rights Agreement, the Company has filed with the SEC a shelf registration statement on Form S-3 that relates to the resale of the Series A registrable securities and such registration statement has been declared effective by the SEC. Upon the written demand of the relevant Purchaser(s), the Company will facilitate a “takedown” of Series A registrable securities off of the registration statement but the Purchaser(s) may not, individually or collectively, make more than four demands in the aggregate. Any demand for an underwritten offering of Series A Preferred Stock must have an aggregate market value (based on the most recent closing price of the Common Stock into which the Series A Preferred Stock is convertible at the time of the demand) of at least $75 million.</w:t>
      </w:r>
    </w:p>
    <w:p>
      <w:pPr>
        <w:spacing w:after="0" w:line="174"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The Series A Registration Rights Agreement does not entitle the Purchasers to piggyback registration rights. The Series A Registration Rights Agreement is binding upon the parties thereto and their successors and will inure to the benefit of each Purchaser and its successors and permitted assigns. Neither party may assign the Series A Registration Rights Agreement without the prior written consent of the other party.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COMMITMENTS AND CONTINGENCIES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asset retirement obligation activity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0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rPr>
              <w:t>For the Year Ended 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358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Asset Retirement Obligations at start of period</w:t>
            </w:r>
          </w:p>
        </w:tc>
        <w:tc>
          <w:tcPr>
            <w:tcW w:w="2300" w:type="dxa"/>
            <w:vAlign w:val="bottom"/>
            <w:gridSpan w:val="2"/>
            <w:shd w:val="clear" w:color="auto" w:fill="CFF0FC"/>
          </w:tcPr>
          <w:p>
            <w:pPr>
              <w:jc w:val="right"/>
              <w:ind w:right="87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9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1720"/>
              <w:spacing w:after="0"/>
              <w:rPr>
                <w:sz w:val="20"/>
                <w:szCs w:val="20"/>
                <w:color w:val="auto"/>
              </w:rPr>
            </w:pPr>
            <w:r>
              <w:rPr>
                <w:rFonts w:ascii="Arial" w:cs="Arial" w:eastAsia="Arial" w:hAnsi="Arial"/>
                <w:sz w:val="17"/>
                <w:szCs w:val="17"/>
                <w:color w:val="auto"/>
              </w:rPr>
              <w:t>Liabilities incurred in the current period</w:t>
            </w: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Liabilities settled in the current period</w:t>
            </w:r>
          </w:p>
        </w:tc>
        <w:tc>
          <w:tcPr>
            <w:tcW w:w="1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1720"/>
              <w:spacing w:after="0"/>
              <w:rPr>
                <w:sz w:val="20"/>
                <w:szCs w:val="20"/>
                <w:color w:val="auto"/>
              </w:rPr>
            </w:pPr>
            <w:r>
              <w:rPr>
                <w:rFonts w:ascii="Arial" w:cs="Arial" w:eastAsia="Arial" w:hAnsi="Arial"/>
                <w:sz w:val="17"/>
                <w:szCs w:val="17"/>
                <w:color w:val="auto"/>
              </w:rPr>
              <w:t>Accretion expense</w:t>
            </w: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Revision in estimated cash flows</w:t>
            </w:r>
          </w:p>
        </w:tc>
        <w:tc>
          <w:tcPr>
            <w:tcW w:w="1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gridSpan w:val="2"/>
          </w:tcPr>
          <w:p>
            <w:pPr>
              <w:ind w:left="1720"/>
              <w:spacing w:after="0"/>
              <w:rPr>
                <w:sz w:val="20"/>
                <w:szCs w:val="20"/>
                <w:color w:val="auto"/>
              </w:rPr>
            </w:pPr>
            <w:r>
              <w:rPr>
                <w:rFonts w:ascii="Arial" w:cs="Arial" w:eastAsia="Arial" w:hAnsi="Arial"/>
                <w:sz w:val="17"/>
                <w:szCs w:val="17"/>
                <w:color w:val="auto"/>
              </w:rPr>
              <w:t>Asset Retirement Obligations at end of period</w:t>
            </w:r>
          </w:p>
        </w:tc>
        <w:tc>
          <w:tcPr>
            <w:tcW w:w="2300" w:type="dxa"/>
            <w:vAlign w:val="bottom"/>
            <w:gridSpan w:val="2"/>
          </w:tcPr>
          <w:p>
            <w:pPr>
              <w:jc w:val="right"/>
              <w:ind w:right="871"/>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8"/>
                <w:szCs w:val="18"/>
                <w:color w:val="auto"/>
              </w:rPr>
            </w:pPr>
          </w:p>
        </w:tc>
        <w:tc>
          <w:tcPr>
            <w:tcW w:w="114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80" w:type="dxa"/>
            <w:vAlign w:val="bottom"/>
            <w:vMerge w:val="restart"/>
          </w:tcPr>
          <w:p>
            <w:pPr>
              <w:jc w:val="right"/>
              <w:ind w:right="693"/>
              <w:spacing w:after="0"/>
              <w:rPr>
                <w:sz w:val="20"/>
                <w:szCs w:val="20"/>
                <w:color w:val="auto"/>
              </w:rPr>
            </w:pPr>
            <w:r>
              <w:rPr>
                <w:rFonts w:ascii="Arial" w:cs="Arial" w:eastAsia="Arial" w:hAnsi="Arial"/>
                <w:sz w:val="17"/>
                <w:szCs w:val="17"/>
                <w:color w:val="auto"/>
              </w:rPr>
              <w:t>68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72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and its subsidiaries have entered into operating leases for various real estate and equipment needs. Rental expense in the years ended December 31, 2018 and 2017 amounted to $21 million and $22 million, respectively, net of sublease income of $7 million in each year.</w:t>
      </w:r>
    </w:p>
    <w:p>
      <w:pPr>
        <w:spacing w:after="0" w:line="6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As of December 31, 2018, the Company had outstanding letters of credit of $85 million issued under the ABL Credit Agreement as well as bank guarantees and letters of credit of $3 million, surety bonds in the amount of $40 million, and restricted cash and deposits of $25 million, primarily to support compliance with the Excess Availability threshold under the ABL Credit Agreement, to ensure the payment of possible casualty and workers compensation claims, environmental liabilities, legal contingencies, rental payments, and to support various customs, hedging, tax and trade activities. The restricted cash and deposits are recorded in Restricted cash, Other current assets and Other long-term assets in the Consolidated Statement of Financial Position.</w:t>
      </w:r>
    </w:p>
    <w:p>
      <w:pPr>
        <w:spacing w:after="0" w:line="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December 31, 2018, the unreserved portion of these contingencies, inclusive of any related interest and penalties, for which there was at least a reasonable possibility that a loss may be incurred, amounted to approximately $10 million.</w:t>
      </w:r>
    </w:p>
    <w:p>
      <w:pPr>
        <w:spacing w:after="0" w:line="7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December 31, 2018, Kodak has posted security composed of $5 million of pledged cash reported within Restricted cash in the Consolidated Statement of Financial Position and liens on certain Brazilian assets with a net book value of approximately $60 million. Generally, any encumbrances on the Brazilian assets would be removed to the extent the matter is resolved in Kodak's favor.</w:t>
      </w:r>
    </w:p>
    <w:p>
      <w:pPr>
        <w:spacing w:after="0" w:line="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GUARANTEES</w:t>
      </w:r>
    </w:p>
    <w:p>
      <w:pPr>
        <w:spacing w:after="0" w:line="25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$4 million and the outstanding amount for those guarantees is $1 million.</w:t>
      </w:r>
    </w:p>
    <w:p>
      <w:pPr>
        <w:spacing w:after="0" w:line="18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w:t>
      </w:r>
    </w:p>
    <w:p>
      <w:pPr>
        <w:ind w:right="160"/>
        <w:spacing w:after="0" w:line="264" w:lineRule="auto"/>
        <w:rPr>
          <w:sz w:val="20"/>
          <w:szCs w:val="20"/>
          <w:color w:val="auto"/>
        </w:rPr>
      </w:pPr>
      <w:r>
        <w:rPr>
          <w:rFonts w:ascii="Arial" w:cs="Arial" w:eastAsia="Arial" w:hAnsi="Arial"/>
          <w:sz w:val="17"/>
          <w:szCs w:val="17"/>
          <w:color w:val="auto"/>
        </w:rPr>
        <w:t>capacities. Historically, costs incurred to settle claims related to these indemnifications have not been material to Kodak’s financial position, results of operations or cash flows. Further, the fair value of any right to indemnification granted during the year ended December 31, 2018 was not material to Kodak’s financial position, results of operations or cash flows.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271" w:right="25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Extended Warranty Arrangements</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213"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w w:val="99"/>
              </w:rPr>
              <w:t>Deferred revenue on extended warranties as of December 31, 2016</w:t>
            </w: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7"/>
                <w:szCs w:val="17"/>
                <w:color w:val="auto"/>
              </w:rPr>
              <w:t>New extended warranty and maintenance arrangements</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revenue</w:t>
            </w: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7"/>
                <w:szCs w:val="17"/>
                <w:color w:val="auto"/>
                <w:w w:val="99"/>
              </w:rPr>
              <w:t>Deferred revenue on extended warranties as of December 31, 2017</w:t>
            </w:r>
          </w:p>
        </w:tc>
        <w:tc>
          <w:tcPr>
            <w:tcW w:w="4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New extended warranty and maintenance arrangements</w:t>
            </w: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120"/>
              <w:spacing w:after="0"/>
              <w:rPr>
                <w:sz w:val="20"/>
                <w:szCs w:val="20"/>
                <w:color w:val="auto"/>
              </w:rPr>
            </w:pPr>
            <w:r>
              <w:rPr>
                <w:rFonts w:ascii="Arial" w:cs="Arial" w:eastAsia="Arial" w:hAnsi="Arial"/>
                <w:sz w:val="17"/>
                <w:szCs w:val="17"/>
                <w:color w:val="auto"/>
              </w:rPr>
              <w:t>revenue</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99"/>
              </w:rPr>
              <w:t>Deferred revenue on extended warranties as of December 31, 2018</w:t>
            </w:r>
          </w:p>
        </w:tc>
        <w:tc>
          <w:tcPr>
            <w:tcW w:w="4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0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Costs incurred under these extended warranty and maintenance arrangements for the years ended December 31, 2018 and 2017 amounted to $113 million and $114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FINANCIAL INSTRUMENTS</w:t>
      </w:r>
    </w:p>
    <w:p>
      <w:pPr>
        <w:spacing w:after="0" w:line="25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Kodak’s exposure to changes in interest rates results from its investing and borrowing activities used to meet its liquidity needs. Kodak does not utilize financial instruments for trading or other speculative purposes.</w:t>
      </w:r>
    </w:p>
    <w:p>
      <w:pPr>
        <w:spacing w:after="0" w:line="7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earnings (loss) at the same time that the exposed assets and liabilities are re-measured through net earnings (loss) (both in Other (income) charges, net in the Consolidated Statement of Operations). The notional amount of such contracts open at December 31, 2018 and 2017 was approximately $415 million and $534 million, respectively. The majority of the contracts of this type held by Kodak at December 31, 2018 were denominated in euros, Japanese yen, Chinese renminbi and Swiss francs. The majority of the contracts of this type held by Kodak at December 31, 2017 were denominated in Swiss francs and euros. The net effect of foreign currency forward contracts in the results of operations is shown in the following table:</w:t>
      </w:r>
    </w:p>
    <w:p>
      <w:pPr>
        <w:spacing w:after="0" w:line="26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66"/>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02"/>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Net loss from derivatives not designated as hedging</w:t>
            </w: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49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instruments</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 had no derivatives designated as hedging instruments for the years ended December 31, 2018 and 2017.</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2018 was not significant to Kodak.</w:t>
      </w:r>
    </w:p>
    <w:p>
      <w:pPr>
        <w:spacing w:after="0" w:line="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68"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As discussed in Note 10, “Redeemable, Convertible, Series A Preferred Stock”, Kodak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the ability of Kodak to automatically convert the stock after the second anniversary of issuance and the conversion in the event of a fundamental change or reorganization. Accordingly, these embedded conversion features were bifurcated from the Series A Preferred Stock and separately accounted for on a combined basis as a single derivative asset or liability which is reported in Other long-term assets in the Consolidated Statement of Financial Position as of December 31, 2018 and 2017. The derivative is being accounted for at fair value with changes in fair value being reported in Other (income) charges, net in the Consolidated Statement of Operations.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December 31, 2018 and 2017 was $3 million and $7 million, respectively. The gross fair value of the foreign currency forward contracts in a liability position as of December 31, 2018 and 2017 were $1 million in each year.</w:t>
      </w:r>
    </w:p>
    <w:p>
      <w:pPr>
        <w:spacing w:after="0" w:line="195" w:lineRule="exact"/>
        <w:rPr>
          <w:sz w:val="20"/>
          <w:szCs w:val="20"/>
          <w:color w:val="auto"/>
        </w:rPr>
      </w:pPr>
    </w:p>
    <w:p>
      <w:pPr>
        <w:jc w:val="both"/>
        <w:ind w:right="140"/>
        <w:spacing w:after="0" w:line="357" w:lineRule="auto"/>
        <w:rPr>
          <w:sz w:val="20"/>
          <w:szCs w:val="20"/>
          <w:color w:val="auto"/>
        </w:rPr>
      </w:pPr>
      <w:r>
        <w:rPr>
          <w:rFonts w:ascii="Arial" w:cs="Arial" w:eastAsia="Arial" w:hAnsi="Arial"/>
          <w:sz w:val="15"/>
          <w:szCs w:val="15"/>
          <w:color w:val="auto"/>
        </w:rPr>
        <w:t>The fair value of the Series A Preferred Stock embedded conversion features derivative is calculated using unobservable inputs (Level 3 fair measurements). The value is calculated using a binomial lattice model. The following table presents the key inputs in the determination of fair value at December 31, 2018 and 2017:</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80"/>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Valuation Date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68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89"/>
              </w:rPr>
              <w:t>For the Year Ended December 31,</w:t>
            </w:r>
          </w:p>
        </w:tc>
        <w:tc>
          <w:tcPr>
            <w:tcW w:w="0" w:type="dxa"/>
            <w:vAlign w:val="bottom"/>
          </w:tcPr>
          <w:p>
            <w:pPr>
              <w:spacing w:after="0"/>
              <w:rPr>
                <w:sz w:val="1"/>
                <w:szCs w:val="1"/>
                <w:color w:val="auto"/>
              </w:rPr>
            </w:pPr>
          </w:p>
        </w:tc>
      </w:tr>
      <w:tr>
        <w:trPr>
          <w:trHeight w:val="65"/>
        </w:trPr>
        <w:tc>
          <w:tcPr>
            <w:tcW w:w="4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00" w:type="dxa"/>
            <w:vAlign w:val="bottom"/>
            <w:vMerge w:val="restart"/>
          </w:tcPr>
          <w:p>
            <w:pPr>
              <w:ind w:left="240"/>
              <w:spacing w:after="0"/>
              <w:rPr>
                <w:sz w:val="20"/>
                <w:szCs w:val="20"/>
                <w:color w:val="auto"/>
              </w:rPr>
            </w:pPr>
            <w:r>
              <w:rPr>
                <w:rFonts w:ascii="Arial" w:cs="Arial" w:eastAsia="Arial" w:hAnsi="Arial"/>
                <w:sz w:val="17"/>
                <w:szCs w:val="17"/>
                <w:color w:val="auto"/>
              </w:rPr>
              <w:t>Total value of embedded derivative asset</w:t>
            </w:r>
          </w:p>
        </w:tc>
        <w:tc>
          <w:tcPr>
            <w:tcW w:w="1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vMerge w:val="continue"/>
          </w:tcPr>
          <w:p>
            <w:pPr>
              <w:spacing w:after="0"/>
              <w:rPr>
                <w:sz w:val="18"/>
                <w:szCs w:val="18"/>
                <w:color w:val="auto"/>
              </w:rPr>
            </w:pPr>
          </w:p>
        </w:tc>
        <w:tc>
          <w:tcPr>
            <w:tcW w:w="1820" w:type="dxa"/>
            <w:vAlign w:val="bottom"/>
            <w:gridSpan w:val="2"/>
          </w:tcPr>
          <w:p>
            <w:pPr>
              <w:jc w:val="right"/>
              <w:ind w:right="551"/>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Kodak's closing stock price</w:t>
            </w: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40"/>
              <w:spacing w:after="0"/>
              <w:rPr>
                <w:sz w:val="20"/>
                <w:szCs w:val="20"/>
                <w:color w:val="auto"/>
              </w:rPr>
            </w:pPr>
            <w:r>
              <w:rPr>
                <w:rFonts w:ascii="Arial" w:cs="Arial" w:eastAsia="Arial" w:hAnsi="Arial"/>
                <w:sz w:val="17"/>
                <w:szCs w:val="17"/>
                <w:color w:val="auto"/>
              </w:rPr>
              <w:t>Expected stock price volatility</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3"/>
              </w:rPr>
              <w:t>95.55%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58.22%</w:t>
            </w: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Risk free rate</w:t>
            </w: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21"/>
        </w:trPr>
        <w:tc>
          <w:tcPr>
            <w:tcW w:w="4200" w:type="dxa"/>
            <w:vAlign w:val="bottom"/>
          </w:tcPr>
          <w:p>
            <w:pPr>
              <w:ind w:left="240"/>
              <w:spacing w:after="0"/>
              <w:rPr>
                <w:sz w:val="20"/>
                <w:szCs w:val="20"/>
                <w:color w:val="auto"/>
              </w:rPr>
            </w:pPr>
            <w:r>
              <w:rPr>
                <w:rFonts w:ascii="Arial" w:cs="Arial" w:eastAsia="Arial" w:hAnsi="Arial"/>
                <w:sz w:val="17"/>
                <w:szCs w:val="17"/>
                <w:color w:val="auto"/>
              </w:rPr>
              <w:t>Yield on the preferred stock</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3"/>
              </w:rPr>
              <w:t>23.77%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22.31%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The Fundamental Change and Reorganization Conversion value exceeded the value of the embedded conversion features derivative liability at December 31, 2018 and 2017 resulting in the derivative being reported as an asset.</w:t>
      </w:r>
    </w:p>
    <w:p>
      <w:pPr>
        <w:spacing w:after="0" w:line="20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fair values of long-term borrowings were $5 million and $348 million at December 31, 2018 and 2017, respectively. Fair values of long-term borrowings (Level 2 fair value measurements) are determined by reference to quoted market prices, if available, or by pricing models based on the value of related cash flows discounted at current market interest rates. At December 31, 2018, the fair value of current portion of long-term borrowings was also determined by reference to quoted market prices of similar instruments, if available, or by pricing models based on the value of related cash flows discounted at current market interest rates. The fair value of the current portion of long-term borrowings was $378 million at December 31, 2018.</w:t>
      </w:r>
    </w:p>
    <w:p>
      <w:pPr>
        <w:spacing w:after="0" w:line="189"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2018.</w:t>
      </w:r>
    </w:p>
    <w:p>
      <w:pPr>
        <w:spacing w:after="0" w:line="54"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The carrying values of cash and cash equivalents and restricted cash approximate their fair values. In addition, the fair value of the current portion of long-term borrowings approximated its fair value at December 31, 2017.</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NOTE 14: REVENUE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revenue disaggregated by major product, portfolio summary and geography.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tcPr>
          <w:p>
            <w:pPr>
              <w:spacing w:after="0"/>
              <w:rPr>
                <w:sz w:val="20"/>
                <w:szCs w:val="20"/>
                <w:color w:val="auto"/>
              </w:rPr>
            </w:pPr>
            <w:r>
              <w:rPr>
                <w:rFonts w:ascii="Arial" w:cs="Arial" w:eastAsia="Arial" w:hAnsi="Arial"/>
                <w:sz w:val="17"/>
                <w:szCs w:val="17"/>
                <w:b w:val="1"/>
                <w:bCs w:val="1"/>
                <w:color w:val="auto"/>
              </w:rPr>
              <w:t>Major product: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ind w:left="120"/>
              <w:spacing w:after="0"/>
              <w:rPr>
                <w:sz w:val="20"/>
                <w:szCs w:val="20"/>
                <w:color w:val="auto"/>
              </w:rPr>
            </w:pPr>
            <w:r>
              <w:rPr>
                <w:rFonts w:ascii="Arial" w:cs="Arial" w:eastAsia="Arial" w:hAnsi="Arial"/>
                <w:sz w:val="17"/>
                <w:szCs w:val="17"/>
                <w:b w:val="1"/>
                <w:bCs w:val="1"/>
                <w:color w:val="auto"/>
              </w:rPr>
              <w:t>Year Ended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ind w:left="860"/>
              <w:spacing w:after="0"/>
              <w:rPr>
                <w:sz w:val="20"/>
                <w:szCs w:val="20"/>
                <w:color w:val="auto"/>
              </w:rPr>
            </w:pPr>
            <w:r>
              <w:rPr>
                <w:rFonts w:ascii="Arial" w:cs="Arial" w:eastAsia="Arial" w:hAnsi="Arial"/>
                <w:sz w:val="17"/>
                <w:szCs w:val="17"/>
                <w:b w:val="1"/>
                <w:bCs w:val="1"/>
                <w:color w:val="auto"/>
                <w:w w:val="94"/>
              </w:rPr>
              <w:t>December 31, 2018</w:t>
            </w:r>
          </w:p>
        </w:tc>
        <w:tc>
          <w:tcPr>
            <w:tcW w:w="160" w:type="dxa"/>
            <w:vAlign w:val="bottom"/>
          </w:tcPr>
          <w:p>
            <w:pPr>
              <w:spacing w:after="0"/>
              <w:rPr>
                <w:sz w:val="19"/>
                <w:szCs w:val="19"/>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3"/>
              </w:rPr>
              <w:t>Advanced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Enterprise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and 3D</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Print</w:t>
            </w:r>
          </w:p>
        </w:tc>
        <w:tc>
          <w:tcPr>
            <w:tcW w:w="2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Inkjet</w:t>
            </w:r>
          </w:p>
        </w:tc>
        <w:tc>
          <w:tcPr>
            <w:tcW w:w="1240" w:type="dxa"/>
            <w:vAlign w:val="bottom"/>
            <w:gridSpan w:val="3"/>
          </w:tcPr>
          <w:p>
            <w:pPr>
              <w:ind w:left="200"/>
              <w:spacing w:after="0"/>
              <w:rPr>
                <w:sz w:val="20"/>
                <w:szCs w:val="20"/>
                <w:color w:val="auto"/>
              </w:rPr>
            </w:pPr>
            <w:r>
              <w:rPr>
                <w:rFonts w:ascii="Arial" w:cs="Arial" w:eastAsia="Arial" w:hAnsi="Arial"/>
                <w:sz w:val="17"/>
                <w:szCs w:val="17"/>
                <w:b w:val="1"/>
                <w:bCs w:val="1"/>
                <w:color w:val="auto"/>
              </w:rPr>
              <w:t>Software &amp;</w:t>
            </w:r>
          </w:p>
        </w:tc>
        <w:tc>
          <w:tcPr>
            <w:tcW w:w="1320" w:type="dxa"/>
            <w:vAlign w:val="bottom"/>
            <w:gridSpan w:val="4"/>
          </w:tcPr>
          <w:p>
            <w:pPr>
              <w:ind w:left="140"/>
              <w:spacing w:after="0"/>
              <w:rPr>
                <w:sz w:val="20"/>
                <w:szCs w:val="20"/>
                <w:color w:val="auto"/>
              </w:rPr>
            </w:pPr>
            <w:r>
              <w:rPr>
                <w:rFonts w:ascii="Arial" w:cs="Arial" w:eastAsia="Arial" w:hAnsi="Arial"/>
                <w:sz w:val="17"/>
                <w:szCs w:val="17"/>
                <w:b w:val="1"/>
                <w:bCs w:val="1"/>
                <w:color w:val="auto"/>
              </w:rPr>
              <w:t>Consumer &amp;</w:t>
            </w: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Printing</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Systems</w:t>
            </w:r>
          </w:p>
        </w:tc>
        <w:tc>
          <w:tcPr>
            <w:tcW w:w="2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Systems</w:t>
            </w:r>
          </w:p>
        </w:tc>
        <w:tc>
          <w:tcPr>
            <w:tcW w:w="24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7"/>
                <w:szCs w:val="17"/>
                <w:b w:val="1"/>
                <w:bCs w:val="1"/>
                <w:color w:val="auto"/>
              </w:rPr>
              <w:t>Solutions</w:t>
            </w:r>
          </w:p>
        </w:tc>
        <w:tc>
          <w:tcPr>
            <w:tcW w:w="34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Arial" w:cs="Arial" w:eastAsia="Arial" w:hAnsi="Arial"/>
                <w:sz w:val="17"/>
                <w:szCs w:val="17"/>
                <w:b w:val="1"/>
                <w:bCs w:val="1"/>
                <w:color w:val="auto"/>
              </w:rPr>
              <w:t>Film</w:t>
            </w:r>
          </w:p>
        </w:tc>
        <w:tc>
          <w:tcPr>
            <w:tcW w:w="118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7"/>
              </w:rPr>
              <w:t>Technology</w:t>
            </w:r>
          </w:p>
        </w:tc>
        <w:tc>
          <w:tcPr>
            <w:tcW w:w="2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Park</w:t>
            </w:r>
          </w:p>
        </w:tc>
        <w:tc>
          <w:tcPr>
            <w:tcW w:w="3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Plates, inks and other</w:t>
            </w: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consumables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20"/>
                <w:szCs w:val="20"/>
                <w:color w:val="auto"/>
              </w:rPr>
            </w:pPr>
            <w:r>
              <w:rPr>
                <w:rFonts w:ascii="Arial" w:cs="Arial" w:eastAsia="Arial" w:hAnsi="Arial"/>
                <w:sz w:val="17"/>
                <w:szCs w:val="17"/>
                <w:color w:val="auto"/>
              </w:rPr>
              <w:t>Ongoing service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arrangements </w:t>
            </w:r>
            <w:r>
              <w:rPr>
                <w:rFonts w:ascii="Arial" w:cs="Arial" w:eastAsia="Arial" w:hAnsi="Arial"/>
                <w:sz w:val="14"/>
                <w:szCs w:val="14"/>
                <w:color w:val="auto"/>
              </w:rPr>
              <w:t>(1)</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w w:val="94"/>
              </w:rPr>
              <w:t>48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1680"/>
              <w:spacing w:after="0"/>
              <w:rPr>
                <w:sz w:val="20"/>
                <w:szCs w:val="20"/>
                <w:color w:val="auto"/>
              </w:rPr>
            </w:pPr>
            <w:r>
              <w:rPr>
                <w:rFonts w:ascii="Arial" w:cs="Arial" w:eastAsia="Arial" w:hAnsi="Arial"/>
                <w:sz w:val="17"/>
                <w:szCs w:val="17"/>
                <w:color w:val="auto"/>
                <w:w w:val="99"/>
              </w:rPr>
              <w:t>Total Annuities</w:t>
            </w: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817</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7"/>
                <w:szCs w:val="17"/>
                <w:color w:val="auto"/>
                <w:w w:val="94"/>
              </w:rPr>
              <w:t>48</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7"/>
                <w:szCs w:val="17"/>
                <w:color w:val="auto"/>
              </w:rPr>
              <w:t>Equipment &amp; Software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Arial" w:cs="Arial" w:eastAsia="Arial" w:hAnsi="Arial"/>
                <w:sz w:val="17"/>
                <w:szCs w:val="17"/>
                <w:color w:val="auto"/>
                <w:w w:val="94"/>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Film and chemicals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w w:val="94"/>
              </w:rPr>
              <w:t>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4"/>
              </w:rPr>
              <w:t>17</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7"/>
                <w:szCs w:val="17"/>
                <w:color w:val="auto"/>
                <w:w w:val="94"/>
              </w:rPr>
              <w:t>84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7"/>
                <w:szCs w:val="17"/>
                <w:color w:val="auto"/>
                <w:w w:val="94"/>
              </w:rPr>
              <w:t>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200" w:hanging="378"/>
        <w:spacing w:after="0" w:line="287"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7"/>
          <w:szCs w:val="17"/>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84" w:lineRule="exact"/>
        <w:rPr>
          <w:rFonts w:ascii="Arial" w:cs="Arial" w:eastAsia="Arial" w:hAnsi="Arial"/>
          <w:sz w:val="15"/>
          <w:szCs w:val="15"/>
          <w:color w:val="auto"/>
        </w:rPr>
      </w:pPr>
    </w:p>
    <w:p>
      <w:pPr>
        <w:ind w:left="760" w:right="600" w:hanging="378"/>
        <w:spacing w:after="0" w:line="287"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7"/>
          <w:szCs w:val="17"/>
          <w:color w:val="auto"/>
        </w:rPr>
        <w:t>Other includes revenue from professional services, non-recurring engineering services, print and managed media services, tenant rent and related property management services and licensing.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40" w:type="dxa"/>
            <w:vAlign w:val="bottom"/>
          </w:tcPr>
          <w:p>
            <w:pPr>
              <w:spacing w:after="0"/>
              <w:rPr>
                <w:sz w:val="20"/>
                <w:szCs w:val="20"/>
                <w:color w:val="auto"/>
              </w:rPr>
            </w:pPr>
            <w:r>
              <w:rPr>
                <w:rFonts w:ascii="Arial" w:cs="Arial" w:eastAsia="Arial" w:hAnsi="Arial"/>
                <w:sz w:val="17"/>
                <w:szCs w:val="17"/>
                <w:b w:val="1"/>
                <w:bCs w:val="1"/>
                <w:color w:val="auto"/>
              </w:rPr>
              <w:t>Product Portfolio Summary:</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Year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December 31, 2018</w:t>
            </w: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1"/>
              </w:rPr>
              <w:t>Advanced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3"/>
              <w:spacing w:after="0"/>
              <w:rPr>
                <w:sz w:val="20"/>
                <w:szCs w:val="20"/>
                <w:color w:val="auto"/>
              </w:rPr>
            </w:pPr>
            <w:r>
              <w:rPr>
                <w:rFonts w:ascii="Arial" w:cs="Arial" w:eastAsia="Arial" w:hAnsi="Arial"/>
                <w:sz w:val="17"/>
                <w:szCs w:val="17"/>
                <w:b w:val="1"/>
                <w:bCs w:val="1"/>
                <w:color w:val="auto"/>
                <w:w w:val="95"/>
              </w:rPr>
              <w:t>Enterprise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3"/>
              </w:rPr>
              <w:t>Materials and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3"/>
              <w:spacing w:after="0"/>
              <w:rPr>
                <w:sz w:val="20"/>
                <w:szCs w:val="20"/>
                <w:color w:val="auto"/>
              </w:rPr>
            </w:pPr>
            <w:r>
              <w:rPr>
                <w:rFonts w:ascii="Arial" w:cs="Arial" w:eastAsia="Arial" w:hAnsi="Arial"/>
                <w:sz w:val="17"/>
                <w:szCs w:val="17"/>
                <w:b w:val="1"/>
                <w:bCs w:val="1"/>
                <w:color w:val="auto"/>
                <w:w w:val="98"/>
              </w:rPr>
              <w:t>Inkjet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b w:val="1"/>
                <w:bCs w:val="1"/>
                <w:color w:val="auto"/>
                <w:w w:val="94"/>
              </w:rPr>
              <w:t>Software &amp;</w:t>
            </w:r>
          </w:p>
        </w:tc>
        <w:tc>
          <w:tcPr>
            <w:tcW w:w="2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7"/>
                <w:szCs w:val="17"/>
                <w:b w:val="1"/>
                <w:bCs w:val="1"/>
                <w:color w:val="auto"/>
              </w:rPr>
              <w:t>Consumer &amp;</w:t>
            </w: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3D Printing</w:t>
            </w:r>
          </w:p>
        </w:tc>
        <w:tc>
          <w:tcPr>
            <w:tcW w:w="14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b w:val="1"/>
                <w:bCs w:val="1"/>
                <w:color w:val="auto"/>
                <w:w w:val="95"/>
              </w:rPr>
              <w:t>Eastman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Print Systems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5"/>
              </w:rPr>
              <w:t>Systems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5"/>
              </w:rPr>
              <w:t>Solutions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Film</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0"/>
              </w:rPr>
              <w:t>Technology</w:t>
            </w:r>
          </w:p>
        </w:tc>
        <w:tc>
          <w:tcPr>
            <w:tcW w:w="18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7"/>
              </w:rPr>
              <w:t>Business Park</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7"/>
                <w:szCs w:val="17"/>
                <w:color w:val="auto"/>
              </w:rPr>
              <w:t xml:space="preserve">Growth engines </w:t>
            </w:r>
            <w:r>
              <w:rPr>
                <w:rFonts w:ascii="Arial" w:cs="Arial" w:eastAsia="Arial" w:hAnsi="Arial"/>
                <w:sz w:val="14"/>
                <w:szCs w:val="14"/>
                <w:color w:val="auto"/>
              </w:rPr>
              <w:t>(1)</w:t>
            </w: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159</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84</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Strategic other businesses </w:t>
            </w:r>
            <w:r>
              <w:rPr>
                <w:rFonts w:ascii="Arial" w:cs="Arial" w:eastAsia="Arial" w:hAnsi="Arial"/>
                <w:sz w:val="14"/>
                <w:szCs w:val="14"/>
                <w:color w:val="auto"/>
              </w:rPr>
              <w:t>(2)</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7"/>
                <w:szCs w:val="17"/>
                <w:color w:val="auto"/>
              </w:rPr>
              <w:t>Planned declining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businesses </w:t>
            </w:r>
            <w:r>
              <w:rPr>
                <w:rFonts w:ascii="Arial" w:cs="Arial" w:eastAsia="Arial" w:hAnsi="Arial"/>
                <w:sz w:val="14"/>
                <w:szCs w:val="14"/>
                <w:color w:val="auto"/>
              </w:rPr>
              <w:t>(3)</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ind w:left="3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93"/>
              <w:spacing w:after="0"/>
              <w:rPr>
                <w:sz w:val="20"/>
                <w:szCs w:val="20"/>
                <w:color w:val="auto"/>
              </w:rPr>
            </w:pPr>
            <w:r>
              <w:rPr>
                <w:rFonts w:ascii="Arial" w:cs="Arial" w:eastAsia="Arial" w:hAnsi="Arial"/>
                <w:sz w:val="17"/>
                <w:szCs w:val="17"/>
                <w:color w:val="auto"/>
              </w:rPr>
              <w:t>72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ind w:left="760" w:hanging="378"/>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Growth engines consist of Sonora, PROSPER, Software and Solutions, AM3D, excluding intellectual property (IP) licensing, and brand licensing.</w:t>
      </w:r>
    </w:p>
    <w:p>
      <w:pPr>
        <w:spacing w:after="0" w:line="259" w:lineRule="exact"/>
        <w:rPr>
          <w:rFonts w:ascii="Arial" w:cs="Arial" w:eastAsia="Arial" w:hAnsi="Arial"/>
          <w:sz w:val="14"/>
          <w:szCs w:val="14"/>
          <w:color w:val="auto"/>
        </w:rPr>
      </w:pPr>
    </w:p>
    <w:p>
      <w:pPr>
        <w:ind w:left="760" w:right="160" w:hanging="378"/>
        <w:spacing w:after="0" w:line="320" w:lineRule="auto"/>
        <w:tabs>
          <w:tab w:leader="none" w:pos="7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Strategic Other Businesses include plates, Computer to Plate (“CTP”) and related service, and Nexpress and related toner business in the Print Systems segment, Motion Picture and Industrial Film and Chemicals in the Consumer and Film segment, Eastman Business Park and IP licensing.</w:t>
      </w:r>
    </w:p>
    <w:p>
      <w:pPr>
        <w:spacing w:after="0" w:line="161" w:lineRule="exact"/>
        <w:rPr>
          <w:rFonts w:ascii="Arial" w:cs="Arial" w:eastAsia="Arial" w:hAnsi="Arial"/>
          <w:sz w:val="14"/>
          <w:szCs w:val="14"/>
          <w:color w:val="auto"/>
        </w:rPr>
      </w:pPr>
    </w:p>
    <w:p>
      <w:pPr>
        <w:ind w:left="760" w:right="220" w:hanging="378"/>
        <w:spacing w:after="0" w:line="271" w:lineRule="auto"/>
        <w:tabs>
          <w:tab w:leader="none" w:pos="760" w:val="left"/>
        </w:tabs>
        <w:numPr>
          <w:ilvl w:val="0"/>
          <w:numId w:val="31"/>
        </w:numPr>
        <w:rPr>
          <w:rFonts w:ascii="Arial" w:cs="Arial" w:eastAsia="Arial" w:hAnsi="Arial"/>
          <w:sz w:val="15"/>
          <w:szCs w:val="15"/>
          <w:color w:val="auto"/>
        </w:rPr>
      </w:pPr>
      <w:r>
        <w:rPr>
          <w:rFonts w:ascii="Arial" w:cs="Arial" w:eastAsia="Arial" w:hAnsi="Arial"/>
          <w:sz w:val="17"/>
          <w:szCs w:val="17"/>
          <w:color w:val="auto"/>
        </w:rPr>
        <w:t>Planned Declining Businesses are product lines where the decision has been made to stop new product development and manage an orderly expected decline in the installed product and annuity base. These product families consist of Consumer Inkjet in the Consumer and Film segment, Versamark in the Enterprise Inkjet Systems segment and Digimaster in the Print Systems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80" w:type="dxa"/>
            <w:vAlign w:val="bottom"/>
          </w:tcPr>
          <w:p>
            <w:pPr>
              <w:spacing w:after="0"/>
              <w:rPr>
                <w:sz w:val="20"/>
                <w:szCs w:val="20"/>
                <w:color w:val="auto"/>
              </w:rPr>
            </w:pPr>
            <w:r>
              <w:rPr>
                <w:rFonts w:ascii="Arial" w:cs="Arial" w:eastAsia="Arial" w:hAnsi="Arial"/>
                <w:sz w:val="17"/>
                <w:szCs w:val="17"/>
                <w:b w:val="1"/>
                <w:bCs w:val="1"/>
                <w:color w:val="auto"/>
              </w:rPr>
              <w:t xml:space="preserve">Geography </w:t>
            </w:r>
            <w:r>
              <w:rPr>
                <w:rFonts w:ascii="Arial" w:cs="Arial" w:eastAsia="Arial" w:hAnsi="Arial"/>
                <w:sz w:val="14"/>
                <w:szCs w:val="14"/>
                <w:b w:val="1"/>
                <w:bCs w:val="1"/>
                <w:color w:val="auto"/>
              </w:rPr>
              <w:t>(1)</w:t>
            </w: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4"/>
              </w:rPr>
              <w:t>Year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December 31, 2018</w:t>
            </w:r>
          </w:p>
        </w:tc>
        <w:tc>
          <w:tcPr>
            <w:tcW w:w="100" w:type="dxa"/>
            <w:vAlign w:val="bottom"/>
          </w:tcPr>
          <w:p>
            <w:pPr>
              <w:spacing w:after="0"/>
              <w:rPr>
                <w:sz w:val="19"/>
                <w:szCs w:val="1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1"/>
              </w:rPr>
              <w:t>Advanced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Enterprise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5"/>
              </w:rPr>
              <w:t>Materials and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Inkjet</w:t>
            </w:r>
          </w:p>
        </w:tc>
        <w:tc>
          <w:tcPr>
            <w:tcW w:w="1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7"/>
                <w:szCs w:val="17"/>
                <w:b w:val="1"/>
                <w:bCs w:val="1"/>
                <w:color w:val="auto"/>
                <w:w w:val="94"/>
              </w:rPr>
              <w:t>Software &amp;</w:t>
            </w:r>
          </w:p>
        </w:tc>
        <w:tc>
          <w:tcPr>
            <w:tcW w:w="18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b w:val="1"/>
                <w:bCs w:val="1"/>
                <w:color w:val="auto"/>
              </w:rPr>
              <w:t>Consumer &amp;</w:t>
            </w: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3D Printing</w:t>
            </w: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b w:val="1"/>
                <w:bCs w:val="1"/>
                <w:color w:val="auto"/>
              </w:rPr>
              <w:t>Eastman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1"/>
              </w:rPr>
              <w:t>Print Systems</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5"/>
              </w:rPr>
              <w:t>Systems</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8"/>
              </w:rPr>
              <w:t>Solutions</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Film</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87"/>
              </w:rPr>
              <w:t>Technology</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Business Park</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7"/>
                <w:szCs w:val="17"/>
                <w:color w:val="auto"/>
              </w:rPr>
              <w:t>Canada</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7"/>
                <w:szCs w:val="17"/>
                <w:color w:val="auto"/>
              </w:rPr>
              <w:t>North America</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w:t>
            </w: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7"/>
                <w:szCs w:val="17"/>
                <w:color w:val="auto"/>
              </w:rPr>
              <w:t>Total Sales</w:t>
            </w:r>
          </w:p>
        </w:tc>
        <w:tc>
          <w:tcPr>
            <w:tcW w:w="4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right="720" w:hanging="378"/>
        <w:spacing w:after="0" w:line="287" w:lineRule="auto"/>
        <w:tabs>
          <w:tab w:leader="none" w:pos="760" w:val="left"/>
        </w:tabs>
        <w:numPr>
          <w:ilvl w:val="0"/>
          <w:numId w:val="32"/>
        </w:numPr>
        <w:rPr>
          <w:rFonts w:ascii="Arial" w:cs="Arial" w:eastAsia="Arial" w:hAnsi="Arial"/>
          <w:sz w:val="15"/>
          <w:szCs w:val="15"/>
          <w:color w:val="auto"/>
        </w:rPr>
      </w:pPr>
      <w:r>
        <w:rPr>
          <w:rFonts w:ascii="Arial" w:cs="Arial" w:eastAsia="Arial" w:hAnsi="Arial"/>
          <w:sz w:val="17"/>
          <w:szCs w:val="17"/>
          <w:color w:val="auto"/>
        </w:rPr>
        <w:t>Sales are reported in the geographic area in which they originate. No non-U.S. country generated more than 10% of net sales in the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December 31, 2018 and 2017 were $3 million and $2 million, respectively, and are reported in Other current assets and Trade receivables, respectively,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December 31, 2018 and 2017 were $48 million and $35 million, respectively, of which $42 million and $35 million, respectively, are reported in Other current liabilities and $6 million and $0 million, respectively, are reported in Other long-term liabilities in the Consolidated Statement of Financial Position.</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 recognized for the twelve months ended December 31, 2018 that was included in the contract liability balance at the beginning of the year was $34 million and primarily represented revenue from prepaid service contracts and equipment revenue recognition. Contract liabilities as of December 31, 2018 include $36 million of cash payments received during the twelve months ended December 31, 2018.</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OTHER OPERATING EXPENSE (INCOME), NET</w:t>
      </w:r>
    </w:p>
    <w:p>
      <w:pPr>
        <w:spacing w:after="0" w:line="31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6"/>
        </w:trPr>
        <w:tc>
          <w:tcPr>
            <w:tcW w:w="4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Expense (income):</w:t>
            </w: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7"/>
                <w:szCs w:val="17"/>
                <w:color w:val="auto"/>
              </w:rPr>
              <w:t xml:space="preserve">Korea withholding tax refund </w:t>
            </w:r>
            <w:r>
              <w:rPr>
                <w:rFonts w:ascii="Arial" w:cs="Arial" w:eastAsia="Arial" w:hAnsi="Arial"/>
                <w:sz w:val="14"/>
                <w:szCs w:val="14"/>
                <w:color w:val="auto"/>
              </w:rPr>
              <w:t>(1)</w:t>
            </w:r>
          </w:p>
        </w:tc>
        <w:tc>
          <w:tcPr>
            <w:tcW w:w="2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Gains related to the sales of assets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4300" w:type="dxa"/>
            <w:vAlign w:val="bottom"/>
          </w:tcPr>
          <w:p>
            <w:pPr>
              <w:spacing w:after="0"/>
              <w:rPr>
                <w:sz w:val="20"/>
                <w:szCs w:val="20"/>
                <w:color w:val="auto"/>
              </w:rPr>
            </w:pPr>
            <w:r>
              <w:rPr>
                <w:rFonts w:ascii="Arial" w:cs="Arial" w:eastAsia="Arial" w:hAnsi="Arial"/>
                <w:sz w:val="17"/>
                <w:szCs w:val="17"/>
                <w:color w:val="auto"/>
              </w:rPr>
              <w:t>Legal reserve changes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14"/>
                <w:szCs w:val="14"/>
                <w:color w:val="auto"/>
              </w:rPr>
              <w:t>(2) (3) (4)</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7"/>
                <w:szCs w:val="17"/>
                <w:color w:val="auto"/>
              </w:rPr>
              <w:t xml:space="preserve">Prosper asset remeasurement </w:t>
            </w:r>
            <w:r>
              <w:rPr>
                <w:rFonts w:ascii="Arial" w:cs="Arial" w:eastAsia="Arial" w:hAnsi="Arial"/>
                <w:sz w:val="14"/>
                <w:szCs w:val="14"/>
                <w:color w:val="auto"/>
              </w:rPr>
              <w:t>(5)</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20"/>
              <w:spacing w:after="0"/>
              <w:rPr>
                <w:sz w:val="20"/>
                <w:szCs w:val="20"/>
                <w:color w:val="auto"/>
              </w:rPr>
            </w:pPr>
            <w:r>
              <w:rPr>
                <w:rFonts w:ascii="Arial" w:cs="Arial" w:eastAsia="Arial" w:hAnsi="Arial"/>
                <w:sz w:val="17"/>
                <w:szCs w:val="17"/>
                <w:color w:val="auto"/>
              </w:rPr>
              <w:t>Total</w:t>
            </w:r>
          </w:p>
        </w:tc>
        <w:tc>
          <w:tcPr>
            <w:tcW w:w="1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00" w:type="dxa"/>
            <w:vAlign w:val="bottom"/>
            <w:vMerge w:val="continue"/>
          </w:tcPr>
          <w:p>
            <w:pPr>
              <w:spacing w:after="0"/>
              <w:rPr>
                <w:sz w:val="18"/>
                <w:szCs w:val="18"/>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5620" w:right="3980" w:hanging="5238"/>
        <w:spacing w:after="0" w:line="543" w:lineRule="auto"/>
        <w:tabs>
          <w:tab w:leader="none" w:pos="753" w:val="left"/>
        </w:tabs>
        <w:numPr>
          <w:ilvl w:val="0"/>
          <w:numId w:val="33"/>
        </w:numPr>
        <w:rPr>
          <w:rFonts w:ascii="Arial" w:cs="Arial" w:eastAsia="Arial" w:hAnsi="Arial"/>
          <w:sz w:val="15"/>
          <w:szCs w:val="15"/>
          <w:color w:val="auto"/>
        </w:rPr>
      </w:pPr>
      <w:r>
        <w:rPr>
          <w:rFonts w:ascii="Arial" w:cs="Arial" w:eastAsia="Arial" w:hAnsi="Arial"/>
          <w:sz w:val="17"/>
          <w:szCs w:val="17"/>
          <w:color w:val="auto"/>
        </w:rPr>
        <w:t>Refer to Note 17, “Income Taxes”, section, “IRS and Korean National Tax Service Agreement”.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-102235</wp:posOffset>
            </wp:positionV>
            <wp:extent cx="729297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73" w:name="page74"/>
    <w:bookmarkEnd w:id="73"/>
    <w:p>
      <w:pPr>
        <w:ind w:left="760" w:right="320" w:hanging="378"/>
        <w:spacing w:after="0" w:line="287" w:lineRule="auto"/>
        <w:tabs>
          <w:tab w:leader="none" w:pos="760" w:val="left"/>
        </w:tabs>
        <w:numPr>
          <w:ilvl w:val="0"/>
          <w:numId w:val="34"/>
        </w:numPr>
        <w:rPr>
          <w:rFonts w:ascii="Arial" w:cs="Arial" w:eastAsia="Arial" w:hAnsi="Arial"/>
          <w:sz w:val="15"/>
          <w:szCs w:val="15"/>
          <w:color w:val="auto"/>
        </w:rPr>
      </w:pPr>
      <w:r>
        <w:rPr>
          <w:rFonts w:ascii="Arial" w:cs="Arial" w:eastAsia="Arial" w:hAnsi="Arial"/>
          <w:sz w:val="17"/>
          <w:szCs w:val="17"/>
          <w:color w:val="auto"/>
        </w:rPr>
        <w:t>In the fourth quarter of 2018, Kodak recorded an impairment charge of $13 million related to the Kodak trade name. Refer to Note 5, “Goodwill and Other Intangible Assets.”</w:t>
      </w:r>
    </w:p>
    <w:p>
      <w:pPr>
        <w:spacing w:after="0" w:line="53" w:lineRule="exact"/>
        <w:rPr>
          <w:rFonts w:ascii="Arial" w:cs="Arial" w:eastAsia="Arial" w:hAnsi="Arial"/>
          <w:sz w:val="15"/>
          <w:szCs w:val="15"/>
          <w:color w:val="auto"/>
        </w:rPr>
      </w:pPr>
    </w:p>
    <w:p>
      <w:pPr>
        <w:ind w:left="760" w:right="400" w:hanging="378"/>
        <w:spacing w:after="0" w:line="287" w:lineRule="auto"/>
        <w:tabs>
          <w:tab w:leader="none" w:pos="760" w:val="left"/>
        </w:tabs>
        <w:numPr>
          <w:ilvl w:val="0"/>
          <w:numId w:val="34"/>
        </w:numPr>
        <w:rPr>
          <w:rFonts w:ascii="Arial" w:cs="Arial" w:eastAsia="Arial" w:hAnsi="Arial"/>
          <w:sz w:val="15"/>
          <w:szCs w:val="15"/>
          <w:color w:val="auto"/>
        </w:rPr>
      </w:pPr>
      <w:r>
        <w:rPr>
          <w:rFonts w:ascii="Arial" w:cs="Arial" w:eastAsia="Arial" w:hAnsi="Arial"/>
          <w:sz w:val="17"/>
          <w:szCs w:val="17"/>
          <w:color w:val="auto"/>
        </w:rPr>
        <w:t>In the fourth quarter of 2017, Kodak recorded an impairment charge of $2 million related to the Kodak trade name. Refer to Note 5, “Goodwill and Other Intangible Assets.”</w:t>
      </w:r>
    </w:p>
    <w:p>
      <w:pPr>
        <w:spacing w:after="0" w:line="53" w:lineRule="exact"/>
        <w:rPr>
          <w:rFonts w:ascii="Arial" w:cs="Arial" w:eastAsia="Arial" w:hAnsi="Arial"/>
          <w:sz w:val="15"/>
          <w:szCs w:val="15"/>
          <w:color w:val="auto"/>
        </w:rPr>
      </w:pPr>
    </w:p>
    <w:p>
      <w:pPr>
        <w:ind w:left="760" w:right="200" w:hanging="378"/>
        <w:spacing w:after="0" w:line="296"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6"/>
          <w:szCs w:val="16"/>
          <w:color w:val="auto"/>
        </w:rPr>
        <w:t>In the third quarter of 2017, due to canceling its copper mesh touch screen program, Kodak concluded that the carrying value of property, plant and equipment (PP&amp;E) and intangible assets associated with those operations exceeded their fair value. Kodak recorded pre-tax impairment charges in the three months ended September 30, 2017 of $8 million related to the PP&amp;E and $12 million for the intangible assets.</w:t>
      </w:r>
    </w:p>
    <w:p>
      <w:pPr>
        <w:spacing w:after="0" w:line="49" w:lineRule="exact"/>
        <w:rPr>
          <w:rFonts w:ascii="Arial" w:cs="Arial" w:eastAsia="Arial" w:hAnsi="Arial"/>
          <w:sz w:val="14"/>
          <w:szCs w:val="14"/>
          <w:color w:val="auto"/>
        </w:rPr>
      </w:pPr>
    </w:p>
    <w:p>
      <w:pPr>
        <w:ind w:left="760" w:right="200" w:hanging="378"/>
        <w:spacing w:after="0" w:line="357" w:lineRule="auto"/>
        <w:tabs>
          <w:tab w:leader="none" w:pos="760" w:val="left"/>
        </w:tabs>
        <w:numPr>
          <w:ilvl w:val="0"/>
          <w:numId w:val="34"/>
        </w:numPr>
        <w:rPr>
          <w:rFonts w:ascii="Arial" w:cs="Arial" w:eastAsia="Arial" w:hAnsi="Arial"/>
          <w:sz w:val="13"/>
          <w:szCs w:val="13"/>
          <w:color w:val="auto"/>
        </w:rPr>
      </w:pPr>
      <w:r>
        <w:rPr>
          <w:rFonts w:ascii="Arial" w:cs="Arial" w:eastAsia="Arial" w:hAnsi="Arial"/>
          <w:sz w:val="15"/>
          <w:szCs w:val="15"/>
          <w:color w:val="auto"/>
        </w:rPr>
        <w:t>In the first quarter of 2017, Kodak reduced the carrying value of Prosper fixed assets ($8 million) and intangible assets ($4 million) to the amount that would have been recorded if the Prosper assets, which were previously presented as held for sale, had been continuously classified as held and used.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OTHER (INCOME) CHARGES, NET</w:t>
      </w:r>
    </w:p>
    <w:p>
      <w:pPr>
        <w:spacing w:after="0" w:line="31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5480" w:type="dxa"/>
            <w:vAlign w:val="bottom"/>
            <w:gridSpan w:val="2"/>
          </w:tcPr>
          <w:p>
            <w:pPr>
              <w:ind w:left="48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on foreign exchange transactions</w:t>
            </w:r>
          </w:p>
        </w:tc>
        <w:tc>
          <w:tcPr>
            <w:tcW w:w="1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vMerge w:val="continue"/>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5480" w:type="dxa"/>
            <w:vAlign w:val="bottom"/>
            <w:gridSpan w:val="2"/>
          </w:tcPr>
          <w:p>
            <w:pPr>
              <w:ind w:left="480"/>
              <w:spacing w:after="0"/>
              <w:rPr>
                <w:sz w:val="20"/>
                <w:szCs w:val="20"/>
                <w:color w:val="auto"/>
              </w:rPr>
            </w:pPr>
            <w:r>
              <w:rPr>
                <w:rFonts w:ascii="Arial" w:cs="Arial" w:eastAsia="Arial" w:hAnsi="Arial"/>
                <w:sz w:val="17"/>
                <w:szCs w:val="17"/>
                <w:color w:val="auto"/>
              </w:rPr>
              <w:t>Change in fair value of embedded conversion features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Arial" w:cs="Arial" w:eastAsia="Arial" w:hAnsi="Arial"/>
                <w:sz w:val="17"/>
                <w:szCs w:val="17"/>
                <w:color w:val="auto"/>
              </w:rPr>
              <w:t xml:space="preserve">derivative </w:t>
            </w:r>
            <w:r>
              <w:rPr>
                <w:rFonts w:ascii="Arial" w:cs="Arial" w:eastAsia="Arial" w:hAnsi="Arial"/>
                <w:sz w:val="14"/>
                <w:szCs w:val="14"/>
                <w:color w:val="auto"/>
              </w:rPr>
              <w:t>(1)</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480" w:type="dxa"/>
            <w:vAlign w:val="bottom"/>
            <w:gridSpan w:val="2"/>
          </w:tcPr>
          <w:p>
            <w:pPr>
              <w:ind w:left="480"/>
              <w:spacing w:after="0"/>
              <w:rPr>
                <w:sz w:val="20"/>
                <w:szCs w:val="20"/>
                <w:color w:val="auto"/>
              </w:rPr>
            </w:pPr>
            <w:r>
              <w:rPr>
                <w:rFonts w:ascii="Arial" w:cs="Arial" w:eastAsia="Arial" w:hAnsi="Arial"/>
                <w:sz w:val="17"/>
                <w:szCs w:val="17"/>
                <w:color w:val="auto"/>
              </w:rPr>
              <w:t>Other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vMerge w:val="continue"/>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 w:type="dxa"/>
            <w:vAlign w:val="bottom"/>
            <w:vMerge w:val="restart"/>
          </w:tcPr>
          <w:p>
            <w:pPr>
              <w:jc w:val="right"/>
              <w:ind w:right="74"/>
              <w:spacing w:after="0"/>
              <w:rPr>
                <w:sz w:val="20"/>
                <w:szCs w:val="20"/>
                <w:color w:val="auto"/>
              </w:rPr>
            </w:pPr>
            <w:r>
              <w:rPr>
                <w:rFonts w:ascii="Arial" w:cs="Arial" w:eastAsia="Arial" w:hAnsi="Arial"/>
                <w:sz w:val="13"/>
                <w:szCs w:val="13"/>
                <w:color w:val="auto"/>
                <w:w w:val="87"/>
              </w:rPr>
              <w:t>(1)</w:t>
            </w:r>
          </w:p>
        </w:tc>
        <w:tc>
          <w:tcPr>
            <w:tcW w:w="5480" w:type="dxa"/>
            <w:vAlign w:val="bottom"/>
            <w:gridSpan w:val="2"/>
            <w:vMerge w:val="restart"/>
          </w:tcPr>
          <w:p>
            <w:pPr>
              <w:ind w:left="120"/>
              <w:spacing w:after="0"/>
              <w:rPr>
                <w:sz w:val="20"/>
                <w:szCs w:val="20"/>
                <w:color w:val="auto"/>
              </w:rPr>
            </w:pPr>
            <w:r>
              <w:rPr>
                <w:rFonts w:ascii="Arial" w:cs="Arial" w:eastAsia="Arial" w:hAnsi="Arial"/>
                <w:sz w:val="17"/>
                <w:szCs w:val="17"/>
                <w:color w:val="auto"/>
              </w:rPr>
              <w:t>Refer to Note 13, “Financial Instruments”.</w:t>
            </w: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00" w:type="dxa"/>
            <w:vAlign w:val="bottom"/>
            <w:vMerge w:val="continue"/>
          </w:tcPr>
          <w:p>
            <w:pPr>
              <w:spacing w:after="0"/>
              <w:rPr>
                <w:sz w:val="24"/>
                <w:szCs w:val="24"/>
                <w:color w:val="auto"/>
              </w:rPr>
            </w:pPr>
          </w:p>
        </w:tc>
        <w:tc>
          <w:tcPr>
            <w:tcW w:w="54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INCOME TAXES</w:t>
      </w:r>
    </w:p>
    <w:p>
      <w:pPr>
        <w:spacing w:after="0" w:line="254"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The 2017 Tax Act was enacted on December 22, 2017. The 2017 Tax Act reduced the U.S. federal corporate income tax rate to 21 percent from 35 percent, required companies to pay a one-time transition tax on earnings of certain foreign subsidiaries that were previously tax deferred and created new taxes on certain foreign-sourced earnings. In 2017 and through December 22, 2018, Kodak recorded provisional amounts for certain enactment-date effects of the 2017 Tax Act because it had not yet completed the enactment-date accounting for these effects. Kodak recorded the following impacts: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Reduction of the U.S. Corporate Income Tax Rate</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Kodak’s deferred tax assets and liabilities were remeasured to reflect the reduction in the U.S. corporate income tax rate from 35 percent to 21 percent, resulting in a $202 million decrease in the Kodak’s net deferred tax assets for the year ended December 31, 2017. This reduction in deferred tax assets was mainly offset by Kodak’s U.S. valuation allowance except for the impact on deferred tax liabilities related to the goodwill and the Kodak tradename, which resulted in a benefit of approximately $7 million. An adjustment made to the provisional amount allowed under SAB 118 was identified and recorded as a discrete adjustment during the year ended December 31, 2018 and was immaterial.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Transition Tax on Foreign Earnings</w:t>
      </w:r>
    </w:p>
    <w:p>
      <w:pPr>
        <w:spacing w:after="0" w:line="7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Kodak recognized a provisional income tax expense of $14 million for the year ended December 31, 2017 related to the one-time transition tax on certain foreign earnings which will be offset by the utilization of foreign tax credits. Upon further analysis of the 2017 Tax Act, Notices and Regulations issued and proposed by the U.S. Department of the Treasury and the Internal Revenue Service, Kodak finalized its calculations of the transition tax liability in the year ended December 31, 2018 resulting in no net tax provision.</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2017 Tax Act subjects a U.S. shareholder to tax on global intangible low-taxed income (“GILTI”) earned by certain foreign subsidiaries. Under the 2017 Tax Act, an entity can make an accounting policy election to either recognize deferred taxes for temporary basis differences expected to reverse as GILTI in future years or to provide for the tax expense related to GILTI in the year the tax is incurred as a period expense. Kodak was still evaluating the GILTI provisions as of December 31, 2017, therefore no GILTI-related deferred amount was recorded as of the year ended December 31, 2017. As of the year ended December 31, 2018, Kodak has elected to account for GILTI as a period cost in the year the tax is incurred.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74" w:name="page75"/>
    <w:bookmarkEnd w:id="74"/>
    <w:p>
      <w:pPr>
        <w:ind w:right="40"/>
        <w:spacing w:after="0" w:line="262" w:lineRule="auto"/>
        <w:rPr>
          <w:sz w:val="20"/>
          <w:szCs w:val="20"/>
          <w:color w:val="auto"/>
        </w:rPr>
      </w:pPr>
      <w:r>
        <w:rPr>
          <w:rFonts w:ascii="Arial" w:cs="Arial" w:eastAsia="Arial" w:hAnsi="Arial"/>
          <w:sz w:val="17"/>
          <w:szCs w:val="17"/>
          <w:color w:val="auto"/>
        </w:rPr>
        <w:t>The SEC staff issued SAB 118 to address the application of U.S. GAAP in situations when a registrant does not have the necessary information available, prepared, or analyzed (including computations) in reasonable detail to complete the accounting for certain income tax effects of the 2017 Tax Act. Kodak recognized the provisional tax impacts related to deemed repatriated earnings and the re-measurement of deferred tax assets and liabilities to the extent needed and included these amounts in its consolidated financial statements through December 22, 2018, the end of the measurement period for purposes of SAB 118. Kodak completed its analysis based on legislative updates relating to the 2017 Tax Act available by the end of 2018 resulting in adjustments which were fully offset by Kodak’s U.S. valuation allowance, resulting in no net tax provision or (benefit).</w:t>
      </w:r>
    </w:p>
    <w:p>
      <w:pPr>
        <w:spacing w:after="0" w:line="206" w:lineRule="exact"/>
        <w:rPr>
          <w:sz w:val="20"/>
          <w:szCs w:val="20"/>
          <w:color w:val="auto"/>
        </w:rPr>
      </w:pPr>
    </w:p>
    <w:p>
      <w:pPr>
        <w:ind w:right="1120"/>
        <w:spacing w:after="0" w:line="287" w:lineRule="auto"/>
        <w:rPr>
          <w:sz w:val="20"/>
          <w:szCs w:val="20"/>
          <w:color w:val="auto"/>
        </w:rPr>
      </w:pPr>
      <w:r>
        <w:rPr>
          <w:rFonts w:ascii="Arial" w:cs="Arial" w:eastAsia="Arial" w:hAnsi="Arial"/>
          <w:sz w:val="17"/>
          <w:szCs w:val="17"/>
          <w:color w:val="auto"/>
        </w:rPr>
        <w:t>The components of Loss from continuing operations before income taxes and the related benefit for U.S. and other income taxes were as follows (in millions):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6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60" w:type="dxa"/>
            <w:vAlign w:val="bottom"/>
          </w:tcPr>
          <w:p>
            <w:pPr>
              <w:spacing w:after="0"/>
              <w:rPr>
                <w:sz w:val="14"/>
                <w:szCs w:val="14"/>
                <w:color w:val="auto"/>
              </w:rPr>
            </w:pPr>
          </w:p>
        </w:tc>
        <w:tc>
          <w:tcPr>
            <w:tcW w:w="188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(Loss) earnings from continuing operations before income</w:t>
            </w:r>
          </w:p>
        </w:tc>
        <w:tc>
          <w:tcPr>
            <w:tcW w:w="9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taxes: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7"/>
                <w:szCs w:val="17"/>
                <w:color w:val="auto"/>
              </w:rPr>
              <w:t>U.S.</w:t>
            </w:r>
          </w:p>
        </w:tc>
        <w:tc>
          <w:tcPr>
            <w:tcW w:w="1880" w:type="dxa"/>
            <w:vAlign w:val="bottom"/>
            <w:gridSpan w:val="2"/>
          </w:tcPr>
          <w:p>
            <w:pPr>
              <w:jc w:val="right"/>
              <w:ind w:right="751"/>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860" w:type="dxa"/>
            <w:vAlign w:val="bottom"/>
          </w:tcPr>
          <w:p>
            <w:pPr>
              <w:jc w:val="right"/>
              <w:ind w:right="677"/>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Outside the U.S.</w:t>
            </w:r>
          </w:p>
        </w:tc>
        <w:tc>
          <w:tcPr>
            <w:tcW w:w="9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60" w:type="dxa"/>
            <w:vAlign w:val="bottom"/>
          </w:tcPr>
          <w:p>
            <w:pPr>
              <w:ind w:left="220"/>
              <w:spacing w:after="0"/>
              <w:rPr>
                <w:sz w:val="20"/>
                <w:szCs w:val="20"/>
                <w:color w:val="auto"/>
              </w:rPr>
            </w:pPr>
            <w:r>
              <w:rPr>
                <w:rFonts w:ascii="Arial" w:cs="Arial" w:eastAsia="Arial" w:hAnsi="Arial"/>
                <w:sz w:val="17"/>
                <w:szCs w:val="17"/>
                <w:color w:val="auto"/>
              </w:rPr>
              <w:t>Total</w:t>
            </w:r>
          </w:p>
        </w:tc>
        <w:tc>
          <w:tcPr>
            <w:tcW w:w="1880" w:type="dxa"/>
            <w:vAlign w:val="bottom"/>
            <w:gridSpan w:val="2"/>
          </w:tcPr>
          <w:p>
            <w:pPr>
              <w:jc w:val="right"/>
              <w:ind w:right="751"/>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860" w:type="dxa"/>
            <w:vAlign w:val="bottom"/>
          </w:tcPr>
          <w:p>
            <w:pPr>
              <w:jc w:val="right"/>
              <w:ind w:right="677"/>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1"/>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U.S. income taxes:</w:t>
            </w:r>
          </w:p>
        </w:tc>
        <w:tc>
          <w:tcPr>
            <w:tcW w:w="9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20"/>
              <w:spacing w:after="0"/>
              <w:rPr>
                <w:sz w:val="20"/>
                <w:szCs w:val="20"/>
                <w:color w:val="auto"/>
              </w:rPr>
            </w:pPr>
            <w:r>
              <w:rPr>
                <w:rFonts w:ascii="Arial" w:cs="Arial" w:eastAsia="Arial" w:hAnsi="Arial"/>
                <w:sz w:val="17"/>
                <w:szCs w:val="17"/>
                <w:color w:val="auto"/>
              </w:rPr>
              <w:t>Current (benefit) provision</w:t>
            </w:r>
          </w:p>
        </w:tc>
        <w:tc>
          <w:tcPr>
            <w:tcW w:w="1880" w:type="dxa"/>
            <w:vAlign w:val="bottom"/>
            <w:gridSpan w:val="2"/>
          </w:tcPr>
          <w:p>
            <w:pPr>
              <w:jc w:val="right"/>
              <w:ind w:right="751"/>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860" w:type="dxa"/>
            <w:vAlign w:val="bottom"/>
          </w:tcPr>
          <w:p>
            <w:pPr>
              <w:jc w:val="right"/>
              <w:ind w:right="67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provision (benefit)</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7"/>
                <w:szCs w:val="17"/>
                <w:b w:val="1"/>
                <w:bCs w:val="1"/>
                <w:color w:val="auto"/>
              </w:rPr>
              <w:t>Income taxes outside the U.S.: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Current provision</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ind w:left="220"/>
              <w:spacing w:after="0"/>
              <w:rPr>
                <w:sz w:val="20"/>
                <w:szCs w:val="20"/>
                <w:color w:val="auto"/>
              </w:rPr>
            </w:pPr>
            <w:r>
              <w:rPr>
                <w:rFonts w:ascii="Arial" w:cs="Arial" w:eastAsia="Arial" w:hAnsi="Arial"/>
                <w:sz w:val="17"/>
                <w:szCs w:val="17"/>
                <w:color w:val="auto"/>
              </w:rPr>
              <w:t>Deferred provision benefit</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State and other income taxes: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20"/>
              <w:spacing w:after="0"/>
              <w:rPr>
                <w:sz w:val="20"/>
                <w:szCs w:val="20"/>
                <w:color w:val="auto"/>
              </w:rPr>
            </w:pPr>
            <w:r>
              <w:rPr>
                <w:rFonts w:ascii="Arial" w:cs="Arial" w:eastAsia="Arial" w:hAnsi="Arial"/>
                <w:sz w:val="17"/>
                <w:szCs w:val="17"/>
                <w:color w:val="auto"/>
              </w:rPr>
              <w:t>Current benefit</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provision</w:t>
            </w:r>
          </w:p>
        </w:tc>
        <w:tc>
          <w:tcPr>
            <w:tcW w:w="9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60" w:type="dxa"/>
            <w:vAlign w:val="bottom"/>
            <w:vMerge w:val="continue"/>
            <w:shd w:val="clear" w:color="auto" w:fill="CFF0FC"/>
          </w:tcPr>
          <w:p>
            <w:pPr>
              <w:spacing w:after="0"/>
              <w:rPr>
                <w:sz w:val="18"/>
                <w:szCs w:val="18"/>
                <w:color w:val="auto"/>
              </w:rPr>
            </w:pPr>
          </w:p>
        </w:tc>
        <w:tc>
          <w:tcPr>
            <w:tcW w:w="1880" w:type="dxa"/>
            <w:vAlign w:val="bottom"/>
            <w:gridSpan w:val="2"/>
            <w:shd w:val="clear" w:color="auto" w:fill="CFF0FC"/>
          </w:tcPr>
          <w:p>
            <w:pPr>
              <w:jc w:val="right"/>
              <w:ind w:right="751"/>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w:t>
            </w:r>
          </w:p>
        </w:tc>
        <w:tc>
          <w:tcPr>
            <w:tcW w:w="860" w:type="dxa"/>
            <w:vAlign w:val="bottom"/>
            <w:shd w:val="clear" w:color="auto" w:fill="CFF0FC"/>
          </w:tcPr>
          <w:p>
            <w:pPr>
              <w:jc w:val="right"/>
              <w:ind w:right="677"/>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 differences between income taxes computed using the U.S. federal income tax rate and the benefit for income taxes for continuing operations were as follows (in millions):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Amount computed using the statutory rate</w:t>
            </w:r>
          </w:p>
        </w:tc>
        <w:tc>
          <w:tcPr>
            <w:tcW w:w="1960" w:type="dxa"/>
            <w:vAlign w:val="bottom"/>
            <w:gridSpan w:val="2"/>
            <w:shd w:val="clear" w:color="auto" w:fill="CFF0FC"/>
          </w:tcPr>
          <w:p>
            <w:pPr>
              <w:jc w:val="right"/>
              <w:ind w:right="751"/>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7"/>
                <w:szCs w:val="17"/>
                <w:b w:val="1"/>
                <w:bCs w:val="1"/>
                <w:color w:val="auto"/>
              </w:rPr>
              <w:t>Increase (reduction) in taxes resulting from:</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Unremitted foreign earnings</w:t>
            </w: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7"/>
                <w:szCs w:val="17"/>
                <w:color w:val="auto"/>
              </w:rPr>
              <w:t>Impact of goodwill and intangible impairments</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2"/>
        </w:trPr>
        <w:tc>
          <w:tcPr>
            <w:tcW w:w="51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Operations outside the U.S.</w:t>
            </w: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7"/>
                <w:szCs w:val="17"/>
                <w:color w:val="auto"/>
              </w:rPr>
              <w:t>Legislative tax law and rate changes</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Valuation allowance</w:t>
            </w: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w:t>
            </w: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7"/>
                <w:szCs w:val="17"/>
                <w:color w:val="auto"/>
              </w:rPr>
              <w:t>Tax settlements and adjustments, including interest</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8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51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Discharge of debt and other reorganization related items</w:t>
            </w: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7"/>
                <w:szCs w:val="17"/>
                <w:color w:val="auto"/>
              </w:rPr>
              <w:t>Embedded derivative liability conversion</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2"/>
        </w:trPr>
        <w:tc>
          <w:tcPr>
            <w:tcW w:w="51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net</w:t>
            </w: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7"/>
                <w:szCs w:val="17"/>
                <w:color w:val="auto"/>
              </w:rPr>
              <w:t>Benefit from income taxes</w:t>
            </w: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vMerge w:val="continue"/>
          </w:tcPr>
          <w:p>
            <w:pPr>
              <w:spacing w:after="0"/>
              <w:rPr>
                <w:sz w:val="18"/>
                <w:szCs w:val="18"/>
                <w:color w:val="auto"/>
              </w:rPr>
            </w:pPr>
          </w:p>
        </w:tc>
        <w:tc>
          <w:tcPr>
            <w:tcW w:w="1960" w:type="dxa"/>
            <w:vAlign w:val="bottom"/>
            <w:gridSpan w:val="2"/>
          </w:tcPr>
          <w:p>
            <w:pPr>
              <w:jc w:val="right"/>
              <w:ind w:right="751"/>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IRS and Korean National Tax Service Agreement</w:t>
      </w:r>
    </w:p>
    <w:p>
      <w:pPr>
        <w:spacing w:after="0" w:line="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June 2012, Kodak filed a Request for Competent Authority Assistance with the United States Internal Revenue Service (IRS). The request related to a potential double taxation issue with respect to patent licensing royalty payments received by Kodak in 2010. In October 2018, an agreement was reached by the IRS and Korean National Tax Service, resulting in a partial refund of Korean withholding taxes in the amount of $32 million. Kodak had previously agreed with the licensee that made the royalty payments that any refunds of the related Korean withholding taxes would be shared equally between Kodak and the licensee. Kodak received the $16 million net payment in the fourth quarter of 2018. The full $32 million refund was reflected as an income tax benefit in the fourth quarter of 2018. The $16 million payment to the licensee was reported in other operating expenses, resulting in a net benefit to net income of $16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The significant components of deferred tax assets and liabilities were as follows (in millions):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Deferred tax assets</w:t>
            </w:r>
          </w:p>
        </w:tc>
        <w:tc>
          <w:tcPr>
            <w:tcW w:w="9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Pension and postretirement obligations</w:t>
            </w:r>
          </w:p>
        </w:tc>
        <w:tc>
          <w:tcPr>
            <w:tcW w:w="1680" w:type="dxa"/>
            <w:vAlign w:val="bottom"/>
            <w:gridSpan w:val="2"/>
          </w:tcPr>
          <w:p>
            <w:pPr>
              <w:jc w:val="right"/>
              <w:ind w:right="551"/>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62</w:t>
            </w:r>
          </w:p>
        </w:tc>
        <w:tc>
          <w:tcPr>
            <w:tcW w:w="20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Restructuring programs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Foreign tax credit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357</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Inventories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Investment tax credit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Employee deferred compensation</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 costs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Tax loss carryforwards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338</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deferred revenue</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Total deferred tax assets</w:t>
            </w:r>
          </w:p>
        </w:tc>
        <w:tc>
          <w:tcPr>
            <w:tcW w:w="1680" w:type="dxa"/>
            <w:vAlign w:val="bottom"/>
            <w:gridSpan w:val="2"/>
            <w:shd w:val="clear" w:color="auto" w:fill="CFF0FC"/>
          </w:tcPr>
          <w:p>
            <w:pPr>
              <w:jc w:val="right"/>
              <w:ind w:right="551"/>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1,039</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tax liabilities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Leasing</w:t>
            </w:r>
          </w:p>
        </w:tc>
        <w:tc>
          <w:tcPr>
            <w:tcW w:w="1680" w:type="dxa"/>
            <w:vAlign w:val="bottom"/>
            <w:gridSpan w:val="2"/>
          </w:tcPr>
          <w:p>
            <w:pPr>
              <w:jc w:val="right"/>
              <w:ind w:right="551"/>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Goodwill/intangibles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Unremitted foreign earnings</w:t>
            </w:r>
          </w:p>
        </w:tc>
        <w:tc>
          <w:tcPr>
            <w:tcW w:w="9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Total deferred tax liabilities</w:t>
            </w:r>
          </w:p>
        </w:tc>
        <w:tc>
          <w:tcPr>
            <w:tcW w:w="98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spacing w:after="0"/>
              <w:rPr>
                <w:sz w:val="20"/>
                <w:szCs w:val="20"/>
                <w:color w:val="auto"/>
              </w:rPr>
            </w:pPr>
            <w:r>
              <w:rPr>
                <w:rFonts w:ascii="Arial" w:cs="Arial" w:eastAsia="Arial" w:hAnsi="Arial"/>
                <w:sz w:val="17"/>
                <w:szCs w:val="17"/>
                <w:color w:val="auto"/>
              </w:rPr>
              <w:t>Net deferred tax assets before valuation allowance</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999</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Valuation allowance</w:t>
            </w:r>
          </w:p>
        </w:tc>
        <w:tc>
          <w:tcPr>
            <w:tcW w:w="9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460" w:type="dxa"/>
            <w:vAlign w:val="bottom"/>
          </w:tcPr>
          <w:p>
            <w:pPr>
              <w:ind w:left="220"/>
              <w:spacing w:after="0"/>
              <w:rPr>
                <w:sz w:val="20"/>
                <w:szCs w:val="20"/>
                <w:color w:val="auto"/>
              </w:rPr>
            </w:pPr>
            <w:r>
              <w:rPr>
                <w:rFonts w:ascii="Arial" w:cs="Arial" w:eastAsia="Arial" w:hAnsi="Arial"/>
                <w:sz w:val="17"/>
                <w:szCs w:val="17"/>
                <w:color w:val="auto"/>
              </w:rPr>
              <w:t>Net deferred tax assets</w:t>
            </w:r>
          </w:p>
        </w:tc>
        <w:tc>
          <w:tcPr>
            <w:tcW w:w="1680" w:type="dxa"/>
            <w:vAlign w:val="bottom"/>
            <w:gridSpan w:val="2"/>
          </w:tcPr>
          <w:p>
            <w:pPr>
              <w:jc w:val="right"/>
              <w:ind w:right="551"/>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146</w:t>
            </w:r>
          </w:p>
        </w:tc>
        <w:tc>
          <w:tcPr>
            <w:tcW w:w="200" w:type="dxa"/>
            <w:vAlign w:val="bottom"/>
          </w:tcPr>
          <w:p>
            <w:pPr>
              <w:spacing w:after="0"/>
              <w:rPr>
                <w:sz w:val="23"/>
                <w:szCs w:val="23"/>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(liabilities) are reported in the following components within the Consolidated Statement of Financial Position (in millions):</w:t>
      </w:r>
    </w:p>
    <w:p>
      <w:pPr>
        <w:spacing w:after="0" w:line="255"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00" w:type="dxa"/>
            <w:vAlign w:val="bottom"/>
            <w:gridSpan w:val="5"/>
          </w:tcPr>
          <w:p>
            <w:pPr>
              <w:jc w:val="right"/>
              <w:ind w:right="73"/>
              <w:spacing w:after="0"/>
              <w:rPr>
                <w:sz w:val="20"/>
                <w:szCs w:val="20"/>
                <w:color w:val="auto"/>
              </w:rPr>
            </w:pPr>
            <w:r>
              <w:rPr>
                <w:rFonts w:ascii="Arial" w:cs="Arial" w:eastAsia="Arial" w:hAnsi="Arial"/>
                <w:sz w:val="17"/>
                <w:szCs w:val="17"/>
                <w:b w:val="1"/>
                <w:bCs w:val="1"/>
                <w:color w:val="auto"/>
              </w:rPr>
              <w:t>As of December 31,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4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600" w:type="dxa"/>
            <w:vAlign w:val="bottom"/>
            <w:gridSpan w:val="2"/>
            <w:shd w:val="clear" w:color="auto" w:fill="CFF0FC"/>
          </w:tcPr>
          <w:p>
            <w:pPr>
              <w:jc w:val="right"/>
              <w:ind w:right="617"/>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1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deferred tax assets</w:t>
            </w:r>
          </w:p>
        </w:tc>
        <w:tc>
          <w:tcPr>
            <w:tcW w:w="18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40" w:type="dxa"/>
            <w:vAlign w:val="bottom"/>
            <w:vMerge w:val="continue"/>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1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As of December 31, 2018, Kodak had available domestic and foreign NOL carry-forwards for income tax purposes of approximately $1,503 million, of which approximately $746 million have an indefinite carry-forward period. The remaining $757 million expire between the years 2019 and 2037. As of December 31, 2018, Kodak had unused foreign tax credits and investment tax credits of $357 million and $48 million, respectively, with various expiration dates through 2033.</w:t>
      </w:r>
    </w:p>
    <w:p>
      <w:pPr>
        <w:spacing w:after="0" w:line="164" w:lineRule="exact"/>
        <w:rPr>
          <w:sz w:val="20"/>
          <w:szCs w:val="20"/>
          <w:color w:val="auto"/>
        </w:rPr>
      </w:pPr>
    </w:p>
    <w:p>
      <w:pPr>
        <w:ind w:right="660"/>
        <w:spacing w:after="0" w:line="263" w:lineRule="auto"/>
        <w:rPr>
          <w:sz w:val="20"/>
          <w:szCs w:val="20"/>
          <w:color w:val="auto"/>
        </w:rPr>
      </w:pPr>
      <w:r>
        <w:rPr>
          <w:rFonts w:ascii="Arial" w:cs="Arial" w:eastAsia="Arial" w:hAnsi="Arial"/>
          <w:sz w:val="17"/>
          <w:szCs w:val="17"/>
          <w:color w:val="auto"/>
        </w:rPr>
        <w:t>Utilization of post-emergence NOL carry-forwards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three-year testing period.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2017 Tax Act includes a one-time transition tax on the mandatory deemed repatriation of cumulative foreign earnings as of December 31, 2017. The one-time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transition tax as of December 31, 2017 resulted in the recognition of a previously recorded deferred tax liability on the undistributed foreign earnings of $56 million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(net of related foreign tax credits) and was fully offset by Kodak’s U.S. valuation allowance, resulting in no net tax benefit. Kodak had deferred tax liabilities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$22 million and $20 million for potential taxes on the undistributed earnings, including foreign withholding taxes, as of December 31, 2018 and 2017, respectively.</w:t>
      </w:r>
    </w:p>
    <w:p>
      <w:pPr>
        <w:spacing w:after="0" w:line="247" w:lineRule="exact"/>
        <w:rPr>
          <w:sz w:val="20"/>
          <w:szCs w:val="20"/>
          <w:color w:val="auto"/>
        </w:rPr>
      </w:pPr>
    </w:p>
    <w:p>
      <w:pPr>
        <w:jc w:val="both"/>
        <w:ind w:right="660"/>
        <w:spacing w:after="0" w:line="271" w:lineRule="auto"/>
        <w:rPr>
          <w:sz w:val="20"/>
          <w:szCs w:val="20"/>
          <w:color w:val="auto"/>
        </w:rPr>
      </w:pPr>
      <w:r>
        <w:rPr>
          <w:rFonts w:ascii="Arial" w:cs="Arial" w:eastAsia="Arial" w:hAnsi="Arial"/>
          <w:sz w:val="17"/>
          <w:szCs w:val="17"/>
          <w:color w:val="auto"/>
        </w:rPr>
        <w:t>Kodak’s valuation allowance as of December 31, 2018 was $853 million. Of this amount, $155 million was attributable to Kodak’s net deferred tax assets outside the U.S. of $323 million, and $698 million related to Kodak’s net deferred tax assets in the U.S. of $676 million, for which Kodak believes it is not more likely than not that the assets will be realized.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ind w:right="40"/>
        <w:spacing w:after="0" w:line="263" w:lineRule="auto"/>
        <w:rPr>
          <w:sz w:val="20"/>
          <w:szCs w:val="20"/>
          <w:color w:val="auto"/>
        </w:rPr>
      </w:pPr>
      <w:r>
        <w:rPr>
          <w:rFonts w:ascii="Arial" w:cs="Arial" w:eastAsia="Arial" w:hAnsi="Arial"/>
          <w:sz w:val="17"/>
          <w:szCs w:val="17"/>
          <w:color w:val="auto"/>
        </w:rPr>
        <w:t>During 2018, Kodak determined that it was more likely than not that a portion of the deferred tax assets outside the U.S. would be realized as a result of increased profits in locations outside the U.S. and accordingly recorded a benefit of $4 million associated with the release of a valuation allowance on those deferred tax assets. Additionally, during 2018, Kodak determined that it was more likely than not that a portion of the deferred tax assets outside the U.S. would not be realized due to reduced sales volumes in a location outside the U.S. and accordingly recorded a provision of $15 million associated with the establishment of a valuation allowance on those deferred tax assets.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Kodak’s valuation allowance as of December 31, 2017 was $856 million. Of this amount, $159 million was attributable to Kodak’s net deferred tax assets outside the U.S. of $352 million, and $697 million related to Kodak’s net deferred tax assets in the U.S. of $675 million, for which Kodak believes it is not more likely than not that the assets will be realized.</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During 2017, Kodak determined that it was more likely than not that a portion of the deferred tax assets outside the U.S. would be realized as a result of increased profits in a location outside the U.S. and accordingly, recorded a benefit of $101 million associated with the release of a valuation allowance on those deferred tax assets. Additionally, during 2017, Kodak determined that it was more likely than not that a portion of the deferred tax assets outside the U.S. would not be realized due to reduced manufacturing volumes negatively impacting profitability in a location outside the U.S. and accordingly, recorded a provision of $7 million associated with the establishment of a valuation allowance on those deferred tax assets.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net deferred tax assets in excess of the valuation allowance of approximately $146 million and $171 million as of December 31, 2018 and December 31, 2017, respectively, relate primarily to NOL carry-forwards, certain tax credits, and pension related tax benefits for which Kodak believes it is more likely than not that the assets will be realized.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Uncertainty in Income Taxes</w:t>
      </w:r>
    </w:p>
    <w:p>
      <w:pPr>
        <w:spacing w:after="0" w:line="117" w:lineRule="exact"/>
        <w:rPr>
          <w:sz w:val="20"/>
          <w:szCs w:val="20"/>
          <w:color w:val="auto"/>
        </w:rPr>
      </w:pPr>
    </w:p>
    <w:p>
      <w:pPr>
        <w:ind w:right="1260"/>
        <w:spacing w:after="0" w:line="263" w:lineRule="auto"/>
        <w:rPr>
          <w:sz w:val="20"/>
          <w:szCs w:val="20"/>
          <w:color w:val="auto"/>
        </w:rPr>
      </w:pPr>
      <w:r>
        <w:rPr>
          <w:rFonts w:ascii="Arial" w:cs="Arial" w:eastAsia="Arial" w:hAnsi="Arial"/>
          <w:sz w:val="17"/>
          <w:szCs w:val="17"/>
          <w:color w:val="auto"/>
        </w:rPr>
        <w:t>A reconciliation of the beginning and ending amount of Kodak’s liability for income taxes associated with unrecognized tax benefits is as follows (in millions):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40" w:type="dxa"/>
            <w:vAlign w:val="bottom"/>
            <w:gridSpan w:val="4"/>
          </w:tcPr>
          <w:p>
            <w:pPr>
              <w:jc w:val="right"/>
              <w:ind w:right="13"/>
              <w:spacing w:after="0"/>
              <w:rPr>
                <w:sz w:val="20"/>
                <w:szCs w:val="20"/>
                <w:color w:val="auto"/>
              </w:rPr>
            </w:pPr>
            <w:r>
              <w:rPr>
                <w:rFonts w:ascii="Arial" w:cs="Arial" w:eastAsia="Arial" w:hAnsi="Arial"/>
                <w:sz w:val="17"/>
                <w:szCs w:val="17"/>
                <w:b w:val="1"/>
                <w:bCs w:val="1"/>
                <w:color w:val="auto"/>
              </w:rPr>
              <w:t>Year Ended December 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2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2018</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January 1</w:t>
            </w:r>
          </w:p>
        </w:tc>
        <w:tc>
          <w:tcPr>
            <w:tcW w:w="2560" w:type="dxa"/>
            <w:vAlign w:val="bottom"/>
            <w:gridSpan w:val="2"/>
            <w:shd w:val="clear" w:color="auto" w:fill="CFF0FC"/>
          </w:tcPr>
          <w:p>
            <w:pPr>
              <w:jc w:val="right"/>
              <w:ind w:right="77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b w:val="1"/>
                <w:bCs w:val="1"/>
                <w:color w:val="auto"/>
              </w:rPr>
              <w:t>Tax positions related to the current year:</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1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b w:val="1"/>
                <w:bCs w:val="1"/>
                <w:color w:val="auto"/>
              </w:rPr>
              <w:t>Tax positions related to prior years:</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1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color w:val="auto"/>
              </w:rPr>
              <w:t>Reductions</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9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Settlements with taxing jurisdictions</w:t>
            </w:r>
          </w:p>
        </w:tc>
        <w:tc>
          <w:tcPr>
            <w:tcW w:w="1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color w:val="auto"/>
              </w:rPr>
              <w:t>Lapses in statute of limitations</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w:t>
            </w:r>
          </w:p>
        </w:tc>
        <w:tc>
          <w:tcPr>
            <w:tcW w:w="1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shd w:val="clear" w:color="auto" w:fill="CFF0FC"/>
          </w:tcPr>
          <w:p>
            <w:pPr>
              <w:spacing w:after="0"/>
              <w:rPr>
                <w:sz w:val="18"/>
                <w:szCs w:val="18"/>
                <w:color w:val="auto"/>
              </w:rPr>
            </w:pPr>
          </w:p>
        </w:tc>
        <w:tc>
          <w:tcPr>
            <w:tcW w:w="2560" w:type="dxa"/>
            <w:vAlign w:val="bottom"/>
            <w:gridSpan w:val="2"/>
            <w:shd w:val="clear" w:color="auto" w:fill="CFF0FC"/>
          </w:tcPr>
          <w:p>
            <w:pPr>
              <w:jc w:val="right"/>
              <w:ind w:right="77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Kodak’s policy regarding interest and/or penalties related to income tax matters is to recognize such items as a component of income tax (benefit) expense. Kodak had approximately $16 million and $17 million of interest and penalties associated with uncertain tax benefits accrued as of December 31, 2018 and 2017, respectively.</w:t>
      </w:r>
    </w:p>
    <w:p>
      <w:pPr>
        <w:spacing w:after="0" w:line="6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Kodak had uncertain tax benefits of approximately $26 and $29 million as of December 31, 2018 and 2017, respectively,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to $15 million based on current estimates.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206"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During 2018, Kodak agreed to terms with a tax authority outside of the U.S. and settled audit issues related to calendar years 2006-2007. Kodak originally recorded liabilities for uncertain tax positions (“UTPs”) totaling $1 million (plus interest of approximately $1 million). The settlement resulted in a reduction in Other current liabilities in the Consolidated Statement of Financial Position and other taxes and the recognition of a $2 million tax benefit.</w:t>
      </w:r>
    </w:p>
    <w:p>
      <w:pPr>
        <w:spacing w:after="0" w:line="4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2017 Tax Act corporate tax rate decrease from 35% to 21% resulted in the re-measurement of UTPs, reducing a reserve held in the U.S. by approximately $22 million. UTPs are presented in the financial statements as a reduction to deferred tax assets for a NOL carryforward, a similar tax loss or a tax credit carryforward. As a result, the reduction of this UTP has been recorded as a reduction in Kodak’s deferred tax asset and is fully offset by valuation allowance, therefore there is no net tax provision associated with this change.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7" w:name="page78"/>
    <w:bookmarkEnd w:id="77"/>
    <w:p>
      <w:pPr>
        <w:ind w:right="420"/>
        <w:spacing w:after="0" w:line="271" w:lineRule="auto"/>
        <w:rPr>
          <w:sz w:val="20"/>
          <w:szCs w:val="20"/>
          <w:color w:val="auto"/>
        </w:rPr>
      </w:pPr>
      <w:r>
        <w:rPr>
          <w:rFonts w:ascii="Arial" w:cs="Arial" w:eastAsia="Arial" w:hAnsi="Arial"/>
          <w:sz w:val="17"/>
          <w:szCs w:val="17"/>
          <w:color w:val="auto"/>
        </w:rPr>
        <w:t>During 2017, Kodak agreed to terms with a tax authority outside of the U.S. and settled audits for calendar years 2008 through 2012. For these years, Kodak originally recorded liabilities for a UTP totaling $6 million (plus interest of approximately $2 million). The settlement resulted in a reduction in Other current liabilities in the Consolidated Statement of Financial Position and the recognition of a $1 million tax benefit.</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Kodak is subject to taxation and files income tax returns in the U.S. federal jurisdiction and in many state and foreign jurisdictions. Kodak has substantially concluded all U.S. federal and state income tax matters for years through 2012 with respective tax authorities. Kodak is currently under examination by the Internal Revenue Service for years 2013 and 2014. With respect to countries outside the U.S., Kodak has substantially concluded all material foreign income tax matters through 2011 with respective foreign tax jurisdiction authorities.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RESTRUCTURING COSTS AND OTHER</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72"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programs during the three years ended December 31, 2018 were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Long-lived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83"/>
              </w:rPr>
              <w:t>Asset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4"/>
              </w:rPr>
              <w:t>Severance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Exit Costs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3"/>
              </w:rPr>
              <w:t>Impairments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91"/>
              </w:rPr>
              <w:t>and Inventory</w:t>
            </w:r>
          </w:p>
        </w:tc>
        <w:tc>
          <w:tcPr>
            <w:tcW w:w="320" w:type="dxa"/>
            <w:vAlign w:val="bottom"/>
          </w:tcPr>
          <w:p>
            <w:pPr>
              <w:spacing w:after="0"/>
              <w:rPr>
                <w:sz w:val="12"/>
                <w:szCs w:val="12"/>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72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4"/>
              </w:rPr>
              <w:t xml:space="preserve">Reserve </w:t>
            </w:r>
            <w:r>
              <w:rPr>
                <w:rFonts w:ascii="Arial" w:cs="Arial" w:eastAsia="Arial" w:hAnsi="Arial"/>
                <w:sz w:val="11"/>
                <w:szCs w:val="11"/>
                <w:b w:val="1"/>
                <w:bCs w:val="1"/>
                <w:color w:val="auto"/>
                <w:w w:val="94"/>
              </w:rPr>
              <w:t>(1)</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7"/>
              </w:rPr>
              <w:t xml:space="preserve">Reserve </w:t>
            </w:r>
            <w:r>
              <w:rPr>
                <w:rFonts w:ascii="Arial" w:cs="Arial" w:eastAsia="Arial" w:hAnsi="Arial"/>
                <w:sz w:val="11"/>
                <w:szCs w:val="11"/>
                <w:b w:val="1"/>
                <w:bCs w:val="1"/>
                <w:color w:val="auto"/>
                <w:w w:val="97"/>
              </w:rPr>
              <w:t>(1)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 xml:space="preserve">Write-downs </w:t>
            </w:r>
            <w:r>
              <w:rPr>
                <w:rFonts w:ascii="Arial" w:cs="Arial" w:eastAsia="Arial" w:hAnsi="Arial"/>
                <w:sz w:val="11"/>
                <w:szCs w:val="11"/>
                <w:b w:val="1"/>
                <w:bCs w:val="1"/>
                <w:color w:val="auto"/>
                <w:w w:val="92"/>
              </w:rPr>
              <w:t>(1)</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2016</w:t>
            </w:r>
          </w:p>
        </w:tc>
        <w:tc>
          <w:tcPr>
            <w:tcW w:w="1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Charges</w:t>
            </w:r>
          </w:p>
        </w:tc>
        <w:tc>
          <w:tcPr>
            <w:tcW w:w="1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w:t>
            </w:r>
          </w:p>
        </w:tc>
        <w:tc>
          <w:tcPr>
            <w:tcW w:w="10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0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5"/>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2017</w:t>
            </w:r>
          </w:p>
        </w:tc>
        <w:tc>
          <w:tcPr>
            <w:tcW w:w="13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Charges</w:t>
            </w: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w:t>
            </w:r>
          </w:p>
        </w:tc>
        <w:tc>
          <w:tcPr>
            <w:tcW w:w="10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(3)</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10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5"/>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2018</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85"/>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420" w:hanging="376"/>
        <w:spacing w:after="0" w:line="287" w:lineRule="auto"/>
        <w:tabs>
          <w:tab w:leader="none" w:pos="380" w:val="left"/>
        </w:tabs>
        <w:numPr>
          <w:ilvl w:val="0"/>
          <w:numId w:val="35"/>
        </w:numPr>
        <w:rPr>
          <w:rFonts w:ascii="Arial" w:cs="Arial" w:eastAsia="Arial" w:hAnsi="Arial"/>
          <w:sz w:val="15"/>
          <w:szCs w:val="15"/>
          <w:color w:val="auto"/>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53" w:lineRule="exact"/>
        <w:rPr>
          <w:rFonts w:ascii="Arial" w:cs="Arial" w:eastAsia="Arial" w:hAnsi="Arial"/>
          <w:sz w:val="15"/>
          <w:szCs w:val="15"/>
          <w:color w:val="auto"/>
        </w:rPr>
      </w:pPr>
    </w:p>
    <w:p>
      <w:pPr>
        <w:ind w:left="380" w:right="200" w:hanging="376"/>
        <w:spacing w:after="0" w:line="287" w:lineRule="auto"/>
        <w:tabs>
          <w:tab w:leader="none" w:pos="380" w:val="left"/>
        </w:tabs>
        <w:numPr>
          <w:ilvl w:val="0"/>
          <w:numId w:val="35"/>
        </w:numPr>
        <w:rPr>
          <w:rFonts w:ascii="Arial" w:cs="Arial" w:eastAsia="Arial" w:hAnsi="Arial"/>
          <w:sz w:val="15"/>
          <w:szCs w:val="15"/>
          <w:color w:val="auto"/>
        </w:rPr>
      </w:pPr>
      <w:r>
        <w:rPr>
          <w:rFonts w:ascii="Arial" w:cs="Arial" w:eastAsia="Arial" w:hAnsi="Arial"/>
          <w:sz w:val="17"/>
          <w:szCs w:val="17"/>
          <w:color w:val="auto"/>
        </w:rPr>
        <w:t>The $(12) million includes $(13) million of severance charges funded from pension plan assets, which were reclassified to Pension and other postretirement liabilities, and $1 million of foreign currency translation adjustments.</w:t>
      </w:r>
    </w:p>
    <w:p>
      <w:pPr>
        <w:spacing w:after="0" w:line="53" w:lineRule="exact"/>
        <w:rPr>
          <w:rFonts w:ascii="Arial" w:cs="Arial" w:eastAsia="Arial" w:hAnsi="Arial"/>
          <w:sz w:val="15"/>
          <w:szCs w:val="15"/>
          <w:color w:val="auto"/>
        </w:rPr>
      </w:pPr>
    </w:p>
    <w:p>
      <w:pPr>
        <w:ind w:left="380" w:hanging="376"/>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6"/>
          <w:szCs w:val="16"/>
          <w:color w:val="auto"/>
        </w:rPr>
        <w:t>The $(5) million represents severance charges funded from pension plan assets, which were reclassified to Pension and other postretirement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Activity</w:t>
      </w:r>
    </w:p>
    <w:p>
      <w:pPr>
        <w:spacing w:after="0" w:line="123"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Restructuring actions taken in 2017 were initiated to reduce Kodak’s cost structure as part of its commitment to drive sustainable profitability and included actions associated with the Prosper business cost reduction, voluntary workforce transition plans in the U.S., an office closure in Switzerland, the cancellation of the copper touch screen program, as well as various targeted reductions in manufacturing, service, sales, research and development and other administrative functions.</w:t>
      </w:r>
    </w:p>
    <w:p>
      <w:pPr>
        <w:spacing w:after="0" w:line="34"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As a result of these actions, for the year ended December 31, 2017 Kodak recorded $38 million of charges, including $7 million for inventory write-downs which was reported in Cost of revenues and $31 million which was reported as Restructuring costs and other in the accompanying Consolidated Statement of Operations.</w:t>
      </w:r>
    </w:p>
    <w:p>
      <w:pPr>
        <w:spacing w:after="0" w:line="8"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The 2017 severance costs related to the elimination of approximately 475 positions, including approximately 225 administrative, 150 manufacturing/service, and 100 research and development positions. The geographic composition of these positions included approximately 325 in the U.S. and Canada, and 150 throughout the rest of the world.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Activity</w:t>
      </w:r>
    </w:p>
    <w:p>
      <w:pPr>
        <w:spacing w:after="0" w:line="1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Restructuring actions taken in 2018 were initiated to reduce Kodak’s cost structure as part of its commitment to drive sustainable profitability and included cost rationalization in France, consolidation of R&amp;D sites in Israel, EPS manufacturing cost reductions in Germany, and various targeted reductions in manufacturing, service, sales, research and development, and other administrative functions.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78" w:name="page79"/>
    <w:bookmarkEnd w:id="78"/>
    <w:p>
      <w:pPr>
        <w:ind w:right="140"/>
        <w:spacing w:after="0" w:line="287" w:lineRule="auto"/>
        <w:rPr>
          <w:sz w:val="20"/>
          <w:szCs w:val="20"/>
          <w:color w:val="auto"/>
        </w:rPr>
      </w:pPr>
      <w:r>
        <w:rPr>
          <w:rFonts w:ascii="Arial" w:cs="Arial" w:eastAsia="Arial" w:hAnsi="Arial"/>
          <w:sz w:val="17"/>
          <w:szCs w:val="17"/>
          <w:color w:val="auto"/>
        </w:rPr>
        <w:t>As a result of these actions, for the year ended December 31, 2018 Kodak recorded $17 million of charges which were reported as Restructuring costs and other in the accompanying Consolidated Statement of Operations.</w:t>
      </w:r>
    </w:p>
    <w:p>
      <w:pPr>
        <w:spacing w:after="0" w:line="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2018 severance costs related to the elimination of approximately 285 positions, including approximately 115 administrative, 100 manufacturing/service, and 70 research and development positions. The geographic composition of these positions included approximately 130 in the U.S. and Canada, and 155 throughout the rest of the world.</w:t>
      </w:r>
    </w:p>
    <w:p>
      <w:pPr>
        <w:spacing w:after="0" w:line="68" w:lineRule="exact"/>
        <w:rPr>
          <w:sz w:val="20"/>
          <w:szCs w:val="20"/>
          <w:color w:val="auto"/>
        </w:rPr>
      </w:pPr>
    </w:p>
    <w:p>
      <w:pPr>
        <w:jc w:val="both"/>
        <w:ind w:right="600"/>
        <w:spacing w:after="0" w:line="271" w:lineRule="auto"/>
        <w:rPr>
          <w:sz w:val="20"/>
          <w:szCs w:val="20"/>
          <w:color w:val="auto"/>
        </w:rPr>
      </w:pPr>
      <w:r>
        <w:rPr>
          <w:rFonts w:ascii="Arial" w:cs="Arial" w:eastAsia="Arial" w:hAnsi="Arial"/>
          <w:sz w:val="17"/>
          <w:szCs w:val="17"/>
          <w:color w:val="auto"/>
        </w:rPr>
        <w:t>As a result of these initiatives, approximately $2 million of the severance charges will be paid during periods through the end of 2019. The remainder of the severance payments will be completed by the end of the first half of 2019. The exit cost reserves primarily relate to long-term lease payments, will be paid throughout 2019 and beyond.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RETIREMENT PLANS</w:t>
      </w:r>
    </w:p>
    <w:p>
      <w:pPr>
        <w:spacing w:after="0" w:line="12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 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either 7% or 8% of their pay, plus interest based on the 30-year Treasury bond rate.</w:t>
      </w:r>
    </w:p>
    <w:p>
      <w:pPr>
        <w:spacing w:after="0" w:line="7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72"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pension obligation for all funded and unfunded U.S. and Non-U.S. defined benefit plans is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60" w:type="dxa"/>
            <w:vAlign w:val="bottom"/>
            <w:gridSpan w:val="2"/>
            <w:vMerge w:val="restart"/>
          </w:tcPr>
          <w:p>
            <w:pPr>
              <w:ind w:left="58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U.S.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4"/>
              <w:spacing w:after="0" w:line="149" w:lineRule="exact"/>
              <w:rPr>
                <w:sz w:val="20"/>
                <w:szCs w:val="20"/>
                <w:color w:val="auto"/>
              </w:rPr>
            </w:pPr>
            <w:r>
              <w:rPr>
                <w:rFonts w:ascii="Arial" w:cs="Arial" w:eastAsia="Arial" w:hAnsi="Arial"/>
                <w:sz w:val="14"/>
                <w:szCs w:val="14"/>
                <w:b w:val="1"/>
                <w:bCs w:val="1"/>
                <w:color w:val="auto"/>
                <w:w w:val="87"/>
              </w:rPr>
              <w:t>Non-U.S.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U.S.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4"/>
              <w:spacing w:after="0" w:line="149" w:lineRule="exact"/>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Change in Benefit Obligation</w:t>
            </w:r>
          </w:p>
        </w:tc>
        <w:tc>
          <w:tcPr>
            <w:tcW w:w="10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ind w:left="580"/>
              <w:spacing w:after="0"/>
              <w:rPr>
                <w:sz w:val="20"/>
                <w:szCs w:val="20"/>
                <w:color w:val="auto"/>
              </w:rPr>
            </w:pPr>
            <w:r>
              <w:rPr>
                <w:rFonts w:ascii="Arial" w:cs="Arial" w:eastAsia="Arial" w:hAnsi="Arial"/>
                <w:sz w:val="17"/>
                <w:szCs w:val="17"/>
                <w:color w:val="auto"/>
              </w:rPr>
              <w:t>Projected benefit obligation at beginning of period</w:t>
            </w:r>
          </w:p>
        </w:tc>
        <w:tc>
          <w:tcPr>
            <w:tcW w:w="1300" w:type="dxa"/>
            <w:vAlign w:val="bottom"/>
            <w:gridSpan w:val="2"/>
          </w:tcPr>
          <w:p>
            <w:pPr>
              <w:jc w:val="right"/>
              <w:ind w:right="8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3,866</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885</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3,908</w:t>
            </w:r>
          </w:p>
        </w:tc>
        <w:tc>
          <w:tcPr>
            <w:tcW w:w="20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 cost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Interest cost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Benefit payments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(352)</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Actuarial (gain) loss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Special termination benefits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Currency adjustments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Projected benefit obligation at end of period</w:t>
            </w: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885</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Change in Plan Assets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ind w:left="580"/>
              <w:spacing w:after="0"/>
              <w:rPr>
                <w:sz w:val="20"/>
                <w:szCs w:val="20"/>
                <w:color w:val="auto"/>
              </w:rPr>
            </w:pPr>
            <w:r>
              <w:rPr>
                <w:rFonts w:ascii="Arial" w:cs="Arial" w:eastAsia="Arial" w:hAnsi="Arial"/>
                <w:sz w:val="17"/>
                <w:szCs w:val="17"/>
                <w:color w:val="auto"/>
              </w:rPr>
              <w:t>Fair value of plan assets at beginning of period</w:t>
            </w:r>
          </w:p>
        </w:tc>
        <w:tc>
          <w:tcPr>
            <w:tcW w:w="1300" w:type="dxa"/>
            <w:vAlign w:val="bottom"/>
            <w:gridSpan w:val="2"/>
          </w:tcPr>
          <w:p>
            <w:pPr>
              <w:jc w:val="right"/>
              <w:ind w:right="8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3,804</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722</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3,653</w:t>
            </w:r>
          </w:p>
        </w:tc>
        <w:tc>
          <w:tcPr>
            <w:tcW w:w="20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Gain on plan assets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Employer contributions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Benefit payments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(352)</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Currency adjustments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Fair value of plan assets at end of period</w:t>
            </w: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Pr>
          <w:p>
            <w:pPr>
              <w:spacing w:after="0"/>
              <w:rPr>
                <w:sz w:val="17"/>
                <w:szCs w:val="17"/>
                <w:color w:val="auto"/>
              </w:rPr>
            </w:pPr>
          </w:p>
        </w:tc>
        <w:tc>
          <w:tcPr>
            <w:tcW w:w="428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Over (under) funded status at end of period</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(62)</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Pr>
          <w:p>
            <w:pPr>
              <w:spacing w:after="0"/>
              <w:rPr>
                <w:sz w:val="17"/>
                <w:szCs w:val="17"/>
                <w:color w:val="auto"/>
              </w:rPr>
            </w:pPr>
          </w:p>
        </w:tc>
        <w:tc>
          <w:tcPr>
            <w:tcW w:w="428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Accumulated benefit obligation at end of period</w:t>
            </w:r>
          </w:p>
        </w:tc>
        <w:tc>
          <w:tcPr>
            <w:tcW w:w="1300" w:type="dxa"/>
            <w:vAlign w:val="bottom"/>
            <w:gridSpan w:val="2"/>
            <w:shd w:val="clear" w:color="auto" w:fill="CFF0FC"/>
          </w:tcPr>
          <w:p>
            <w:pPr>
              <w:jc w:val="right"/>
              <w:ind w:right="84"/>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ind w:right="33"/>
              <w:spacing w:after="0"/>
              <w:rPr>
                <w:sz w:val="20"/>
                <w:szCs w:val="20"/>
                <w:color w:val="auto"/>
              </w:rPr>
            </w:pPr>
            <w:r>
              <w:rPr>
                <w:rFonts w:ascii="Arial" w:cs="Arial" w:eastAsia="Arial" w:hAnsi="Arial"/>
                <w:sz w:val="17"/>
                <w:szCs w:val="17"/>
                <w:color w:val="auto"/>
              </w:rPr>
              <w:t>79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32" w:right="219" w:bottom="1440" w:gutter="0" w:footer="0" w:header="0"/>
        </w:sectPr>
      </w:pPr>
    </w:p>
    <w:bookmarkStart w:id="79" w:name="page80"/>
    <w:bookmarkEnd w:id="79"/>
    <w:p>
      <w:pPr>
        <w:ind w:right="60"/>
        <w:spacing w:after="0" w:line="287" w:lineRule="auto"/>
        <w:rPr>
          <w:sz w:val="20"/>
          <w:szCs w:val="20"/>
          <w:color w:val="auto"/>
        </w:rPr>
      </w:pPr>
      <w:r>
        <w:rPr>
          <w:rFonts w:ascii="Arial" w:cs="Arial" w:eastAsia="Arial" w:hAnsi="Arial"/>
          <w:sz w:val="17"/>
          <w:szCs w:val="17"/>
          <w:color w:val="auto"/>
        </w:rPr>
        <w:t>Amounts recognized in the Consolidated Statement of Financial Position for all major funded and unfunded U.S. and Non-U.S. defined benefit plans are as follows (in millions):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5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gridSpan w:val="3"/>
            <w:vMerge w:val="restart"/>
          </w:tcPr>
          <w:p>
            <w:pPr>
              <w:jc w:val="right"/>
              <w:ind w:right="64"/>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80"/>
              <w:spacing w:after="0" w:line="149" w:lineRule="exact"/>
              <w:rPr>
                <w:sz w:val="20"/>
                <w:szCs w:val="20"/>
                <w:color w:val="auto"/>
              </w:rPr>
            </w:pPr>
            <w:r>
              <w:rPr>
                <w:rFonts w:ascii="Arial" w:cs="Arial" w:eastAsia="Arial" w:hAnsi="Arial"/>
                <w:sz w:val="14"/>
                <w:szCs w:val="14"/>
                <w:b w:val="1"/>
                <w:bCs w:val="1"/>
                <w:color w:val="auto"/>
              </w:rPr>
              <w:t>Non-U.S.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9"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long-term assets</w:t>
            </w: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71"/>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40"/>
              <w:spacing w:after="0"/>
              <w:rPr>
                <w:sz w:val="20"/>
                <w:szCs w:val="20"/>
                <w:color w:val="auto"/>
              </w:rPr>
            </w:pPr>
            <w:r>
              <w:rPr>
                <w:rFonts w:ascii="Arial" w:cs="Arial" w:eastAsia="Arial" w:hAnsi="Arial"/>
                <w:sz w:val="17"/>
                <w:szCs w:val="17"/>
                <w:color w:val="auto"/>
              </w:rPr>
              <w:t>Pension and other postretirement liabilities</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(195)</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amount recognized</w:t>
            </w: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(163)</w:t>
            </w:r>
          </w:p>
        </w:tc>
        <w:tc>
          <w:tcPr>
            <w:tcW w:w="800" w:type="dxa"/>
            <w:vAlign w:val="bottom"/>
            <w:gridSpan w:val="2"/>
            <w:shd w:val="clear" w:color="auto" w:fill="CFF0FC"/>
          </w:tcPr>
          <w:p>
            <w:pPr>
              <w:jc w:val="right"/>
              <w:ind w:right="571"/>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an accumulated benefit obligation in excess of plan assets is as follows (in millions):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760" w:type="dxa"/>
            <w:vAlign w:val="bottom"/>
            <w:tcBorders>
              <w:bottom w:val="single" w:sz="8" w:color="CFF0FC"/>
            </w:tcBorders>
          </w:tcPr>
          <w:p>
            <w:pPr>
              <w:spacing w:after="0"/>
              <w:rPr>
                <w:sz w:val="12"/>
                <w:szCs w:val="12"/>
                <w:color w:val="auto"/>
              </w:rPr>
            </w:pPr>
          </w:p>
        </w:tc>
        <w:tc>
          <w:tcPr>
            <w:tcW w:w="15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0"/>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9"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2"/>
                <w:szCs w:val="12"/>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Projected benefit obligation</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FF0FC"/>
          </w:tcPr>
          <w:p>
            <w:pPr>
              <w:ind w:left="640"/>
              <w:spacing w:after="0"/>
              <w:rPr>
                <w:sz w:val="20"/>
                <w:szCs w:val="20"/>
                <w:color w:val="auto"/>
              </w:rPr>
            </w:pPr>
            <w:r>
              <w:rPr>
                <w:rFonts w:ascii="Arial" w:cs="Arial" w:eastAsia="Arial" w:hAnsi="Arial"/>
                <w:sz w:val="17"/>
                <w:szCs w:val="17"/>
                <w:color w:val="auto"/>
              </w:rPr>
              <w:t>—   $</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578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FF0FC"/>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7"/>
                <w:szCs w:val="17"/>
                <w:color w:val="auto"/>
              </w:rPr>
              <w:t>Accumulated benefit obligation</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ind w:left="6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606</w:t>
            </w:r>
          </w:p>
        </w:tc>
        <w:tc>
          <w:tcPr>
            <w:tcW w:w="120" w:type="dxa"/>
            <w:vAlign w:val="bottom"/>
          </w:tcPr>
          <w:p>
            <w:pPr>
              <w:spacing w:after="0"/>
              <w:rPr>
                <w:sz w:val="19"/>
                <w:szCs w:val="19"/>
                <w:color w:val="auto"/>
              </w:rPr>
            </w:pPr>
          </w:p>
        </w:tc>
      </w:tr>
      <w:tr>
        <w:trPr>
          <w:trHeight w:val="22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Fair value of plan assets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w:t>
            </w:r>
          </w:p>
        </w:tc>
        <w:tc>
          <w:tcPr>
            <w:tcW w:w="12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Amounts recognized in accumulated other comprehensive (loss) income for all major funded and unfunded U.S. and Non-U.S. defined benefit plans consist of (in millions):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9"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80"/>
              <w:spacing w:after="0" w:line="149" w:lineRule="exact"/>
              <w:rPr>
                <w:sz w:val="20"/>
                <w:szCs w:val="20"/>
                <w:color w:val="auto"/>
              </w:rPr>
            </w:pPr>
            <w:r>
              <w:rPr>
                <w:rFonts w:ascii="Arial" w:cs="Arial" w:eastAsia="Arial" w:hAnsi="Arial"/>
                <w:sz w:val="14"/>
                <w:szCs w:val="14"/>
                <w:b w:val="1"/>
                <w:bCs w:val="1"/>
                <w:color w:val="auto"/>
              </w:rPr>
              <w:t>Non-U.S.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line="149"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9"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credit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Net actuarial loss</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(271)</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Other changes in major plan assets and benefit obligations recognized in Other comprehensive income (expense) are as follows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62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Borders>
              <w:bottom w:val="single" w:sz="8" w:color="CFF0FC"/>
            </w:tcBorders>
          </w:tcPr>
          <w:p>
            <w:pPr>
              <w:spacing w:after="0"/>
              <w:rPr>
                <w:sz w:val="12"/>
                <w:szCs w:val="12"/>
                <w:color w:val="auto"/>
              </w:rPr>
            </w:pPr>
          </w:p>
        </w:tc>
        <w:tc>
          <w:tcPr>
            <w:tcW w:w="11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131"/>
              <w:spacing w:after="0" w:line="149" w:lineRule="exact"/>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4"/>
                <w:szCs w:val="14"/>
                <w:b w:val="1"/>
                <w:bCs w:val="1"/>
                <w:color w:val="auto"/>
              </w:rPr>
              <w:t>Non-U.S.</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37"/>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Newly established gain (loss)</w:t>
            </w:r>
          </w:p>
        </w:tc>
        <w:tc>
          <w:tcPr>
            <w:tcW w:w="2120" w:type="dxa"/>
            <w:vAlign w:val="bottom"/>
            <w:gridSpan w:val="2"/>
            <w:shd w:val="clear" w:color="auto" w:fill="CFF0FC"/>
          </w:tcPr>
          <w:p>
            <w:pPr>
              <w:jc w:val="right"/>
              <w:ind w:right="83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(21)</w:t>
            </w:r>
          </w:p>
        </w:tc>
        <w:tc>
          <w:tcPr>
            <w:tcW w:w="1100" w:type="dxa"/>
            <w:vAlign w:val="bottom"/>
            <w:gridSpan w:val="2"/>
            <w:shd w:val="clear" w:color="auto" w:fill="CFF0FC"/>
          </w:tcPr>
          <w:p>
            <w:pPr>
              <w:jc w:val="right"/>
              <w:ind w:right="85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7"/>
                <w:szCs w:val="17"/>
                <w:color w:val="auto"/>
              </w:rPr>
              <w:t>Amortization of:</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Prior service credit</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w:t>
            </w:r>
          </w:p>
        </w:tc>
        <w:tc>
          <w:tcPr>
            <w:tcW w:w="10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900" w:type="dxa"/>
            <w:vAlign w:val="bottom"/>
          </w:tcPr>
          <w:p>
            <w:pPr>
              <w:ind w:left="240"/>
              <w:spacing w:after="0"/>
              <w:rPr>
                <w:sz w:val="20"/>
                <w:szCs w:val="20"/>
                <w:color w:val="auto"/>
              </w:rPr>
            </w:pPr>
            <w:r>
              <w:rPr>
                <w:rFonts w:ascii="Arial" w:cs="Arial" w:eastAsia="Arial" w:hAnsi="Arial"/>
                <w:sz w:val="17"/>
                <w:szCs w:val="17"/>
                <w:color w:val="auto"/>
              </w:rPr>
              <w:t>Net actuarial loss</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(loss) income recognized in Other</w:t>
            </w:r>
          </w:p>
        </w:tc>
        <w:tc>
          <w:tcPr>
            <w:tcW w:w="1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comprehensive income</w:t>
            </w:r>
          </w:p>
        </w:tc>
        <w:tc>
          <w:tcPr>
            <w:tcW w:w="2120" w:type="dxa"/>
            <w:vAlign w:val="bottom"/>
            <w:gridSpan w:val="2"/>
            <w:shd w:val="clear" w:color="auto" w:fill="CFF0FC"/>
          </w:tcPr>
          <w:p>
            <w:pPr>
              <w:jc w:val="right"/>
              <w:ind w:right="83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(16)</w:t>
            </w:r>
          </w:p>
        </w:tc>
        <w:tc>
          <w:tcPr>
            <w:tcW w:w="1100" w:type="dxa"/>
            <w:vAlign w:val="bottom"/>
            <w:gridSpan w:val="2"/>
            <w:shd w:val="clear" w:color="auto" w:fill="CFF0FC"/>
          </w:tcPr>
          <w:p>
            <w:pPr>
              <w:jc w:val="right"/>
              <w:ind w:right="85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60"/>
        <w:spacing w:after="0" w:line="287" w:lineRule="auto"/>
        <w:rPr>
          <w:sz w:val="20"/>
          <w:szCs w:val="20"/>
          <w:color w:val="auto"/>
        </w:rPr>
      </w:pPr>
      <w:r>
        <w:rPr>
          <w:rFonts w:ascii="Arial" w:cs="Arial" w:eastAsia="Arial" w:hAnsi="Arial"/>
          <w:sz w:val="17"/>
          <w:szCs w:val="17"/>
          <w:color w:val="auto"/>
        </w:rPr>
        <w:t>The Company expects to recognize $7 million of prior service credits and $5 million of net actuarial losses as components of net periodic benefit cost over the next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Pension income for all defined benefit plans included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11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2"/>
                <w:szCs w:val="12"/>
                <w:color w:val="auto"/>
              </w:rPr>
            </w:pPr>
          </w:p>
        </w:tc>
        <w:tc>
          <w:tcPr>
            <w:tcW w:w="11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Major defined benefit plans:</w:t>
            </w:r>
          </w:p>
        </w:tc>
        <w:tc>
          <w:tcPr>
            <w:tcW w:w="10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40"/>
              <w:spacing w:after="0"/>
              <w:rPr>
                <w:sz w:val="20"/>
                <w:szCs w:val="20"/>
                <w:color w:val="auto"/>
              </w:rPr>
            </w:pPr>
            <w:r>
              <w:rPr>
                <w:rFonts w:ascii="Arial" w:cs="Arial" w:eastAsia="Arial" w:hAnsi="Arial"/>
                <w:sz w:val="17"/>
                <w:szCs w:val="17"/>
                <w:color w:val="auto"/>
              </w:rPr>
              <w:t>Service cost</w:t>
            </w:r>
          </w:p>
        </w:tc>
        <w:tc>
          <w:tcPr>
            <w:tcW w:w="13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cost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40"/>
              <w:spacing w:after="0"/>
              <w:rPr>
                <w:sz w:val="20"/>
                <w:szCs w:val="20"/>
                <w:color w:val="auto"/>
              </w:rPr>
            </w:pPr>
            <w:r>
              <w:rPr>
                <w:rFonts w:ascii="Arial" w:cs="Arial" w:eastAsia="Arial" w:hAnsi="Arial"/>
                <w:sz w:val="17"/>
                <w:szCs w:val="17"/>
                <w:color w:val="auto"/>
              </w:rPr>
              <w:t>Expected return on plan assets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(223)</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(243)</w:t>
            </w: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2"/>
        </w:trPr>
        <w:tc>
          <w:tcPr>
            <w:tcW w:w="4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480"/>
              <w:spacing w:after="0"/>
              <w:rPr>
                <w:sz w:val="20"/>
                <w:szCs w:val="20"/>
                <w:color w:val="auto"/>
              </w:rPr>
            </w:pPr>
            <w:r>
              <w:rPr>
                <w:rFonts w:ascii="Arial" w:cs="Arial" w:eastAsia="Arial" w:hAnsi="Arial"/>
                <w:sz w:val="17"/>
                <w:szCs w:val="17"/>
                <w:color w:val="auto"/>
              </w:rPr>
              <w:t>Prior service credit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0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Actuarial loss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20"/>
                <w:szCs w:val="20"/>
                <w:color w:val="auto"/>
              </w:rPr>
            </w:pPr>
            <w:r>
              <w:rPr>
                <w:rFonts w:ascii="Arial" w:cs="Arial" w:eastAsia="Arial" w:hAnsi="Arial"/>
                <w:sz w:val="17"/>
                <w:szCs w:val="17"/>
                <w:color w:val="auto"/>
              </w:rPr>
              <w:t>Pension income before special termination</w:t>
            </w:r>
          </w:p>
        </w:tc>
        <w:tc>
          <w:tcPr>
            <w:tcW w:w="10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140"/>
              <w:spacing w:after="0"/>
              <w:rPr>
                <w:sz w:val="20"/>
                <w:szCs w:val="20"/>
                <w:color w:val="auto"/>
              </w:rPr>
            </w:pPr>
            <w:r>
              <w:rPr>
                <w:rFonts w:ascii="Arial" w:cs="Arial" w:eastAsia="Arial" w:hAnsi="Arial"/>
                <w:sz w:val="17"/>
                <w:szCs w:val="17"/>
                <w:color w:val="auto"/>
              </w:rPr>
              <w:t>benefits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(123)</w:t>
            </w: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2"/>
        </w:trPr>
        <w:tc>
          <w:tcPr>
            <w:tcW w:w="4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Special termination benefits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000" w:type="dxa"/>
            <w:vAlign w:val="bottom"/>
          </w:tcPr>
          <w:p>
            <w:pPr>
              <w:ind w:left="240"/>
              <w:spacing w:after="0"/>
              <w:rPr>
                <w:sz w:val="20"/>
                <w:szCs w:val="20"/>
                <w:color w:val="auto"/>
              </w:rPr>
            </w:pPr>
            <w:r>
              <w:rPr>
                <w:rFonts w:ascii="Arial" w:cs="Arial" w:eastAsia="Arial" w:hAnsi="Arial"/>
                <w:sz w:val="17"/>
                <w:szCs w:val="17"/>
                <w:color w:val="auto"/>
              </w:rPr>
              <w:t>Net pension income for major</w:t>
            </w:r>
          </w:p>
        </w:tc>
        <w:tc>
          <w:tcPr>
            <w:tcW w:w="10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380"/>
              <w:spacing w:after="0"/>
              <w:rPr>
                <w:sz w:val="20"/>
                <w:szCs w:val="20"/>
                <w:color w:val="auto"/>
              </w:rPr>
            </w:pPr>
            <w:r>
              <w:rPr>
                <w:rFonts w:ascii="Arial" w:cs="Arial" w:eastAsia="Arial" w:hAnsi="Arial"/>
                <w:sz w:val="17"/>
                <w:szCs w:val="17"/>
                <w:color w:val="auto"/>
              </w:rPr>
              <w:t>defined benefit plans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(110)</w:t>
            </w: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2"/>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Other plans including unfunded plans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7"/>
                <w:szCs w:val="17"/>
                <w:color w:val="auto"/>
              </w:rPr>
              <w:t>Net pension income</w:t>
            </w: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(110)</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The pension income before special termination benefits reported above for the years ended December 31, 2018 and 2017 each include $1 million which is reported as Loss from discontinued operations.</w:t>
      </w:r>
    </w:p>
    <w:p>
      <w:pPr>
        <w:spacing w:after="0" w:line="158"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color w:val="auto"/>
        </w:rPr>
        <w:t>The special termination benefits of $5 million and $13 million for the years ended December 31, 2018 and 2017, respectively, were incurred as a result of Kodak's restructuring actions and, therefore, have been included in Restructuring costs and other in the Consolidated Statement of Operations for those periods.</w:t>
      </w:r>
    </w:p>
    <w:p>
      <w:pPr>
        <w:spacing w:after="0" w:line="113"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The weighted-average assumptions used to determine the benefit obligation amounts for all major funded and unfunded U.S. and Non-U.S. defined benefit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48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86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tcPr>
          <w:p>
            <w:pPr>
              <w:jc w:val="right"/>
              <w:ind w:right="662"/>
              <w:spacing w:after="0" w:line="149"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tcPr>
          <w:p>
            <w:pPr>
              <w:jc w:val="right"/>
              <w:ind w:right="502"/>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62"/>
              <w:spacing w:after="0" w:line="149" w:lineRule="exact"/>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3.34%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1.90%</w:t>
            </w:r>
          </w:p>
        </w:tc>
      </w:tr>
      <w:tr>
        <w:trPr>
          <w:trHeight w:val="221"/>
        </w:trPr>
        <w:tc>
          <w:tcPr>
            <w:tcW w:w="4860" w:type="dxa"/>
            <w:vAlign w:val="bottom"/>
          </w:tcPr>
          <w:p>
            <w:pPr>
              <w:spacing w:after="0"/>
              <w:rPr>
                <w:sz w:val="20"/>
                <w:szCs w:val="20"/>
                <w:color w:val="auto"/>
              </w:rPr>
            </w:pPr>
            <w:r>
              <w:rPr>
                <w:rFonts w:ascii="Arial" w:cs="Arial" w:eastAsia="Arial" w:hAnsi="Arial"/>
                <w:sz w:val="17"/>
                <w:szCs w:val="17"/>
                <w:color w:val="auto"/>
              </w:rPr>
              <w:t>Salary increase rate</w:t>
            </w:r>
          </w:p>
        </w:tc>
        <w:tc>
          <w:tcPr>
            <w:tcW w:w="1540" w:type="dxa"/>
            <w:vAlign w:val="bottom"/>
          </w:tcPr>
          <w:p>
            <w:pPr>
              <w:jc w:val="right"/>
              <w:spacing w:after="0"/>
              <w:rPr>
                <w:sz w:val="20"/>
                <w:szCs w:val="20"/>
                <w:color w:val="auto"/>
              </w:rPr>
            </w:pPr>
            <w:r>
              <w:rPr>
                <w:rFonts w:ascii="Arial" w:cs="Arial" w:eastAsia="Arial" w:hAnsi="Arial"/>
                <w:sz w:val="17"/>
                <w:szCs w:val="17"/>
                <w:color w:val="auto"/>
              </w:rPr>
              <w:t>3.50%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2.06%</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3.50%</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2.17%</w:t>
            </w:r>
          </w:p>
        </w:tc>
      </w:tr>
    </w:tbl>
    <w:p>
      <w:pPr>
        <w:spacing w:after="0" w:line="222"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The weighted-average assumptions used to determine net pension (income) expense for all the major funded and unfunded U.S. and Non-U.S. defined benefit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48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86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tcPr>
          <w:p>
            <w:pPr>
              <w:jc w:val="right"/>
              <w:ind w:right="659"/>
              <w:spacing w:after="0" w:line="149"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tcPr>
          <w:p>
            <w:pPr>
              <w:jc w:val="right"/>
              <w:ind w:right="499"/>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59"/>
              <w:spacing w:after="0" w:line="149" w:lineRule="exact"/>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Effective rate for service cost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3.68%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2.66%</w:t>
            </w:r>
          </w:p>
        </w:tc>
      </w:tr>
      <w:tr>
        <w:trPr>
          <w:trHeight w:val="222"/>
        </w:trPr>
        <w:tc>
          <w:tcPr>
            <w:tcW w:w="4860" w:type="dxa"/>
            <w:vAlign w:val="bottom"/>
          </w:tcPr>
          <w:p>
            <w:pPr>
              <w:spacing w:after="0"/>
              <w:rPr>
                <w:sz w:val="20"/>
                <w:szCs w:val="20"/>
                <w:color w:val="auto"/>
              </w:rPr>
            </w:pPr>
            <w:r>
              <w:rPr>
                <w:rFonts w:ascii="Arial" w:cs="Arial" w:eastAsia="Arial" w:hAnsi="Arial"/>
                <w:sz w:val="17"/>
                <w:szCs w:val="17"/>
                <w:color w:val="auto"/>
              </w:rPr>
              <w:t>Effective rate for interest cost</w:t>
            </w:r>
          </w:p>
        </w:tc>
        <w:tc>
          <w:tcPr>
            <w:tcW w:w="1540" w:type="dxa"/>
            <w:vAlign w:val="bottom"/>
          </w:tcPr>
          <w:p>
            <w:pPr>
              <w:jc w:val="right"/>
              <w:spacing w:after="0"/>
              <w:rPr>
                <w:sz w:val="20"/>
                <w:szCs w:val="20"/>
                <w:color w:val="auto"/>
              </w:rPr>
            </w:pPr>
            <w:r>
              <w:rPr>
                <w:rFonts w:ascii="Arial" w:cs="Arial" w:eastAsia="Arial" w:hAnsi="Arial"/>
                <w:sz w:val="17"/>
                <w:szCs w:val="17"/>
                <w:color w:val="auto"/>
              </w:rPr>
              <w:t>2.96%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1.70%</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3.06%</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1.56%</w:t>
            </w:r>
          </w:p>
        </w:tc>
      </w:tr>
      <w:tr>
        <w:trPr>
          <w:trHeight w:val="222"/>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3.43%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2.09%</w:t>
            </w:r>
          </w:p>
        </w:tc>
      </w:tr>
      <w:tr>
        <w:trPr>
          <w:trHeight w:val="209"/>
        </w:trPr>
        <w:tc>
          <w:tcPr>
            <w:tcW w:w="4860" w:type="dxa"/>
            <w:vAlign w:val="bottom"/>
          </w:tcPr>
          <w:p>
            <w:pPr>
              <w:spacing w:after="0"/>
              <w:rPr>
                <w:sz w:val="20"/>
                <w:szCs w:val="20"/>
                <w:color w:val="auto"/>
              </w:rPr>
            </w:pPr>
            <w:r>
              <w:rPr>
                <w:rFonts w:ascii="Arial" w:cs="Arial" w:eastAsia="Arial" w:hAnsi="Arial"/>
                <w:sz w:val="17"/>
                <w:szCs w:val="17"/>
                <w:color w:val="auto"/>
              </w:rPr>
              <w:t>Expected long-term rate of return on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4860" w:type="dxa"/>
            <w:vAlign w:val="bottom"/>
          </w:tcPr>
          <w:p>
            <w:pPr>
              <w:ind w:left="140"/>
              <w:spacing w:after="0"/>
              <w:rPr>
                <w:sz w:val="20"/>
                <w:szCs w:val="20"/>
                <w:color w:val="auto"/>
              </w:rPr>
            </w:pPr>
            <w:r>
              <w:rPr>
                <w:rFonts w:ascii="Arial" w:cs="Arial" w:eastAsia="Arial" w:hAnsi="Arial"/>
                <w:sz w:val="17"/>
                <w:szCs w:val="17"/>
                <w:color w:val="auto"/>
              </w:rPr>
              <w:t>plan assets</w:t>
            </w:r>
          </w:p>
        </w:tc>
        <w:tc>
          <w:tcPr>
            <w:tcW w:w="1540" w:type="dxa"/>
            <w:vAlign w:val="bottom"/>
          </w:tcPr>
          <w:p>
            <w:pPr>
              <w:jc w:val="right"/>
              <w:spacing w:after="0"/>
              <w:rPr>
                <w:sz w:val="20"/>
                <w:szCs w:val="20"/>
                <w:color w:val="auto"/>
              </w:rPr>
            </w:pPr>
            <w:r>
              <w:rPr>
                <w:rFonts w:ascii="Arial" w:cs="Arial" w:eastAsia="Arial" w:hAnsi="Arial"/>
                <w:sz w:val="17"/>
                <w:szCs w:val="17"/>
                <w:color w:val="auto"/>
              </w:rPr>
              <w:t>6.40%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3.98%</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7.00%</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4.21%</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Investment Strategy</w:t>
      </w:r>
    </w:p>
    <w:p>
      <w:pPr>
        <w:spacing w:after="0" w:line="12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1" w:name="page82"/>
    <w:bookmarkEnd w:id="81"/>
    <w:p>
      <w:pPr>
        <w:jc w:val="both"/>
        <w:ind w:right="120"/>
        <w:spacing w:after="0" w:line="271" w:lineRule="auto"/>
        <w:rPr>
          <w:sz w:val="20"/>
          <w:szCs w:val="20"/>
          <w:color w:val="auto"/>
        </w:rPr>
      </w:pPr>
      <w:r>
        <w:rPr>
          <w:rFonts w:ascii="Arial" w:cs="Arial" w:eastAsia="Arial" w:hAnsi="Arial"/>
          <w:sz w:val="17"/>
          <w:szCs w:val="17"/>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6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total plan assets attributable to the major U.S. defined benefit plans at as of December 31, 2018 relate to KRIP. The expected long-term rate of return on plan assets assumption (“EROA”) is based on a combination of formal asset and liability studies that include forward-looking return expectations given the current asset allocation. A review of the EROA as of December 31, 2018, based upon the current asset allocation and forward-looking expected returns for the various asset classes in which KRIP invests, resulted in an EROA of 6.50%.</w:t>
      </w:r>
    </w:p>
    <w:p>
      <w:pPr>
        <w:spacing w:after="0" w:line="72"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As with KRIP, the EROA assumptions for certain of Kodak’s other pension plans were reassessed as of December 31, 2018. The weighted average annual expected return on plan assets for the major non-U.S. pension plans was 3.86% based on the plans’ respective asset allocations as of December 31, 2018.</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Risk Management</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Foreign currency contracts and swaps are used to partially hedge foreign currency risk. Additionally, Kodak’s major defined benefit pension plans invest in government bond futures and long duration investment grade bonds to partially hedge the liability risk of the plans. As of December 31, 2018 and 2017, there were no significant concentrations (defined as greater than 10% of plan assets) of risk in Kodak’s defined benefit plan assets.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Company's weighted-average asset allocations for its major U.S. defined benefit pension plans by asset category, are as follows:</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980" w:type="dxa"/>
            <w:vAlign w:val="bottom"/>
            <w:gridSpan w:val="2"/>
          </w:tcPr>
          <w:p>
            <w:pPr>
              <w:ind w:left="564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2018 Target</w:t>
            </w:r>
          </w:p>
        </w:tc>
      </w:tr>
      <w:tr>
        <w:trPr>
          <w:trHeight w:val="215"/>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7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7-13%</w:t>
            </w:r>
          </w:p>
        </w:tc>
      </w:tr>
      <w:tr>
        <w:trPr>
          <w:trHeight w:val="222"/>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40%</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42%</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35-45%</w:t>
            </w:r>
          </w:p>
        </w:tc>
      </w:tr>
      <w:tr>
        <w:trPr>
          <w:trHeight w:val="222"/>
        </w:trPr>
        <w:tc>
          <w:tcPr>
            <w:tcW w:w="598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7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22"/>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0-6%</w:t>
            </w:r>
          </w:p>
        </w:tc>
      </w:tr>
      <w:tr>
        <w:trPr>
          <w:trHeight w:val="222"/>
        </w:trPr>
        <w:tc>
          <w:tcPr>
            <w:tcW w:w="598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7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12-18%</w:t>
            </w:r>
          </w:p>
        </w:tc>
      </w:tr>
      <w:tr>
        <w:trPr>
          <w:trHeight w:val="222"/>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27-39%</w:t>
            </w:r>
          </w:p>
        </w:tc>
      </w:tr>
      <w:tr>
        <w:trPr>
          <w:trHeight w:val="20"/>
        </w:trPr>
        <w:tc>
          <w:tcPr>
            <w:tcW w:w="5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Kodak’s weighted-average asset allocations for its major Non-U.S. defined benefit pension plans by asset category, are as follows:</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980" w:type="dxa"/>
            <w:vAlign w:val="bottom"/>
            <w:gridSpan w:val="2"/>
          </w:tcPr>
          <w:p>
            <w:pPr>
              <w:ind w:left="564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2018 Target</w:t>
            </w:r>
          </w:p>
        </w:tc>
      </w:tr>
      <w:tr>
        <w:trPr>
          <w:trHeight w:val="215"/>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7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22"/>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32%</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30-40%</w:t>
            </w:r>
          </w:p>
        </w:tc>
      </w:tr>
      <w:tr>
        <w:trPr>
          <w:trHeight w:val="222"/>
        </w:trPr>
        <w:tc>
          <w:tcPr>
            <w:tcW w:w="598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22"/>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0-6%</w:t>
            </w:r>
          </w:p>
        </w:tc>
      </w:tr>
      <w:tr>
        <w:trPr>
          <w:trHeight w:val="222"/>
        </w:trPr>
        <w:tc>
          <w:tcPr>
            <w:tcW w:w="598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7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2-8%</w:t>
            </w:r>
          </w:p>
        </w:tc>
      </w:tr>
      <w:tr>
        <w:trPr>
          <w:trHeight w:val="222"/>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55-65%</w:t>
            </w:r>
          </w:p>
        </w:tc>
      </w:tr>
      <w:tr>
        <w:trPr>
          <w:trHeight w:val="20"/>
        </w:trPr>
        <w:tc>
          <w:tcPr>
            <w:tcW w:w="5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Kodak’s asset allocations by level within the fair value hierarchy at December 31, 2018 and 2017 are presented in the tables below for Kodak’s major defined benefit plans. 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per share expedient. Kodak’s assessment of the significance of a particular input to the fair value measurement requires judgment and may affect the valuation of fair value of assets and their placement within the fair value hierarchy levels.</w:t>
      </w:r>
    </w:p>
    <w:p>
      <w:pPr>
        <w:spacing w:after="0" w:line="7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Assets not utilizing the net asset value per share expedient are valued as follows: Equity and debt securities traded on an active market are valued using a market approach based on the closing price on the last business day of the year. Real estate investments are valued primarily based on independent appraisals and discounted cash flow models, taking into consideration discount rates and local market conditions. Cash and cash equivalents are valued utilizing cost approach valuation techniques. Other investments are valued using a combination of market, income, and cost approaches, based on the nature of the investment.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 For investments with lagged pricing, Kodak uses the available net asset values, and also considers expected return, subsequent cash flows and relevant material events.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Major 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U.S.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160" w:type="dxa"/>
            <w:vAlign w:val="bottom"/>
          </w:tcPr>
          <w:p>
            <w:pPr>
              <w:spacing w:after="0"/>
              <w:rPr>
                <w:sz w:val="11"/>
                <w:szCs w:val="11"/>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5"/>
              </w:rPr>
              <w:t>Markets for</w:t>
            </w: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160" w:type="dxa"/>
            <w:vAlign w:val="bottom"/>
          </w:tcPr>
          <w:p>
            <w:pPr>
              <w:spacing w:after="0"/>
              <w:rPr>
                <w:sz w:val="12"/>
                <w:szCs w:val="12"/>
                <w:color w:val="auto"/>
              </w:rPr>
            </w:pPr>
          </w:p>
        </w:tc>
        <w:tc>
          <w:tcPr>
            <w:tcW w:w="10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5"/>
              </w:rPr>
              <w:t>Measured at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losses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3,004</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34" w:right="21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Major 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2017</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U.S.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5"/>
              </w:rPr>
              <w:t>Markets for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160" w:type="dxa"/>
            <w:vAlign w:val="bottom"/>
          </w:tcPr>
          <w:p>
            <w:pPr>
              <w:spacing w:after="0"/>
              <w:rPr>
                <w:sz w:val="12"/>
                <w:szCs w:val="12"/>
                <w:color w:val="auto"/>
              </w:rPr>
            </w:pPr>
          </w:p>
        </w:tc>
        <w:tc>
          <w:tcPr>
            <w:tcW w:w="10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5"/>
              </w:rPr>
              <w:t>Measured at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3,286</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For Kodak’s major U.S. defined benefit pension plans, equity investments are invested broadly in U.S. equity, developed international equity, and emerging markets. Fixed income investments are comprised primarily of long duration U.S. Treasuries and investment-grade corporate bonds. Real estate investments primarily include investments in limited partnerships that invest in office, industrial, retail and apartment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primarily comprised of limited partnerships and fund-of-fund investments that invest in distressed investments, venture capital, leveraged buyouts and special situations. Natural resource investments in oil and gas partnerships and timber funds are also included in this category.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Major Non-U.S.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Non - U.S.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40"/>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9"/>
              </w:rPr>
              <w:t>in Active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5"/>
              </w:rPr>
              <w:t>Markets for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160" w:type="dxa"/>
            <w:vAlign w:val="bottom"/>
          </w:tcPr>
          <w:p>
            <w:pPr>
              <w:spacing w:after="0"/>
              <w:rPr>
                <w:sz w:val="12"/>
                <w:szCs w:val="12"/>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Measured at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Debt Securities: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Government Bonds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Inflation-Linked Bonds</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Real Estate</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Absolute Return</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Private Equity</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Insurance Contracts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264</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34" w:right="21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Major Non-U.S.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2017</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Non - U.S.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8"/>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95"/>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Measured at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Inflation-Linked Bonds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40"/>
              <w:spacing w:after="0"/>
              <w:rPr>
                <w:sz w:val="20"/>
                <w:szCs w:val="20"/>
                <w:color w:val="auto"/>
              </w:rPr>
            </w:pPr>
            <w:r>
              <w:rPr>
                <w:rFonts w:ascii="Arial" w:cs="Arial" w:eastAsia="Arial" w:hAnsi="Arial"/>
                <w:sz w:val="17"/>
                <w:szCs w:val="17"/>
                <w:color w:val="auto"/>
              </w:rPr>
              <w:t>Insurance Contracts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294</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6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For Kodak’s major defined benefit pension plans, certain investment managers are authorized to invest in derivatives such as futures, swaps, and currency forward contracts. Investments in derivatives are used to obtain desired exposure to a particular asset, index or bond duration and require only a portion of the total exposure to be invested as cash collateral. In instances where exposures are obtained via derivatives, the majority of the exposure value is available to be invested, and is typically invested, in a diversified portfolio of hedge fund strategies that generate returns in addition to the return generated by the derivatives. Of the December 31, 2018 investments shown in the major U.S. plans table above, 5% of the total pension assets represented equity securities exposure obtained via derivatives and are reported in equity securities, and 30% of the total pension assets represented U.S. government bond exposure with 12 years duration, obtained via derivatives and are reported in government bonds. Of the December 31, 2017 investments shown in the major U.S. plans table above, 2% of the total pension assets represented equity securities exposure obtained via derivatives and are reported in equity securities, and 31% of the total pension assets represented U.S. government bond exposure with 13 years duration, obtained via derivatives and are reported in government bonds.</w:t>
      </w:r>
    </w:p>
    <w:p>
      <w:pPr>
        <w:spacing w:after="0" w:line="6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Of the December 31, 2018 investments shown in the major Non-U.S. plans table above, 0% and 7% of the total pension assets represented derivative exposures to equity securities and government bonds with 5 years duration and are reported in those respective classes. Of the December 31, 2017 investments shown in the major Non-U.S. plans table above, 0% and 7% of the total pension assets represented derivative exposures to equity securities and government bonds with 7 years duration and are reported in those respective classes.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The following is a reconciliation of the beginning and ending balances of level 3 assets of Kodak’s major U.S. defined benefit pension plans: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5"/>
          </w:tcPr>
          <w:p>
            <w:pPr>
              <w:ind w:left="120"/>
              <w:spacing w:after="0" w:line="140" w:lineRule="exact"/>
              <w:rPr>
                <w:sz w:val="20"/>
                <w:szCs w:val="20"/>
                <w:color w:val="auto"/>
              </w:rPr>
            </w:pPr>
            <w:r>
              <w:rPr>
                <w:rFonts w:ascii="Arial" w:cs="Arial" w:eastAsia="Arial" w:hAnsi="Arial"/>
                <w:sz w:val="14"/>
                <w:szCs w:val="14"/>
                <w:b w:val="1"/>
                <w:bCs w:val="1"/>
                <w:color w:val="auto"/>
              </w:rPr>
              <w:t>Net Realized and Unrealized Gains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8"/>
              </w:rPr>
              <w:t>Balance at</w:t>
            </w:r>
          </w:p>
        </w:tc>
        <w:tc>
          <w:tcPr>
            <w:tcW w:w="24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Relating to Assets</w:t>
            </w:r>
          </w:p>
        </w:tc>
        <w:tc>
          <w:tcPr>
            <w:tcW w:w="142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Relating to Assets</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Net Purchases,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0"/>
              </w:rPr>
              <w:t>Sold During the</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Sales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January 1, 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Still Held</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8"/>
              </w:rPr>
              <w:t>Settlements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44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(40)</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Private Equity</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44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(49)</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5"/>
          </w:tcPr>
          <w:p>
            <w:pPr>
              <w:ind w:left="120"/>
              <w:spacing w:after="0" w:line="140" w:lineRule="exact"/>
              <w:rPr>
                <w:sz w:val="20"/>
                <w:szCs w:val="20"/>
                <w:color w:val="auto"/>
              </w:rPr>
            </w:pPr>
            <w:r>
              <w:rPr>
                <w:rFonts w:ascii="Arial" w:cs="Arial" w:eastAsia="Arial" w:hAnsi="Arial"/>
                <w:sz w:val="14"/>
                <w:szCs w:val="14"/>
                <w:b w:val="1"/>
                <w:bCs w:val="1"/>
                <w:color w:val="auto"/>
              </w:rPr>
              <w:t>Net Realized and Unrealized Gains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8"/>
              </w:rPr>
              <w:t>Balance at</w:t>
            </w:r>
          </w:p>
        </w:tc>
        <w:tc>
          <w:tcPr>
            <w:tcW w:w="24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Relating to Assets</w:t>
            </w:r>
          </w:p>
        </w:tc>
        <w:tc>
          <w:tcPr>
            <w:tcW w:w="142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Relating to Assets</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Net Purchases,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3"/>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0"/>
              </w:rPr>
              <w:t>Sold During the</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Sales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January 1, 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Still Held</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8"/>
              </w:rPr>
              <w:t>Settlements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44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Private Equity</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44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pension benefit payments, which reflect expected future service, are expected to be paid (in millions):</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6"/>
        </w:trPr>
        <w:tc>
          <w:tcPr>
            <w:tcW w:w="228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U.S.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Non-U.S.</w:t>
            </w:r>
          </w:p>
        </w:tc>
      </w:tr>
      <w:tr>
        <w:trPr>
          <w:trHeight w:val="215"/>
        </w:trPr>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300" w:type="dxa"/>
            <w:vAlign w:val="bottom"/>
            <w:gridSpan w:val="2"/>
            <w:shd w:val="clear" w:color="auto" w:fill="CFF0FC"/>
          </w:tcPr>
          <w:p>
            <w:pPr>
              <w:jc w:val="right"/>
              <w:ind w:right="711"/>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2280" w:type="dxa"/>
            <w:vAlign w:val="bottom"/>
          </w:tcPr>
          <w:p>
            <w:pPr>
              <w:spacing w:after="0"/>
              <w:rPr>
                <w:sz w:val="20"/>
                <w:szCs w:val="20"/>
                <w:color w:val="auto"/>
              </w:rPr>
            </w:pPr>
            <w:r>
              <w:rPr>
                <w:rFonts w:ascii="Arial" w:cs="Arial" w:eastAsia="Arial" w:hAnsi="Arial"/>
                <w:sz w:val="17"/>
                <w:szCs w:val="17"/>
                <w:color w:val="auto"/>
              </w:rPr>
              <w:t>2020</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2280" w:type="dxa"/>
            <w:vAlign w:val="bottom"/>
          </w:tcPr>
          <w:p>
            <w:pPr>
              <w:spacing w:after="0"/>
              <w:rPr>
                <w:sz w:val="20"/>
                <w:szCs w:val="20"/>
                <w:color w:val="auto"/>
              </w:rPr>
            </w:pPr>
            <w:r>
              <w:rPr>
                <w:rFonts w:ascii="Arial" w:cs="Arial" w:eastAsia="Arial" w:hAnsi="Arial"/>
                <w:sz w:val="17"/>
                <w:szCs w:val="17"/>
                <w:color w:val="auto"/>
              </w:rPr>
              <w:t>2022</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1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r>
      <w:tr>
        <w:trPr>
          <w:trHeight w:val="221"/>
        </w:trPr>
        <w:tc>
          <w:tcPr>
            <w:tcW w:w="2280" w:type="dxa"/>
            <w:vAlign w:val="bottom"/>
          </w:tcPr>
          <w:p>
            <w:pPr>
              <w:spacing w:after="0"/>
              <w:rPr>
                <w:sz w:val="20"/>
                <w:szCs w:val="20"/>
                <w:color w:val="auto"/>
              </w:rPr>
            </w:pPr>
            <w:r>
              <w:rPr>
                <w:rFonts w:ascii="Arial" w:cs="Arial" w:eastAsia="Arial" w:hAnsi="Arial"/>
                <w:sz w:val="17"/>
                <w:szCs w:val="17"/>
                <w:color w:val="auto"/>
              </w:rPr>
              <w:t>2024 - 2028</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215</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OTHER POSTRETIREMENT BENEFITS</w:t>
      </w:r>
    </w:p>
    <w:p>
      <w:pPr>
        <w:spacing w:after="0" w:line="123"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In Canada, Kodak provides medical, dental, life insurance, and survivor income benefits to eligible retirees. In the U.K., Kodak provides medical benefits to eligible retirees. The other postretirement benefit plans in Canada and the U.K. are closed to new participants. Information on the Canada and U.K. other postretirement benefit plans is presented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net benefit obligation for Kodak's other postretirement benefit plans is December 31.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Kodak’s benefit obligation and funded status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Net benefit obligation at beginning of period</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ind w:left="1720"/>
              <w:spacing w:after="0"/>
              <w:rPr>
                <w:sz w:val="20"/>
                <w:szCs w:val="20"/>
                <w:color w:val="auto"/>
              </w:rPr>
            </w:pPr>
            <w:r>
              <w:rPr>
                <w:rFonts w:ascii="Arial" w:cs="Arial" w:eastAsia="Arial" w:hAnsi="Arial"/>
                <w:sz w:val="17"/>
                <w:szCs w:val="17"/>
                <w:color w:val="auto"/>
              </w:rPr>
              <w:t>Interest cost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Plan participants’ contributions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ind w:left="1720"/>
              <w:spacing w:after="0"/>
              <w:rPr>
                <w:sz w:val="20"/>
                <w:szCs w:val="20"/>
                <w:color w:val="auto"/>
              </w:rPr>
            </w:pPr>
            <w:r>
              <w:rPr>
                <w:rFonts w:ascii="Arial" w:cs="Arial" w:eastAsia="Arial" w:hAnsi="Arial"/>
                <w:sz w:val="17"/>
                <w:szCs w:val="17"/>
                <w:color w:val="auto"/>
              </w:rPr>
              <w:t>Actuarial gain</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Benefit payments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ind w:left="1720"/>
              <w:spacing w:after="0"/>
              <w:rPr>
                <w:sz w:val="20"/>
                <w:szCs w:val="20"/>
                <w:color w:val="auto"/>
              </w:rPr>
            </w:pPr>
            <w:r>
              <w:rPr>
                <w:rFonts w:ascii="Arial" w:cs="Arial" w:eastAsia="Arial" w:hAnsi="Arial"/>
                <w:sz w:val="17"/>
                <w:szCs w:val="17"/>
                <w:color w:val="auto"/>
              </w:rPr>
              <w:t>Currency adjustments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benefit obligation at end of period</w:t>
            </w: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720" w:type="dxa"/>
            <w:vAlign w:val="bottom"/>
          </w:tcPr>
          <w:p>
            <w:pPr>
              <w:spacing w:after="0"/>
              <w:rPr>
                <w:sz w:val="18"/>
                <w:szCs w:val="18"/>
                <w:color w:val="auto"/>
              </w:rPr>
            </w:pPr>
          </w:p>
        </w:tc>
        <w:tc>
          <w:tcPr>
            <w:tcW w:w="52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7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Underfunded status at end of period</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w:t>
            </w:r>
          </w:p>
        </w:tc>
        <w:tc>
          <w:tcPr>
            <w:tcW w:w="8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w w:val="96"/>
              </w:rPr>
              <w:t>Amounts recognized in the Consolidated Statement of Financial Position consist of (in millions):</w:t>
            </w: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right"/>
              <w:ind w:right="25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ind w:left="1720"/>
              <w:spacing w:after="0"/>
              <w:rPr>
                <w:sz w:val="20"/>
                <w:szCs w:val="20"/>
                <w:color w:val="auto"/>
              </w:rPr>
            </w:pPr>
            <w:r>
              <w:rPr>
                <w:rFonts w:ascii="Arial" w:cs="Arial" w:eastAsia="Arial" w:hAnsi="Arial"/>
                <w:sz w:val="17"/>
                <w:szCs w:val="17"/>
                <w:color w:val="auto"/>
              </w:rPr>
              <w:t>Pension and other postretirement liabilities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720" w:type="dxa"/>
            <w:vAlign w:val="bottom"/>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w:t>
            </w:r>
          </w:p>
        </w:tc>
        <w:tc>
          <w:tcPr>
            <w:tcW w:w="8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240" w:type="dxa"/>
            <w:vAlign w:val="bottom"/>
            <w:tcBorders>
              <w:top w:val="single" w:sz="8" w:color="CFF0FC"/>
              <w:bottom w:val="single" w:sz="8" w:color="CFF0FC"/>
            </w:tcBorders>
            <w:vMerge w:val="restart"/>
          </w:tcPr>
          <w:p>
            <w:pPr>
              <w:ind w:left="3900"/>
              <w:spacing w:after="0"/>
              <w:rPr>
                <w:sz w:val="20"/>
                <w:szCs w:val="20"/>
                <w:color w:val="auto"/>
              </w:rPr>
            </w:pPr>
            <w:r>
              <w:rPr>
                <w:rFonts w:ascii="Arial" w:cs="Arial" w:eastAsia="Arial" w:hAnsi="Arial"/>
                <w:sz w:val="17"/>
                <w:szCs w:val="17"/>
                <w:color w:val="auto"/>
              </w:rPr>
              <w:t>87</w:t>
            </w: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vMerge w:val="continue"/>
          </w:tcPr>
          <w:p>
            <w:pPr>
              <w:spacing w:after="0"/>
              <w:rPr>
                <w:sz w:val="24"/>
                <w:szCs w:val="24"/>
                <w:color w:val="auto"/>
              </w:rPr>
            </w:pPr>
          </w:p>
        </w:tc>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72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31" w:right="21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Amounts recognized in Accumulated other comprehensive loss consist of (in millions):</w:t>
      </w:r>
    </w:p>
    <w:p>
      <w:pPr>
        <w:spacing w:after="0" w:line="316"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As of December 31,</w:t>
      </w:r>
    </w:p>
    <w:p>
      <w:pPr>
        <w:spacing w:after="0" w:line="11" w:lineRule="exact"/>
        <w:rPr>
          <w:sz w:val="20"/>
          <w:szCs w:val="20"/>
          <w:color w:val="auto"/>
        </w:rPr>
      </w:pPr>
    </w:p>
    <w:p>
      <w:pPr>
        <w:ind w:left="8120"/>
        <w:spacing w:after="0"/>
        <w:tabs>
          <w:tab w:leader="none" w:pos="9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-6350</wp:posOffset>
            </wp:positionV>
            <wp:extent cx="5728335" cy="149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28335" cy="149225"/>
                    </a:xfrm>
                    <a:prstGeom prst="rect">
                      <a:avLst/>
                    </a:prstGeom>
                    <a:noFill/>
                  </pic:spPr>
                </pic:pic>
              </a:graphicData>
            </a:graphic>
          </wp:anchor>
        </w:drawing>
      </w:r>
    </w:p>
    <w:p>
      <w:pPr>
        <w:ind w:left="1200"/>
        <w:spacing w:after="0"/>
        <w:tabs>
          <w:tab w:leader="none" w:pos="7660" w:val="left"/>
          <w:tab w:leader="none" w:pos="8680" w:val="left"/>
          <w:tab w:leader="none" w:pos="9040" w:val="left"/>
          <w:tab w:leader="none" w:pos="9960" w:val="left"/>
        </w:tabs>
        <w:rPr>
          <w:sz w:val="20"/>
          <w:szCs w:val="20"/>
          <w:color w:val="auto"/>
        </w:rPr>
      </w:pPr>
      <w:r>
        <w:rPr>
          <w:rFonts w:ascii="Arial" w:cs="Arial" w:eastAsia="Arial" w:hAnsi="Arial"/>
          <w:sz w:val="17"/>
          <w:szCs w:val="17"/>
          <w:color w:val="auto"/>
        </w:rPr>
        <w:t>Net actuarial gain</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w:t>
        <w:tab/>
        <w:t>$</w:t>
      </w:r>
      <w:r>
        <w:rPr>
          <w:sz w:val="20"/>
          <w:szCs w:val="20"/>
          <w:color w:val="auto"/>
        </w:rPr>
        <w:tab/>
      </w:r>
      <w:r>
        <w:rPr>
          <w:rFonts w:ascii="Arial" w:cs="Arial" w:eastAsia="Arial" w:hAnsi="Arial"/>
          <w:sz w:val="16"/>
          <w:szCs w:val="16"/>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Changes in benefit obligations recognized in Other comprehensive loss (income) consist of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14"/>
                <w:szCs w:val="14"/>
                <w:color w:val="auto"/>
              </w:rPr>
            </w:pPr>
          </w:p>
        </w:tc>
        <w:tc>
          <w:tcPr>
            <w:tcW w:w="60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CFF0FC"/>
            </w:tcBorders>
          </w:tcPr>
          <w:p>
            <w:pPr>
              <w:spacing w:after="0"/>
              <w:rPr>
                <w:sz w:val="18"/>
                <w:szCs w:val="18"/>
                <w:color w:val="auto"/>
              </w:rPr>
            </w:pPr>
          </w:p>
        </w:tc>
        <w:tc>
          <w:tcPr>
            <w:tcW w:w="62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Newly established loss (gain)</w:t>
            </w:r>
          </w:p>
        </w:tc>
        <w:tc>
          <w:tcPr>
            <w:tcW w:w="480" w:type="dxa"/>
            <w:vAlign w:val="bottom"/>
            <w:gridSpan w:val="3"/>
            <w:shd w:val="clear" w:color="auto" w:fill="CFF0FC"/>
          </w:tcPr>
          <w:p>
            <w:pPr>
              <w:ind w:left="380"/>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7"/>
                <w:szCs w:val="17"/>
                <w:color w:val="auto"/>
              </w:rPr>
              <w:t>(6)</w:t>
            </w:r>
          </w:p>
        </w:tc>
        <w:tc>
          <w:tcPr>
            <w:tcW w:w="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4"/>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ind w:left="1160"/>
              <w:spacing w:after="0"/>
              <w:rPr>
                <w:sz w:val="20"/>
                <w:szCs w:val="20"/>
                <w:color w:val="auto"/>
              </w:rPr>
            </w:pPr>
            <w:r>
              <w:rPr>
                <w:rFonts w:ascii="Arial" w:cs="Arial" w:eastAsia="Arial" w:hAnsi="Arial"/>
                <w:sz w:val="17"/>
                <w:szCs w:val="17"/>
                <w:color w:val="auto"/>
              </w:rPr>
              <w:t>Total gain recognized in Other comprehensive (loss) income</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00" w:type="dxa"/>
            <w:vAlign w:val="bottom"/>
            <w:gridSpan w:val="3"/>
            <w:vMerge w:val="continue"/>
          </w:tcPr>
          <w:p>
            <w:pPr>
              <w:spacing w:after="0"/>
              <w:rPr>
                <w:sz w:val="18"/>
                <w:szCs w:val="18"/>
                <w:color w:val="auto"/>
              </w:rPr>
            </w:pPr>
          </w:p>
        </w:tc>
        <w:tc>
          <w:tcPr>
            <w:tcW w:w="480" w:type="dxa"/>
            <w:vAlign w:val="bottom"/>
            <w:gridSpan w:val="3"/>
          </w:tcPr>
          <w:p>
            <w:pPr>
              <w:ind w:left="380"/>
              <w:spacing w:after="0"/>
              <w:rPr>
                <w:sz w:val="20"/>
                <w:szCs w:val="20"/>
                <w:color w:val="auto"/>
              </w:rPr>
            </w:pPr>
            <w:r>
              <w:rPr>
                <w:rFonts w:ascii="Arial" w:cs="Arial" w:eastAsia="Arial" w:hAnsi="Arial"/>
                <w:sz w:val="17"/>
                <w:szCs w:val="17"/>
                <w:color w:val="auto"/>
                <w:w w:val="84"/>
              </w:rPr>
              <w:t>$</w:t>
            </w:r>
          </w:p>
        </w:tc>
        <w:tc>
          <w:tcPr>
            <w:tcW w:w="84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7"/>
                <w:szCs w:val="17"/>
                <w:color w:val="auto"/>
              </w:rPr>
              <w:t>Other postretirement benefit cost included:</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4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2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14"/>
                <w:szCs w:val="14"/>
                <w:color w:val="auto"/>
              </w:rPr>
            </w:pPr>
          </w:p>
        </w:tc>
        <w:tc>
          <w:tcPr>
            <w:tcW w:w="60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CFF0FC"/>
            </w:tcBorders>
          </w:tcPr>
          <w:p>
            <w:pPr>
              <w:spacing w:after="0"/>
              <w:rPr>
                <w:sz w:val="18"/>
                <w:szCs w:val="18"/>
                <w:color w:val="auto"/>
              </w:rPr>
            </w:pPr>
          </w:p>
        </w:tc>
        <w:tc>
          <w:tcPr>
            <w:tcW w:w="62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Components of net postretirement benefit cost: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ind w:left="1160"/>
              <w:spacing w:after="0"/>
              <w:rPr>
                <w:sz w:val="20"/>
                <w:szCs w:val="20"/>
                <w:color w:val="auto"/>
              </w:rPr>
            </w:pPr>
            <w:r>
              <w:rPr>
                <w:rFonts w:ascii="Arial" w:cs="Arial" w:eastAsia="Arial" w:hAnsi="Arial"/>
                <w:sz w:val="17"/>
                <w:szCs w:val="17"/>
                <w:color w:val="auto"/>
              </w:rPr>
              <w:t>Service cost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200" w:type="dxa"/>
            <w:vAlign w:val="bottom"/>
            <w:tcBorders>
              <w:right w:val="single" w:sz="8" w:color="CFF0FC"/>
            </w:tcBorders>
          </w:tcPr>
          <w:p>
            <w:pPr>
              <w:spacing w:after="0"/>
              <w:rPr>
                <w:sz w:val="19"/>
                <w:szCs w:val="19"/>
                <w:color w:val="auto"/>
              </w:rPr>
            </w:pPr>
          </w:p>
        </w:tc>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Interest cost</w:t>
            </w:r>
          </w:p>
        </w:tc>
        <w:tc>
          <w:tcPr>
            <w:tcW w:w="120" w:type="dxa"/>
            <w:vAlign w:val="bottom"/>
            <w:tcBorders>
              <w:bottom w:val="single" w:sz="8" w:color="CFF0FC"/>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tcBorders>
              <w:right w:val="single" w:sz="8" w:color="CFF0FC"/>
            </w:tcBorders>
          </w:tcPr>
          <w:p>
            <w:pPr>
              <w:spacing w:after="0"/>
              <w:rPr>
                <w:sz w:val="16"/>
                <w:szCs w:val="16"/>
                <w:color w:val="auto"/>
              </w:rPr>
            </w:pPr>
          </w:p>
        </w:tc>
        <w:tc>
          <w:tcPr>
            <w:tcW w:w="60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 postretirement benefit cost from continuing</w:t>
            </w:r>
          </w:p>
        </w:tc>
        <w:tc>
          <w:tcPr>
            <w:tcW w:w="12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200" w:type="dxa"/>
            <w:vAlign w:val="bottom"/>
            <w:tcBorders>
              <w:right w:val="single" w:sz="8" w:color="CFF0FC"/>
            </w:tcBorders>
          </w:tcPr>
          <w:p>
            <w:pPr>
              <w:spacing w:after="0"/>
              <w:rPr>
                <w:sz w:val="19"/>
                <w:szCs w:val="19"/>
                <w:color w:val="auto"/>
              </w:rPr>
            </w:pPr>
          </w:p>
        </w:tc>
        <w:tc>
          <w:tcPr>
            <w:tcW w:w="6080" w:type="dxa"/>
            <w:vAlign w:val="bottom"/>
            <w:shd w:val="clear" w:color="auto" w:fill="CFF0FC"/>
          </w:tcPr>
          <w:p>
            <w:pPr>
              <w:ind w:left="80"/>
              <w:spacing w:after="0"/>
              <w:rPr>
                <w:sz w:val="20"/>
                <w:szCs w:val="20"/>
                <w:color w:val="auto"/>
              </w:rPr>
            </w:pPr>
            <w:r>
              <w:rPr>
                <w:rFonts w:ascii="Arial" w:cs="Arial" w:eastAsia="Arial" w:hAnsi="Arial"/>
                <w:sz w:val="17"/>
                <w:szCs w:val="17"/>
                <w:color w:val="auto"/>
              </w:rPr>
              <w:t>operations</w:t>
            </w:r>
          </w:p>
        </w:tc>
        <w:tc>
          <w:tcPr>
            <w:tcW w:w="1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CFF0FC"/>
            </w:tcBorders>
          </w:tcPr>
          <w:p>
            <w:pPr>
              <w:spacing w:after="0" w:line="20" w:lineRule="exact"/>
              <w:rPr>
                <w:sz w:val="1"/>
                <w:szCs w:val="1"/>
                <w:color w:val="auto"/>
              </w:rPr>
            </w:pPr>
          </w:p>
        </w:tc>
        <w:tc>
          <w:tcPr>
            <w:tcW w:w="60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7"/>
                <w:szCs w:val="17"/>
                <w:color w:val="auto"/>
              </w:rPr>
              <w:t>The weighted-average assumptions used to determine the net benefit obligations were as follows:</w:t>
            </w: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4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2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10"/>
          </w:tcPr>
          <w:p>
            <w:pPr>
              <w:jc w:val="center"/>
              <w:ind w:right="50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14"/>
                <w:szCs w:val="14"/>
                <w:color w:val="auto"/>
              </w:rPr>
            </w:pPr>
          </w:p>
        </w:tc>
        <w:tc>
          <w:tcPr>
            <w:tcW w:w="60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62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3.59%</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Salary increase rate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7400" w:type="dxa"/>
            <w:vAlign w:val="bottom"/>
            <w:gridSpan w:val="3"/>
          </w:tcPr>
          <w:p>
            <w:pPr>
              <w:spacing w:after="0"/>
              <w:rPr>
                <w:sz w:val="20"/>
                <w:szCs w:val="20"/>
                <w:color w:val="auto"/>
              </w:rPr>
            </w:pPr>
            <w:r>
              <w:rPr>
                <w:rFonts w:ascii="Arial" w:cs="Arial" w:eastAsia="Arial" w:hAnsi="Arial"/>
                <w:sz w:val="17"/>
                <w:szCs w:val="17"/>
                <w:color w:val="auto"/>
                <w:w w:val="92"/>
              </w:rPr>
              <w:t>The weighted-average assumptions used to determine the net postretirement benefit cost were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2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400" w:type="dxa"/>
            <w:vAlign w:val="bottom"/>
            <w:gridSpan w:val="3"/>
          </w:tcPr>
          <w:p>
            <w:pPr>
              <w:ind w:left="1160"/>
              <w:spacing w:after="0"/>
              <w:rPr>
                <w:sz w:val="20"/>
                <w:szCs w:val="20"/>
                <w:color w:val="auto"/>
              </w:rPr>
            </w:pPr>
            <w:r>
              <w:rPr>
                <w:rFonts w:ascii="Arial" w:cs="Arial" w:eastAsia="Arial" w:hAnsi="Arial"/>
                <w:sz w:val="17"/>
                <w:szCs w:val="17"/>
                <w:color w:val="auto"/>
              </w:rPr>
              <w:t>Effective rate for interest cost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22"/>
        </w:trPr>
        <w:tc>
          <w:tcPr>
            <w:tcW w:w="1200" w:type="dxa"/>
            <w:vAlign w:val="bottom"/>
            <w:tcBorders>
              <w:right w:val="single" w:sz="8" w:color="CFF0FC"/>
            </w:tcBorders>
          </w:tcPr>
          <w:p>
            <w:pPr>
              <w:spacing w:after="0"/>
              <w:rPr>
                <w:sz w:val="19"/>
                <w:szCs w:val="19"/>
                <w:color w:val="auto"/>
              </w:rPr>
            </w:pPr>
          </w:p>
        </w:tc>
        <w:tc>
          <w:tcPr>
            <w:tcW w:w="62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assumed healthcare cost trend rates used to compute the other postretirement amounts were as follows:</w:t>
      </w:r>
    </w:p>
    <w:p>
      <w:pPr>
        <w:spacing w:after="0" w:line="316"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654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15"/>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Healthcare cost trend</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5.70%</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5.36%</w:t>
            </w:r>
          </w:p>
        </w:tc>
      </w:tr>
      <w:tr>
        <w:trPr>
          <w:trHeight w:val="209"/>
        </w:trPr>
        <w:tc>
          <w:tcPr>
            <w:tcW w:w="7240" w:type="dxa"/>
            <w:vAlign w:val="bottom"/>
            <w:gridSpan w:val="2"/>
          </w:tcPr>
          <w:p>
            <w:pPr>
              <w:spacing w:after="0"/>
              <w:rPr>
                <w:sz w:val="20"/>
                <w:szCs w:val="20"/>
                <w:color w:val="auto"/>
              </w:rPr>
            </w:pPr>
            <w:r>
              <w:rPr>
                <w:rFonts w:ascii="Arial" w:cs="Arial" w:eastAsia="Arial" w:hAnsi="Arial"/>
                <w:sz w:val="17"/>
                <w:szCs w:val="17"/>
                <w:color w:val="auto"/>
              </w:rPr>
              <w:t>Rate to which the cost trend rate is assumed to decline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7240" w:type="dxa"/>
            <w:vAlign w:val="bottom"/>
            <w:gridSpan w:val="2"/>
          </w:tcPr>
          <w:p>
            <w:pPr>
              <w:ind w:left="120"/>
              <w:spacing w:after="0"/>
              <w:rPr>
                <w:sz w:val="20"/>
                <w:szCs w:val="20"/>
                <w:color w:val="auto"/>
              </w:rPr>
            </w:pPr>
            <w:r>
              <w:rPr>
                <w:rFonts w:ascii="Arial" w:cs="Arial" w:eastAsia="Arial" w:hAnsi="Arial"/>
                <w:sz w:val="17"/>
                <w:szCs w:val="17"/>
                <w:color w:val="auto"/>
              </w:rPr>
              <w:t>(the ultimate trend rate)</w:t>
            </w:r>
          </w:p>
        </w:tc>
        <w:tc>
          <w:tcPr>
            <w:tcW w:w="56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4.36%</w:t>
            </w:r>
          </w:p>
        </w:tc>
      </w:tr>
      <w:tr>
        <w:trPr>
          <w:trHeight w:val="222"/>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Year that the rate reaches the ultimate trend rate</w:t>
            </w:r>
          </w:p>
        </w:tc>
        <w:tc>
          <w:tcPr>
            <w:tcW w:w="56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95"/>
              </w:rPr>
              <w:t>2038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2022</w:t>
            </w:r>
          </w:p>
        </w:tc>
        <w:tc>
          <w:tcPr>
            <w:tcW w:w="18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Assumed healthcare cost trend rates effect the amounts reported for the healthcare plans. A one-percentage point change in assumed healthcare cost trend rates would have the following effects: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6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29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9"/>
              </w:rPr>
              <w:t>1% decrease</w:t>
            </w:r>
          </w:p>
        </w:tc>
        <w:tc>
          <w:tcPr>
            <w:tcW w:w="1160" w:type="dxa"/>
            <w:vAlign w:val="bottom"/>
          </w:tcPr>
          <w:p>
            <w:pPr>
              <w:spacing w:after="0"/>
              <w:rPr>
                <w:sz w:val="14"/>
                <w:szCs w:val="14"/>
                <w:color w:val="auto"/>
              </w:rPr>
            </w:pPr>
          </w:p>
        </w:tc>
      </w:tr>
      <w:tr>
        <w:trPr>
          <w:trHeight w:val="215"/>
        </w:trPr>
        <w:tc>
          <w:tcPr>
            <w:tcW w:w="116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Effect on total service and interest cost</w:t>
            </w:r>
          </w:p>
        </w:tc>
        <w:tc>
          <w:tcPr>
            <w:tcW w:w="3840" w:type="dxa"/>
            <w:vAlign w:val="bottom"/>
            <w:gridSpan w:val="2"/>
            <w:shd w:val="clear" w:color="auto" w:fill="CFF0FC"/>
          </w:tcPr>
          <w:p>
            <w:pPr>
              <w:jc w:val="right"/>
              <w:ind w:right="791"/>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21"/>
        </w:trPr>
        <w:tc>
          <w:tcPr>
            <w:tcW w:w="4860" w:type="dxa"/>
            <w:vAlign w:val="bottom"/>
            <w:gridSpan w:val="2"/>
          </w:tcPr>
          <w:p>
            <w:pPr>
              <w:ind w:left="1160"/>
              <w:spacing w:after="0"/>
              <w:rPr>
                <w:sz w:val="20"/>
                <w:szCs w:val="20"/>
                <w:color w:val="auto"/>
              </w:rPr>
            </w:pPr>
            <w:r>
              <w:rPr>
                <w:rFonts w:ascii="Arial" w:cs="Arial" w:eastAsia="Arial" w:hAnsi="Arial"/>
                <w:sz w:val="17"/>
                <w:szCs w:val="17"/>
                <w:color w:val="auto"/>
              </w:rPr>
              <w:t>Effect on postretirement benefit obligation</w:t>
            </w: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160" w:type="dxa"/>
            <w:vAlign w:val="bottom"/>
          </w:tcPr>
          <w:p>
            <w:pPr>
              <w:spacing w:after="0"/>
              <w:rPr>
                <w:sz w:val="19"/>
                <w:szCs w:val="19"/>
                <w:color w:val="auto"/>
              </w:rPr>
            </w:pPr>
          </w:p>
        </w:tc>
      </w:tr>
      <w:tr>
        <w:trPr>
          <w:trHeight w:val="652"/>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00" w:type="dxa"/>
            <w:vAlign w:val="bottom"/>
          </w:tcPr>
          <w:p>
            <w:pPr>
              <w:jc w:val="right"/>
              <w:ind w:right="1873"/>
              <w:spacing w:after="0"/>
              <w:rPr>
                <w:sz w:val="20"/>
                <w:szCs w:val="20"/>
                <w:color w:val="auto"/>
              </w:rPr>
            </w:pPr>
            <w:r>
              <w:rPr>
                <w:rFonts w:ascii="Arial" w:cs="Arial" w:eastAsia="Arial" w:hAnsi="Arial"/>
                <w:sz w:val="17"/>
                <w:szCs w:val="17"/>
                <w:color w:val="auto"/>
              </w:rPr>
              <w:t>88</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62" w:right="21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The following other postretirement benefits, which reflect expected future service, are expected to be paid (in millions):</w:t>
      </w:r>
    </w:p>
    <w:p>
      <w:pPr>
        <w:spacing w:after="0" w:line="260" w:lineRule="exact"/>
        <w:rPr>
          <w:sz w:val="20"/>
          <w:szCs w:val="20"/>
          <w:color w:val="auto"/>
        </w:rPr>
      </w:pPr>
    </w:p>
    <w:tbl>
      <w:tblPr>
        <w:tblLayout w:type="fixed"/>
        <w:tblInd w:w="2860" w:type="dxa"/>
        <w:tblCellMar>
          <w:top w:w="0" w:type="dxa"/>
          <w:left w:w="0" w:type="dxa"/>
          <w:bottom w:w="0" w:type="dxa"/>
          <w:right w:w="0" w:type="dxa"/>
        </w:tblCellMar>
      </w:tblPr>
      <w:tr>
        <w:trPr>
          <w:trHeight w:val="222"/>
        </w:trPr>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40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2940" w:type="dxa"/>
            <w:vAlign w:val="bottom"/>
          </w:tcPr>
          <w:p>
            <w:pPr>
              <w:spacing w:after="0"/>
              <w:rPr>
                <w:sz w:val="20"/>
                <w:szCs w:val="20"/>
                <w:color w:val="auto"/>
              </w:rPr>
            </w:pPr>
            <w:r>
              <w:rPr>
                <w:rFonts w:ascii="Arial" w:cs="Arial" w:eastAsia="Arial" w:hAnsi="Arial"/>
                <w:sz w:val="17"/>
                <w:szCs w:val="17"/>
                <w:color w:val="auto"/>
              </w:rPr>
              <w:t>2020</w:t>
            </w:r>
          </w:p>
        </w:tc>
        <w:tc>
          <w:tcPr>
            <w:tcW w:w="2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4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2940" w:type="dxa"/>
            <w:vAlign w:val="bottom"/>
          </w:tcPr>
          <w:p>
            <w:pPr>
              <w:spacing w:after="0"/>
              <w:rPr>
                <w:sz w:val="20"/>
                <w:szCs w:val="20"/>
                <w:color w:val="auto"/>
              </w:rPr>
            </w:pPr>
            <w:r>
              <w:rPr>
                <w:rFonts w:ascii="Arial" w:cs="Arial" w:eastAsia="Arial" w:hAnsi="Arial"/>
                <w:sz w:val="17"/>
                <w:szCs w:val="17"/>
                <w:color w:val="auto"/>
              </w:rPr>
              <w:t>2022</w:t>
            </w:r>
          </w:p>
        </w:tc>
        <w:tc>
          <w:tcPr>
            <w:tcW w:w="2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4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2940" w:type="dxa"/>
            <w:vAlign w:val="bottom"/>
          </w:tcPr>
          <w:p>
            <w:pPr>
              <w:spacing w:after="0"/>
              <w:rPr>
                <w:sz w:val="20"/>
                <w:szCs w:val="20"/>
                <w:color w:val="auto"/>
              </w:rPr>
            </w:pPr>
            <w:r>
              <w:rPr>
                <w:rFonts w:ascii="Arial" w:cs="Arial" w:eastAsia="Arial" w:hAnsi="Arial"/>
                <w:sz w:val="17"/>
                <w:szCs w:val="17"/>
                <w:color w:val="auto"/>
              </w:rPr>
              <w:t>2024-2028</w:t>
            </w:r>
          </w:p>
        </w:tc>
        <w:tc>
          <w:tcPr>
            <w:tcW w:w="2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EARNINGS PER SHARE</w:t>
      </w:r>
    </w:p>
    <w:p>
      <w:pPr>
        <w:spacing w:after="0" w:line="25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amounts used to calculate basic and diluted earnings per share for the years ended December 31, 2018 and 2017 follows (in millions):</w:t>
      </w:r>
    </w:p>
    <w:p>
      <w:pPr>
        <w:spacing w:after="0" w:line="3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9"/>
              </w:rPr>
              <w:t>Year Ended December 31,</w:t>
            </w:r>
          </w:p>
        </w:tc>
      </w:tr>
      <w:tr>
        <w:trPr>
          <w:trHeight w:val="166"/>
        </w:trPr>
        <w:tc>
          <w:tcPr>
            <w:tcW w:w="53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(Loss) earnings from continuing operations attributable to Eastman</w:t>
            </w: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Kodak Company</w:t>
            </w:r>
          </w:p>
        </w:tc>
        <w:tc>
          <w:tcPr>
            <w:tcW w:w="1100" w:type="dxa"/>
            <w:vAlign w:val="bottom"/>
            <w:gridSpan w:val="3"/>
            <w:shd w:val="clear" w:color="auto" w:fill="CFF0FC"/>
          </w:tcPr>
          <w:p>
            <w:pPr>
              <w:jc w:val="right"/>
              <w:ind w:right="451"/>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FF0FC"/>
          </w:tcPr>
          <w:p>
            <w:pPr>
              <w:spacing w:after="0"/>
              <w:rPr>
                <w:sz w:val="19"/>
                <w:szCs w:val="19"/>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7"/>
                <w:szCs w:val="17"/>
                <w:color w:val="auto"/>
              </w:rPr>
              <w:t>Less: Series A convertible preferred stock cash and accrued dividends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Less: Series A convertible preferred stock deemed dividends</w:t>
            </w: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r>
      <w:tr>
        <w:trPr>
          <w:trHeight w:val="254"/>
        </w:trPr>
        <w:tc>
          <w:tcPr>
            <w:tcW w:w="5360" w:type="dxa"/>
            <w:vAlign w:val="bottom"/>
          </w:tcPr>
          <w:p>
            <w:pPr>
              <w:spacing w:after="0"/>
              <w:rPr>
                <w:sz w:val="20"/>
                <w:szCs w:val="20"/>
                <w:color w:val="auto"/>
              </w:rPr>
            </w:pPr>
            <w:r>
              <w:rPr>
                <w:rFonts w:ascii="Arial" w:cs="Arial" w:eastAsia="Arial" w:hAnsi="Arial"/>
                <w:sz w:val="17"/>
                <w:szCs w:val="17"/>
                <w:color w:val="auto"/>
              </w:rPr>
              <w:t>(Loss) earnings from continuing operations available to common</w:t>
            </w:r>
          </w:p>
        </w:tc>
        <w:tc>
          <w:tcPr>
            <w:tcW w:w="5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5360" w:type="dxa"/>
            <w:vAlign w:val="bottom"/>
          </w:tcPr>
          <w:p>
            <w:pPr>
              <w:ind w:left="120"/>
              <w:spacing w:after="0"/>
              <w:rPr>
                <w:sz w:val="20"/>
                <w:szCs w:val="20"/>
                <w:color w:val="auto"/>
              </w:rPr>
            </w:pPr>
            <w:r>
              <w:rPr>
                <w:rFonts w:ascii="Arial" w:cs="Arial" w:eastAsia="Arial" w:hAnsi="Arial"/>
                <w:sz w:val="17"/>
                <w:szCs w:val="17"/>
                <w:color w:val="auto"/>
              </w:rPr>
              <w:t>shareholders - basic and diluted</w:t>
            </w:r>
          </w:p>
        </w:tc>
        <w:tc>
          <w:tcPr>
            <w:tcW w:w="1100" w:type="dxa"/>
            <w:vAlign w:val="bottom"/>
            <w:gridSpan w:val="3"/>
          </w:tcPr>
          <w:p>
            <w:pPr>
              <w:jc w:val="right"/>
              <w:ind w:right="451"/>
              <w:spacing w:after="0"/>
              <w:rPr>
                <w:sz w:val="20"/>
                <w:szCs w:val="20"/>
                <w:color w:val="auto"/>
              </w:rPr>
            </w:pPr>
            <w:r>
              <w:rPr>
                <w:rFonts w:ascii="Arial" w:cs="Arial" w:eastAsia="Arial" w:hAnsi="Arial"/>
                <w:sz w:val="17"/>
                <w:szCs w:val="17"/>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7"/>
                <w:szCs w:val="17"/>
                <w:color w:val="auto"/>
              </w:rPr>
              <w:t>(29)</w:t>
            </w: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53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Net (loss) income attributable to Eastman Kodak Company</w:t>
            </w:r>
          </w:p>
        </w:tc>
        <w:tc>
          <w:tcPr>
            <w:tcW w:w="1100" w:type="dxa"/>
            <w:vAlign w:val="bottom"/>
            <w:gridSpan w:val="3"/>
            <w:shd w:val="clear" w:color="auto" w:fill="CFF0FC"/>
          </w:tcPr>
          <w:p>
            <w:pPr>
              <w:jc w:val="right"/>
              <w:ind w:right="451"/>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(16)</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FF0FC"/>
          </w:tcPr>
          <w:p>
            <w:pPr>
              <w:spacing w:after="0"/>
              <w:rPr>
                <w:sz w:val="19"/>
                <w:szCs w:val="19"/>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7"/>
                <w:szCs w:val="17"/>
                <w:color w:val="auto"/>
              </w:rPr>
              <w:t>Less: Series A convertible preferred stock cash and accrued dividends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Less: Series A convertible preferred stock deemed dividends</w:t>
            </w: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r>
      <w:tr>
        <w:trPr>
          <w:trHeight w:val="202"/>
        </w:trPr>
        <w:tc>
          <w:tcPr>
            <w:tcW w:w="5360" w:type="dxa"/>
            <w:vAlign w:val="bottom"/>
          </w:tcPr>
          <w:p>
            <w:pPr>
              <w:spacing w:after="0"/>
              <w:rPr>
                <w:sz w:val="20"/>
                <w:szCs w:val="20"/>
                <w:color w:val="auto"/>
              </w:rPr>
            </w:pPr>
            <w:r>
              <w:rPr>
                <w:rFonts w:ascii="Arial" w:cs="Arial" w:eastAsia="Arial" w:hAnsi="Arial"/>
                <w:sz w:val="17"/>
                <w:szCs w:val="17"/>
                <w:color w:val="auto"/>
              </w:rPr>
              <w:t>Net (loss) income available to common shareholders - basic and</w:t>
            </w:r>
          </w:p>
        </w:tc>
        <w:tc>
          <w:tcPr>
            <w:tcW w:w="5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360" w:type="dxa"/>
            <w:vAlign w:val="bottom"/>
          </w:tcPr>
          <w:p>
            <w:pPr>
              <w:ind w:left="120"/>
              <w:spacing w:after="0"/>
              <w:rPr>
                <w:sz w:val="20"/>
                <w:szCs w:val="20"/>
                <w:color w:val="auto"/>
              </w:rPr>
            </w:pPr>
            <w:r>
              <w:rPr>
                <w:rFonts w:ascii="Arial" w:cs="Arial" w:eastAsia="Arial" w:hAnsi="Arial"/>
                <w:sz w:val="17"/>
                <w:szCs w:val="17"/>
                <w:color w:val="auto"/>
              </w:rPr>
              <w:t>diluted</w:t>
            </w:r>
          </w:p>
        </w:tc>
        <w:tc>
          <w:tcPr>
            <w:tcW w:w="1100" w:type="dxa"/>
            <w:vAlign w:val="bottom"/>
            <w:gridSpan w:val="3"/>
          </w:tcPr>
          <w:p>
            <w:pPr>
              <w:jc w:val="right"/>
              <w:ind w:right="451"/>
              <w:spacing w:after="0"/>
              <w:rPr>
                <w:sz w:val="20"/>
                <w:szCs w:val="20"/>
                <w:color w:val="auto"/>
              </w:rPr>
            </w:pPr>
            <w:r>
              <w:rPr>
                <w:rFonts w:ascii="Arial" w:cs="Arial" w:eastAsia="Arial" w:hAnsi="Arial"/>
                <w:sz w:val="17"/>
                <w:szCs w:val="17"/>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7"/>
                <w:szCs w:val="17"/>
                <w:color w:val="auto"/>
              </w:rPr>
              <w:t>(36)</w:t>
            </w: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5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common shares outstanding - basic</w:t>
            </w: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0"/>
              </w:rPr>
              <w:t>42.7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FF0FC"/>
          </w:tcPr>
          <w:p>
            <w:pPr>
              <w:spacing w:after="0"/>
              <w:rPr>
                <w:sz w:val="19"/>
                <w:szCs w:val="19"/>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Unvested restricted stock units</w:t>
            </w: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FF0FC"/>
          </w:tcPr>
          <w:p>
            <w:pPr>
              <w:spacing w:after="0"/>
              <w:rPr>
                <w:sz w:val="19"/>
                <w:szCs w:val="19"/>
                <w:color w:val="auto"/>
              </w:rPr>
            </w:pPr>
          </w:p>
        </w:tc>
      </w:tr>
      <w:tr>
        <w:trPr>
          <w:trHeight w:val="241"/>
        </w:trPr>
        <w:tc>
          <w:tcPr>
            <w:tcW w:w="5360" w:type="dxa"/>
            <w:vAlign w:val="bottom"/>
          </w:tcPr>
          <w:p>
            <w:pPr>
              <w:spacing w:after="0"/>
              <w:rPr>
                <w:sz w:val="20"/>
                <w:szCs w:val="20"/>
                <w:color w:val="auto"/>
              </w:rPr>
            </w:pPr>
            <w:r>
              <w:rPr>
                <w:rFonts w:ascii="Arial" w:cs="Arial" w:eastAsia="Arial" w:hAnsi="Arial"/>
                <w:sz w:val="17"/>
                <w:szCs w:val="17"/>
                <w:color w:val="auto"/>
              </w:rPr>
              <w:t>Weighted-average common shares outstanding - diluted</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42.7</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As a result of the net loss from continuing operations available to common shareholders for the year ended December 31, 2018, Kodak calculated diluted earnings per share using weighted-average basic shares outstanding. If Kodak reported earnings from continuing operations available to common shareholders for the year ended December 31, 2018, the calculation of diluted earnings per share would have included the assumed conversion of 0.3 million unvested restricted stock units.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computation of diluted earnings per share for the years ended December 31, 2018 and 2017 excluded the impact of (1) the assumed conversion of 2.0 million shares of Series A convertible preferred shares, and (2) the assumed conversion of 5.2 million and 4.8 million outstanding employee stock options, respectively, because they would have been anti-dilutive. In addition, the computation of diluted earnings per share for the year ended December 31, 2017 excluded the impact of (1) the assumed conversion of net share settled warrants to purchase 1.8 million shares of common stock at an exercise price of $14.93 and (2) the assumed conversion of net share settled warrants to purchase 1.8 million shares of common stock at an exercise price of $16.12 because they would have been anti-dilutive. The warrants terminated at the close of business on September 3, 2018.</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STOCK-BASED COMPENSATION</w:t>
      </w:r>
    </w:p>
    <w:p>
      <w:pPr>
        <w:spacing w:after="0" w:line="25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Kodak’s stock incentive plan is the 2013 Omnibus Incentive Plan (the “2013 Plan”). The 2013 Plan is administered by the Executive Compensation Committee of the Board of Directors.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40"/>
          </w:cols>
          <w:pgMar w:left="240" w:top="231" w:right="319" w:bottom="1440" w:gutter="0" w:footer="0" w:header="0"/>
        </w:sectPr>
      </w:pPr>
    </w:p>
    <w:bookmarkStart w:id="89" w:name="page90"/>
    <w:bookmarkEnd w:id="89"/>
    <w:p>
      <w:pPr>
        <w:ind w:right="60"/>
        <w:spacing w:after="0" w:line="284" w:lineRule="auto"/>
        <w:rPr>
          <w:sz w:val="20"/>
          <w:szCs w:val="20"/>
          <w:color w:val="auto"/>
        </w:rPr>
      </w:pPr>
      <w:r>
        <w:rPr>
          <w:rFonts w:ascii="Arial" w:cs="Arial" w:eastAsia="Arial" w:hAnsi="Arial"/>
          <w:sz w:val="16"/>
          <w:szCs w:val="16"/>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Executive Compensation Committee. Awards are subject to settlement in newly-issued shares of common stock. Unless sooner terminated by the Executive Compensation Committee, no awards may be granted under the 2013 Plan after May 22, 2028.</w:t>
      </w:r>
    </w:p>
    <w:p>
      <w:pPr>
        <w:spacing w:after="0" w:line="59"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5.8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2.0 million shares. The maximum number of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5"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Restricted stock units are payable in shares of the Company common stock upon vesting. The fair value is based on the closing market price of the Company’s stock on the grant date. Compensation cost related to restricted stock units was $2 million and $4 million for the years ended December 31, 2018 and 2017, respectively.</w:t>
      </w:r>
    </w:p>
    <w:p>
      <w:pPr>
        <w:spacing w:after="0" w:line="73"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The weighted average grant date fair value of restricted stock unit awards granted for the years ended December 31, 2018 and 2017 was $3.66 and $9.20, respectively. The total fair value of restricted stock units that vested was $3 million and $7 million for the years ended December 31, 2018 and 2017, respectively. As of December 31, 2018, there was $1 million of unrecognized compensation cost related to restricted stock units. The cost is expected to be recognized over a weighted average period of 1.5 years.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restricted stock unit activity for the year ended December 31, 2018:</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Weighted-Average</w:t>
            </w:r>
          </w:p>
        </w:tc>
      </w:tr>
      <w:tr>
        <w:trPr>
          <w:trHeight w:val="143"/>
        </w:trPr>
        <w:tc>
          <w:tcPr>
            <w:tcW w:w="5280" w:type="dxa"/>
            <w:vAlign w:val="bottom"/>
          </w:tcPr>
          <w:p>
            <w:pPr>
              <w:spacing w:after="0"/>
              <w:rPr>
                <w:sz w:val="12"/>
                <w:szCs w:val="12"/>
                <w:color w:val="auto"/>
              </w:rPr>
            </w:pPr>
          </w:p>
        </w:tc>
        <w:tc>
          <w:tcPr>
            <w:tcW w:w="12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4"/>
              </w:rPr>
              <w:t>Grant Date</w:t>
            </w:r>
          </w:p>
        </w:tc>
      </w:tr>
      <w:tr>
        <w:trPr>
          <w:trHeight w:val="166"/>
        </w:trPr>
        <w:tc>
          <w:tcPr>
            <w:tcW w:w="528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Stock Units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Fair Values</w:t>
            </w:r>
          </w:p>
        </w:tc>
        <w:tc>
          <w:tcPr>
            <w:tcW w:w="100" w:type="dxa"/>
            <w:vAlign w:val="bottom"/>
            <w:tcBorders>
              <w:bottom w:val="single" w:sz="8" w:color="CFF0FC"/>
            </w:tcBorders>
          </w:tcPr>
          <w:p>
            <w:pPr>
              <w:spacing w:after="0"/>
              <w:rPr>
                <w:sz w:val="14"/>
                <w:szCs w:val="14"/>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2017</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468,681</w:t>
            </w:r>
          </w:p>
        </w:tc>
        <w:tc>
          <w:tcPr>
            <w:tcW w:w="3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12.21</w:t>
            </w:r>
          </w:p>
        </w:tc>
        <w:tc>
          <w:tcPr>
            <w:tcW w:w="100" w:type="dxa"/>
            <w:vAlign w:val="bottom"/>
            <w:shd w:val="clear" w:color="auto" w:fill="CFF0FC"/>
          </w:tcPr>
          <w:p>
            <w:pPr>
              <w:spacing w:after="0"/>
              <w:rPr>
                <w:sz w:val="18"/>
                <w:szCs w:val="18"/>
                <w:color w:val="auto"/>
              </w:rPr>
            </w:pPr>
          </w:p>
        </w:tc>
      </w:tr>
      <w:tr>
        <w:trPr>
          <w:trHeight w:val="222"/>
        </w:trPr>
        <w:tc>
          <w:tcPr>
            <w:tcW w:w="5280" w:type="dxa"/>
            <w:vAlign w:val="bottom"/>
          </w:tcPr>
          <w:p>
            <w:pPr>
              <w:ind w:left="240"/>
              <w:spacing w:after="0"/>
              <w:rPr>
                <w:sz w:val="20"/>
                <w:szCs w:val="20"/>
                <w:color w:val="auto"/>
              </w:rPr>
            </w:pPr>
            <w:r>
              <w:rPr>
                <w:rFonts w:ascii="Arial" w:cs="Arial" w:eastAsia="Arial" w:hAnsi="Arial"/>
                <w:sz w:val="17"/>
                <w:szCs w:val="17"/>
                <w:color w:val="auto"/>
              </w:rPr>
              <w:t>Granted</w:t>
            </w:r>
          </w:p>
        </w:tc>
        <w:tc>
          <w:tcPr>
            <w:tcW w:w="1200" w:type="dxa"/>
            <w:vAlign w:val="bottom"/>
          </w:tcPr>
          <w:p>
            <w:pPr>
              <w:jc w:val="right"/>
              <w:spacing w:after="0"/>
              <w:rPr>
                <w:sz w:val="20"/>
                <w:szCs w:val="20"/>
                <w:color w:val="auto"/>
              </w:rPr>
            </w:pPr>
            <w:r>
              <w:rPr>
                <w:rFonts w:ascii="Arial" w:cs="Arial" w:eastAsia="Arial" w:hAnsi="Arial"/>
                <w:sz w:val="17"/>
                <w:szCs w:val="17"/>
                <w:color w:val="auto"/>
              </w:rPr>
              <w:t>785,545</w:t>
            </w:r>
          </w:p>
        </w:tc>
        <w:tc>
          <w:tcPr>
            <w:tcW w:w="38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r>
      <w:tr>
        <w:trPr>
          <w:trHeight w:val="222"/>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Vested</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270,952</w:t>
            </w:r>
          </w:p>
        </w:tc>
        <w:tc>
          <w:tcPr>
            <w:tcW w:w="3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12.39</w:t>
            </w:r>
          </w:p>
        </w:tc>
        <w:tc>
          <w:tcPr>
            <w:tcW w:w="100" w:type="dxa"/>
            <w:vAlign w:val="bottom"/>
            <w:shd w:val="clear" w:color="auto" w:fill="CFF0FC"/>
          </w:tcPr>
          <w:p>
            <w:pPr>
              <w:spacing w:after="0"/>
              <w:rPr>
                <w:sz w:val="19"/>
                <w:szCs w:val="19"/>
                <w:color w:val="auto"/>
              </w:rPr>
            </w:pPr>
          </w:p>
        </w:tc>
      </w:tr>
      <w:tr>
        <w:trPr>
          <w:trHeight w:val="222"/>
        </w:trPr>
        <w:tc>
          <w:tcPr>
            <w:tcW w:w="52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279,526</w:t>
            </w:r>
          </w:p>
        </w:tc>
        <w:tc>
          <w:tcPr>
            <w:tcW w:w="380" w:type="dxa"/>
            <w:vAlign w:val="bottom"/>
            <w:tcBorders>
              <w:bottom w:val="single" w:sz="8" w:color="CFF0FC"/>
            </w:tcBorders>
            <w:gridSpan w:val="2"/>
          </w:tcPr>
          <w:p>
            <w:pPr>
              <w:jc w:val="right"/>
              <w:ind w:right="31"/>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Borders>
              <w:bottom w:val="single" w:sz="8" w:color="CFF0FC"/>
            </w:tcBorders>
          </w:tcPr>
          <w:p>
            <w:pPr>
              <w:spacing w:after="0"/>
              <w:rPr>
                <w:sz w:val="19"/>
                <w:szCs w:val="19"/>
                <w:color w:val="auto"/>
              </w:rPr>
            </w:pPr>
          </w:p>
        </w:tc>
      </w:tr>
      <w:tr>
        <w:trPr>
          <w:trHeight w:val="215"/>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on December 31, 2018</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703,748</w:t>
            </w:r>
          </w:p>
        </w:tc>
        <w:tc>
          <w:tcPr>
            <w:tcW w:w="380" w:type="dxa"/>
            <w:vAlign w:val="bottom"/>
            <w:tcBorders>
              <w:bottom w:val="single" w:sz="8" w:color="CFF0FC"/>
            </w:tcBorders>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 Average</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3"/>
        </w:trPr>
        <w:tc>
          <w:tcPr>
            <w:tcW w:w="49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14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9"/>
              </w:rPr>
              <w:t>Remaining</w:t>
            </w:r>
          </w:p>
        </w:tc>
        <w:tc>
          <w:tcPr>
            <w:tcW w:w="10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3"/>
        </w:trPr>
        <w:tc>
          <w:tcPr>
            <w:tcW w:w="4920" w:type="dxa"/>
            <w:vAlign w:val="bottom"/>
          </w:tcPr>
          <w:p>
            <w:pPr>
              <w:spacing w:after="0"/>
              <w:rPr>
                <w:sz w:val="12"/>
                <w:szCs w:val="12"/>
                <w:color w:val="auto"/>
              </w:rPr>
            </w:pPr>
          </w:p>
        </w:tc>
        <w:tc>
          <w:tcPr>
            <w:tcW w:w="1420" w:type="dxa"/>
            <w:vAlign w:val="bottom"/>
            <w:gridSpan w:val="2"/>
          </w:tcPr>
          <w:p>
            <w:pPr>
              <w:ind w:left="400"/>
              <w:spacing w:after="0" w:line="143" w:lineRule="exact"/>
              <w:rPr>
                <w:sz w:val="20"/>
                <w:szCs w:val="20"/>
                <w:color w:val="auto"/>
              </w:rPr>
            </w:pPr>
            <w:r>
              <w:rPr>
                <w:rFonts w:ascii="Arial" w:cs="Arial" w:eastAsia="Arial" w:hAnsi="Arial"/>
                <w:sz w:val="14"/>
                <w:szCs w:val="14"/>
                <w:b w:val="1"/>
                <w:bCs w:val="1"/>
                <w:color w:val="auto"/>
              </w:rPr>
              <w:t>Under</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2"/>
                <w:szCs w:val="12"/>
                <w:color w:val="auto"/>
              </w:rPr>
            </w:pPr>
          </w:p>
        </w:tc>
        <w:tc>
          <w:tcPr>
            <w:tcW w:w="14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3"/>
              </w:rPr>
              <w:t>Contractual Life</w:t>
            </w:r>
          </w:p>
        </w:tc>
        <w:tc>
          <w:tcPr>
            <w:tcW w:w="10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 millions)</w:t>
            </w:r>
          </w:p>
        </w:tc>
        <w:tc>
          <w:tcPr>
            <w:tcW w:w="0" w:type="dxa"/>
            <w:vAlign w:val="bottom"/>
          </w:tcPr>
          <w:p>
            <w:pPr>
              <w:spacing w:after="0"/>
              <w:rPr>
                <w:sz w:val="1"/>
                <w:szCs w:val="1"/>
                <w:color w:val="auto"/>
              </w:rPr>
            </w:pPr>
          </w:p>
        </w:tc>
      </w:tr>
      <w:tr>
        <w:trPr>
          <w:trHeight w:val="215"/>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on December 31, 2017</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4,807,855</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Borders>
              <w:top w:val="single" w:sz="8" w:color="CFF0FF"/>
            </w:tcBorders>
            <w:shd w:val="clear" w:color="auto" w:fill="CFF0FF"/>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240"/>
              <w:spacing w:after="0"/>
              <w:rPr>
                <w:sz w:val="20"/>
                <w:szCs w:val="20"/>
                <w:color w:val="auto"/>
              </w:rPr>
            </w:pPr>
            <w:r>
              <w:rPr>
                <w:rFonts w:ascii="Arial" w:cs="Arial" w:eastAsia="Arial" w:hAnsi="Arial"/>
                <w:sz w:val="17"/>
                <w:szCs w:val="17"/>
                <w:color w:val="auto"/>
              </w:rPr>
              <w:t>Granted</w:t>
            </w:r>
          </w:p>
        </w:tc>
        <w:tc>
          <w:tcPr>
            <w:tcW w:w="1200" w:type="dxa"/>
            <w:vAlign w:val="bottom"/>
          </w:tcPr>
          <w:p>
            <w:pPr>
              <w:jc w:val="right"/>
              <w:spacing w:after="0"/>
              <w:rPr>
                <w:sz w:val="20"/>
                <w:szCs w:val="20"/>
                <w:color w:val="auto"/>
              </w:rPr>
            </w:pPr>
            <w:r>
              <w:rPr>
                <w:rFonts w:ascii="Arial" w:cs="Arial" w:eastAsia="Arial" w:hAnsi="Arial"/>
                <w:sz w:val="17"/>
                <w:szCs w:val="17"/>
                <w:color w:val="auto"/>
              </w:rPr>
              <w:t>1,115,791</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Forfeited</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727,709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7"/>
                <w:szCs w:val="17"/>
                <w:color w:val="auto"/>
              </w:rPr>
              <w:t>Outstanding on December 31, 2018</w:t>
            </w:r>
          </w:p>
        </w:tc>
        <w:tc>
          <w:tcPr>
            <w:tcW w:w="1200" w:type="dxa"/>
            <w:vAlign w:val="bottom"/>
          </w:tcPr>
          <w:p>
            <w:pPr>
              <w:jc w:val="right"/>
              <w:spacing w:after="0"/>
              <w:rPr>
                <w:sz w:val="20"/>
                <w:szCs w:val="20"/>
                <w:color w:val="auto"/>
              </w:rPr>
            </w:pPr>
            <w:r>
              <w:rPr>
                <w:rFonts w:ascii="Arial" w:cs="Arial" w:eastAsia="Arial" w:hAnsi="Arial"/>
                <w:sz w:val="17"/>
                <w:szCs w:val="17"/>
                <w:color w:val="auto"/>
              </w:rPr>
              <w:t>5,195,937</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13.85</w:t>
            </w:r>
          </w:p>
        </w:tc>
        <w:tc>
          <w:tcPr>
            <w:tcW w:w="100" w:type="dxa"/>
            <w:vAlign w:val="bottom"/>
          </w:tcPr>
          <w:p>
            <w:pPr>
              <w:spacing w:after="0"/>
              <w:rPr>
                <w:sz w:val="18"/>
                <w:szCs w:val="18"/>
                <w:color w:val="auto"/>
              </w:rPr>
            </w:pPr>
          </w:p>
        </w:tc>
        <w:tc>
          <w:tcPr>
            <w:tcW w:w="1440" w:type="dxa"/>
            <w:vAlign w:val="bottom"/>
            <w:gridSpan w:val="2"/>
          </w:tcPr>
          <w:p>
            <w:pPr>
              <w:jc w:val="center"/>
              <w:ind w:left="33"/>
              <w:spacing w:after="0"/>
              <w:rPr>
                <w:sz w:val="20"/>
                <w:szCs w:val="20"/>
                <w:color w:val="auto"/>
              </w:rPr>
            </w:pPr>
            <w:r>
              <w:rPr>
                <w:rFonts w:ascii="Arial" w:cs="Arial" w:eastAsia="Arial" w:hAnsi="Arial"/>
                <w:sz w:val="17"/>
                <w:szCs w:val="17"/>
                <w:color w:val="auto"/>
                <w:w w:val="96"/>
              </w:rPr>
              <w:t>4.98</w:t>
            </w:r>
          </w:p>
        </w:tc>
        <w:tc>
          <w:tcPr>
            <w:tcW w:w="14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Exercisable on December 31, 2018</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2,748,006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15.65</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ind w:left="33"/>
              <w:spacing w:after="0"/>
              <w:rPr>
                <w:sz w:val="20"/>
                <w:szCs w:val="20"/>
                <w:color w:val="auto"/>
              </w:rPr>
            </w:pPr>
            <w:r>
              <w:rPr>
                <w:rFonts w:ascii="Arial" w:cs="Arial" w:eastAsia="Arial" w:hAnsi="Arial"/>
                <w:sz w:val="17"/>
                <w:szCs w:val="17"/>
                <w:color w:val="auto"/>
                <w:w w:val="96"/>
              </w:rPr>
              <w:t>4.23</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Expected to vest December 31, 2018</w:t>
            </w:r>
          </w:p>
        </w:tc>
        <w:tc>
          <w:tcPr>
            <w:tcW w:w="1200" w:type="dxa"/>
            <w:vAlign w:val="bottom"/>
          </w:tcPr>
          <w:p>
            <w:pPr>
              <w:jc w:val="right"/>
              <w:spacing w:after="0"/>
              <w:rPr>
                <w:sz w:val="20"/>
                <w:szCs w:val="20"/>
                <w:color w:val="auto"/>
              </w:rPr>
            </w:pPr>
            <w:r>
              <w:rPr>
                <w:rFonts w:ascii="Arial" w:cs="Arial" w:eastAsia="Arial" w:hAnsi="Arial"/>
                <w:sz w:val="17"/>
                <w:szCs w:val="17"/>
                <w:color w:val="auto"/>
              </w:rPr>
              <w:t>2,447,931</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11.81</w:t>
            </w:r>
          </w:p>
        </w:tc>
        <w:tc>
          <w:tcPr>
            <w:tcW w:w="100" w:type="dxa"/>
            <w:vAlign w:val="bottom"/>
          </w:tcPr>
          <w:p>
            <w:pPr>
              <w:spacing w:after="0"/>
              <w:rPr>
                <w:sz w:val="19"/>
                <w:szCs w:val="19"/>
                <w:color w:val="auto"/>
              </w:rPr>
            </w:pPr>
          </w:p>
        </w:tc>
        <w:tc>
          <w:tcPr>
            <w:tcW w:w="1440" w:type="dxa"/>
            <w:vAlign w:val="bottom"/>
            <w:gridSpan w:val="2"/>
          </w:tcPr>
          <w:p>
            <w:pPr>
              <w:jc w:val="center"/>
              <w:ind w:left="33"/>
              <w:spacing w:after="0"/>
              <w:rPr>
                <w:sz w:val="20"/>
                <w:szCs w:val="20"/>
                <w:color w:val="auto"/>
              </w:rPr>
            </w:pPr>
            <w:r>
              <w:rPr>
                <w:rFonts w:ascii="Arial" w:cs="Arial" w:eastAsia="Arial" w:hAnsi="Arial"/>
                <w:sz w:val="17"/>
                <w:szCs w:val="17"/>
                <w:color w:val="auto"/>
                <w:w w:val="96"/>
              </w:rPr>
              <w:t>5.82</w:t>
            </w:r>
          </w:p>
        </w:tc>
        <w:tc>
          <w:tcPr>
            <w:tcW w:w="140" w:type="dxa"/>
            <w:vAlign w:val="bottom"/>
          </w:tcPr>
          <w:p>
            <w:pPr>
              <w:spacing w:after="0"/>
              <w:rPr>
                <w:sz w:val="19"/>
                <w:szCs w:val="19"/>
                <w:color w:val="auto"/>
              </w:rPr>
            </w:pPr>
          </w:p>
        </w:tc>
        <w:tc>
          <w:tcPr>
            <w:tcW w:w="10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w:t>
      </w:r>
    </w:p>
    <w:p>
      <w:pPr>
        <w:spacing w:after="0" w:line="198" w:lineRule="exact"/>
        <w:rPr>
          <w:sz w:val="20"/>
          <w:szCs w:val="20"/>
          <w:color w:val="auto"/>
        </w:rPr>
      </w:pPr>
    </w:p>
    <w:p>
      <w:pPr>
        <w:ind w:right="380"/>
        <w:spacing w:after="0" w:line="320" w:lineRule="auto"/>
        <w:rPr>
          <w:sz w:val="20"/>
          <w:szCs w:val="20"/>
          <w:color w:val="auto"/>
        </w:rPr>
      </w:pPr>
      <w:r>
        <w:rPr>
          <w:rFonts w:ascii="Arial" w:cs="Arial" w:eastAsia="Arial" w:hAnsi="Arial"/>
          <w:sz w:val="16"/>
          <w:szCs w:val="16"/>
          <w:color w:val="auto"/>
        </w:rPr>
        <w:t>There was no intrinsic value of options outstanding, exercisable or expected to vest due to the fact that the market price of the Company’s common stock as of December 31, 2018 and 2017 was below the weighted average exercise price of options. There were no options exercised in 2018 or 2017.</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0" w:name="page91"/>
    <w:bookmarkEnd w:id="90"/>
    <w:p>
      <w:pPr>
        <w:jc w:val="both"/>
        <w:ind w:right="180"/>
        <w:spacing w:after="0" w:line="271" w:lineRule="auto"/>
        <w:rPr>
          <w:sz w:val="20"/>
          <w:szCs w:val="20"/>
          <w:color w:val="auto"/>
        </w:rPr>
      </w:pPr>
      <w:r>
        <w:rPr>
          <w:rFonts w:ascii="Arial" w:cs="Arial" w:eastAsia="Arial" w:hAnsi="Arial"/>
          <w:sz w:val="17"/>
          <w:szCs w:val="17"/>
          <w:color w:val="auto"/>
        </w:rPr>
        <w:t>The weighted average grant date fair value of options granted for the years ended December 31, 2018 and 2017 was $2.47 and $2.26, respectively. The total fair value of options that vested during the years ended December 31, 2018 and 2017 was $5 million and $4 million, respectively. Compensation cost related to stock options for the years ended December 31, 2018 and 2017 was $4 million and $5 million, respectively.</w:t>
      </w:r>
    </w:p>
    <w:p>
      <w:pPr>
        <w:spacing w:after="0" w:line="68"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As of December 31, 2018, there was $2.4 million of unrecognized compensation cost related to stock options. The cost is expected to be recognized over a weighted average period of 1.4 years.</w:t>
      </w:r>
    </w:p>
    <w:p>
      <w:pPr>
        <w:spacing w:after="0" w:line="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Kodak utilizes the Black-Scholes option valuation model to estimate the fair value of stock options. Public trading of the Company’s common stock began on September 23, 2013, providing limited historical data upon which to base assumptions. The expected term of options granted is the period of time the options are expected to be outstanding and is calculated using a simplified method based on the option’s vesting period and original contractual term. The Company uses only the historical volatility of the Company’s stock to estimate expected volatility. The risk-free rate was based on the yield on U.S. Treasury notes with a term equal to the option’s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inputs were used for the valuation of option grants issued in each year:</w:t>
      </w:r>
    </w:p>
    <w:p>
      <w:pPr>
        <w:spacing w:after="0" w:line="31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 December 31,</w:t>
            </w:r>
          </w:p>
        </w:tc>
      </w:tr>
      <w:tr>
        <w:trPr>
          <w:trHeight w:val="166"/>
        </w:trPr>
        <w:tc>
          <w:tcPr>
            <w:tcW w:w="480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4"/>
                <w:szCs w:val="14"/>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of options granted</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457"/>
              <w:spacing w:after="0"/>
              <w:rPr>
                <w:sz w:val="20"/>
                <w:szCs w:val="20"/>
                <w:color w:val="auto"/>
              </w:rPr>
            </w:pPr>
            <w:r>
              <w:rPr>
                <w:rFonts w:ascii="Arial" w:cs="Arial" w:eastAsia="Arial" w:hAnsi="Arial"/>
                <w:sz w:val="17"/>
                <w:szCs w:val="17"/>
                <w:color w:val="auto"/>
              </w:rPr>
              <w:t>2.45</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FF0FC"/>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7"/>
                <w:szCs w:val="17"/>
                <w:color w:val="auto"/>
              </w:rPr>
              <w:t>Weighted-average risk-free interest rate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Arial" w:cs="Arial" w:eastAsia="Arial" w:hAnsi="Arial"/>
                <w:sz w:val="17"/>
                <w:szCs w:val="17"/>
                <w:color w:val="auto"/>
                <w:w w:val="91"/>
              </w:rPr>
              <w:t>2.70%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35"/>
              <w:spacing w:after="0"/>
              <w:rPr>
                <w:sz w:val="20"/>
                <w:szCs w:val="20"/>
                <w:color w:val="auto"/>
              </w:rPr>
            </w:pPr>
            <w:r>
              <w:rPr>
                <w:rFonts w:ascii="Arial" w:cs="Arial" w:eastAsia="Arial" w:hAnsi="Arial"/>
                <w:sz w:val="17"/>
                <w:szCs w:val="17"/>
                <w:color w:val="auto"/>
                <w:w w:val="95"/>
              </w:rPr>
              <w:t>1.77%</w:t>
            </w:r>
          </w:p>
        </w:tc>
        <w:tc>
          <w:tcPr>
            <w:tcW w:w="100" w:type="dxa"/>
            <w:vAlign w:val="bottom"/>
          </w:tcPr>
          <w:p>
            <w:pPr>
              <w:spacing w:after="0"/>
              <w:rPr>
                <w:sz w:val="19"/>
                <w:szCs w:val="19"/>
                <w:color w:val="auto"/>
              </w:rPr>
            </w:pPr>
          </w:p>
        </w:tc>
      </w:tr>
      <w:tr>
        <w:trPr>
          <w:trHeight w:val="222"/>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Range of risk-free interest rates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117"/>
              <w:spacing w:after="0"/>
              <w:rPr>
                <w:sz w:val="20"/>
                <w:szCs w:val="20"/>
                <w:color w:val="auto"/>
              </w:rPr>
            </w:pPr>
            <w:r>
              <w:rPr>
                <w:rFonts w:ascii="Arial" w:cs="Arial" w:eastAsia="Arial" w:hAnsi="Arial"/>
                <w:sz w:val="17"/>
                <w:szCs w:val="17"/>
                <w:color w:val="auto"/>
                <w:w w:val="93"/>
              </w:rPr>
              <w:t>2.59% - 2.95%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55"/>
              <w:spacing w:after="0"/>
              <w:rPr>
                <w:sz w:val="20"/>
                <w:szCs w:val="20"/>
                <w:color w:val="auto"/>
              </w:rPr>
            </w:pPr>
            <w:r>
              <w:rPr>
                <w:rFonts w:ascii="Arial" w:cs="Arial" w:eastAsia="Arial" w:hAnsi="Arial"/>
                <w:sz w:val="17"/>
                <w:szCs w:val="17"/>
                <w:color w:val="auto"/>
                <w:w w:val="93"/>
              </w:rPr>
              <w:t>1.64% - 2.11%</w:t>
            </w:r>
          </w:p>
        </w:tc>
        <w:tc>
          <w:tcPr>
            <w:tcW w:w="100" w:type="dxa"/>
            <w:vAlign w:val="bottom"/>
            <w:shd w:val="clear" w:color="auto" w:fill="CFF0FC"/>
          </w:tcPr>
          <w:p>
            <w:pPr>
              <w:spacing w:after="0"/>
              <w:rPr>
                <w:sz w:val="19"/>
                <w:szCs w:val="19"/>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7"/>
                <w:szCs w:val="17"/>
                <w:color w:val="auto"/>
              </w:rPr>
              <w:t>Weighted-average expected option lives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Arial" w:cs="Arial" w:eastAsia="Arial" w:hAnsi="Arial"/>
                <w:sz w:val="17"/>
                <w:szCs w:val="17"/>
                <w:color w:val="auto"/>
                <w:w w:val="91"/>
              </w:rPr>
              <w:t>4.5 years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color w:val="auto"/>
              </w:rPr>
              <w:t>4.5 years</w:t>
            </w:r>
          </w:p>
        </w:tc>
      </w:tr>
      <w:tr>
        <w:trPr>
          <w:trHeight w:val="222"/>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Expected option lives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117"/>
              <w:spacing w:after="0"/>
              <w:rPr>
                <w:sz w:val="20"/>
                <w:szCs w:val="20"/>
                <w:color w:val="auto"/>
              </w:rPr>
            </w:pPr>
            <w:r>
              <w:rPr>
                <w:rFonts w:ascii="Arial" w:cs="Arial" w:eastAsia="Arial" w:hAnsi="Arial"/>
                <w:sz w:val="17"/>
                <w:szCs w:val="17"/>
                <w:color w:val="auto"/>
                <w:w w:val="91"/>
              </w:rPr>
              <w:t>4.4 - 4.5 years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4.5 years</w:t>
            </w:r>
          </w:p>
        </w:tc>
      </w:tr>
      <w:tr>
        <w:trPr>
          <w:trHeight w:val="222"/>
        </w:trPr>
        <w:tc>
          <w:tcPr>
            <w:tcW w:w="480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Arial" w:cs="Arial" w:eastAsia="Arial" w:hAnsi="Arial"/>
                <w:sz w:val="17"/>
                <w:szCs w:val="17"/>
                <w:color w:val="auto"/>
                <w:w w:val="93"/>
              </w:rPr>
              <w:t>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55"/>
              <w:spacing w:after="0"/>
              <w:rPr>
                <w:sz w:val="20"/>
                <w:szCs w:val="20"/>
                <w:color w:val="auto"/>
              </w:rPr>
            </w:pPr>
            <w:r>
              <w:rPr>
                <w:rFonts w:ascii="Arial" w:cs="Arial" w:eastAsia="Arial" w:hAnsi="Arial"/>
                <w:sz w:val="17"/>
                <w:szCs w:val="17"/>
                <w:color w:val="auto"/>
                <w:w w:val="93"/>
              </w:rPr>
              <w:t>46%</w:t>
            </w:r>
          </w:p>
        </w:tc>
        <w:tc>
          <w:tcPr>
            <w:tcW w:w="100" w:type="dxa"/>
            <w:vAlign w:val="bottom"/>
          </w:tcPr>
          <w:p>
            <w:pPr>
              <w:spacing w:after="0"/>
              <w:rPr>
                <w:sz w:val="19"/>
                <w:szCs w:val="19"/>
                <w:color w:val="auto"/>
              </w:rPr>
            </w:pPr>
          </w:p>
        </w:tc>
      </w:tr>
      <w:tr>
        <w:trPr>
          <w:trHeight w:val="222"/>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Range of expected volatilities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117"/>
              <w:spacing w:after="0"/>
              <w:rPr>
                <w:sz w:val="20"/>
                <w:szCs w:val="20"/>
                <w:color w:val="auto"/>
              </w:rPr>
            </w:pPr>
            <w:r>
              <w:rPr>
                <w:rFonts w:ascii="Arial" w:cs="Arial" w:eastAsia="Arial" w:hAnsi="Arial"/>
                <w:sz w:val="17"/>
                <w:szCs w:val="17"/>
                <w:color w:val="auto"/>
                <w:w w:val="96"/>
              </w:rPr>
              <w:t>80% - 83%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35"/>
              <w:spacing w:after="0"/>
              <w:rPr>
                <w:sz w:val="20"/>
                <w:szCs w:val="20"/>
                <w:color w:val="auto"/>
              </w:rPr>
            </w:pPr>
            <w:r>
              <w:rPr>
                <w:rFonts w:ascii="Arial" w:cs="Arial" w:eastAsia="Arial" w:hAnsi="Arial"/>
                <w:sz w:val="17"/>
                <w:szCs w:val="17"/>
                <w:color w:val="auto"/>
                <w:w w:val="93"/>
              </w:rPr>
              <w:t>46% - 49%</w:t>
            </w:r>
          </w:p>
        </w:tc>
        <w:tc>
          <w:tcPr>
            <w:tcW w:w="100" w:type="dxa"/>
            <w:vAlign w:val="bottom"/>
            <w:shd w:val="clear" w:color="auto" w:fill="CFF0FC"/>
          </w:tcPr>
          <w:p>
            <w:pPr>
              <w:spacing w:after="0"/>
              <w:rPr>
                <w:sz w:val="19"/>
                <w:szCs w:val="19"/>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Weighted-average expected dividend yield</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Arial" w:cs="Arial" w:eastAsia="Arial" w:hAnsi="Arial"/>
                <w:sz w:val="17"/>
                <w:szCs w:val="17"/>
                <w:color w:val="auto"/>
                <w:w w:val="91"/>
              </w:rPr>
              <w:t>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35"/>
              <w:spacing w:after="0"/>
              <w:rPr>
                <w:sz w:val="20"/>
                <w:szCs w:val="20"/>
                <w:color w:val="auto"/>
              </w:rPr>
            </w:pPr>
            <w:r>
              <w:rPr>
                <w:rFonts w:ascii="Arial" w:cs="Arial" w:eastAsia="Arial" w:hAnsi="Arial"/>
                <w:sz w:val="17"/>
                <w:szCs w:val="17"/>
                <w:color w:val="auto"/>
                <w:w w:val="95"/>
              </w:rPr>
              <w:t>0.00%</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SHAREHOLDERS’ EQUITY</w:t>
      </w:r>
    </w:p>
    <w:p>
      <w:pPr>
        <w:spacing w:after="0" w:line="25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has 560 million shares of authorized stock, consisting of: (i) 500 million shares of common stock, par value $0.01 per share and (ii) 60 million shares of preferred stock, no par value, issuable in one or more series. As of December 31, 2018 there were 42.8 million shares of common stock outstanding and 2.0 million shares of Series A preferred stock issued and outstanding. As of December 31, 2017 there were 42.6 million shares of common stock outstanding and 2.0 million shares of Series A preferred stock issued and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Share Settled Warrants</w:t>
      </w:r>
    </w:p>
    <w:p>
      <w:pPr>
        <w:spacing w:after="0" w:line="25"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Upon emergence from bankruptcy in September 2013, the Company issued to the holders of general unsecured claims and the retiree settlement unsecured claim net-share settled warrants to purchase: (i) 2.1 million shares of common stock at an exercise price of $14.93 and (ii) 2.1 million shares of common stock at an exercise price of $16.12. The warrants were classified as equity instruments and reported within Additional paid in capital in the Consolidated Statement of Financial Position at their fair value at emergence ($24 million). The warrants terminated at the close of business on September 3, 2018.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25"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During the years ended December 31, 2018 and 2017, the Company repurchased shares of common stock for $0 million and $1 million, respectively, to satisfy tax withholding obligations in connection with the issuance of stock to employees under the 2013 Plan. Treasury stock consisted of approximately 0.6 million shares at both December 31, 2018 and 2017.</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Backstop Registration Rights Agreement</w:t>
      </w:r>
    </w:p>
    <w:p>
      <w:pPr>
        <w:spacing w:after="0" w:line="25"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Upon emergence from bankruptcy on September 3, 2013 (“Effective Date”),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executed a registration rights agreement (the “Backstop Registration Rights Agreement”). The Backstop Registration Rights Agreement, among other rights, provides the Backstop Parties with certain registration rights with respect to common stock offered to the Backstop Parties (and other eligible creditors) as part of a rights offering (the “Backstop registrable securities”). 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w:t>
      </w:r>
    </w:p>
    <w:p>
      <w:pPr>
        <w:spacing w:after="0" w:line="5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Stockholders holding Backstop registrable securities representing 10% of the outstanding common stock at emergence may require the Company to facilitate a registered offering of Backstop registrable securities (such offering, the “Initial Registration”). The Backstop registrable securities requested to be sold in the Initial Registration must have an aggregate market value of at least $75 million. On October 20, 2016, the Initial Registration, in the form of a shelf registration statement registering all Backstop registerable securities, was declared effective by the SEC.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91" w:name="page92"/>
    <w:bookmarkEnd w:id="91"/>
    <w:p>
      <w:pPr>
        <w:ind w:right="40"/>
        <w:spacing w:after="0" w:line="280" w:lineRule="auto"/>
        <w:rPr>
          <w:sz w:val="20"/>
          <w:szCs w:val="20"/>
          <w:color w:val="auto"/>
        </w:rPr>
      </w:pPr>
      <w:r>
        <w:rPr>
          <w:rFonts w:ascii="Arial" w:cs="Arial" w:eastAsia="Arial" w:hAnsi="Arial"/>
          <w:sz w:val="16"/>
          <w:szCs w:val="16"/>
          <w:color w:val="auto"/>
        </w:rPr>
        <w:t>Following the Initial Registration, stockholders holding 10% or more of the outstanding Backstop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Backstop registrable securities as set forth in the Registration Rights Agreement. Stockholders also have the right to include their Backstop registrable securities in the Initial Registration or any other non-shelf registered offering or shelf takedown of the common stock by the Company for its own account or for the account of any holders of common stock.</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24: OTHER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Other comprehensive loss by component,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55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Currency translation adjustments</w:t>
            </w:r>
          </w:p>
        </w:tc>
        <w:tc>
          <w:tcPr>
            <w:tcW w:w="2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vMerge w:val="continue"/>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w:t>
            </w:r>
          </w:p>
        </w:tc>
        <w:tc>
          <w:tcPr>
            <w:tcW w:w="640" w:type="dxa"/>
            <w:vAlign w:val="bottom"/>
            <w:shd w:val="clear" w:color="auto" w:fill="CFF0FC"/>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Pension and other postretirement benefit plan</w:t>
            </w:r>
          </w:p>
        </w:tc>
        <w:tc>
          <w:tcPr>
            <w:tcW w:w="2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4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changes</w:t>
            </w:r>
          </w:p>
        </w:tc>
        <w:tc>
          <w:tcPr>
            <w:tcW w:w="2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7"/>
                <w:szCs w:val="17"/>
                <w:color w:val="auto"/>
              </w:rPr>
              <w:t>Newly established net actuarial (loss) gain</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Tax benefit</w:t>
            </w:r>
          </w:p>
        </w:tc>
        <w:tc>
          <w:tcPr>
            <w:tcW w:w="2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7"/>
                <w:szCs w:val="17"/>
                <w:color w:val="auto"/>
              </w:rPr>
              <w:t>Newly established net actuarial (loss) gain, net of tax</w:t>
            </w: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Reclassification adjustments:</w:t>
            </w:r>
          </w:p>
        </w:tc>
        <w:tc>
          <w:tcPr>
            <w:tcW w:w="2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460"/>
              <w:spacing w:after="0"/>
              <w:rPr>
                <w:sz w:val="20"/>
                <w:szCs w:val="20"/>
                <w:color w:val="auto"/>
              </w:rPr>
            </w:pPr>
            <w:r>
              <w:rPr>
                <w:rFonts w:ascii="Arial" w:cs="Arial" w:eastAsia="Arial" w:hAnsi="Arial"/>
                <w:sz w:val="17"/>
                <w:szCs w:val="17"/>
                <w:color w:val="auto"/>
              </w:rPr>
              <w:t>Amortization of prior service credit</w:t>
            </w:r>
          </w:p>
        </w:tc>
        <w:tc>
          <w:tcPr>
            <w:tcW w:w="2540" w:type="dxa"/>
            <w:vAlign w:val="bottom"/>
            <w:gridSpan w:val="2"/>
          </w:tcPr>
          <w:p>
            <w:pPr>
              <w:ind w:left="1840"/>
              <w:spacing w:after="0"/>
              <w:rPr>
                <w:sz w:val="20"/>
                <w:szCs w:val="20"/>
                <w:color w:val="auto"/>
              </w:rPr>
            </w:pPr>
            <w:r>
              <w:rPr>
                <w:rFonts w:ascii="Arial" w:cs="Arial" w:eastAsia="Arial" w:hAnsi="Arial"/>
                <w:sz w:val="15"/>
                <w:szCs w:val="15"/>
                <w:color w:val="auto"/>
              </w:rPr>
              <w:t>(a)</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Amortization of actuarial losses (gains)</w:t>
            </w:r>
          </w:p>
        </w:tc>
        <w:tc>
          <w:tcPr>
            <w:tcW w:w="2540" w:type="dxa"/>
            <w:vAlign w:val="bottom"/>
            <w:gridSpan w:val="2"/>
            <w:shd w:val="clear" w:color="auto" w:fill="CFF0FC"/>
          </w:tcPr>
          <w:p>
            <w:pPr>
              <w:ind w:left="1840"/>
              <w:spacing w:after="0"/>
              <w:rPr>
                <w:sz w:val="20"/>
                <w:szCs w:val="20"/>
                <w:color w:val="auto"/>
              </w:rPr>
            </w:pPr>
            <w:r>
              <w:rPr>
                <w:rFonts w:ascii="Arial" w:cs="Arial" w:eastAsia="Arial" w:hAnsi="Arial"/>
                <w:sz w:val="15"/>
                <w:szCs w:val="15"/>
                <w:color w:val="auto"/>
              </w:rPr>
              <w:t>(a)</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ind w:left="460"/>
              <w:spacing w:after="0"/>
              <w:rPr>
                <w:sz w:val="20"/>
                <w:szCs w:val="20"/>
                <w:color w:val="auto"/>
              </w:rPr>
            </w:pPr>
            <w:r>
              <w:rPr>
                <w:rFonts w:ascii="Arial" w:cs="Arial" w:eastAsia="Arial" w:hAnsi="Arial"/>
                <w:sz w:val="17"/>
                <w:szCs w:val="17"/>
                <w:color w:val="auto"/>
              </w:rPr>
              <w:t>Recognition of gains due to settlements</w:t>
            </w: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tcPr>
          <w:p>
            <w:pPr>
              <w:ind w:left="580"/>
              <w:spacing w:after="0"/>
              <w:rPr>
                <w:sz w:val="20"/>
                <w:szCs w:val="20"/>
                <w:color w:val="auto"/>
              </w:rPr>
            </w:pPr>
            <w:r>
              <w:rPr>
                <w:rFonts w:ascii="Arial" w:cs="Arial" w:eastAsia="Arial" w:hAnsi="Arial"/>
                <w:sz w:val="17"/>
                <w:szCs w:val="17"/>
                <w:color w:val="auto"/>
              </w:rPr>
              <w:t>and curtailments</w:t>
            </w:r>
          </w:p>
        </w:tc>
        <w:tc>
          <w:tcPr>
            <w:tcW w:w="2180" w:type="dxa"/>
            <w:vAlign w:val="bottom"/>
          </w:tcPr>
          <w:p>
            <w:pPr>
              <w:ind w:left="1840"/>
              <w:spacing w:after="0"/>
              <w:rPr>
                <w:sz w:val="20"/>
                <w:szCs w:val="20"/>
                <w:color w:val="auto"/>
              </w:rPr>
            </w:pPr>
            <w:r>
              <w:rPr>
                <w:rFonts w:ascii="Arial" w:cs="Arial" w:eastAsia="Arial" w:hAnsi="Arial"/>
                <w:sz w:val="15"/>
                <w:szCs w:val="15"/>
                <w:color w:val="auto"/>
              </w:rPr>
              <w:t>(a)</w:t>
            </w: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6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reclassification adjustments</w:t>
            </w:r>
          </w:p>
        </w:tc>
        <w:tc>
          <w:tcPr>
            <w:tcW w:w="2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vMerge w:val="continue"/>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6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Tax provision</w:t>
            </w:r>
          </w:p>
        </w:tc>
        <w:tc>
          <w:tcPr>
            <w:tcW w:w="2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Reclassification adjustments, net of tax</w:t>
            </w:r>
          </w:p>
        </w:tc>
        <w:tc>
          <w:tcPr>
            <w:tcW w:w="2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6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2"/>
        </w:trPr>
        <w:tc>
          <w:tcPr>
            <w:tcW w:w="5760" w:type="dxa"/>
            <w:vAlign w:val="bottom"/>
            <w:gridSpan w:val="2"/>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2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Arial" w:cs="Arial" w:eastAsia="Arial" w:hAnsi="Arial"/>
                <w:sz w:val="17"/>
                <w:szCs w:val="17"/>
                <w:color w:val="auto"/>
              </w:rPr>
              <w:t>net of tax</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Other comprehensive (loss) income</w:t>
            </w:r>
          </w:p>
        </w:tc>
        <w:tc>
          <w:tcPr>
            <w:tcW w:w="2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vMerge w:val="continue"/>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(20)</w:t>
            </w:r>
          </w:p>
        </w:tc>
        <w:tc>
          <w:tcPr>
            <w:tcW w:w="640" w:type="dxa"/>
            <w:vAlign w:val="bottom"/>
            <w:shd w:val="clear" w:color="auto" w:fill="CFF0FC"/>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hanging="376"/>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6"/>
          <w:szCs w:val="16"/>
          <w:color w:val="auto"/>
        </w:rPr>
        <w:t>Reclassified to Pension (income) expense - refer to Note 19, "Retirement Plans" and Note 20, "Other Postretirement Benefits" for additional information.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4"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NOTE 25: ACCUMULATED OTHER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loss is composed of the following:</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4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Currency translation adjustments</w:t>
            </w:r>
          </w:p>
        </w:tc>
        <w:tc>
          <w:tcPr>
            <w:tcW w:w="1100" w:type="dxa"/>
            <w:vAlign w:val="bottom"/>
            <w:gridSpan w:val="2"/>
            <w:shd w:val="clear" w:color="auto" w:fill="CFF0FC"/>
          </w:tcPr>
          <w:p>
            <w:pPr>
              <w:jc w:val="right"/>
              <w:ind w:right="104"/>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(96)</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Ending balance</w:t>
            </w: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(411)</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26: SEGMENT INFORMATION</w:t>
      </w:r>
    </w:p>
    <w:p>
      <w:pPr>
        <w:spacing w:after="0" w:line="31"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Financial information is reported for six reportable segments: Print Systems, Enterprise Inkjet Systems, Software and Solutions, Consumer and Film, Advanced Materials and 3D Printing Technology and Eastman Business Park. A description of the reportable segments follows.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33"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b w:val="1"/>
          <w:bCs w:val="1"/>
          <w:color w:val="auto"/>
        </w:rPr>
        <w:t>Software and Solutions</w:t>
      </w:r>
      <w:r>
        <w:rPr>
          <w:rFonts w:ascii="Arial" w:cs="Arial" w:eastAsia="Arial" w:hAnsi="Arial"/>
          <w:sz w:val="17"/>
          <w:szCs w:val="17"/>
          <w:color w:val="auto"/>
        </w:rPr>
        <w:t>: The Software and Solutions segment is comprised of two lines of business: Unified Workflow Solutions and Kodak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w:t>
      </w:r>
    </w:p>
    <w:p>
      <w:pPr>
        <w:spacing w:after="0" w:line="147"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b w:val="1"/>
          <w:bCs w:val="1"/>
          <w:color w:val="auto"/>
        </w:rPr>
        <w:t>Consumer and Film</w:t>
      </w:r>
      <w:r>
        <w:rPr>
          <w:rFonts w:ascii="Arial" w:cs="Arial" w:eastAsia="Arial" w:hAnsi="Arial"/>
          <w:sz w:val="17"/>
          <w:szCs w:val="17"/>
          <w:color w:val="auto"/>
        </w:rPr>
        <w:t>: The Consumer and Film segment is comprised of three lines of business: Industrial Film and Chemicals, Motion Picture and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(which includes Consumer Inkjet Solutions).</w:t>
      </w:r>
    </w:p>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color w:val="auto"/>
        </w:rPr>
        <w:t>Advanced Materials and 3D Printing Technology</w:t>
      </w:r>
      <w:r>
        <w:rPr>
          <w:rFonts w:ascii="Arial" w:cs="Arial" w:eastAsia="Arial" w:hAnsi="Arial"/>
          <w:sz w:val="17"/>
          <w:szCs w:val="17"/>
          <w:color w:val="auto"/>
        </w:rPr>
        <w:t>: The Advanced Materials and 3D Printing Technology segment includes the Kodak Research Laboratories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new business opportunities and intellectual property licensing not directly related to other business segments.</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Eastman Business Park</w:t>
      </w:r>
      <w:r>
        <w:rPr>
          <w:rFonts w:ascii="Arial" w:cs="Arial" w:eastAsia="Arial" w:hAnsi="Arial"/>
          <w:sz w:val="17"/>
          <w:szCs w:val="17"/>
          <w:color w:val="auto"/>
        </w:rPr>
        <w:t>: The Eastman Business Park segment includes the operations of the Eastman Business Park, a more than 1,200 acre technology center and</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industrial complex.</w:t>
      </w:r>
    </w:p>
    <w:p>
      <w:pPr>
        <w:spacing w:after="0" w:line="153"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Segment financial information is shown below. Asset information by segment is not disclosed as this information is not separately identified and reported to the Chief Operating Decision Maker.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29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2240" w:type="dxa"/>
            <w:vAlign w:val="bottom"/>
            <w:gridSpan w:val="2"/>
            <w:shd w:val="clear" w:color="auto" w:fill="CFF0FC"/>
          </w:tcPr>
          <w:p>
            <w:pPr>
              <w:jc w:val="right"/>
              <w:ind w:right="67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Solutions</w:t>
            </w:r>
          </w:p>
        </w:tc>
        <w:tc>
          <w:tcPr>
            <w:tcW w:w="1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7"/>
                <w:szCs w:val="17"/>
                <w:color w:val="auto"/>
              </w:rPr>
              <w:t>Consumer and Film</w:t>
            </w: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1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Eastman Business Park</w:t>
            </w:r>
          </w:p>
        </w:tc>
        <w:tc>
          <w:tcPr>
            <w:tcW w:w="14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2240" w:type="dxa"/>
            <w:vAlign w:val="bottom"/>
            <w:gridSpan w:val="2"/>
            <w:shd w:val="clear" w:color="auto" w:fill="CFF0FC"/>
          </w:tcPr>
          <w:p>
            <w:pPr>
              <w:jc w:val="right"/>
              <w:ind w:right="67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1,325</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Measure of Profit and Loss</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table below, Operational EBITDA represents the earnings (loss) from continuing operations excluding the provision (benefit) for income taxes; depreciation and amortization expense; restructuring costs and other; stock-based compensation expense; consulting and other costs; idle costs; other operating expense (income), net (unless otherwise indicated); goodwill impairment loss; interest expense; pension income excluding service cost component and other charges, net.</w:t>
      </w:r>
    </w:p>
    <w:p>
      <w:pPr>
        <w:spacing w:after="0" w:line="180" w:lineRule="exact"/>
        <w:rPr>
          <w:sz w:val="20"/>
          <w:szCs w:val="20"/>
          <w:color w:val="auto"/>
        </w:rPr>
      </w:pPr>
    </w:p>
    <w:p>
      <w:pPr>
        <w:ind w:right="980"/>
        <w:spacing w:after="0" w:line="320"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ind w:right="160"/>
        <w:spacing w:after="0" w:line="327" w:lineRule="auto"/>
        <w:rPr>
          <w:sz w:val="20"/>
          <w:szCs w:val="20"/>
          <w:color w:val="auto"/>
        </w:rPr>
      </w:pPr>
      <w:r>
        <w:rPr>
          <w:rFonts w:ascii="Arial" w:cs="Arial" w:eastAsia="Arial" w:hAnsi="Arial"/>
          <w:sz w:val="17"/>
          <w:szCs w:val="17"/>
          <w:color w:val="auto"/>
        </w:rPr>
        <w:t xml:space="preserve">Research and development activities not directly related to the other segments are reported within the Advanced Materials and 3D Printing Technology segment. </w:t>
      </w:r>
      <w:r>
        <w:rPr>
          <w:rFonts w:ascii="Arial" w:cs="Arial" w:eastAsia="Arial" w:hAnsi="Arial"/>
          <w:sz w:val="17"/>
          <w:szCs w:val="17"/>
          <w:b w:val="1"/>
          <w:bCs w:val="1"/>
          <w:color w:val="auto"/>
        </w:rPr>
        <w:t>Change in Segment Measure of Profit and Loss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During the first quarter of 2018 the segment measure was changed to exclude amortization of prior service costs and credits which, due to the adoption of ASU 2017-17, are no longer reported in the same line item as other compensation costs arising from services rendered during the period. Refer to the Recently Adopted Accounting Pronouncements section of Note 1, “Basis of Presentation and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Segments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Segments</w:t>
      </w:r>
    </w:p>
    <w:p>
      <w:pPr>
        <w:spacing w:after="0" w:line="25"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Effective in January 2019 Kodak changed its organizational structure. Kodak Technology Solutions, formerly part of the Software and Solutions segment, was moved into the Consumer and Film segment. The Consumer and Film segment was renamed the Brand, Film &amp; Imaging segment. The Unified Workflow Solutions business, formerly part of the Software and Solutions segment, will operate as a dedicated segment named Kodak Software segment.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 Measure of Profitability</w:t>
      </w:r>
    </w:p>
    <w:p>
      <w:pPr>
        <w:spacing w:after="0" w:line="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first quarter of 2019 the segment measure was changed to exclude the costs, net of any rental income received, of underutilized portions of certain properties. Additionally, the allocation of costs from Eastman Business Park (“EBP”) to the Consumer and Film segment and Advanced Materials and 3D Printing Technology segment as tenants of EBP and to each of the segments as users of shared corporate space at the global headquarters is changing.</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40"/>
          </w:cols>
          <w:pgMar w:left="240" w:top="336" w:right="31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Segment Operational EBITDA and Consolidated Earnings (Loss) from Continuing Operations Before Income Taxes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78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4"/>
                <w:szCs w:val="14"/>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FF0FC"/>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Solutions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Consumer and Film</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(19)</w:t>
            </w: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w:t>
            </w:r>
          </w:p>
        </w:tc>
      </w:tr>
      <w:tr>
        <w:trPr>
          <w:trHeight w:val="222"/>
        </w:trPr>
        <w:tc>
          <w:tcPr>
            <w:tcW w:w="7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Eastman Business Park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FF0FC"/>
            </w:tcBorders>
          </w:tcPr>
          <w:p>
            <w:pPr>
              <w:spacing w:after="0"/>
              <w:rPr>
                <w:sz w:val="19"/>
                <w:szCs w:val="19"/>
                <w:color w:val="auto"/>
              </w:rPr>
            </w:pPr>
          </w:p>
        </w:tc>
      </w:tr>
      <w:tr>
        <w:trPr>
          <w:trHeight w:val="215"/>
        </w:trPr>
        <w:tc>
          <w:tcPr>
            <w:tcW w:w="7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Total of reportable segments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(70)</w:t>
            </w: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costs and 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(17)</w:t>
            </w: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(38)</w:t>
            </w: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r>
      <w:tr>
        <w:trPr>
          <w:trHeight w:val="222"/>
        </w:trPr>
        <w:tc>
          <w:tcPr>
            <w:tcW w:w="7880" w:type="dxa"/>
            <w:vAlign w:val="bottom"/>
            <w:shd w:val="clear" w:color="auto" w:fill="CFF0FC"/>
          </w:tcPr>
          <w:p>
            <w:pPr>
              <w:spacing w:after="0" w:line="222"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5"/>
                <w:szCs w:val="25"/>
                <w:color w:val="auto"/>
                <w:vertAlign w:val="superscript"/>
              </w:rPr>
              <w:t>(1)</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r>
      <w:tr>
        <w:trPr>
          <w:trHeight w:val="221"/>
        </w:trPr>
        <w:tc>
          <w:tcPr>
            <w:tcW w:w="7880" w:type="dxa"/>
            <w:vAlign w:val="bottom"/>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(2)</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operating (expense) income, net </w:t>
            </w:r>
            <w:r>
              <w:rPr>
                <w:rFonts w:ascii="Arial" w:cs="Arial" w:eastAsia="Arial" w:hAnsi="Arial"/>
                <w:sz w:val="14"/>
                <w:szCs w:val="14"/>
                <w:color w:val="auto"/>
              </w:rPr>
              <w:t>(3)</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w:t>
            </w: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r>
      <w:tr>
        <w:trPr>
          <w:trHeight w:val="221"/>
        </w:trPr>
        <w:tc>
          <w:tcPr>
            <w:tcW w:w="7880" w:type="dxa"/>
            <w:vAlign w:val="bottom"/>
          </w:tcPr>
          <w:p>
            <w:pPr>
              <w:spacing w:after="0"/>
              <w:rPr>
                <w:sz w:val="20"/>
                <w:szCs w:val="20"/>
                <w:color w:val="auto"/>
              </w:rPr>
            </w:pPr>
            <w:r>
              <w:rPr>
                <w:rFonts w:ascii="Arial" w:cs="Arial" w:eastAsia="Arial" w:hAnsi="Arial"/>
                <w:sz w:val="17"/>
                <w:szCs w:val="17"/>
                <w:color w:val="auto"/>
              </w:rPr>
              <w:t xml:space="preserve">Goodwill impairment loss </w:t>
            </w:r>
            <w:r>
              <w:rPr>
                <w:rFonts w:ascii="Arial" w:cs="Arial" w:eastAsia="Arial" w:hAnsi="Arial"/>
                <w:sz w:val="14"/>
                <w:szCs w:val="14"/>
                <w:color w:val="auto"/>
              </w:rPr>
              <w:t>(3)</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w:t>
            </w: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w:t>
            </w:r>
          </w:p>
        </w:tc>
      </w:tr>
      <w:tr>
        <w:trPr>
          <w:trHeight w:val="221"/>
        </w:trPr>
        <w:tc>
          <w:tcPr>
            <w:tcW w:w="7880" w:type="dxa"/>
            <w:vAlign w:val="bottom"/>
          </w:tcPr>
          <w:p>
            <w:pPr>
              <w:spacing w:after="0"/>
              <w:rPr>
                <w:sz w:val="20"/>
                <w:szCs w:val="20"/>
                <w:color w:val="auto"/>
              </w:rPr>
            </w:pPr>
            <w:r>
              <w:rPr>
                <w:rFonts w:ascii="Arial" w:cs="Arial" w:eastAsia="Arial" w:hAnsi="Arial"/>
                <w:sz w:val="17"/>
                <w:szCs w:val="17"/>
                <w:color w:val="auto"/>
              </w:rPr>
              <w:t xml:space="preserve">Pension income excluding service cost component </w:t>
            </w:r>
            <w:r>
              <w:rPr>
                <w:rFonts w:ascii="Arial" w:cs="Arial" w:eastAsia="Arial" w:hAnsi="Arial"/>
                <w:sz w:val="14"/>
                <w:szCs w:val="14"/>
                <w:color w:val="auto"/>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r>
      <w:tr>
        <w:trPr>
          <w:trHeight w:val="222"/>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income (charges), net </w:t>
            </w:r>
            <w:r>
              <w:rPr>
                <w:rFonts w:ascii="Arial" w:cs="Arial" w:eastAsia="Arial" w:hAnsi="Arial"/>
                <w:sz w:val="14"/>
                <w:szCs w:val="14"/>
                <w:color w:val="auto"/>
              </w:rPr>
              <w:t>(3)</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(17)</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FF0FC"/>
          </w:tcPr>
          <w:p>
            <w:pPr>
              <w:spacing w:after="0"/>
              <w:rPr>
                <w:sz w:val="19"/>
                <w:szCs w:val="19"/>
                <w:color w:val="auto"/>
              </w:rPr>
            </w:pPr>
          </w:p>
        </w:tc>
      </w:tr>
      <w:tr>
        <w:trPr>
          <w:trHeight w:val="202"/>
        </w:trPr>
        <w:tc>
          <w:tcPr>
            <w:tcW w:w="7880" w:type="dxa"/>
            <w:vAlign w:val="bottom"/>
          </w:tcPr>
          <w:p>
            <w:pPr>
              <w:spacing w:after="0"/>
              <w:rPr>
                <w:sz w:val="20"/>
                <w:szCs w:val="20"/>
                <w:color w:val="auto"/>
              </w:rPr>
            </w:pPr>
            <w:r>
              <w:rPr>
                <w:rFonts w:ascii="Arial" w:cs="Arial" w:eastAsia="Arial" w:hAnsi="Arial"/>
                <w:sz w:val="17"/>
                <w:szCs w:val="17"/>
                <w:color w:val="auto"/>
              </w:rPr>
              <w:t>Consolidated loss from continuing operations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880" w:type="dxa"/>
            <w:vAlign w:val="bottom"/>
          </w:tcPr>
          <w:p>
            <w:pPr>
              <w:ind w:left="140"/>
              <w:spacing w:after="0"/>
              <w:rPr>
                <w:sz w:val="20"/>
                <w:szCs w:val="20"/>
                <w:color w:val="auto"/>
              </w:rPr>
            </w:pPr>
            <w:r>
              <w:rPr>
                <w:rFonts w:ascii="Arial" w:cs="Arial" w:eastAsia="Arial" w:hAnsi="Arial"/>
                <w:sz w:val="17"/>
                <w:szCs w:val="17"/>
                <w:color w:val="auto"/>
              </w:rPr>
              <w:t>before income taxes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r>
      <w:tr>
        <w:trPr>
          <w:trHeight w:val="20"/>
        </w:trPr>
        <w:tc>
          <w:tcPr>
            <w:tcW w:w="7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300" w:hanging="376"/>
        <w:spacing w:after="0" w:line="287" w:lineRule="auto"/>
        <w:tabs>
          <w:tab w:leader="none" w:pos="380" w:val="left"/>
        </w:tabs>
        <w:numPr>
          <w:ilvl w:val="0"/>
          <w:numId w:val="37"/>
        </w:numPr>
        <w:rPr>
          <w:rFonts w:ascii="Arial" w:cs="Arial" w:eastAsia="Arial" w:hAnsi="Arial"/>
          <w:sz w:val="15"/>
          <w:szCs w:val="15"/>
          <w:color w:val="auto"/>
        </w:rPr>
      </w:pPr>
      <w:r>
        <w:rPr>
          <w:rFonts w:ascii="Arial" w:cs="Arial" w:eastAsia="Arial" w:hAnsi="Arial"/>
          <w:sz w:val="17"/>
          <w:szCs w:val="17"/>
          <w:color w:val="auto"/>
        </w:rPr>
        <w:t>Consulting and other costs are professional services and internal costs associated with certain corporate strategic initiatives, including the divestiture of the Flexographic Packaging segment and debt refinancing.</w:t>
      </w:r>
    </w:p>
    <w:p>
      <w:pPr>
        <w:spacing w:after="0" w:line="53" w:lineRule="exact"/>
        <w:rPr>
          <w:rFonts w:ascii="Arial" w:cs="Arial" w:eastAsia="Arial" w:hAnsi="Arial"/>
          <w:sz w:val="15"/>
          <w:szCs w:val="15"/>
          <w:color w:val="auto"/>
        </w:rPr>
      </w:pPr>
    </w:p>
    <w:p>
      <w:pPr>
        <w:ind w:left="380" w:right="360" w:hanging="376"/>
        <w:spacing w:after="0" w:line="287" w:lineRule="auto"/>
        <w:tabs>
          <w:tab w:leader="none" w:pos="380" w:val="left"/>
        </w:tabs>
        <w:numPr>
          <w:ilvl w:val="0"/>
          <w:numId w:val="37"/>
        </w:numPr>
        <w:rPr>
          <w:rFonts w:ascii="Arial" w:cs="Arial" w:eastAsia="Arial" w:hAnsi="Arial"/>
          <w:sz w:val="15"/>
          <w:szCs w:val="15"/>
          <w:color w:val="auto"/>
        </w:rPr>
      </w:pPr>
      <w:r>
        <w:rPr>
          <w:rFonts w:ascii="Arial" w:cs="Arial" w:eastAsia="Arial" w:hAnsi="Arial"/>
          <w:sz w:val="17"/>
          <w:szCs w:val="17"/>
          <w:color w:val="auto"/>
        </w:rPr>
        <w:t>Consists of third-party costs such as security, maintenance, and utilities required to maintain land and buildings in certain locations not used in any Kodak operations.</w:t>
      </w:r>
    </w:p>
    <w:p>
      <w:pPr>
        <w:spacing w:after="0" w:line="53" w:lineRule="exact"/>
        <w:rPr>
          <w:rFonts w:ascii="Arial" w:cs="Arial" w:eastAsia="Arial" w:hAnsi="Arial"/>
          <w:sz w:val="15"/>
          <w:szCs w:val="15"/>
          <w:color w:val="auto"/>
        </w:rPr>
      </w:pPr>
    </w:p>
    <w:p>
      <w:pPr>
        <w:ind w:left="380" w:hanging="376"/>
        <w:spacing w:after="0"/>
        <w:tabs>
          <w:tab w:leader="none" w:pos="380" w:val="left"/>
        </w:tabs>
        <w:numPr>
          <w:ilvl w:val="0"/>
          <w:numId w:val="37"/>
        </w:numPr>
        <w:rPr>
          <w:rFonts w:ascii="Arial" w:cs="Arial" w:eastAsia="Arial" w:hAnsi="Arial"/>
          <w:sz w:val="15"/>
          <w:szCs w:val="15"/>
          <w:color w:val="auto"/>
        </w:rPr>
      </w:pPr>
      <w:r>
        <w:rPr>
          <w:rFonts w:ascii="Arial" w:cs="Arial" w:eastAsia="Arial" w:hAnsi="Arial"/>
          <w:sz w:val="17"/>
          <w:szCs w:val="17"/>
          <w:color w:val="auto"/>
        </w:rPr>
        <w:t>As reported in the Consolidated Statement of Operations.</w:t>
      </w:r>
    </w:p>
    <w:p>
      <w:pPr>
        <w:spacing w:after="0" w:line="248"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color w:val="auto"/>
        </w:rPr>
        <w:t>Kodak reduced workers’ compensation reserves by approximately $5 million in 2018 due to changes in discount rates and reduction in estimated losses. The reduction in reserves impacted gross profit by approximately $3 million and SG&amp;A by approximately $2 million.</w:t>
      </w:r>
    </w:p>
    <w:p>
      <w:pPr>
        <w:spacing w:after="0" w:line="54"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Amortization and depreciation expense by segment are not included in the segment measure of profit and loss but are regularly provided to the Chief Operating Decision Maker.</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5560" w:type="dxa"/>
            <w:vAlign w:val="bottom"/>
          </w:tcPr>
          <w:p>
            <w:pPr>
              <w:spacing w:after="0"/>
              <w:rPr>
                <w:sz w:val="20"/>
                <w:szCs w:val="20"/>
                <w:color w:val="auto"/>
              </w:rPr>
            </w:pPr>
            <w:r>
              <w:rPr>
                <w:rFonts w:ascii="Arial" w:cs="Arial" w:eastAsia="Arial" w:hAnsi="Arial"/>
                <w:sz w:val="17"/>
                <w:szCs w:val="17"/>
                <w:b w:val="1"/>
                <w:bCs w:val="1"/>
                <w:color w:val="auto"/>
              </w:rPr>
              <w:t>(in millions)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ind w:left="16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55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Intangible asset amortization expense from continuing operations:</w:t>
            </w:r>
          </w:p>
        </w:tc>
        <w:tc>
          <w:tcPr>
            <w:tcW w:w="6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2"/>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Software &amp; Solutions</w:t>
            </w:r>
          </w:p>
        </w:tc>
        <w:tc>
          <w:tcPr>
            <w:tcW w:w="680" w:type="dxa"/>
            <w:vAlign w:val="bottom"/>
            <w:shd w:val="clear" w:color="auto" w:fill="CFF0FC"/>
          </w:tcPr>
          <w:p>
            <w:pPr>
              <w:spacing w:after="0"/>
              <w:rPr>
                <w:sz w:val="19"/>
                <w:szCs w:val="19"/>
                <w:color w:val="auto"/>
              </w:rPr>
            </w:pPr>
          </w:p>
        </w:tc>
        <w:tc>
          <w:tcPr>
            <w:tcW w:w="260" w:type="dxa"/>
            <w:vAlign w:val="bottom"/>
            <w:shd w:val="clear" w:color="auto" w:fill="CFF0FF"/>
          </w:tcPr>
          <w:p>
            <w:pPr>
              <w:spacing w:after="0"/>
              <w:rPr>
                <w:sz w:val="19"/>
                <w:szCs w:val="19"/>
                <w:color w:val="auto"/>
              </w:rPr>
            </w:pPr>
          </w:p>
        </w:tc>
        <w:tc>
          <w:tcPr>
            <w:tcW w:w="1100" w:type="dxa"/>
            <w:vAlign w:val="bottom"/>
            <w:gridSpan w:val="2"/>
            <w:shd w:val="clear" w:color="auto" w:fill="CFF0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7"/>
                <w:szCs w:val="17"/>
                <w:color w:val="auto"/>
              </w:rPr>
              <w:t>Consumer &amp; Film</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222"/>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w:t>
            </w:r>
          </w:p>
        </w:tc>
        <w:tc>
          <w:tcPr>
            <w:tcW w:w="6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F"/>
          </w:tcPr>
          <w:p>
            <w:pPr>
              <w:spacing w:after="0"/>
              <w:rPr>
                <w:sz w:val="19"/>
                <w:szCs w:val="19"/>
                <w:color w:val="auto"/>
              </w:rPr>
            </w:pPr>
          </w:p>
        </w:tc>
        <w:tc>
          <w:tcPr>
            <w:tcW w:w="102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r>
      <w:tr>
        <w:trPr>
          <w:trHeight w:val="215"/>
        </w:trPr>
        <w:tc>
          <w:tcPr>
            <w:tcW w:w="556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gridSpan w:val="2"/>
          </w:tcPr>
          <w:p>
            <w:pPr>
              <w:ind w:left="1160"/>
              <w:spacing w:after="0"/>
              <w:rPr>
                <w:sz w:val="20"/>
                <w:szCs w:val="20"/>
                <w:color w:val="auto"/>
              </w:rPr>
            </w:pPr>
            <w:r>
              <w:rPr>
                <w:rFonts w:ascii="Arial" w:cs="Arial" w:eastAsia="Arial" w:hAnsi="Arial"/>
                <w:sz w:val="17"/>
                <w:szCs w:val="17"/>
                <w:b w:val="1"/>
                <w:bCs w:val="1"/>
                <w:color w:val="auto"/>
              </w:rPr>
              <w:t>(in millions)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1160"/>
              <w:spacing w:after="0"/>
              <w:rPr>
                <w:sz w:val="20"/>
                <w:szCs w:val="20"/>
                <w:color w:val="auto"/>
              </w:rPr>
            </w:pPr>
            <w:r>
              <w:rPr>
                <w:rFonts w:ascii="Arial" w:cs="Arial" w:eastAsia="Arial" w:hAnsi="Arial"/>
                <w:sz w:val="17"/>
                <w:szCs w:val="17"/>
                <w:b w:val="1"/>
                <w:bCs w:val="1"/>
                <w:color w:val="auto"/>
                <w:w w:val="99"/>
              </w:rPr>
              <w:t>Depreciation expense from continuing operations:</w:t>
            </w:r>
          </w:p>
        </w:tc>
        <w:tc>
          <w:tcPr>
            <w:tcW w:w="2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40" w:type="dxa"/>
            <w:vAlign w:val="bottom"/>
            <w:gridSpan w:val="2"/>
          </w:tcPr>
          <w:p>
            <w:pPr>
              <w:ind w:left="1160"/>
              <w:spacing w:after="0"/>
              <w:rPr>
                <w:sz w:val="20"/>
                <w:szCs w:val="20"/>
                <w:color w:val="auto"/>
              </w:rPr>
            </w:pPr>
            <w:r>
              <w:rPr>
                <w:rFonts w:ascii="Arial" w:cs="Arial" w:eastAsia="Arial" w:hAnsi="Arial"/>
                <w:sz w:val="17"/>
                <w:szCs w:val="17"/>
                <w:color w:val="auto"/>
              </w:rPr>
              <w:t>Print Systems</w:t>
            </w:r>
          </w:p>
        </w:tc>
        <w:tc>
          <w:tcPr>
            <w:tcW w:w="2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7"/>
                <w:szCs w:val="17"/>
                <w:color w:val="auto"/>
              </w:rPr>
              <w:t>Enterprise Inkjet Systems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1160"/>
              <w:spacing w:after="0"/>
              <w:rPr>
                <w:sz w:val="20"/>
                <w:szCs w:val="20"/>
                <w:color w:val="auto"/>
              </w:rPr>
            </w:pPr>
            <w:r>
              <w:rPr>
                <w:rFonts w:ascii="Arial" w:cs="Arial" w:eastAsia="Arial" w:hAnsi="Arial"/>
                <w:sz w:val="17"/>
                <w:szCs w:val="17"/>
                <w:color w:val="auto"/>
              </w:rPr>
              <w:t>Software &amp; Solutions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7"/>
                <w:szCs w:val="17"/>
                <w:color w:val="auto"/>
              </w:rPr>
              <w:t>Consumer &amp; Film</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1160"/>
              <w:spacing w:after="0"/>
              <w:rPr>
                <w:sz w:val="20"/>
                <w:szCs w:val="20"/>
                <w:color w:val="auto"/>
              </w:rPr>
            </w:pPr>
            <w:r>
              <w:rPr>
                <w:rFonts w:ascii="Arial" w:cs="Arial" w:eastAsia="Arial" w:hAnsi="Arial"/>
                <w:sz w:val="17"/>
                <w:szCs w:val="17"/>
                <w:color w:val="auto"/>
              </w:rPr>
              <w:t>Advanced Materials and 3D Printing</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7"/>
                <w:szCs w:val="17"/>
                <w:color w:val="auto"/>
              </w:rPr>
              <w:t>Eastman Business Park</w:t>
            </w: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2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160" w:type="dxa"/>
            <w:vAlign w:val="bottom"/>
            <w:vMerge w:val="restart"/>
          </w:tcPr>
          <w:p>
            <w:pPr>
              <w:jc w:val="right"/>
              <w:ind w:right="1513"/>
              <w:spacing w:after="0"/>
              <w:rPr>
                <w:sz w:val="20"/>
                <w:szCs w:val="20"/>
                <w:color w:val="auto"/>
              </w:rPr>
            </w:pPr>
            <w:r>
              <w:rPr>
                <w:rFonts w:ascii="Arial" w:cs="Arial" w:eastAsia="Arial" w:hAnsi="Arial"/>
                <w:sz w:val="17"/>
                <w:szCs w:val="17"/>
                <w:color w:val="auto"/>
              </w:rPr>
              <w:t>95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25" w:right="219" w:bottom="1440" w:gutter="0" w:footer="0" w:header="0"/>
        </w:sectPr>
      </w:pPr>
    </w:p>
    <w:bookmarkStart w:id="95" w:name="page96"/>
    <w:bookmarkEnd w:id="95"/>
    <w:tbl>
      <w:tblPr>
        <w:tblLayout w:type="fixed"/>
        <w:tblInd w:w="1160" w:type="dxa"/>
        <w:tblCellMar>
          <w:top w:w="0" w:type="dxa"/>
          <w:left w:w="0" w:type="dxa"/>
          <w:bottom w:w="0" w:type="dxa"/>
          <w:right w:w="0" w:type="dxa"/>
        </w:tblCellMar>
      </w:tblPr>
      <w:tr>
        <w:trPr>
          <w:trHeight w:val="222"/>
        </w:trPr>
        <w:tc>
          <w:tcPr>
            <w:tcW w:w="4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4260" w:type="dxa"/>
            <w:vAlign w:val="bottom"/>
          </w:tcPr>
          <w:p>
            <w:pPr>
              <w:spacing w:after="0"/>
              <w:rPr>
                <w:sz w:val="20"/>
                <w:szCs w:val="20"/>
                <w:color w:val="auto"/>
              </w:rPr>
            </w:pPr>
            <w:r>
              <w:rPr>
                <w:rFonts w:ascii="Arial" w:cs="Arial" w:eastAsia="Arial" w:hAnsi="Arial"/>
                <w:sz w:val="17"/>
                <w:szCs w:val="17"/>
                <w:b w:val="1"/>
                <w:bCs w:val="1"/>
                <w:color w:val="auto"/>
              </w:rPr>
              <w:t xml:space="preserve">Long-lived assets </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located in:</w:t>
            </w:r>
          </w:p>
        </w:tc>
        <w:tc>
          <w:tcPr>
            <w:tcW w:w="1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7"/>
                <w:szCs w:val="17"/>
                <w:color w:val="auto"/>
              </w:rPr>
              <w:t>The United States</w:t>
            </w:r>
          </w:p>
        </w:tc>
        <w:tc>
          <w:tcPr>
            <w:tcW w:w="2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r>
      <w:tr>
        <w:trPr>
          <w:trHeight w:val="215"/>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Europe, Middle East and Africa</w:t>
            </w:r>
          </w:p>
        </w:tc>
        <w:tc>
          <w:tcPr>
            <w:tcW w:w="19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7"/>
                <w:szCs w:val="17"/>
                <w:color w:val="auto"/>
              </w:rPr>
              <w:t>Asia Pacific</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r>
      <w:tr>
        <w:trPr>
          <w:trHeight w:val="22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Canada and Latin America</w:t>
            </w:r>
          </w:p>
        </w:tc>
        <w:tc>
          <w:tcPr>
            <w:tcW w:w="1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FF0FC"/>
          </w:tcPr>
          <w:p>
            <w:pPr>
              <w:spacing w:after="0"/>
              <w:rPr>
                <w:sz w:val="19"/>
                <w:szCs w:val="19"/>
                <w:color w:val="auto"/>
              </w:rPr>
            </w:pPr>
          </w:p>
        </w:tc>
      </w:tr>
      <w:tr>
        <w:trPr>
          <w:trHeight w:val="215"/>
        </w:trPr>
        <w:tc>
          <w:tcPr>
            <w:tcW w:w="42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 xml:space="preserve">Non-U.S. countries total </w:t>
            </w:r>
            <w:r>
              <w:rPr>
                <w:rFonts w:ascii="Arial" w:cs="Arial" w:eastAsia="Arial" w:hAnsi="Arial"/>
                <w:sz w:val="14"/>
                <w:szCs w:val="14"/>
                <w:color w:val="auto"/>
              </w:rPr>
              <w:t>(2)</w:t>
            </w:r>
          </w:p>
        </w:tc>
        <w:tc>
          <w:tcPr>
            <w:tcW w:w="19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FF0FC"/>
            </w:tcBorders>
          </w:tcPr>
          <w:p>
            <w:pPr>
              <w:spacing w:after="0"/>
              <w:rPr>
                <w:sz w:val="18"/>
                <w:szCs w:val="18"/>
                <w:color w:val="auto"/>
              </w:rPr>
            </w:pPr>
          </w:p>
        </w:tc>
      </w:tr>
      <w:tr>
        <w:trPr>
          <w:trHeight w:val="215"/>
        </w:trPr>
        <w:tc>
          <w:tcPr>
            <w:tcW w:w="4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left="380" w:hanging="376"/>
        <w:spacing w:after="0"/>
        <w:tabs>
          <w:tab w:leader="none" w:pos="380" w:val="left"/>
        </w:tabs>
        <w:numPr>
          <w:ilvl w:val="0"/>
          <w:numId w:val="38"/>
        </w:numPr>
        <w:rPr>
          <w:rFonts w:ascii="Arial" w:cs="Arial" w:eastAsia="Arial" w:hAnsi="Arial"/>
          <w:sz w:val="15"/>
          <w:szCs w:val="15"/>
          <w:color w:val="auto"/>
        </w:rPr>
      </w:pPr>
      <w:r>
        <w:rPr>
          <w:rFonts w:ascii="Arial" w:cs="Arial" w:eastAsia="Arial" w:hAnsi="Arial"/>
          <w:sz w:val="17"/>
          <w:szCs w:val="17"/>
          <w:color w:val="auto"/>
        </w:rPr>
        <w:t>Long-lived assets are comprised of property, plant and equipment, net.</w:t>
      </w:r>
    </w:p>
    <w:p>
      <w:pPr>
        <w:spacing w:after="0" w:line="25" w:lineRule="exact"/>
        <w:rPr>
          <w:rFonts w:ascii="Arial" w:cs="Arial" w:eastAsia="Arial" w:hAnsi="Arial"/>
          <w:sz w:val="15"/>
          <w:szCs w:val="15"/>
          <w:color w:val="auto"/>
        </w:rPr>
      </w:pPr>
    </w:p>
    <w:p>
      <w:pPr>
        <w:ind w:left="380" w:right="240" w:hanging="376"/>
        <w:spacing w:after="0" w:line="272" w:lineRule="auto"/>
        <w:tabs>
          <w:tab w:leader="none" w:pos="380" w:val="left"/>
        </w:tabs>
        <w:numPr>
          <w:ilvl w:val="0"/>
          <w:numId w:val="38"/>
        </w:numPr>
        <w:rPr>
          <w:rFonts w:ascii="Arial" w:cs="Arial" w:eastAsia="Arial" w:hAnsi="Arial"/>
          <w:sz w:val="15"/>
          <w:szCs w:val="15"/>
          <w:color w:val="auto"/>
        </w:rPr>
      </w:pPr>
      <w:r>
        <w:rPr>
          <w:rFonts w:ascii="Arial" w:cs="Arial" w:eastAsia="Arial" w:hAnsi="Arial"/>
          <w:sz w:val="17"/>
          <w:szCs w:val="17"/>
          <w:color w:val="auto"/>
        </w:rPr>
        <w:t>Of the total non-U.S. property, plant and equipment in 2018, $60 million are located in Brazil and $31 million are located in China. Of the total non-U.S. property, plant and equipment in 2017, $71 million are located in Brazil and $38 million are located in China.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10% or more of Kodak’s total net revenue in any year presented.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27: DISCONTINUED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of Kodak include the Flexographic Packaging segment.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Flexographic Packaging segment</w:t>
      </w:r>
    </w:p>
    <w:p>
      <w:pPr>
        <w:spacing w:after="0" w:line="22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November 2018 Kodak announced it had entered into a Stock and Asset Purchase Agreement (“SAPA”) with MIR Bidco, SA for the sale of its Flexographic Packaging segment. The purchase price is $340 million, which is subject to purchase price adjustments as described in the SAPA. The results of operations of the Flexographic Packaging Business (the ”Business”) are classified as discontinued operations in the Consolidated Statement of Operations for all periods presented. Additionally, the assets and liabilities associated with the Business are classified as held for sale in the Consolidated Statement of Financial Position as of December 31, 2018 and 2017. Kodak anticipates the sale of the Business will close during the second quarter of 2019.</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of the Business are presented below:</w:t>
      </w:r>
    </w:p>
    <w:p>
      <w:pPr>
        <w:spacing w:after="0" w:line="229"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5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FF0FC"/>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Cost of sales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FF0FC"/>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r>
      <w:tr>
        <w:trPr>
          <w:trHeight w:val="222"/>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9"/>
                <w:szCs w:val="19"/>
                <w:color w:val="auto"/>
              </w:rPr>
            </w:pPr>
          </w:p>
        </w:tc>
      </w:tr>
      <w:tr>
        <w:trPr>
          <w:trHeight w:val="222"/>
        </w:trPr>
        <w:tc>
          <w:tcPr>
            <w:tcW w:w="5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Interest expense</w:t>
            </w: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FF0FC"/>
            </w:tcBorders>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8"/>
                <w:szCs w:val="18"/>
                <w:color w:val="auto"/>
              </w:rPr>
            </w:pPr>
          </w:p>
        </w:tc>
      </w:tr>
      <w:tr>
        <w:trPr>
          <w:trHeight w:val="222"/>
        </w:trPr>
        <w:tc>
          <w:tcPr>
            <w:tcW w:w="5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Provision for income taxes</w:t>
            </w: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FF0FC"/>
            </w:tcBorders>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(Loss) earnings from discontinued operations</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w:t>
            </w: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In addition to the earnings from the Business, earnings from discontinued operations in the Consolidated Statement of Operations for December 31, 2017 includes losses of $2 million associated with businesses disposed of in previous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Interest was allocated to discontinued operations based on an estimated debt paydown of the Term Credit Agreement.</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00"/>
          </w:cols>
          <w:pgMar w:left="240" w:top="369" w:right="35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The following table presents the aggregate carrying amount of major assets and liabilities of the Business:</w:t>
      </w:r>
    </w:p>
    <w:p>
      <w:pPr>
        <w:spacing w:after="0" w:line="255"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6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Trade receivables, net</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Inventories, net</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FF0FC"/>
          </w:tcPr>
          <w:p>
            <w:pPr>
              <w:ind w:left="100"/>
              <w:spacing w:after="0"/>
              <w:rPr>
                <w:sz w:val="20"/>
                <w:szCs w:val="20"/>
                <w:color w:val="auto"/>
              </w:rPr>
            </w:pPr>
            <w:r>
              <w:rPr>
                <w:rFonts w:ascii="Arial" w:cs="Arial" w:eastAsia="Arial" w:hAnsi="Arial"/>
                <w:sz w:val="17"/>
                <w:szCs w:val="17"/>
                <w:b w:val="1"/>
                <w:bCs w:val="1"/>
                <w:color w:val="auto"/>
              </w:rPr>
              <w:t>Assets of business held for sale</w:t>
            </w:r>
          </w:p>
        </w:tc>
        <w:tc>
          <w:tcPr>
            <w:tcW w:w="1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vMerge w:val="continue"/>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Accounts payable, trade</w:t>
            </w:r>
          </w:p>
        </w:tc>
        <w:tc>
          <w:tcPr>
            <w:tcW w:w="1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Pension and other postretirement liabilities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FF0FC"/>
          </w:tcPr>
          <w:p>
            <w:pPr>
              <w:ind w:left="100"/>
              <w:spacing w:after="0"/>
              <w:rPr>
                <w:sz w:val="20"/>
                <w:szCs w:val="20"/>
                <w:color w:val="auto"/>
              </w:rPr>
            </w:pPr>
            <w:r>
              <w:rPr>
                <w:rFonts w:ascii="Arial" w:cs="Arial" w:eastAsia="Arial" w:hAnsi="Arial"/>
                <w:sz w:val="17"/>
                <w:szCs w:val="17"/>
                <w:b w:val="1"/>
                <w:bCs w:val="1"/>
                <w:color w:val="auto"/>
              </w:rPr>
              <w:t>Liabilities of business held for sale</w:t>
            </w:r>
          </w:p>
        </w:tc>
        <w:tc>
          <w:tcPr>
            <w:tcW w:w="1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vMerge w:val="continue"/>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80"/>
        <w:spacing w:after="0" w:line="320" w:lineRule="auto"/>
        <w:rPr>
          <w:sz w:val="20"/>
          <w:szCs w:val="20"/>
          <w:color w:val="auto"/>
        </w:rPr>
      </w:pPr>
      <w:r>
        <w:rPr>
          <w:rFonts w:ascii="Arial" w:cs="Arial" w:eastAsia="Arial" w:hAnsi="Arial"/>
          <w:sz w:val="16"/>
          <w:szCs w:val="16"/>
          <w:color w:val="auto"/>
        </w:rPr>
        <w:t>A dedicated entity of the Business had intercompany receivables with Kodak of approximately $5 million as of December 31, 2018 and 2017 that are part of the proposed transaction but are not reflected in the table above as these amounts have been eliminated in deriving the consolidated financial statements.</w:t>
      </w:r>
    </w:p>
    <w:p>
      <w:pPr>
        <w:spacing w:after="0" w:line="16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Current assets held for sale as of December 31, 2017 in the Consolidated Statement of Financial Position included $2 million of assets under contract for sale not associated with the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cash flow information associated with the Business:</w:t>
      </w:r>
    </w:p>
    <w:p>
      <w:pPr>
        <w:spacing w:after="0" w:line="255"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r>
      <w:tr>
        <w:trPr>
          <w:trHeight w:val="215"/>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Depreciation</w:t>
            </w:r>
          </w:p>
        </w:tc>
        <w:tc>
          <w:tcPr>
            <w:tcW w:w="2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2</w:t>
            </w:r>
          </w:p>
        </w:tc>
      </w:tr>
      <w:tr>
        <w:trPr>
          <w:trHeight w:val="222"/>
        </w:trPr>
        <w:tc>
          <w:tcPr>
            <w:tcW w:w="3840" w:type="dxa"/>
            <w:vAlign w:val="bottom"/>
          </w:tcPr>
          <w:p>
            <w:pPr>
              <w:spacing w:after="0"/>
              <w:rPr>
                <w:sz w:val="20"/>
                <w:szCs w:val="20"/>
                <w:color w:val="auto"/>
              </w:rPr>
            </w:pPr>
            <w:r>
              <w:rPr>
                <w:rFonts w:ascii="Arial" w:cs="Arial" w:eastAsia="Arial" w:hAnsi="Arial"/>
                <w:sz w:val="17"/>
                <w:szCs w:val="17"/>
                <w:color w:val="auto"/>
              </w:rPr>
              <w:t>Amortization</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1</w:t>
            </w: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Capital expenditures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12</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of long-lived assets of the Business included in discontinued operations ceased on December 1, 2018.</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97" w:name="page98"/>
    <w:bookmarkEnd w:id="97"/>
    <w:p>
      <w:pPr>
        <w:spacing w:after="0"/>
        <w:tabs>
          <w:tab w:leader="none" w:pos="10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fiscal year covered by this Annual Report on Form 10-K. Kodak’s Chief Executive Officer and Chief Financial Officer have concluded that, as of the end of the period covered by this Annual Report on Form 10-K, Kodak’s disclosure controls and procedures (as defined in Rules 13a-15(e) and 15d-15(e) under the Exchange Act) were effective.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7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Management assessed the effectiveness of Kodak’s internal control over financial reporting as of December 31, 2018. In making this assessment, management used the criteria set forth by the Committee of Sponsoring Organizations of the Treadway Commission (“COSO”) in "Internal Control-Integrated Framework”</w:t>
      </w:r>
    </w:p>
    <w:p>
      <w:pPr>
        <w:ind w:right="580"/>
        <w:spacing w:after="0" w:line="261" w:lineRule="auto"/>
        <w:rPr>
          <w:sz w:val="20"/>
          <w:szCs w:val="20"/>
          <w:color w:val="auto"/>
        </w:rPr>
      </w:pPr>
      <w:r>
        <w:rPr>
          <w:rFonts w:ascii="Arial" w:cs="Arial" w:eastAsia="Arial" w:hAnsi="Arial"/>
          <w:sz w:val="17"/>
          <w:szCs w:val="17"/>
          <w:color w:val="auto"/>
        </w:rPr>
        <w:t>(2013). Based on management’s assessment using the COSO criteria, management has concluded that Kodak's internal control over financial reporting was effective as of December 31, 2018. The effectiveness of Kodak’s internal control over financial reporting as of December 31, 2018 has been audited by PricewaterhouseCoopers LLP, Kodak’s independent registered public accounting firm, as stated in their report, refer to Item 8. Financial Statement and Supplementary Data.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139"/>
        <w:spacing w:after="0"/>
        <w:rPr>
          <w:sz w:val="20"/>
          <w:szCs w:val="20"/>
          <w:color w:val="auto"/>
        </w:rPr>
      </w:pPr>
      <w:r>
        <w:rPr>
          <w:rFonts w:ascii="Arial" w:cs="Arial" w:eastAsia="Arial" w:hAnsi="Arial"/>
          <w:sz w:val="17"/>
          <w:szCs w:val="17"/>
          <w:b w:val="1"/>
          <w:bCs w:val="1"/>
          <w:color w:val="auto"/>
        </w:rPr>
        <w:t>PART III</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information required by Item 10 regarding directors is incorporated by reference from the information under the caption "Board of Directors and Corporate Governance - Director Nominees" in the Company's Notice of 2019 Annual Meeting and Proxy Statement (the “Proxy Statement”), which will be filed within 120 days after December 31, 2018.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under the caption "Executive Officers of the Registrant". The information required by Item 10 regarding compliance with Section 16(a) of the Securities Exchange Act of 1934 is incorporated by reference from the information under the caption "Security Ownership of Certain Beneficial Owners and Management - Section 16(a) Beneficial Ownership Reporting Compliance" in the Proxy Statement.</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and Board observers. Our Business Conduct Guide and Directors’ Code of Conduct are posted on our website located at </w:t>
      </w:r>
      <w:r>
        <w:rPr>
          <w:rFonts w:ascii="Arial" w:cs="Arial" w:eastAsia="Arial" w:hAnsi="Arial"/>
          <w:sz w:val="17"/>
          <w:szCs w:val="17"/>
          <w:u w:val="single" w:color="auto"/>
          <w:color w:val="auto"/>
        </w:rPr>
        <w:t>http://investor.kodak.com/corporate-governance/supporting-documents</w:t>
      </w:r>
      <w:r>
        <w:rPr>
          <w:rFonts w:ascii="Arial" w:cs="Arial" w:eastAsia="Arial" w:hAnsi="Arial"/>
          <w:sz w:val="17"/>
          <w:szCs w:val="17"/>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174"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3"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The information required by Item 11 is incorporated herein by reference from the information under the following captions in the Proxy Statement: "Executive Compensation”, “Director Compensation” and “Board of Directors and Corporate Governance – Executive Compensation Committee Interlocks and Insider Participation.”</w:t>
      </w:r>
    </w:p>
    <w:p>
      <w:pPr>
        <w:spacing w:after="0" w:line="62"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12 is incorporated by reference from the information under the captions "Security Ownership of Certain Beneficial Owners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Management" in the Proxy Statement. "Securities Authorized for Issuance Under Equity Compensation Plans" is shown below:</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information about the Company’s equity compensation plans is as follows: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Number of Securities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Number of Securities</w:t>
            </w:r>
          </w:p>
        </w:tc>
      </w:tr>
      <w:tr>
        <w:trPr>
          <w:trHeight w:val="143"/>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87"/>
              </w:rPr>
              <w:t>to be Issued Upon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87"/>
              </w:rPr>
              <w:t>Weighted-</w:t>
            </w:r>
          </w:p>
        </w:tc>
        <w:tc>
          <w:tcPr>
            <w:tcW w:w="120" w:type="dxa"/>
            <w:vAlign w:val="bottom"/>
          </w:tcPr>
          <w:p>
            <w:pPr>
              <w:spacing w:after="0"/>
              <w:rPr>
                <w:sz w:val="12"/>
                <w:szCs w:val="12"/>
                <w:color w:val="auto"/>
              </w:rPr>
            </w:pPr>
          </w:p>
        </w:tc>
        <w:tc>
          <w:tcPr>
            <w:tcW w:w="17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1"/>
              </w:rPr>
              <w:t>Remaining Available for</w:t>
            </w:r>
          </w:p>
        </w:tc>
      </w:tr>
      <w:tr>
        <w:trPr>
          <w:trHeight w:val="143"/>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92"/>
              </w:rPr>
              <w:t>Exercise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88"/>
              </w:rPr>
              <w:t>Average</w:t>
            </w:r>
          </w:p>
        </w:tc>
        <w:tc>
          <w:tcPr>
            <w:tcW w:w="1880" w:type="dxa"/>
            <w:vAlign w:val="bottom"/>
            <w:gridSpan w:val="3"/>
          </w:tcPr>
          <w:p>
            <w:pPr>
              <w:jc w:val="center"/>
              <w:spacing w:after="0" w:line="143" w:lineRule="exact"/>
              <w:rPr>
                <w:sz w:val="20"/>
                <w:szCs w:val="20"/>
                <w:color w:val="auto"/>
              </w:rPr>
            </w:pPr>
            <w:r>
              <w:rPr>
                <w:rFonts w:ascii="Arial" w:cs="Arial" w:eastAsia="Arial" w:hAnsi="Arial"/>
                <w:sz w:val="14"/>
                <w:szCs w:val="14"/>
                <w:color w:val="auto"/>
                <w:w w:val="89"/>
              </w:rPr>
              <w:t>Future Issuance Under Equity</w:t>
            </w:r>
          </w:p>
        </w:tc>
      </w:tr>
      <w:tr>
        <w:trPr>
          <w:trHeight w:val="143"/>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90"/>
              </w:rPr>
              <w:t>Outstanding Options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91"/>
              </w:rPr>
              <w:t>Exercise Price of</w:t>
            </w:r>
          </w:p>
        </w:tc>
        <w:tc>
          <w:tcPr>
            <w:tcW w:w="120" w:type="dxa"/>
            <w:vAlign w:val="bottom"/>
          </w:tcPr>
          <w:p>
            <w:pPr>
              <w:spacing w:after="0"/>
              <w:rPr>
                <w:sz w:val="12"/>
                <w:szCs w:val="12"/>
                <w:color w:val="auto"/>
              </w:rPr>
            </w:pPr>
          </w:p>
        </w:tc>
        <w:tc>
          <w:tcPr>
            <w:tcW w:w="17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88"/>
              </w:rPr>
              <w:t>Compensation Plans</w:t>
            </w:r>
          </w:p>
        </w:tc>
      </w:tr>
      <w:tr>
        <w:trPr>
          <w:trHeight w:val="143"/>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88"/>
              </w:rPr>
              <w:t>and Restricted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90"/>
              </w:rPr>
              <w:t>Outstanding</w:t>
            </w:r>
          </w:p>
        </w:tc>
        <w:tc>
          <w:tcPr>
            <w:tcW w:w="120" w:type="dxa"/>
            <w:vAlign w:val="bottom"/>
          </w:tcPr>
          <w:p>
            <w:pPr>
              <w:spacing w:after="0"/>
              <w:rPr>
                <w:sz w:val="12"/>
                <w:szCs w:val="12"/>
                <w:color w:val="auto"/>
              </w:rPr>
            </w:pPr>
          </w:p>
        </w:tc>
        <w:tc>
          <w:tcPr>
            <w:tcW w:w="17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1"/>
              </w:rPr>
              <w:t>(Excluding Securities</w:t>
            </w: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Stock Units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Options</w:t>
            </w:r>
          </w:p>
        </w:tc>
        <w:tc>
          <w:tcPr>
            <w:tcW w:w="1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Reflected in Column (a))</w:t>
            </w:r>
          </w:p>
        </w:tc>
      </w:tr>
      <w:tr>
        <w:trPr>
          <w:trHeight w:val="149"/>
        </w:trPr>
        <w:tc>
          <w:tcPr>
            <w:tcW w:w="5040" w:type="dxa"/>
            <w:vAlign w:val="bottom"/>
            <w:tcBorders>
              <w:top w:val="single" w:sz="8" w:color="auto"/>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(a)</w:t>
            </w:r>
          </w:p>
        </w:tc>
        <w:tc>
          <w:tcPr>
            <w:tcW w:w="20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3"/>
              </w:rPr>
              <w:t>(b)</w:t>
            </w:r>
          </w:p>
        </w:tc>
        <w:tc>
          <w:tcPr>
            <w:tcW w:w="100" w:type="dxa"/>
            <w:vAlign w:val="bottom"/>
            <w:tcBorders>
              <w:bottom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(c)</w:t>
            </w:r>
          </w:p>
        </w:tc>
        <w:tc>
          <w:tcPr>
            <w:tcW w:w="100" w:type="dxa"/>
            <w:vAlign w:val="bottom"/>
            <w:tcBorders>
              <w:bottom w:val="single" w:sz="8" w:color="CFF0FC"/>
            </w:tcBorders>
          </w:tcPr>
          <w:p>
            <w:pPr>
              <w:spacing w:after="0"/>
              <w:rPr>
                <w:sz w:val="12"/>
                <w:szCs w:val="12"/>
                <w:color w:val="auto"/>
              </w:rPr>
            </w:pP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 xml:space="preserve">Equity compensation plans not approved by security holders </w:t>
            </w:r>
            <w:r>
              <w:rPr>
                <w:rFonts w:ascii="Arial" w:cs="Arial" w:eastAsia="Arial" w:hAnsi="Arial"/>
                <w:sz w:val="14"/>
                <w:szCs w:val="14"/>
                <w:color w:val="auto"/>
              </w:rPr>
              <w:t>(1)</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5,899,685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13.85</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shd w:val="clear" w:color="auto" w:fill="CFF0FC"/>
          </w:tcPr>
          <w:p>
            <w:pPr>
              <w:ind w:left="1480"/>
              <w:spacing w:after="0"/>
              <w:rPr>
                <w:sz w:val="20"/>
                <w:szCs w:val="20"/>
                <w:color w:val="auto"/>
              </w:rPr>
            </w:pPr>
            <w:r>
              <w:rPr>
                <w:rFonts w:ascii="Arial" w:cs="Arial" w:eastAsia="Arial" w:hAnsi="Arial"/>
                <w:sz w:val="17"/>
                <w:szCs w:val="17"/>
                <w:color w:val="auto"/>
              </w:rPr>
              <w:t>—</w:t>
            </w:r>
          </w:p>
        </w:tc>
      </w:tr>
    </w:tbl>
    <w:p>
      <w:pPr>
        <w:spacing w:after="0" w:line="222" w:lineRule="exact"/>
        <w:rPr>
          <w:sz w:val="20"/>
          <w:szCs w:val="20"/>
          <w:color w:val="auto"/>
        </w:rPr>
      </w:pPr>
    </w:p>
    <w:p>
      <w:pPr>
        <w:ind w:left="520" w:right="120" w:hanging="516"/>
        <w:spacing w:after="0" w:line="266" w:lineRule="auto"/>
        <w:tabs>
          <w:tab w:leader="none" w:pos="520" w:val="left"/>
        </w:tabs>
        <w:numPr>
          <w:ilvl w:val="0"/>
          <w:numId w:val="39"/>
        </w:numPr>
        <w:rPr>
          <w:rFonts w:ascii="Arial" w:cs="Arial" w:eastAsia="Arial" w:hAnsi="Arial"/>
          <w:sz w:val="15"/>
          <w:szCs w:val="15"/>
          <w:color w:val="auto"/>
        </w:rPr>
      </w:pPr>
      <w:r>
        <w:rPr>
          <w:rFonts w:ascii="Arial" w:cs="Arial" w:eastAsia="Arial" w:hAnsi="Arial"/>
          <w:sz w:val="17"/>
          <w:szCs w:val="17"/>
          <w:color w:val="auto"/>
        </w:rPr>
        <w:t>The Company's equity compensation plan not approved by security holders is the 2013 Omnibus Incentive Plan which was approved by the Bankruptcy Court pursuant to the Plan of Reorganization, the material terms of which were summarized in the Company’s Current Report on Form 8-K filed on September 10, 2013, and a copy of which was filed with the Quarterly Report on Form 10-Q for the period ending September 30, 2013 and is incorporated herein by reference.</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3"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25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3"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The information required by Item 14 is incorporated by reference from the information under the caption “Principal Accounting Fees and Services” in the Proxy Statement.</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99" w:name="page100"/>
    <w:bookmarkEnd w:id="99"/>
    <w:p>
      <w:pPr>
        <w:ind w:left="5360"/>
        <w:spacing w:after="0"/>
        <w:rPr>
          <w:sz w:val="20"/>
          <w:szCs w:val="20"/>
          <w:color w:val="auto"/>
        </w:rPr>
      </w:pPr>
      <w:r>
        <w:rPr>
          <w:rFonts w:ascii="Arial" w:cs="Arial" w:eastAsia="Arial" w:hAnsi="Arial"/>
          <w:sz w:val="17"/>
          <w:szCs w:val="17"/>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FINANCIAL STATEMENT SCHEDULES, EXHIBITS</w:t>
      </w:r>
    </w:p>
    <w:p>
      <w:pPr>
        <w:spacing w:after="0" w:line="254"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II – Valuation and qualifying accounts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All other schedules have been omitted because they are not applicable, or the information required is shown in the financial statements or notes thereto.</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0"/>
          </w:cols>
          <w:pgMar w:left="240" w:top="121" w:right="11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9"/>
        </w:trPr>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20" w:type="dxa"/>
            <w:vAlign w:val="bottom"/>
            <w:gridSpan w:val="24"/>
          </w:tcPr>
          <w:p>
            <w:pPr>
              <w:jc w:val="center"/>
              <w:ind w:right="4740"/>
              <w:spacing w:after="0"/>
              <w:rPr>
                <w:sz w:val="20"/>
                <w:szCs w:val="20"/>
                <w:color w:val="auto"/>
              </w:rPr>
            </w:pPr>
            <w:r>
              <w:rPr>
                <w:rFonts w:ascii="Arial" w:cs="Arial" w:eastAsia="Arial" w:hAnsi="Arial"/>
                <w:sz w:val="17"/>
                <w:szCs w:val="17"/>
                <w:b w:val="1"/>
                <w:bCs w:val="1"/>
                <w:color w:val="auto"/>
                <w:w w:val="94"/>
              </w:rPr>
              <w:t>Eastman Kodak Company</w:t>
            </w:r>
          </w:p>
        </w:tc>
        <w:tc>
          <w:tcPr>
            <w:tcW w:w="0" w:type="dxa"/>
            <w:vAlign w:val="bottom"/>
          </w:tcPr>
          <w:p>
            <w:pPr>
              <w:spacing w:after="0"/>
              <w:rPr>
                <w:sz w:val="1"/>
                <w:szCs w:val="1"/>
                <w:color w:val="auto"/>
              </w:rPr>
            </w:pPr>
          </w:p>
        </w:tc>
      </w:tr>
      <w:tr>
        <w:trPr>
          <w:trHeight w:val="227"/>
        </w:trPr>
        <w:tc>
          <w:tcPr>
            <w:tcW w:w="1620" w:type="dxa"/>
            <w:vAlign w:val="bottom"/>
            <w:vMerge w:val="restart"/>
          </w:tcPr>
          <w:p>
            <w:pPr>
              <w:spacing w:after="0"/>
              <w:rPr>
                <w:sz w:val="20"/>
                <w:szCs w:val="20"/>
                <w:color w:val="auto"/>
              </w:rPr>
            </w:pPr>
            <w:r>
              <w:rPr>
                <w:rFonts w:ascii="Arial" w:cs="Arial" w:eastAsia="Arial" w:hAnsi="Arial"/>
                <w:sz w:val="17"/>
                <w:szCs w:val="17"/>
                <w:b w:val="1"/>
                <w:bCs w:val="1"/>
                <w:color w:val="auto"/>
              </w:rPr>
              <w:t>Exhibit</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23"/>
          </w:tcPr>
          <w:p>
            <w:pPr>
              <w:jc w:val="center"/>
              <w:ind w:right="4880"/>
              <w:spacing w:after="0"/>
              <w:rPr>
                <w:sz w:val="20"/>
                <w:szCs w:val="20"/>
                <w:color w:val="auto"/>
              </w:rPr>
            </w:pPr>
            <w:r>
              <w:rPr>
                <w:rFonts w:ascii="Arial" w:cs="Arial" w:eastAsia="Arial" w:hAnsi="Arial"/>
                <w:sz w:val="17"/>
                <w:szCs w:val="17"/>
                <w:b w:val="1"/>
                <w:bCs w:val="1"/>
                <w:color w:val="auto"/>
                <w:w w:val="94"/>
              </w:rPr>
              <w:t>Index to Exhibits</w:t>
            </w:r>
          </w:p>
        </w:tc>
        <w:tc>
          <w:tcPr>
            <w:tcW w:w="0" w:type="dxa"/>
            <w:vAlign w:val="bottom"/>
          </w:tcPr>
          <w:p>
            <w:pPr>
              <w:spacing w:after="0"/>
              <w:rPr>
                <w:sz w:val="1"/>
                <w:szCs w:val="1"/>
                <w:color w:val="auto"/>
              </w:rPr>
            </w:pPr>
          </w:p>
        </w:tc>
      </w:tr>
      <w:tr>
        <w:trPr>
          <w:trHeight w:val="190"/>
        </w:trPr>
        <w:tc>
          <w:tcPr>
            <w:tcW w:w="16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2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620" w:type="dxa"/>
            <w:vAlign w:val="bottom"/>
          </w:tcPr>
          <w:p>
            <w:pPr>
              <w:spacing w:after="0"/>
              <w:rPr>
                <w:sz w:val="20"/>
                <w:szCs w:val="20"/>
                <w:color w:val="auto"/>
              </w:rPr>
            </w:pPr>
            <w:r>
              <w:rPr>
                <w:rFonts w:ascii="Arial" w:cs="Arial" w:eastAsia="Arial" w:hAnsi="Arial"/>
                <w:sz w:val="17"/>
                <w:szCs w:val="17"/>
                <w:color w:val="auto"/>
              </w:rPr>
              <w:t>(2.1)</w:t>
            </w:r>
          </w:p>
        </w:tc>
        <w:tc>
          <w:tcPr>
            <w:tcW w:w="9820" w:type="dxa"/>
            <w:vAlign w:val="bottom"/>
            <w:gridSpan w:val="28"/>
          </w:tcPr>
          <w:p>
            <w:pPr>
              <w:spacing w:after="0"/>
              <w:rPr>
                <w:rFonts w:ascii="Arial" w:cs="Arial" w:eastAsia="Arial" w:hAnsi="Arial"/>
                <w:sz w:val="17"/>
                <w:szCs w:val="17"/>
                <w:color w:val="0000EE"/>
                <w:w w:val="96"/>
              </w:rPr>
            </w:pPr>
            <w:hyperlink r:id="rId126">
              <w:r>
                <w:rPr>
                  <w:rFonts w:ascii="Arial" w:cs="Arial" w:eastAsia="Arial" w:hAnsi="Arial"/>
                  <w:sz w:val="17"/>
                  <w:szCs w:val="17"/>
                  <w:color w:val="0000EE"/>
                  <w:w w:val="96"/>
                </w:rPr>
                <w:t>Stock and Asset Purchase Agreement, dated as of November 11, 2018, by and between Eastman Kodak Company and MIR Bidco SA.</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340" w:type="dxa"/>
            <w:vAlign w:val="bottom"/>
            <w:tcBorders>
              <w:top w:val="single" w:sz="8" w:color="0000EE"/>
            </w:tcBorders>
            <w:gridSpan w:val="15"/>
          </w:tcPr>
          <w:p>
            <w:pPr>
              <w:spacing w:after="0" w:line="189" w:lineRule="exact"/>
              <w:rPr>
                <w:rFonts w:ascii="Arial" w:cs="Arial" w:eastAsia="Arial" w:hAnsi="Arial"/>
                <w:sz w:val="17"/>
                <w:szCs w:val="17"/>
                <w:color w:val="0000EE"/>
              </w:rPr>
            </w:pPr>
            <w:hyperlink r:id="rId126">
              <w:r>
                <w:rPr>
                  <w:rFonts w:ascii="Arial" w:cs="Arial" w:eastAsia="Arial" w:hAnsi="Arial"/>
                  <w:sz w:val="17"/>
                  <w:szCs w:val="17"/>
                  <w:color w:val="0000EE"/>
                </w:rPr>
                <w:t>(Incorporated by reference to Exhibit 2.1 of the Company’s Current Report on Form 8-K as filed November 13, 2018).</w:t>
              </w:r>
            </w:hyperlink>
          </w:p>
        </w:tc>
        <w:tc>
          <w:tcPr>
            <w:tcW w:w="4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(2.2)</w:t>
            </w:r>
          </w:p>
        </w:tc>
        <w:tc>
          <w:tcPr>
            <w:tcW w:w="9400" w:type="dxa"/>
            <w:vAlign w:val="bottom"/>
            <w:tcBorders>
              <w:bottom w:val="single" w:sz="8" w:color="0000EE"/>
            </w:tcBorders>
            <w:gridSpan w:val="18"/>
          </w:tcPr>
          <w:p>
            <w:pPr>
              <w:spacing w:after="0"/>
              <w:rPr>
                <w:rFonts w:ascii="Arial" w:cs="Arial" w:eastAsia="Arial" w:hAnsi="Arial"/>
                <w:sz w:val="17"/>
                <w:szCs w:val="17"/>
                <w:color w:val="0000EE"/>
                <w:w w:val="92"/>
              </w:rPr>
            </w:pPr>
            <w:hyperlink r:id="rId127">
              <w:r>
                <w:rPr>
                  <w:rFonts w:ascii="Arial" w:cs="Arial" w:eastAsia="Arial" w:hAnsi="Arial"/>
                  <w:sz w:val="17"/>
                  <w:szCs w:val="17"/>
                  <w:color w:val="0000EE"/>
                  <w:w w:val="92"/>
                </w:rPr>
                <w:t>Earn-Out Agreement, dated as of November 11, 2018, by and between Eastman Kodak Company and MIR Bidco SA. (Incorporated by</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rPr>
            </w:pPr>
            <w:hyperlink r:id="rId127">
              <w:r>
                <w:rPr>
                  <w:rFonts w:ascii="Arial" w:cs="Arial" w:eastAsia="Arial" w:hAnsi="Arial"/>
                  <w:sz w:val="17"/>
                  <w:szCs w:val="17"/>
                  <w:color w:val="0000EE"/>
                </w:rPr>
                <w:t>reference to Exhibit 2.2 of the Company’s Current Report on Form 8-K as filed November 13, 2018).</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(3.1)</w:t>
            </w:r>
          </w:p>
        </w:tc>
        <w:tc>
          <w:tcPr>
            <w:tcW w:w="9820" w:type="dxa"/>
            <w:vAlign w:val="bottom"/>
            <w:gridSpan w:val="28"/>
          </w:tcPr>
          <w:p>
            <w:pPr>
              <w:spacing w:after="0"/>
              <w:rPr>
                <w:rFonts w:ascii="Arial" w:cs="Arial" w:eastAsia="Arial" w:hAnsi="Arial"/>
                <w:sz w:val="17"/>
                <w:szCs w:val="17"/>
                <w:color w:val="0000EE"/>
                <w:w w:val="95"/>
              </w:rPr>
            </w:pPr>
            <w:hyperlink r:id="rId128">
              <w:r>
                <w:rPr>
                  <w:rFonts w:ascii="Arial" w:cs="Arial" w:eastAsia="Arial" w:hAnsi="Arial"/>
                  <w:sz w:val="17"/>
                  <w:szCs w:val="17"/>
                  <w:color w:val="0000EE"/>
                  <w:w w:val="95"/>
                </w:rPr>
                <w:t>Second Amended and Restated Certificate of Incorporation of Eastman Kodak Company (Incorporated by reference to Exhibit 4.1 of the</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50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r:id="rId128">
              <w:r>
                <w:rPr>
                  <w:rFonts w:ascii="Arial" w:cs="Arial" w:eastAsia="Arial" w:hAnsi="Arial"/>
                  <w:sz w:val="17"/>
                  <w:szCs w:val="17"/>
                  <w:color w:val="0000EE"/>
                </w:rPr>
                <w:t>Company’s Registration Statement on Form S-8 as filed on September 3, 2013).</w:t>
              </w:r>
            </w:hyperlink>
          </w:p>
        </w:tc>
        <w:tc>
          <w:tcPr>
            <w:tcW w:w="3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(3.2)</w:t>
            </w:r>
          </w:p>
        </w:tc>
        <w:tc>
          <w:tcPr>
            <w:tcW w:w="9720" w:type="dxa"/>
            <w:vAlign w:val="bottom"/>
            <w:tcBorders>
              <w:bottom w:val="single" w:sz="8" w:color="0000EE"/>
            </w:tcBorders>
            <w:gridSpan w:val="25"/>
          </w:tcPr>
          <w:p>
            <w:pPr>
              <w:spacing w:after="0"/>
              <w:rPr>
                <w:rFonts w:ascii="Arial" w:cs="Arial" w:eastAsia="Arial" w:hAnsi="Arial"/>
                <w:sz w:val="17"/>
                <w:szCs w:val="17"/>
                <w:color w:val="0000EE"/>
                <w:w w:val="92"/>
              </w:rPr>
            </w:pPr>
            <w:hyperlink r:id="rId129">
              <w:r>
                <w:rPr>
                  <w:rFonts w:ascii="Arial" w:cs="Arial" w:eastAsia="Arial" w:hAnsi="Arial"/>
                  <w:sz w:val="17"/>
                  <w:szCs w:val="17"/>
                  <w:color w:val="0000EE"/>
                  <w:w w:val="92"/>
                </w:rPr>
                <w:t>Certificate of Amendment to the Second Amended and Restated Certificate of Incorporation of Eastman Kodak Company. (Incorporated by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rPr>
            </w:pPr>
            <w:hyperlink r:id="rId129">
              <w:r>
                <w:rPr>
                  <w:rFonts w:ascii="Arial" w:cs="Arial" w:eastAsia="Arial" w:hAnsi="Arial"/>
                  <w:sz w:val="17"/>
                  <w:szCs w:val="17"/>
                  <w:color w:val="0000EE"/>
                </w:rPr>
                <w:t>reference to Exhibit 3.1 of the Company’s Current Report on Form 8-K as filed November 16, 2016).</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(3.3)</w:t>
            </w:r>
          </w:p>
        </w:tc>
        <w:tc>
          <w:tcPr>
            <w:tcW w:w="9640" w:type="dxa"/>
            <w:vAlign w:val="bottom"/>
            <w:tcBorders>
              <w:bottom w:val="single" w:sz="8" w:color="0000EE"/>
            </w:tcBorders>
            <w:gridSpan w:val="23"/>
          </w:tcPr>
          <w:p>
            <w:pPr>
              <w:spacing w:after="0"/>
              <w:rPr>
                <w:rFonts w:ascii="Arial" w:cs="Arial" w:eastAsia="Arial" w:hAnsi="Arial"/>
                <w:sz w:val="17"/>
                <w:szCs w:val="17"/>
                <w:color w:val="0000EE"/>
                <w:w w:val="92"/>
              </w:rPr>
            </w:pPr>
            <w:hyperlink r:id="rId130">
              <w:r>
                <w:rPr>
                  <w:rFonts w:ascii="Arial" w:cs="Arial" w:eastAsia="Arial" w:hAnsi="Arial"/>
                  <w:sz w:val="17"/>
                  <w:szCs w:val="17"/>
                  <w:color w:val="0000EE"/>
                  <w:w w:val="92"/>
                </w:rPr>
                <w:t>Fourth Amended and Restated By-Laws of Eastman Kodak Company. (Incorporated by reference to Exhibit 3.1 of the Company’s Current</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rPr>
            </w:pPr>
            <w:hyperlink r:id="rId130">
              <w:r>
                <w:rPr>
                  <w:rFonts w:ascii="Arial" w:cs="Arial" w:eastAsia="Arial" w:hAnsi="Arial"/>
                  <w:sz w:val="17"/>
                  <w:szCs w:val="17"/>
                  <w:color w:val="0000EE"/>
                </w:rPr>
                <w:t>Report on Form8-K as filed on May 25, 2017).</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(4.1)</w:t>
            </w:r>
          </w:p>
        </w:tc>
        <w:tc>
          <w:tcPr>
            <w:tcW w:w="9820" w:type="dxa"/>
            <w:vAlign w:val="bottom"/>
            <w:gridSpan w:val="28"/>
          </w:tcPr>
          <w:p>
            <w:pPr>
              <w:spacing w:after="0"/>
              <w:rPr>
                <w:rFonts w:ascii="Arial" w:cs="Arial" w:eastAsia="Arial" w:hAnsi="Arial"/>
                <w:sz w:val="17"/>
                <w:szCs w:val="17"/>
                <w:color w:val="0000EE"/>
                <w:w w:val="91"/>
              </w:rPr>
            </w:pPr>
            <w:hyperlink r:id="rId131">
              <w:r>
                <w:rPr>
                  <w:rFonts w:ascii="Arial" w:cs="Arial" w:eastAsia="Arial" w:hAnsi="Arial"/>
                  <w:sz w:val="17"/>
                  <w:szCs w:val="17"/>
                  <w:color w:val="0000EE"/>
                  <w:w w:val="91"/>
                </w:rPr>
                <w:t>Registration Rights Agreement between Eastman Kodak Company and certain stockholders listed on Schedule 1 thereto, dated September 3,</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780" w:type="dxa"/>
            <w:vAlign w:val="bottom"/>
            <w:tcBorders>
              <w:top w:val="single" w:sz="8" w:color="0000EE"/>
            </w:tcBorders>
            <w:gridSpan w:val="26"/>
          </w:tcPr>
          <w:p>
            <w:pPr>
              <w:spacing w:after="0" w:line="189" w:lineRule="exact"/>
              <w:rPr>
                <w:rFonts w:ascii="Arial" w:cs="Arial" w:eastAsia="Arial" w:hAnsi="Arial"/>
                <w:sz w:val="17"/>
                <w:szCs w:val="17"/>
                <w:color w:val="0000EE"/>
                <w:w w:val="96"/>
              </w:rPr>
            </w:pPr>
            <w:hyperlink r:id="rId131">
              <w:r>
                <w:rPr>
                  <w:rFonts w:ascii="Arial" w:cs="Arial" w:eastAsia="Arial" w:hAnsi="Arial"/>
                  <w:sz w:val="17"/>
                  <w:szCs w:val="17"/>
                  <w:color w:val="0000EE"/>
                  <w:w w:val="96"/>
                </w:rPr>
                <w:t>2013. (Incorporated by reference to Exhibit 4.1 of the Company’s Registration Statement on Form 8-A as filed on September 3, 2013).</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(4.2)</w:t>
            </w:r>
          </w:p>
        </w:tc>
        <w:tc>
          <w:tcPr>
            <w:tcW w:w="9360" w:type="dxa"/>
            <w:vAlign w:val="bottom"/>
            <w:tcBorders>
              <w:top w:val="single" w:sz="8" w:color="0000EE"/>
            </w:tcBorders>
            <w:gridSpan w:val="16"/>
          </w:tcPr>
          <w:p>
            <w:pPr>
              <w:spacing w:after="0"/>
              <w:rPr>
                <w:rFonts w:ascii="Arial" w:cs="Arial" w:eastAsia="Arial" w:hAnsi="Arial"/>
                <w:sz w:val="17"/>
                <w:szCs w:val="17"/>
                <w:color w:val="0000EE"/>
                <w:w w:val="91"/>
              </w:rPr>
            </w:pPr>
            <w:hyperlink r:id="rId132">
              <w:r>
                <w:rPr>
                  <w:rFonts w:ascii="Arial" w:cs="Arial" w:eastAsia="Arial" w:hAnsi="Arial"/>
                  <w:sz w:val="17"/>
                  <w:szCs w:val="17"/>
                  <w:color w:val="0000EE"/>
                  <w:w w:val="91"/>
                </w:rPr>
                <w:t>Warrant Agreement between Eastman Kodak Company and ComputerShare Trust Company, N.A. and ComputerShare Inc. as Warrant</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w w:val="92"/>
              </w:rPr>
            </w:pPr>
            <w:hyperlink r:id="rId132">
              <w:r>
                <w:rPr>
                  <w:rFonts w:ascii="Arial" w:cs="Arial" w:eastAsia="Arial" w:hAnsi="Arial"/>
                  <w:sz w:val="17"/>
                  <w:szCs w:val="17"/>
                  <w:color w:val="0000EE"/>
                  <w:w w:val="92"/>
                </w:rPr>
                <w:t>Agent, dated September 3, 2013. (Incorporated by reference to Exhibit 4.2 of the Company’s Registration Statement on Form 8-A as filed on</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2"/>
              </w:rPr>
            </w:pPr>
            <w:hyperlink r:id="rId132">
              <w:r>
                <w:rPr>
                  <w:rFonts w:ascii="Arial" w:cs="Arial" w:eastAsia="Arial" w:hAnsi="Arial"/>
                  <w:sz w:val="17"/>
                  <w:szCs w:val="17"/>
                  <w:color w:val="0000EE"/>
                  <w:w w:val="92"/>
                </w:rPr>
                <w:t>September 3, 2013).</w:t>
              </w:r>
            </w:hyperlink>
          </w:p>
        </w:tc>
        <w:tc>
          <w:tcPr>
            <w:tcW w:w="8340" w:type="dxa"/>
            <w:vAlign w:val="bottom"/>
            <w:tcBorders>
              <w:top w:val="single" w:sz="8" w:color="0000EE"/>
            </w:tcBorders>
            <w:gridSpan w:val="2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(4.3)</w:t>
            </w:r>
          </w:p>
        </w:tc>
        <w:tc>
          <w:tcPr>
            <w:tcW w:w="9620" w:type="dxa"/>
            <w:vAlign w:val="bottom"/>
            <w:tcBorders>
              <w:bottom w:val="single" w:sz="8" w:color="0000EE"/>
            </w:tcBorders>
            <w:gridSpan w:val="22"/>
          </w:tcPr>
          <w:p>
            <w:pPr>
              <w:spacing w:after="0"/>
              <w:rPr>
                <w:rFonts w:ascii="Arial" w:cs="Arial" w:eastAsia="Arial" w:hAnsi="Arial"/>
                <w:sz w:val="17"/>
                <w:szCs w:val="17"/>
                <w:color w:val="0000EE"/>
                <w:w w:val="92"/>
              </w:rPr>
            </w:pPr>
            <w:hyperlink r:id="rId133">
              <w:r>
                <w:rPr>
                  <w:rFonts w:ascii="Arial" w:cs="Arial" w:eastAsia="Arial" w:hAnsi="Arial"/>
                  <w:sz w:val="17"/>
                  <w:szCs w:val="17"/>
                  <w:color w:val="0000EE"/>
                  <w:w w:val="92"/>
                </w:rPr>
                <w:t>Registration Rights Agreement by and among Eastman Kodak Company, Southeastern Asset Management, Inc., Longleaf Partners Small-</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w w:val="93"/>
              </w:rPr>
            </w:pPr>
            <w:hyperlink r:id="rId133">
              <w:r>
                <w:rPr>
                  <w:rFonts w:ascii="Arial" w:cs="Arial" w:eastAsia="Arial" w:hAnsi="Arial"/>
                  <w:sz w:val="17"/>
                  <w:szCs w:val="17"/>
                  <w:color w:val="0000EE"/>
                  <w:w w:val="93"/>
                </w:rPr>
                <w:t>Cap Fund, C2W Partners Master Fund Limited and Deseret Mutual Pension Trust, dated November 15, 2016. (Incorporated by reference to</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18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3"/>
              </w:rPr>
            </w:pPr>
            <w:hyperlink r:id="rId133">
              <w:r>
                <w:rPr>
                  <w:rFonts w:ascii="Arial" w:cs="Arial" w:eastAsia="Arial" w:hAnsi="Arial"/>
                  <w:sz w:val="17"/>
                  <w:szCs w:val="17"/>
                  <w:color w:val="0000EE"/>
                  <w:w w:val="93"/>
                </w:rPr>
                <w:t>Exhibit 4.1 of the Company’s Current Report on Form 8-K as filed November 16, 2016).</w:t>
              </w:r>
            </w:hyperlink>
          </w:p>
        </w:tc>
        <w:tc>
          <w:tcPr>
            <w:tcW w:w="3500" w:type="dxa"/>
            <w:vAlign w:val="bottom"/>
            <w:tcBorders>
              <w:top w:val="single" w:sz="8" w:color="0000EE"/>
            </w:tcBorders>
            <w:gridSpan w:val="16"/>
          </w:tcPr>
          <w:p>
            <w:pPr>
              <w:spacing w:after="0"/>
              <w:rPr>
                <w:sz w:val="16"/>
                <w:szCs w:val="16"/>
                <w:color w:val="auto"/>
              </w:rPr>
            </w:pPr>
          </w:p>
        </w:tc>
        <w:tc>
          <w:tcPr>
            <w:tcW w:w="1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(4.4)</w:t>
            </w:r>
          </w:p>
        </w:tc>
        <w:tc>
          <w:tcPr>
            <w:tcW w:w="9460" w:type="dxa"/>
            <w:vAlign w:val="bottom"/>
            <w:tcBorders>
              <w:bottom w:val="single" w:sz="8" w:color="0000EE"/>
            </w:tcBorders>
            <w:gridSpan w:val="19"/>
          </w:tcPr>
          <w:p>
            <w:pPr>
              <w:spacing w:after="0"/>
              <w:rPr>
                <w:rFonts w:ascii="Arial" w:cs="Arial" w:eastAsia="Arial" w:hAnsi="Arial"/>
                <w:sz w:val="17"/>
                <w:szCs w:val="17"/>
                <w:color w:val="0000EE"/>
                <w:w w:val="92"/>
              </w:rPr>
            </w:pPr>
            <w:hyperlink r:id="rId134">
              <w:r>
                <w:rPr>
                  <w:rFonts w:ascii="Arial" w:cs="Arial" w:eastAsia="Arial" w:hAnsi="Arial"/>
                  <w:sz w:val="17"/>
                  <w:szCs w:val="17"/>
                  <w:color w:val="0000EE"/>
                  <w:w w:val="92"/>
                </w:rPr>
                <w:t>Shareholder Agreement, dated as of April 17, 2017, by and among Eastman Kodak Company, Longleaf Partners Small-Cap Fund, C2W</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340" w:type="dxa"/>
            <w:vAlign w:val="bottom"/>
            <w:tcBorders>
              <w:bottom w:val="single" w:sz="8" w:color="0000EE"/>
            </w:tcBorders>
            <w:gridSpan w:val="15"/>
          </w:tcPr>
          <w:p>
            <w:pPr>
              <w:spacing w:after="0" w:line="189" w:lineRule="exact"/>
              <w:rPr>
                <w:rFonts w:ascii="Arial" w:cs="Arial" w:eastAsia="Arial" w:hAnsi="Arial"/>
                <w:sz w:val="17"/>
                <w:szCs w:val="17"/>
                <w:color w:val="0000EE"/>
                <w:w w:val="92"/>
              </w:rPr>
            </w:pPr>
            <w:hyperlink r:id="rId134">
              <w:r>
                <w:rPr>
                  <w:rFonts w:ascii="Arial" w:cs="Arial" w:eastAsia="Arial" w:hAnsi="Arial"/>
                  <w:sz w:val="17"/>
                  <w:szCs w:val="17"/>
                  <w:color w:val="0000EE"/>
                  <w:w w:val="92"/>
                </w:rPr>
                <w:t>Partners Master Fund Limited, Deseret Mutual Pension Trust and Southeastern Asset Management, Inc. (Incorporated by reference to</w:t>
              </w:r>
            </w:hyperlink>
          </w:p>
        </w:tc>
        <w:tc>
          <w:tcPr>
            <w:tcW w:w="4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920" w:type="dxa"/>
            <w:vAlign w:val="bottom"/>
            <w:tcBorders>
              <w:bottom w:val="single" w:sz="8" w:color="0000EE"/>
            </w:tcBorders>
            <w:gridSpan w:val="11"/>
          </w:tcPr>
          <w:p>
            <w:pPr>
              <w:spacing w:after="0" w:line="189" w:lineRule="exact"/>
              <w:rPr>
                <w:rFonts w:ascii="Arial" w:cs="Arial" w:eastAsia="Arial" w:hAnsi="Arial"/>
                <w:sz w:val="17"/>
                <w:szCs w:val="17"/>
                <w:color w:val="0000EE"/>
                <w:w w:val="93"/>
              </w:rPr>
            </w:pPr>
            <w:hyperlink r:id="rId134">
              <w:r>
                <w:rPr>
                  <w:rFonts w:ascii="Arial" w:cs="Arial" w:eastAsia="Arial" w:hAnsi="Arial"/>
                  <w:sz w:val="17"/>
                  <w:szCs w:val="17"/>
                  <w:color w:val="0000EE"/>
                  <w:w w:val="93"/>
                </w:rPr>
                <w:t>Exhibit 4.6 of the Company’s Amendment No. 2 to Registration Statement on Form S-3 as filed on May 5, 2017).</w:t>
              </w:r>
            </w:hyperlink>
          </w:p>
        </w:tc>
        <w:tc>
          <w:tcPr>
            <w:tcW w:w="19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*(10.1)</w:t>
            </w:r>
          </w:p>
        </w:tc>
        <w:tc>
          <w:tcPr>
            <w:tcW w:w="9820" w:type="dxa"/>
            <w:vAlign w:val="bottom"/>
            <w:gridSpan w:val="28"/>
          </w:tcPr>
          <w:p>
            <w:pPr>
              <w:spacing w:after="0"/>
              <w:rPr>
                <w:rFonts w:ascii="Arial" w:cs="Arial" w:eastAsia="Arial" w:hAnsi="Arial"/>
                <w:sz w:val="17"/>
                <w:szCs w:val="17"/>
                <w:color w:val="0000EE"/>
                <w:w w:val="93"/>
              </w:rPr>
            </w:pPr>
            <w:hyperlink r:id="rId135">
              <w:r>
                <w:rPr>
                  <w:rFonts w:ascii="Arial" w:cs="Arial" w:eastAsia="Arial" w:hAnsi="Arial"/>
                  <w:sz w:val="17"/>
                  <w:szCs w:val="17"/>
                  <w:color w:val="0000EE"/>
                  <w:w w:val="93"/>
                </w:rPr>
                <w:t>Eastman Kodak Company 2013 Omnibus Incentive Plan. (Incorporated by reference to Exhibit 4.4 of the Company’s Registration Statement</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1"/>
              </w:rPr>
            </w:pPr>
            <w:hyperlink r:id="rId135">
              <w:r>
                <w:rPr>
                  <w:rFonts w:ascii="Arial" w:cs="Arial" w:eastAsia="Arial" w:hAnsi="Arial"/>
                  <w:sz w:val="17"/>
                  <w:szCs w:val="17"/>
                  <w:color w:val="0000EE"/>
                  <w:w w:val="91"/>
                </w:rPr>
                <w:t>on Form S-8 as filed on September 3, 2013).</w:t>
              </w:r>
            </w:hyperlink>
          </w:p>
        </w:tc>
        <w:tc>
          <w:tcPr>
            <w:tcW w:w="6680" w:type="dxa"/>
            <w:vAlign w:val="bottom"/>
            <w:tcBorders>
              <w:top w:val="single" w:sz="8" w:color="0000EE"/>
            </w:tcBorders>
            <w:gridSpan w:val="2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*(10.2)</w:t>
            </w:r>
          </w:p>
        </w:tc>
        <w:tc>
          <w:tcPr>
            <w:tcW w:w="9820" w:type="dxa"/>
            <w:vAlign w:val="bottom"/>
            <w:gridSpan w:val="28"/>
          </w:tcPr>
          <w:p>
            <w:pPr>
              <w:spacing w:after="0"/>
              <w:rPr>
                <w:rFonts w:ascii="Arial" w:cs="Arial" w:eastAsia="Arial" w:hAnsi="Arial"/>
                <w:sz w:val="17"/>
                <w:szCs w:val="17"/>
                <w:color w:val="0000EE"/>
              </w:rPr>
            </w:pPr>
            <w:hyperlink r:id="rId136">
              <w:r>
                <w:rPr>
                  <w:rFonts w:ascii="Arial" w:cs="Arial" w:eastAsia="Arial" w:hAnsi="Arial"/>
                  <w:sz w:val="17"/>
                  <w:szCs w:val="17"/>
                  <w:color w:val="0000EE"/>
                </w:rPr>
                <w:t>First Amendment to the Eastman Kodak Company 2013 Omnibus Incentive Plan. (Incorporated by reference to Exhibit 99.1 of the</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3"/>
              </w:rPr>
            </w:pPr>
            <w:hyperlink r:id="rId136">
              <w:r>
                <w:rPr>
                  <w:rFonts w:ascii="Arial" w:cs="Arial" w:eastAsia="Arial" w:hAnsi="Arial"/>
                  <w:sz w:val="17"/>
                  <w:szCs w:val="17"/>
                  <w:color w:val="0000EE"/>
                  <w:w w:val="93"/>
                </w:rPr>
                <w:t>Company’s Current Report on Form 8-K as filed May 24, 2018).</w:t>
              </w:r>
            </w:hyperlink>
          </w:p>
        </w:tc>
        <w:tc>
          <w:tcPr>
            <w:tcW w:w="4640" w:type="dxa"/>
            <w:vAlign w:val="bottom"/>
            <w:tcBorders>
              <w:top w:val="single" w:sz="8" w:color="0000EE"/>
            </w:tcBorders>
            <w:gridSpan w:val="7"/>
          </w:tcPr>
          <w:p>
            <w:pPr>
              <w:spacing w:after="0"/>
              <w:rPr>
                <w:sz w:val="16"/>
                <w:szCs w:val="16"/>
                <w:color w:val="auto"/>
              </w:rPr>
            </w:pPr>
          </w:p>
        </w:tc>
        <w:tc>
          <w:tcPr>
            <w:tcW w:w="6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*(10.3)</w:t>
            </w:r>
          </w:p>
        </w:tc>
        <w:tc>
          <w:tcPr>
            <w:tcW w:w="9820" w:type="dxa"/>
            <w:vAlign w:val="bottom"/>
            <w:gridSpan w:val="28"/>
          </w:tcPr>
          <w:p>
            <w:pPr>
              <w:spacing w:after="0"/>
              <w:rPr>
                <w:sz w:val="20"/>
                <w:szCs w:val="20"/>
                <w:color w:val="auto"/>
              </w:rPr>
            </w:pPr>
            <w:r>
              <w:rPr>
                <w:rFonts w:ascii="Arial" w:cs="Arial" w:eastAsia="Arial" w:hAnsi="Arial"/>
                <w:sz w:val="17"/>
                <w:szCs w:val="17"/>
                <w:color w:val="0000EE"/>
              </w:rPr>
              <w:t>Second Amendment to the Eastman Kodak Company 2013 Omnibus Incentive Plan, filed herewith.</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*(10.34</w:t>
            </w:r>
          </w:p>
        </w:tc>
        <w:tc>
          <w:tcPr>
            <w:tcW w:w="9820" w:type="dxa"/>
            <w:vAlign w:val="bottom"/>
            <w:gridSpan w:val="28"/>
          </w:tcPr>
          <w:p>
            <w:pPr>
              <w:spacing w:after="0"/>
              <w:rPr>
                <w:rFonts w:ascii="Arial" w:cs="Arial" w:eastAsia="Arial" w:hAnsi="Arial"/>
                <w:sz w:val="17"/>
                <w:szCs w:val="17"/>
                <w:color w:val="0000EE"/>
                <w:w w:val="97"/>
              </w:rPr>
            </w:pPr>
            <w:hyperlink r:id="rId137">
              <w:r>
                <w:rPr>
                  <w:rFonts w:ascii="Arial" w:cs="Arial" w:eastAsia="Arial" w:hAnsi="Arial"/>
                  <w:sz w:val="17"/>
                  <w:szCs w:val="17"/>
                  <w:color w:val="0000EE"/>
                  <w:w w:val="97"/>
                </w:rPr>
                <w:t>Eastman Kodak Company 2013 Omnibus Incentive Plan Form of Executive Restricted Stock Unit Award Agreement. (Incorporated by</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0" w:type="dxa"/>
            <w:vAlign w:val="bottom"/>
            <w:gridSpan w:val="11"/>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600" w:type="dxa"/>
            <w:vAlign w:val="bottom"/>
            <w:tcBorders>
              <w:bottom w:val="single" w:sz="8" w:color="0000EE"/>
            </w:tcBorders>
            <w:gridSpan w:val="21"/>
          </w:tcPr>
          <w:p>
            <w:pPr>
              <w:spacing w:after="0" w:line="189" w:lineRule="exact"/>
              <w:rPr>
                <w:rFonts w:ascii="Arial" w:cs="Arial" w:eastAsia="Arial" w:hAnsi="Arial"/>
                <w:sz w:val="17"/>
                <w:szCs w:val="17"/>
                <w:color w:val="0000EE"/>
                <w:w w:val="92"/>
              </w:rPr>
            </w:pPr>
            <w:hyperlink r:id="rId137">
              <w:r>
                <w:rPr>
                  <w:rFonts w:ascii="Arial" w:cs="Arial" w:eastAsia="Arial" w:hAnsi="Arial"/>
                  <w:sz w:val="17"/>
                  <w:szCs w:val="17"/>
                  <w:color w:val="0000EE"/>
                  <w:w w:val="92"/>
                </w:rPr>
                <w:t>reference to Exhibit 10.2 of the Company’s Quarterly Report on Form 10-Q for the quarterly period ended September 30, 2013 as filed on</w:t>
              </w:r>
            </w:hyperlink>
          </w:p>
        </w:tc>
        <w:tc>
          <w:tcPr>
            <w:tcW w:w="2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rPr>
            </w:pPr>
            <w:hyperlink r:id="rId137">
              <w:r>
                <w:rPr>
                  <w:rFonts w:ascii="Arial" w:cs="Arial" w:eastAsia="Arial" w:hAnsi="Arial"/>
                  <w:sz w:val="17"/>
                  <w:szCs w:val="17"/>
                  <w:color w:val="0000EE"/>
                </w:rPr>
                <w:t>November 12, 2013).</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*(10.5)</w:t>
            </w:r>
          </w:p>
        </w:tc>
        <w:tc>
          <w:tcPr>
            <w:tcW w:w="9280" w:type="dxa"/>
            <w:vAlign w:val="bottom"/>
            <w:tcBorders>
              <w:bottom w:val="single" w:sz="8" w:color="0000EE"/>
            </w:tcBorders>
            <w:gridSpan w:val="14"/>
          </w:tcPr>
          <w:p>
            <w:pPr>
              <w:spacing w:after="0"/>
              <w:rPr>
                <w:rFonts w:ascii="Arial" w:cs="Arial" w:eastAsia="Arial" w:hAnsi="Arial"/>
                <w:sz w:val="17"/>
                <w:szCs w:val="17"/>
                <w:color w:val="0000EE"/>
                <w:w w:val="93"/>
              </w:rPr>
            </w:pPr>
            <w:hyperlink r:id="rId138">
              <w:r>
                <w:rPr>
                  <w:rFonts w:ascii="Arial" w:cs="Arial" w:eastAsia="Arial" w:hAnsi="Arial"/>
                  <w:sz w:val="17"/>
                  <w:szCs w:val="17"/>
                  <w:color w:val="0000EE"/>
                  <w:w w:val="93"/>
                </w:rPr>
                <w:t>Eastman Kodak Company 2013 Omnibus Incentive Plan Form of Director Restricted Stock Unit Award Agreement. (Incorporated by</w:t>
              </w:r>
            </w:hyperlink>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w w:val="93"/>
              </w:rPr>
            </w:pPr>
            <w:hyperlink r:id="rId138">
              <w:r>
                <w:rPr>
                  <w:rFonts w:ascii="Arial" w:cs="Arial" w:eastAsia="Arial" w:hAnsi="Arial"/>
                  <w:sz w:val="17"/>
                  <w:szCs w:val="17"/>
                  <w:color w:val="0000EE"/>
                  <w:w w:val="93"/>
                </w:rPr>
                <w:t>reference to Exhibit 10.3 of the Company’s Annual Report on Form 10-K for the fiscal year ended December 31, 2013 as filed on March 19,</w:t>
              </w:r>
            </w:hyperlink>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r:id="rId138">
              <w:r>
                <w:rPr>
                  <w:rFonts w:ascii="Arial" w:cs="Arial" w:eastAsia="Arial" w:hAnsi="Arial"/>
                  <w:sz w:val="17"/>
                  <w:szCs w:val="17"/>
                  <w:color w:val="0000EE"/>
                  <w:w w:val="87"/>
                </w:rPr>
                <w:t>2014).</w:t>
              </w:r>
            </w:hyperlink>
          </w:p>
        </w:tc>
        <w:tc>
          <w:tcPr>
            <w:tcW w:w="10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24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*(10.6)</w:t>
            </w:r>
          </w:p>
        </w:tc>
        <w:tc>
          <w:tcPr>
            <w:tcW w:w="9820" w:type="dxa"/>
            <w:vAlign w:val="bottom"/>
            <w:gridSpan w:val="28"/>
          </w:tcPr>
          <w:p>
            <w:pPr>
              <w:spacing w:after="0"/>
              <w:rPr>
                <w:rFonts w:ascii="Arial" w:cs="Arial" w:eastAsia="Arial" w:hAnsi="Arial"/>
                <w:sz w:val="17"/>
                <w:szCs w:val="17"/>
                <w:color w:val="0000EE"/>
                <w:w w:val="97"/>
              </w:rPr>
            </w:pPr>
            <w:hyperlink r:id="rId139">
              <w:r>
                <w:rPr>
                  <w:rFonts w:ascii="Arial" w:cs="Arial" w:eastAsia="Arial" w:hAnsi="Arial"/>
                  <w:sz w:val="17"/>
                  <w:szCs w:val="17"/>
                  <w:color w:val="0000EE"/>
                  <w:w w:val="97"/>
                </w:rPr>
                <w:t>Eastman Kodak Company 2013 Omnibus Incentive Plan Form of Nonqualified Stock Option Agreement. (Incorporated by reference to</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400" w:type="dxa"/>
            <w:vAlign w:val="bottom"/>
            <w:gridSpan w:val="1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8"/>
          </w:tcPr>
          <w:p>
            <w:pPr>
              <w:spacing w:after="0" w:line="189" w:lineRule="exact"/>
              <w:rPr>
                <w:rFonts w:ascii="Arial" w:cs="Arial" w:eastAsia="Arial" w:hAnsi="Arial"/>
                <w:sz w:val="17"/>
                <w:szCs w:val="17"/>
                <w:color w:val="0000EE"/>
                <w:w w:val="97"/>
              </w:rPr>
            </w:pPr>
            <w:hyperlink r:id="rId139">
              <w:r>
                <w:rPr>
                  <w:rFonts w:ascii="Arial" w:cs="Arial" w:eastAsia="Arial" w:hAnsi="Arial"/>
                  <w:sz w:val="17"/>
                  <w:szCs w:val="17"/>
                  <w:color w:val="0000EE"/>
                  <w:w w:val="97"/>
                </w:rPr>
                <w:t>Exhibit 10.1 of the Company’s Quarterly Report on Form 10-Q for the quarterly period ended March 31, 2015 as filed on May 7, 2015).</w:t>
              </w:r>
            </w:hyperlink>
          </w:p>
        </w:tc>
        <w:tc>
          <w:tcPr>
            <w:tcW w:w="0" w:type="dxa"/>
            <w:vAlign w:val="bottom"/>
          </w:tcPr>
          <w:p>
            <w:pPr>
              <w:spacing w:after="0"/>
              <w:rPr>
                <w:sz w:val="1"/>
                <w:szCs w:val="1"/>
                <w:color w:val="auto"/>
              </w:rPr>
            </w:pPr>
          </w:p>
        </w:tc>
      </w:tr>
      <w:tr>
        <w:trPr>
          <w:trHeight w:val="671"/>
        </w:trPr>
        <w:tc>
          <w:tcPr>
            <w:tcW w:w="1620" w:type="dxa"/>
            <w:vAlign w:val="bottom"/>
          </w:tcPr>
          <w:p>
            <w:pPr>
              <w:spacing w:after="0"/>
              <w:rPr>
                <w:sz w:val="24"/>
                <w:szCs w:val="24"/>
                <w:color w:val="auto"/>
              </w:rPr>
            </w:pPr>
          </w:p>
        </w:tc>
        <w:tc>
          <w:tcPr>
            <w:tcW w:w="4500" w:type="dxa"/>
            <w:vAlign w:val="bottom"/>
            <w:tcBorders>
              <w:top w:val="single" w:sz="8" w:color="0000EE"/>
            </w:tcBorders>
            <w:gridSpan w:val="6"/>
          </w:tcPr>
          <w:p>
            <w:pPr>
              <w:jc w:val="center"/>
              <w:ind w:left="3593"/>
              <w:spacing w:after="0"/>
              <w:rPr>
                <w:sz w:val="20"/>
                <w:szCs w:val="20"/>
                <w:color w:val="auto"/>
              </w:rPr>
            </w:pPr>
            <w:r>
              <w:rPr>
                <w:rFonts w:ascii="Arial" w:cs="Arial" w:eastAsia="Arial" w:hAnsi="Arial"/>
                <w:sz w:val="17"/>
                <w:szCs w:val="17"/>
                <w:color w:val="auto"/>
                <w:w w:val="91"/>
              </w:rPr>
              <w:t>101</w:t>
            </w:r>
          </w:p>
        </w:tc>
        <w:tc>
          <w:tcPr>
            <w:tcW w:w="10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7"/>
                <w:szCs w:val="17"/>
                <w:color w:val="auto"/>
              </w:rPr>
              <w:t>*(10.7)</w:t>
            </w:r>
          </w:p>
        </w:tc>
        <w:tc>
          <w:tcPr>
            <w:tcW w:w="9820" w:type="dxa"/>
            <w:vAlign w:val="bottom"/>
            <w:gridSpan w:val="31"/>
          </w:tcPr>
          <w:p>
            <w:pPr>
              <w:spacing w:after="0"/>
              <w:rPr>
                <w:rFonts w:ascii="Arial" w:cs="Arial" w:eastAsia="Arial" w:hAnsi="Arial"/>
                <w:sz w:val="17"/>
                <w:szCs w:val="17"/>
                <w:color w:val="0000EE"/>
                <w:w w:val="96"/>
              </w:rPr>
            </w:pPr>
            <w:hyperlink r:id="rId142">
              <w:r>
                <w:rPr>
                  <w:rFonts w:ascii="Arial" w:cs="Arial" w:eastAsia="Arial" w:hAnsi="Arial"/>
                  <w:sz w:val="17"/>
                  <w:szCs w:val="17"/>
                  <w:color w:val="0000EE"/>
                  <w:w w:val="96"/>
                </w:rPr>
                <w:t>Eastman Kodak Company 2013 Omnibus Incentive Plan Form of Executive Restricted Stock Unit and Nonqualified Stock Option Award</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740" w:type="dxa"/>
            <w:vAlign w:val="bottom"/>
            <w:tcBorders>
              <w:bottom w:val="single" w:sz="8" w:color="0000EE"/>
            </w:tcBorders>
            <w:gridSpan w:val="27"/>
          </w:tcPr>
          <w:p>
            <w:pPr>
              <w:spacing w:after="0" w:line="189" w:lineRule="exact"/>
              <w:rPr>
                <w:rFonts w:ascii="Arial" w:cs="Arial" w:eastAsia="Arial" w:hAnsi="Arial"/>
                <w:sz w:val="17"/>
                <w:szCs w:val="17"/>
                <w:color w:val="0000EE"/>
                <w:w w:val="94"/>
              </w:rPr>
            </w:pPr>
            <w:hyperlink r:id="rId142">
              <w:r>
                <w:rPr>
                  <w:rFonts w:ascii="Arial" w:cs="Arial" w:eastAsia="Arial" w:hAnsi="Arial"/>
                  <w:sz w:val="17"/>
                  <w:szCs w:val="17"/>
                  <w:color w:val="0000EE"/>
                  <w:w w:val="94"/>
                </w:rPr>
                <w:t>Agreement (with Modified Accelerated Vesting).(Incorporated by reference to Exhibit 10.5 of the Company’s Annual Report on Form 10-K</w:t>
              </w:r>
            </w:hyperlink>
          </w:p>
        </w:tc>
        <w:tc>
          <w:tcPr>
            <w:tcW w:w="80" w:type="dxa"/>
            <w:vAlign w:val="bottom"/>
            <w:gridSpan w:val="4"/>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020" w:type="dxa"/>
            <w:vAlign w:val="bottom"/>
            <w:tcBorders>
              <w:bottom w:val="single" w:sz="8" w:color="0000EE"/>
            </w:tcBorders>
            <w:gridSpan w:val="10"/>
          </w:tcPr>
          <w:p>
            <w:pPr>
              <w:spacing w:after="0" w:line="189" w:lineRule="exact"/>
              <w:rPr>
                <w:rFonts w:ascii="Arial" w:cs="Arial" w:eastAsia="Arial" w:hAnsi="Arial"/>
                <w:sz w:val="17"/>
                <w:szCs w:val="17"/>
                <w:color w:val="0000EE"/>
                <w:w w:val="92"/>
              </w:rPr>
            </w:pPr>
            <w:hyperlink r:id="rId142">
              <w:r>
                <w:rPr>
                  <w:rFonts w:ascii="Arial" w:cs="Arial" w:eastAsia="Arial" w:hAnsi="Arial"/>
                  <w:sz w:val="17"/>
                  <w:szCs w:val="17"/>
                  <w:color w:val="0000EE"/>
                  <w:w w:val="92"/>
                </w:rPr>
                <w:t>for the fiscal year ended December 31, 2016 as filed on March 7, 2017).</w:t>
              </w:r>
            </w:hyperlink>
          </w:p>
        </w:tc>
        <w:tc>
          <w:tcPr>
            <w:tcW w:w="4800" w:type="dxa"/>
            <w:vAlign w:val="bottom"/>
            <w:gridSpan w:val="21"/>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*(10.8)</w:t>
            </w:r>
          </w:p>
        </w:tc>
        <w:tc>
          <w:tcPr>
            <w:tcW w:w="9820" w:type="dxa"/>
            <w:vAlign w:val="bottom"/>
            <w:gridSpan w:val="31"/>
          </w:tcPr>
          <w:p>
            <w:pPr>
              <w:spacing w:after="0"/>
              <w:rPr>
                <w:rFonts w:ascii="Arial" w:cs="Arial" w:eastAsia="Arial" w:hAnsi="Arial"/>
                <w:sz w:val="17"/>
                <w:szCs w:val="17"/>
                <w:color w:val="0000EE"/>
                <w:w w:val="96"/>
              </w:rPr>
            </w:pPr>
            <w:hyperlink r:id="rId143">
              <w:r>
                <w:rPr>
                  <w:rFonts w:ascii="Arial" w:cs="Arial" w:eastAsia="Arial" w:hAnsi="Arial"/>
                  <w:sz w:val="17"/>
                  <w:szCs w:val="17"/>
                  <w:color w:val="0000EE"/>
                  <w:w w:val="96"/>
                </w:rPr>
                <w:t>Eastman Kodak Company 2013 Omnibus Incentive Plan Form of Executive Restricted Stock Unit and Nonqualified Stock Option Award</w:t>
              </w:r>
            </w:hyperlink>
          </w:p>
        </w:tc>
      </w:tr>
      <w:tr>
        <w:trPr>
          <w:trHeight w:val="189"/>
        </w:trPr>
        <w:tc>
          <w:tcPr>
            <w:tcW w:w="1620" w:type="dxa"/>
            <w:vAlign w:val="bottom"/>
          </w:tcPr>
          <w:p>
            <w:pPr>
              <w:spacing w:after="0"/>
              <w:rPr>
                <w:sz w:val="16"/>
                <w:szCs w:val="16"/>
                <w:color w:val="auto"/>
              </w:rPr>
            </w:pPr>
          </w:p>
        </w:tc>
        <w:tc>
          <w:tcPr>
            <w:tcW w:w="9540" w:type="dxa"/>
            <w:vAlign w:val="bottom"/>
            <w:tcBorders>
              <w:top w:val="single" w:sz="8" w:color="0000EE"/>
            </w:tcBorders>
            <w:gridSpan w:val="21"/>
          </w:tcPr>
          <w:p>
            <w:pPr>
              <w:spacing w:after="0" w:line="189" w:lineRule="exact"/>
              <w:rPr>
                <w:rFonts w:ascii="Arial" w:cs="Arial" w:eastAsia="Arial" w:hAnsi="Arial"/>
                <w:sz w:val="17"/>
                <w:szCs w:val="17"/>
                <w:color w:val="0000EE"/>
                <w:w w:val="94"/>
              </w:rPr>
            </w:pPr>
            <w:hyperlink r:id="rId143">
              <w:r>
                <w:rPr>
                  <w:rFonts w:ascii="Arial" w:cs="Arial" w:eastAsia="Arial" w:hAnsi="Arial"/>
                  <w:sz w:val="17"/>
                  <w:szCs w:val="17"/>
                  <w:color w:val="0000EE"/>
                  <w:w w:val="94"/>
                </w:rPr>
                <w:t>Agreement (with Continued Vesting). (Incorporated by reference to Exhibit 10.6 of the Company’s Annual Report on Form 10-K for the</w:t>
              </w:r>
            </w:hyperlink>
          </w:p>
        </w:tc>
        <w:tc>
          <w:tcPr>
            <w:tcW w:w="280" w:type="dxa"/>
            <w:vAlign w:val="bottom"/>
            <w:gridSpan w:val="10"/>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452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2"/>
              </w:rPr>
            </w:pPr>
            <w:hyperlink r:id="rId143">
              <w:r>
                <w:rPr>
                  <w:rFonts w:ascii="Arial" w:cs="Arial" w:eastAsia="Arial" w:hAnsi="Arial"/>
                  <w:sz w:val="17"/>
                  <w:szCs w:val="17"/>
                  <w:color w:val="0000EE"/>
                  <w:w w:val="92"/>
                </w:rPr>
                <w:t>fiscal year ended December 31, 2016 as filed on March 7, 2017).</w:t>
              </w:r>
            </w:hyperlink>
          </w:p>
        </w:tc>
        <w:tc>
          <w:tcPr>
            <w:tcW w:w="4960" w:type="dxa"/>
            <w:vAlign w:val="bottom"/>
            <w:tcBorders>
              <w:top w:val="single" w:sz="8" w:color="0000EE"/>
            </w:tcBorders>
            <w:gridSpan w:val="11"/>
          </w:tcPr>
          <w:p>
            <w:pPr>
              <w:spacing w:after="0"/>
              <w:rPr>
                <w:sz w:val="16"/>
                <w:szCs w:val="16"/>
                <w:color w:val="auto"/>
              </w:rPr>
            </w:pPr>
          </w:p>
        </w:tc>
        <w:tc>
          <w:tcPr>
            <w:tcW w:w="340" w:type="dxa"/>
            <w:vAlign w:val="bottom"/>
            <w:gridSpan w:val="11"/>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*(10.9)</w:t>
            </w:r>
          </w:p>
        </w:tc>
        <w:tc>
          <w:tcPr>
            <w:tcW w:w="9820" w:type="dxa"/>
            <w:vAlign w:val="bottom"/>
            <w:gridSpan w:val="31"/>
          </w:tcPr>
          <w:p>
            <w:pPr>
              <w:spacing w:after="0"/>
              <w:rPr>
                <w:rFonts w:ascii="Arial" w:cs="Arial" w:eastAsia="Arial" w:hAnsi="Arial"/>
                <w:sz w:val="17"/>
                <w:szCs w:val="17"/>
                <w:color w:val="0000EE"/>
                <w:w w:val="96"/>
              </w:rPr>
            </w:pPr>
            <w:hyperlink r:id="rId144">
              <w:r>
                <w:rPr>
                  <w:rFonts w:ascii="Arial" w:cs="Arial" w:eastAsia="Arial" w:hAnsi="Arial"/>
                  <w:sz w:val="17"/>
                  <w:szCs w:val="17"/>
                  <w:color w:val="0000EE"/>
                  <w:w w:val="96"/>
                </w:rPr>
                <w:t>Eastman Kodak Company 2013 Omnibus Incentive Plan Form of Executive Restricted Stock Unit and Nonqualified Stock Option Award</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700" w:type="dxa"/>
            <w:vAlign w:val="bottom"/>
            <w:tcBorders>
              <w:bottom w:val="single" w:sz="8" w:color="0000EE"/>
            </w:tcBorders>
            <w:gridSpan w:val="26"/>
          </w:tcPr>
          <w:p>
            <w:pPr>
              <w:spacing w:after="0" w:line="189" w:lineRule="exact"/>
              <w:rPr>
                <w:rFonts w:ascii="Arial" w:cs="Arial" w:eastAsia="Arial" w:hAnsi="Arial"/>
                <w:sz w:val="17"/>
                <w:szCs w:val="17"/>
                <w:color w:val="0000EE"/>
                <w:w w:val="93"/>
              </w:rPr>
            </w:pPr>
            <w:hyperlink r:id="rId144">
              <w:r>
                <w:rPr>
                  <w:rFonts w:ascii="Arial" w:cs="Arial" w:eastAsia="Arial" w:hAnsi="Arial"/>
                  <w:sz w:val="17"/>
                  <w:szCs w:val="17"/>
                  <w:color w:val="0000EE"/>
                  <w:w w:val="93"/>
                </w:rPr>
                <w:t>Agreement (with Forfeiture upon Termination). (Incorporated by reference to Exhibit 10.2 of the Company’s Quarterly Report on Form 10-</w:t>
              </w:r>
            </w:hyperlink>
          </w:p>
        </w:tc>
        <w:tc>
          <w:tcPr>
            <w:tcW w:w="120" w:type="dxa"/>
            <w:vAlign w:val="bottom"/>
            <w:gridSpan w:val="5"/>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240" w:type="dxa"/>
            <w:vAlign w:val="bottom"/>
            <w:tcBorders>
              <w:bottom w:val="single" w:sz="8" w:color="0000EE"/>
            </w:tcBorders>
            <w:gridSpan w:val="11"/>
          </w:tcPr>
          <w:p>
            <w:pPr>
              <w:spacing w:after="0" w:line="189" w:lineRule="exact"/>
              <w:rPr>
                <w:rFonts w:ascii="Arial" w:cs="Arial" w:eastAsia="Arial" w:hAnsi="Arial"/>
                <w:sz w:val="17"/>
                <w:szCs w:val="17"/>
                <w:color w:val="0000EE"/>
                <w:w w:val="92"/>
              </w:rPr>
            </w:pPr>
            <w:hyperlink r:id="rId144">
              <w:r>
                <w:rPr>
                  <w:rFonts w:ascii="Arial" w:cs="Arial" w:eastAsia="Arial" w:hAnsi="Arial"/>
                  <w:sz w:val="17"/>
                  <w:szCs w:val="17"/>
                  <w:color w:val="0000EE"/>
                  <w:w w:val="92"/>
                </w:rPr>
                <w:t>Q for the quarterly period ended June 30, 2017 as filed on August 9, 2017).</w:t>
              </w:r>
            </w:hyperlink>
          </w:p>
        </w:tc>
        <w:tc>
          <w:tcPr>
            <w:tcW w:w="4580" w:type="dxa"/>
            <w:vAlign w:val="bottom"/>
            <w:gridSpan w:val="20"/>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*(10.10)</w:t>
            </w:r>
          </w:p>
        </w:tc>
        <w:tc>
          <w:tcPr>
            <w:tcW w:w="8120" w:type="dxa"/>
            <w:vAlign w:val="bottom"/>
            <w:tcBorders>
              <w:bottom w:val="single" w:sz="8" w:color="0000EE"/>
            </w:tcBorders>
            <w:gridSpan w:val="14"/>
          </w:tcPr>
          <w:p>
            <w:pPr>
              <w:spacing w:after="0"/>
              <w:rPr>
                <w:rFonts w:ascii="Arial" w:cs="Arial" w:eastAsia="Arial" w:hAnsi="Arial"/>
                <w:sz w:val="17"/>
                <w:szCs w:val="17"/>
                <w:color w:val="0000EE"/>
                <w:w w:val="93"/>
              </w:rPr>
            </w:pPr>
            <w:hyperlink r:id="rId145">
              <w:r>
                <w:rPr>
                  <w:rFonts w:ascii="Arial" w:cs="Arial" w:eastAsia="Arial" w:hAnsi="Arial"/>
                  <w:sz w:val="17"/>
                  <w:szCs w:val="17"/>
                  <w:color w:val="0000EE"/>
                  <w:w w:val="93"/>
                </w:rPr>
                <w:t>Eastman Kodak Company 2013 Omnibus Incentive Plan Form of Award Agreement for 2018 Performance Incentive</w:t>
              </w:r>
            </w:hyperlink>
          </w:p>
        </w:tc>
        <w:tc>
          <w:tcPr>
            <w:tcW w:w="1700" w:type="dxa"/>
            <w:vAlign w:val="bottom"/>
            <w:gridSpan w:val="17"/>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w w:val="94"/>
              </w:rPr>
            </w:pPr>
            <w:hyperlink r:id="rId145">
              <w:r>
                <w:rPr>
                  <w:rFonts w:ascii="Arial" w:cs="Arial" w:eastAsia="Arial" w:hAnsi="Arial"/>
                  <w:sz w:val="17"/>
                  <w:szCs w:val="17"/>
                  <w:color w:val="0000EE"/>
                  <w:w w:val="94"/>
                </w:rPr>
                <w:t>Program. (Incorporated by reference to Exhibit 10.2 of the Company’s Quarterly Report on Form 10-Q for the quarterly period ended June</w:t>
              </w:r>
            </w:hyperlink>
          </w:p>
        </w:tc>
      </w:tr>
      <w:tr>
        <w:trPr>
          <w:trHeight w:val="189"/>
        </w:trPr>
        <w:tc>
          <w:tcPr>
            <w:tcW w:w="1620" w:type="dxa"/>
            <w:vAlign w:val="bottom"/>
          </w:tcPr>
          <w:p>
            <w:pPr>
              <w:spacing w:after="0"/>
              <w:rPr>
                <w:sz w:val="16"/>
                <w:szCs w:val="16"/>
                <w:color w:val="auto"/>
              </w:rPr>
            </w:pPr>
          </w:p>
        </w:tc>
        <w:tc>
          <w:tcPr>
            <w:tcW w:w="968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r:id="rId145">
              <w:r>
                <w:rPr>
                  <w:rFonts w:ascii="Arial" w:cs="Arial" w:eastAsia="Arial" w:hAnsi="Arial"/>
                  <w:sz w:val="17"/>
                  <w:szCs w:val="17"/>
                  <w:color w:val="0000EE"/>
                </w:rPr>
                <w:t>30, 2018 as filed on August 9, 2018).</w:t>
              </w:r>
            </w:hyperlink>
          </w:p>
        </w:tc>
        <w:tc>
          <w:tcPr>
            <w:tcW w:w="140" w:type="dxa"/>
            <w:vAlign w:val="bottom"/>
            <w:gridSpan w:val="6"/>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*(10.11)</w:t>
            </w:r>
          </w:p>
        </w:tc>
        <w:tc>
          <w:tcPr>
            <w:tcW w:w="9820" w:type="dxa"/>
            <w:vAlign w:val="bottom"/>
            <w:gridSpan w:val="31"/>
          </w:tcPr>
          <w:p>
            <w:pPr>
              <w:spacing w:after="0"/>
              <w:rPr>
                <w:rFonts w:ascii="Arial" w:cs="Arial" w:eastAsia="Arial" w:hAnsi="Arial"/>
                <w:sz w:val="17"/>
                <w:szCs w:val="17"/>
                <w:color w:val="0000EE"/>
                <w:w w:val="96"/>
              </w:rPr>
            </w:pPr>
            <w:hyperlink r:id="rId146">
              <w:r>
                <w:rPr>
                  <w:rFonts w:ascii="Arial" w:cs="Arial" w:eastAsia="Arial" w:hAnsi="Arial"/>
                  <w:sz w:val="17"/>
                  <w:szCs w:val="17"/>
                  <w:color w:val="0000EE"/>
                  <w:w w:val="96"/>
                </w:rPr>
                <w:t>Eastman Kodak Company 2013 Omnibus Incentive Plan Form of Director Restricted Stock Unit Award Agreement (One Year Vesting).</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00" w:type="dxa"/>
            <w:vAlign w:val="bottom"/>
            <w:tcBorders>
              <w:bottom w:val="single" w:sz="8" w:color="0000EE"/>
            </w:tcBorders>
            <w:gridSpan w:val="30"/>
          </w:tcPr>
          <w:p>
            <w:pPr>
              <w:spacing w:after="0" w:line="189" w:lineRule="exact"/>
              <w:rPr>
                <w:rFonts w:ascii="Arial" w:cs="Arial" w:eastAsia="Arial" w:hAnsi="Arial"/>
                <w:sz w:val="17"/>
                <w:szCs w:val="17"/>
                <w:color w:val="0000EE"/>
                <w:w w:val="92"/>
              </w:rPr>
            </w:pPr>
            <w:hyperlink r:id="rId146">
              <w:r>
                <w:rPr>
                  <w:rFonts w:ascii="Arial" w:cs="Arial" w:eastAsia="Arial" w:hAnsi="Arial"/>
                  <w:sz w:val="17"/>
                  <w:szCs w:val="17"/>
                  <w:color w:val="0000EE"/>
                  <w:w w:val="92"/>
                </w:rPr>
                <w:t>(Incorporated by reference to Exhibit 10.3 of the Company’s Quarterly Report on Form 10-Q for the quarterly period ended June 30, 2017 as</w:t>
              </w:r>
            </w:hyperlink>
          </w:p>
        </w:tc>
        <w:tc>
          <w:tcPr>
            <w:tcW w:w="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rPr>
            </w:pPr>
            <w:hyperlink r:id="rId146">
              <w:r>
                <w:rPr>
                  <w:rFonts w:ascii="Arial" w:cs="Arial" w:eastAsia="Arial" w:hAnsi="Arial"/>
                  <w:sz w:val="17"/>
                  <w:szCs w:val="17"/>
                  <w:color w:val="0000EE"/>
                </w:rPr>
                <w:t>filed on August 9, 2017).</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*(10.12)</w:t>
            </w:r>
          </w:p>
        </w:tc>
        <w:tc>
          <w:tcPr>
            <w:tcW w:w="9760" w:type="dxa"/>
            <w:vAlign w:val="bottom"/>
            <w:tcBorders>
              <w:bottom w:val="single" w:sz="8" w:color="0000EE"/>
            </w:tcBorders>
            <w:gridSpan w:val="28"/>
          </w:tcPr>
          <w:p>
            <w:pPr>
              <w:spacing w:after="0"/>
              <w:rPr>
                <w:rFonts w:ascii="Arial" w:cs="Arial" w:eastAsia="Arial" w:hAnsi="Arial"/>
                <w:sz w:val="17"/>
                <w:szCs w:val="17"/>
                <w:color w:val="0000EE"/>
                <w:w w:val="92"/>
              </w:rPr>
            </w:pPr>
            <w:hyperlink r:id="rId147">
              <w:r>
                <w:rPr>
                  <w:rFonts w:ascii="Arial" w:cs="Arial" w:eastAsia="Arial" w:hAnsi="Arial"/>
                  <w:sz w:val="17"/>
                  <w:szCs w:val="17"/>
                  <w:color w:val="0000EE"/>
                  <w:w w:val="92"/>
                </w:rPr>
                <w:t>Eastman Kodak Company Deferred Compensation Plan for Directors dated December 26, 2013. (Incorporated by reference to Exhibit 10.23</w:t>
              </w:r>
            </w:hyperlink>
          </w:p>
        </w:tc>
        <w:tc>
          <w:tcPr>
            <w:tcW w:w="60" w:type="dxa"/>
            <w:vAlign w:val="bottom"/>
            <w:gridSpan w:val="3"/>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850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r:id="rId147">
              <w:r>
                <w:rPr>
                  <w:rFonts w:ascii="Arial" w:cs="Arial" w:eastAsia="Arial" w:hAnsi="Arial"/>
                  <w:sz w:val="17"/>
                  <w:szCs w:val="17"/>
                  <w:color w:val="0000EE"/>
                  <w:w w:val="93"/>
                </w:rPr>
                <w:t>of the Company’s Annual Report on Form 10-K for the fiscal year ended December 31, 2013 as filed on March 19, 2014).</w:t>
              </w:r>
            </w:hyperlink>
          </w:p>
        </w:tc>
        <w:tc>
          <w:tcPr>
            <w:tcW w:w="1320" w:type="dxa"/>
            <w:vAlign w:val="bottom"/>
            <w:gridSpan w:val="16"/>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*(10.13)</w:t>
            </w:r>
          </w:p>
        </w:tc>
        <w:tc>
          <w:tcPr>
            <w:tcW w:w="9820" w:type="dxa"/>
            <w:vAlign w:val="bottom"/>
            <w:gridSpan w:val="31"/>
          </w:tcPr>
          <w:p>
            <w:pPr>
              <w:spacing w:after="0"/>
              <w:rPr>
                <w:rFonts w:ascii="Arial" w:cs="Arial" w:eastAsia="Arial" w:hAnsi="Arial"/>
                <w:sz w:val="17"/>
                <w:szCs w:val="17"/>
                <w:color w:val="0000EE"/>
                <w:w w:val="94"/>
              </w:rPr>
            </w:pPr>
            <w:hyperlink r:id="rId148">
              <w:r>
                <w:rPr>
                  <w:rFonts w:ascii="Arial" w:cs="Arial" w:eastAsia="Arial" w:hAnsi="Arial"/>
                  <w:sz w:val="17"/>
                  <w:szCs w:val="17"/>
                  <w:color w:val="0000EE"/>
                  <w:w w:val="94"/>
                </w:rPr>
                <w:t>Eastman Kodak Company Officer Severance Policy, effective as of November 10, 2015. (Incorporated by reference to Exhibit 10.25 of the</w:t>
              </w:r>
            </w:hyperlink>
          </w:p>
        </w:tc>
      </w:tr>
      <w:tr>
        <w:trPr>
          <w:trHeight w:val="189"/>
        </w:trPr>
        <w:tc>
          <w:tcPr>
            <w:tcW w:w="1620" w:type="dxa"/>
            <w:vAlign w:val="bottom"/>
          </w:tcPr>
          <w:p>
            <w:pPr>
              <w:spacing w:after="0"/>
              <w:rPr>
                <w:sz w:val="16"/>
                <w:szCs w:val="16"/>
                <w:color w:val="auto"/>
              </w:rPr>
            </w:pPr>
          </w:p>
        </w:tc>
        <w:tc>
          <w:tcPr>
            <w:tcW w:w="9640" w:type="dxa"/>
            <w:vAlign w:val="bottom"/>
            <w:tcBorders>
              <w:top w:val="single" w:sz="8" w:color="0000EE"/>
            </w:tcBorders>
            <w:gridSpan w:val="23"/>
          </w:tcPr>
          <w:p>
            <w:pPr>
              <w:spacing w:after="0" w:line="189" w:lineRule="exact"/>
              <w:rPr>
                <w:rFonts w:ascii="Arial" w:cs="Arial" w:eastAsia="Arial" w:hAnsi="Arial"/>
                <w:sz w:val="17"/>
                <w:szCs w:val="17"/>
                <w:color w:val="0000EE"/>
              </w:rPr>
            </w:pPr>
            <w:hyperlink r:id="rId148">
              <w:r>
                <w:rPr>
                  <w:rFonts w:ascii="Arial" w:cs="Arial" w:eastAsia="Arial" w:hAnsi="Arial"/>
                  <w:sz w:val="17"/>
                  <w:szCs w:val="17"/>
                  <w:color w:val="0000EE"/>
                </w:rPr>
                <w:t>Company’s Annual Report on Form 10-K for the fiscal year ended December 31, 2015 as filed on March 15, 2016).</w:t>
              </w:r>
            </w:hyperlink>
          </w:p>
        </w:tc>
        <w:tc>
          <w:tcPr>
            <w:tcW w:w="180" w:type="dxa"/>
            <w:vAlign w:val="bottom"/>
            <w:gridSpan w:val="8"/>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*(10.14)</w:t>
            </w:r>
          </w:p>
        </w:tc>
        <w:tc>
          <w:tcPr>
            <w:tcW w:w="9820" w:type="dxa"/>
            <w:vAlign w:val="bottom"/>
            <w:gridSpan w:val="31"/>
          </w:tcPr>
          <w:p>
            <w:pPr>
              <w:spacing w:after="0"/>
              <w:rPr>
                <w:rFonts w:ascii="Arial" w:cs="Arial" w:eastAsia="Arial" w:hAnsi="Arial"/>
                <w:sz w:val="17"/>
                <w:szCs w:val="17"/>
                <w:color w:val="0000EE"/>
                <w:w w:val="91"/>
              </w:rPr>
            </w:pPr>
            <w:hyperlink r:id="rId149">
              <w:r>
                <w:rPr>
                  <w:rFonts w:ascii="Arial" w:cs="Arial" w:eastAsia="Arial" w:hAnsi="Arial"/>
                  <w:sz w:val="17"/>
                  <w:szCs w:val="17"/>
                  <w:color w:val="0000EE"/>
                  <w:w w:val="91"/>
                </w:rPr>
                <w:t>Eastman Kodak Company Executive Compensation for Excellence and Leadership (as amended and restated January 1, 2014). (Incorporated</w:t>
              </w:r>
            </w:hyperlink>
          </w:p>
        </w:tc>
      </w:tr>
      <w:tr>
        <w:trPr>
          <w:trHeight w:val="189"/>
        </w:trPr>
        <w:tc>
          <w:tcPr>
            <w:tcW w:w="1620" w:type="dxa"/>
            <w:vAlign w:val="bottom"/>
          </w:tcPr>
          <w:p>
            <w:pPr>
              <w:spacing w:after="0"/>
              <w:rPr>
                <w:sz w:val="16"/>
                <w:szCs w:val="16"/>
                <w:color w:val="auto"/>
              </w:rPr>
            </w:pPr>
          </w:p>
        </w:tc>
        <w:tc>
          <w:tcPr>
            <w:tcW w:w="9800" w:type="dxa"/>
            <w:vAlign w:val="bottom"/>
            <w:tcBorders>
              <w:top w:val="single" w:sz="8" w:color="0000EE"/>
            </w:tcBorders>
            <w:gridSpan w:val="30"/>
          </w:tcPr>
          <w:p>
            <w:pPr>
              <w:spacing w:after="0" w:line="189" w:lineRule="exact"/>
              <w:rPr>
                <w:rFonts w:ascii="Arial" w:cs="Arial" w:eastAsia="Arial" w:hAnsi="Arial"/>
                <w:sz w:val="17"/>
                <w:szCs w:val="17"/>
                <w:color w:val="0000EE"/>
                <w:w w:val="96"/>
              </w:rPr>
            </w:pPr>
            <w:hyperlink r:id="rId149">
              <w:r>
                <w:rPr>
                  <w:rFonts w:ascii="Arial" w:cs="Arial" w:eastAsia="Arial" w:hAnsi="Arial"/>
                  <w:sz w:val="17"/>
                  <w:szCs w:val="17"/>
                  <w:color w:val="0000EE"/>
                  <w:w w:val="96"/>
                </w:rPr>
                <w:t>by reference to Exhibit 10.2 of the Company’s Quarterly Report on Form 10-Q for the quarterly period ended March 31, 2014 as filed on</w:t>
              </w:r>
            </w:hyperlink>
          </w:p>
        </w:tc>
        <w:tc>
          <w:tcPr>
            <w:tcW w:w="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54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r:id="rId149">
              <w:r>
                <w:rPr>
                  <w:rFonts w:ascii="Arial" w:cs="Arial" w:eastAsia="Arial" w:hAnsi="Arial"/>
                  <w:sz w:val="17"/>
                  <w:szCs w:val="17"/>
                  <w:color w:val="0000EE"/>
                </w:rPr>
                <w:t>May 6, 2014).</w:t>
              </w:r>
            </w:hyperlink>
          </w:p>
        </w:tc>
        <w:tc>
          <w:tcPr>
            <w:tcW w:w="280" w:type="dxa"/>
            <w:vAlign w:val="bottom"/>
            <w:gridSpan w:val="10"/>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*(10.15)</w:t>
            </w:r>
          </w:p>
        </w:tc>
        <w:tc>
          <w:tcPr>
            <w:tcW w:w="9820" w:type="dxa"/>
            <w:vAlign w:val="bottom"/>
            <w:gridSpan w:val="31"/>
          </w:tcPr>
          <w:p>
            <w:pPr>
              <w:spacing w:after="0"/>
              <w:rPr>
                <w:rFonts w:ascii="Arial" w:cs="Arial" w:eastAsia="Arial" w:hAnsi="Arial"/>
                <w:sz w:val="17"/>
                <w:szCs w:val="17"/>
                <w:color w:val="0000EE"/>
                <w:w w:val="95"/>
              </w:rPr>
            </w:pPr>
            <w:hyperlink r:id="rId150">
              <w:r>
                <w:rPr>
                  <w:rFonts w:ascii="Arial" w:cs="Arial" w:eastAsia="Arial" w:hAnsi="Arial"/>
                  <w:sz w:val="17"/>
                  <w:szCs w:val="17"/>
                  <w:color w:val="0000EE"/>
                  <w:w w:val="95"/>
                </w:rPr>
                <w:t>Eastman Kodak Company Administrative Guide for the 2017 Performance Period under the Executive Compensation for Excellence and</w:t>
              </w:r>
            </w:hyperlink>
          </w:p>
        </w:tc>
      </w:tr>
      <w:tr>
        <w:trPr>
          <w:trHeight w:val="189"/>
        </w:trPr>
        <w:tc>
          <w:tcPr>
            <w:tcW w:w="1620" w:type="dxa"/>
            <w:vAlign w:val="bottom"/>
          </w:tcPr>
          <w:p>
            <w:pPr>
              <w:spacing w:after="0"/>
              <w:rPr>
                <w:sz w:val="16"/>
                <w:szCs w:val="16"/>
                <w:color w:val="auto"/>
              </w:rPr>
            </w:pPr>
          </w:p>
        </w:tc>
        <w:tc>
          <w:tcPr>
            <w:tcW w:w="9540" w:type="dxa"/>
            <w:vAlign w:val="bottom"/>
            <w:tcBorders>
              <w:top w:val="single" w:sz="8" w:color="0000EE"/>
            </w:tcBorders>
            <w:gridSpan w:val="21"/>
          </w:tcPr>
          <w:p>
            <w:pPr>
              <w:spacing w:after="0" w:line="189" w:lineRule="exact"/>
              <w:rPr>
                <w:rFonts w:ascii="Arial" w:cs="Arial" w:eastAsia="Arial" w:hAnsi="Arial"/>
                <w:sz w:val="17"/>
                <w:szCs w:val="17"/>
                <w:color w:val="0000EE"/>
                <w:w w:val="95"/>
              </w:rPr>
            </w:pPr>
            <w:hyperlink r:id="rId150">
              <w:r>
                <w:rPr>
                  <w:rFonts w:ascii="Arial" w:cs="Arial" w:eastAsia="Arial" w:hAnsi="Arial"/>
                  <w:sz w:val="17"/>
                  <w:szCs w:val="17"/>
                  <w:color w:val="0000EE"/>
                  <w:w w:val="95"/>
                </w:rPr>
                <w:t>Leadership Plan. (Incorporated by reference to Exhibit 10.2 of the Company’s Quarterly Report on Form 10-Q for the quarterly period</w:t>
              </w:r>
            </w:hyperlink>
          </w:p>
        </w:tc>
        <w:tc>
          <w:tcPr>
            <w:tcW w:w="280" w:type="dxa"/>
            <w:vAlign w:val="bottom"/>
            <w:gridSpan w:val="10"/>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2"/>
              </w:rPr>
            </w:pPr>
            <w:hyperlink r:id="rId150">
              <w:r>
                <w:rPr>
                  <w:rFonts w:ascii="Arial" w:cs="Arial" w:eastAsia="Arial" w:hAnsi="Arial"/>
                  <w:sz w:val="17"/>
                  <w:szCs w:val="17"/>
                  <w:color w:val="0000EE"/>
                  <w:w w:val="92"/>
                </w:rPr>
                <w:t>ended March 31, 2017 as filed on May 9, 2017).</w:t>
              </w:r>
            </w:hyperlink>
          </w:p>
        </w:tc>
        <w:tc>
          <w:tcPr>
            <w:tcW w:w="5980" w:type="dxa"/>
            <w:vAlign w:val="bottom"/>
            <w:tcBorders>
              <w:top w:val="single" w:sz="8" w:color="0000EE"/>
            </w:tcBorders>
            <w:gridSpan w:val="10"/>
          </w:tcPr>
          <w:p>
            <w:pPr>
              <w:spacing w:after="0"/>
              <w:rPr>
                <w:sz w:val="16"/>
                <w:szCs w:val="16"/>
                <w:color w:val="auto"/>
              </w:rPr>
            </w:pPr>
          </w:p>
        </w:tc>
        <w:tc>
          <w:tcPr>
            <w:tcW w:w="480" w:type="dxa"/>
            <w:vAlign w:val="bottom"/>
            <w:gridSpan w:val="14"/>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*(10.16)</w:t>
            </w:r>
          </w:p>
        </w:tc>
        <w:tc>
          <w:tcPr>
            <w:tcW w:w="9820" w:type="dxa"/>
            <w:vAlign w:val="bottom"/>
            <w:gridSpan w:val="31"/>
          </w:tcPr>
          <w:p>
            <w:pPr>
              <w:spacing w:after="0"/>
              <w:rPr>
                <w:rFonts w:ascii="Arial" w:cs="Arial" w:eastAsia="Arial" w:hAnsi="Arial"/>
                <w:sz w:val="17"/>
                <w:szCs w:val="17"/>
                <w:color w:val="0000EE"/>
                <w:w w:val="95"/>
              </w:rPr>
            </w:pPr>
            <w:hyperlink r:id="rId150">
              <w:r>
                <w:rPr>
                  <w:rFonts w:ascii="Arial" w:cs="Arial" w:eastAsia="Arial" w:hAnsi="Arial"/>
                  <w:sz w:val="17"/>
                  <w:szCs w:val="17"/>
                  <w:color w:val="0000EE"/>
                  <w:w w:val="95"/>
                </w:rPr>
                <w:t>Eastman Kodak Company Administrative Guide for the 2018 Performance Period under the Executive Compensation for Excellence and</w:t>
              </w:r>
            </w:hyperlink>
          </w:p>
        </w:tc>
      </w:tr>
      <w:tr>
        <w:trPr>
          <w:trHeight w:val="189"/>
        </w:trPr>
        <w:tc>
          <w:tcPr>
            <w:tcW w:w="1620" w:type="dxa"/>
            <w:vAlign w:val="bottom"/>
          </w:tcPr>
          <w:p>
            <w:pPr>
              <w:spacing w:after="0"/>
              <w:rPr>
                <w:sz w:val="16"/>
                <w:szCs w:val="16"/>
                <w:color w:val="auto"/>
              </w:rPr>
            </w:pPr>
          </w:p>
        </w:tc>
        <w:tc>
          <w:tcPr>
            <w:tcW w:w="9540" w:type="dxa"/>
            <w:vAlign w:val="bottom"/>
            <w:tcBorders>
              <w:top w:val="single" w:sz="8" w:color="0000EE"/>
            </w:tcBorders>
            <w:gridSpan w:val="21"/>
          </w:tcPr>
          <w:p>
            <w:pPr>
              <w:spacing w:after="0" w:line="189" w:lineRule="exact"/>
              <w:rPr>
                <w:rFonts w:ascii="Arial" w:cs="Arial" w:eastAsia="Arial" w:hAnsi="Arial"/>
                <w:sz w:val="17"/>
                <w:szCs w:val="17"/>
                <w:color w:val="0000EE"/>
                <w:w w:val="95"/>
              </w:rPr>
            </w:pPr>
            <w:hyperlink r:id="rId150">
              <w:r>
                <w:rPr>
                  <w:rFonts w:ascii="Arial" w:cs="Arial" w:eastAsia="Arial" w:hAnsi="Arial"/>
                  <w:sz w:val="17"/>
                  <w:szCs w:val="17"/>
                  <w:color w:val="0000EE"/>
                  <w:w w:val="95"/>
                </w:rPr>
                <w:t>Leadership Plan. (Incorporated by reference to Exhibit 10.1 of the Company’s Quarterly Report on Form 10-Q for the quarterly period</w:t>
              </w:r>
            </w:hyperlink>
          </w:p>
        </w:tc>
        <w:tc>
          <w:tcPr>
            <w:tcW w:w="280" w:type="dxa"/>
            <w:vAlign w:val="bottom"/>
            <w:gridSpan w:val="10"/>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34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r:id="rId150">
              <w:r>
                <w:rPr>
                  <w:rFonts w:ascii="Arial" w:cs="Arial" w:eastAsia="Arial" w:hAnsi="Arial"/>
                  <w:sz w:val="17"/>
                  <w:szCs w:val="17"/>
                  <w:color w:val="0000EE"/>
                </w:rPr>
                <w:t>ended March 31, 2018 as filed on May 10, 2018).</w:t>
              </w:r>
            </w:hyperlink>
          </w:p>
        </w:tc>
        <w:tc>
          <w:tcPr>
            <w:tcW w:w="480" w:type="dxa"/>
            <w:vAlign w:val="bottom"/>
            <w:gridSpan w:val="14"/>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*(10.17)</w:t>
            </w:r>
          </w:p>
        </w:tc>
        <w:tc>
          <w:tcPr>
            <w:tcW w:w="9820" w:type="dxa"/>
            <w:vAlign w:val="bottom"/>
            <w:gridSpan w:val="31"/>
          </w:tcPr>
          <w:p>
            <w:pPr>
              <w:spacing w:after="0"/>
              <w:rPr>
                <w:rFonts w:ascii="Arial" w:cs="Arial" w:eastAsia="Arial" w:hAnsi="Arial"/>
                <w:sz w:val="17"/>
                <w:szCs w:val="17"/>
                <w:color w:val="0000EE"/>
              </w:rPr>
            </w:pPr>
            <w:hyperlink r:id="rId151">
              <w:r>
                <w:rPr>
                  <w:rFonts w:ascii="Arial" w:cs="Arial" w:eastAsia="Arial" w:hAnsi="Arial"/>
                  <w:sz w:val="17"/>
                  <w:szCs w:val="17"/>
                  <w:color w:val="0000EE"/>
                </w:rPr>
                <w:t>Eastman Kodak Company Administrative Guide for Supplemental Awards for the 2018 Performance Period under the Executive</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700" w:type="dxa"/>
            <w:vAlign w:val="bottom"/>
            <w:gridSpan w:val="7"/>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w w:val="93"/>
              </w:rPr>
            </w:pPr>
            <w:hyperlink r:id="rId151">
              <w:r>
                <w:rPr>
                  <w:rFonts w:ascii="Arial" w:cs="Arial" w:eastAsia="Arial" w:hAnsi="Arial"/>
                  <w:sz w:val="17"/>
                  <w:szCs w:val="17"/>
                  <w:color w:val="0000EE"/>
                  <w:w w:val="93"/>
                </w:rPr>
                <w:t>Compensation for Excellence and Leadership Plan.  (Incorporated by reference to Exhibit 10.1 of the Company’s Quarterly Report on Form</w:t>
              </w:r>
            </w:hyperlink>
          </w:p>
        </w:tc>
      </w:tr>
      <w:tr>
        <w:trPr>
          <w:trHeight w:val="189"/>
        </w:trPr>
        <w:tc>
          <w:tcPr>
            <w:tcW w:w="1620" w:type="dxa"/>
            <w:vAlign w:val="bottom"/>
          </w:tcPr>
          <w:p>
            <w:pPr>
              <w:spacing w:after="0"/>
              <w:rPr>
                <w:sz w:val="16"/>
                <w:szCs w:val="16"/>
                <w:color w:val="auto"/>
              </w:rPr>
            </w:pPr>
          </w:p>
        </w:tc>
        <w:tc>
          <w:tcPr>
            <w:tcW w:w="9760" w:type="dxa"/>
            <w:vAlign w:val="bottom"/>
            <w:tcBorders>
              <w:top w:val="single" w:sz="8" w:color="0000EE"/>
            </w:tcBorders>
            <w:gridSpan w:val="28"/>
          </w:tcPr>
          <w:p>
            <w:pPr>
              <w:spacing w:after="0" w:line="189" w:lineRule="exact"/>
              <w:rPr>
                <w:rFonts w:ascii="Arial" w:cs="Arial" w:eastAsia="Arial" w:hAnsi="Arial"/>
                <w:sz w:val="17"/>
                <w:szCs w:val="17"/>
                <w:color w:val="0000EE"/>
              </w:rPr>
            </w:pPr>
            <w:hyperlink r:id="rId151">
              <w:r>
                <w:rPr>
                  <w:rFonts w:ascii="Arial" w:cs="Arial" w:eastAsia="Arial" w:hAnsi="Arial"/>
                  <w:sz w:val="17"/>
                  <w:szCs w:val="17"/>
                  <w:color w:val="0000EE"/>
                </w:rPr>
                <w:t>10-Q for the quarterly period ended June 30, 2018 as filed on August 9, 2018).</w:t>
              </w:r>
            </w:hyperlink>
          </w:p>
        </w:tc>
        <w:tc>
          <w:tcPr>
            <w:tcW w:w="60" w:type="dxa"/>
            <w:vAlign w:val="bottom"/>
            <w:gridSpan w:val="3"/>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700" w:type="dxa"/>
            <w:vAlign w:val="bottom"/>
            <w:gridSpan w:val="7"/>
            <w:shd w:val="clear" w:color="auto" w:fill="0000EE"/>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*(10.18)</w:t>
            </w:r>
          </w:p>
        </w:tc>
        <w:tc>
          <w:tcPr>
            <w:tcW w:w="9440" w:type="dxa"/>
            <w:vAlign w:val="bottom"/>
            <w:tcBorders>
              <w:bottom w:val="single" w:sz="8" w:color="0000EE"/>
            </w:tcBorders>
            <w:gridSpan w:val="18"/>
          </w:tcPr>
          <w:p>
            <w:pPr>
              <w:spacing w:after="0"/>
              <w:rPr>
                <w:rFonts w:ascii="Arial" w:cs="Arial" w:eastAsia="Arial" w:hAnsi="Arial"/>
                <w:sz w:val="17"/>
                <w:szCs w:val="17"/>
                <w:color w:val="0000EE"/>
                <w:w w:val="92"/>
              </w:rPr>
            </w:pPr>
            <w:hyperlink r:id="rId152">
              <w:r>
                <w:rPr>
                  <w:rFonts w:ascii="Arial" w:cs="Arial" w:eastAsia="Arial" w:hAnsi="Arial"/>
                  <w:sz w:val="17"/>
                  <w:szCs w:val="17"/>
                  <w:color w:val="0000EE"/>
                  <w:w w:val="92"/>
                </w:rPr>
                <w:t>Employment Agreement between Eastman Kodak Company and Jeffrey J. Clarke, dated March 10, 2014. (Incorporated by reference to</w:t>
              </w:r>
            </w:hyperlink>
          </w:p>
        </w:tc>
        <w:tc>
          <w:tcPr>
            <w:tcW w:w="380" w:type="dxa"/>
            <w:vAlign w:val="bottom"/>
            <w:gridSpan w:val="13"/>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w w:val="97"/>
              </w:rPr>
            </w:pPr>
            <w:hyperlink r:id="rId152">
              <w:r>
                <w:rPr>
                  <w:rFonts w:ascii="Arial" w:cs="Arial" w:eastAsia="Arial" w:hAnsi="Arial"/>
                  <w:sz w:val="17"/>
                  <w:szCs w:val="17"/>
                  <w:color w:val="0000EE"/>
                  <w:w w:val="97"/>
                </w:rPr>
                <w:t>Exhibit 10.1 of the Company’s Quarterly Report on Form 10-Q for the quarterly period ended March 31, 2014 as filed on May 6, 2014).</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7700" w:type="dxa"/>
            <w:vAlign w:val="bottom"/>
            <w:gridSpan w:val="1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*(10.19)</w:t>
            </w:r>
          </w:p>
        </w:tc>
        <w:tc>
          <w:tcPr>
            <w:tcW w:w="9820" w:type="dxa"/>
            <w:vAlign w:val="bottom"/>
            <w:gridSpan w:val="31"/>
          </w:tcPr>
          <w:p>
            <w:pPr>
              <w:spacing w:after="0"/>
              <w:rPr>
                <w:rFonts w:ascii="Arial" w:cs="Arial" w:eastAsia="Arial" w:hAnsi="Arial"/>
                <w:sz w:val="17"/>
                <w:szCs w:val="17"/>
                <w:color w:val="0000EE"/>
                <w:w w:val="94"/>
              </w:rPr>
            </w:pPr>
            <w:hyperlink r:id="rId153">
              <w:r>
                <w:rPr>
                  <w:rFonts w:ascii="Arial" w:cs="Arial" w:eastAsia="Arial" w:hAnsi="Arial"/>
                  <w:sz w:val="17"/>
                  <w:szCs w:val="17"/>
                  <w:color w:val="0000EE"/>
                  <w:w w:val="94"/>
                </w:rPr>
                <w:t>Amendment to Employment Agreement between Eastman Kodak Company and Jeffrey J. Clarke, dated March 14, 2016. (Incorporated by</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7780" w:type="dxa"/>
            <w:vAlign w:val="bottom"/>
            <w:tcBorders>
              <w:right w:val="single" w:sz="8" w:color="0000EE"/>
            </w:tcBorders>
            <w:gridSpan w:val="1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w w:val="94"/>
              </w:rPr>
            </w:pPr>
            <w:hyperlink r:id="rId153">
              <w:r>
                <w:rPr>
                  <w:rFonts w:ascii="Arial" w:cs="Arial" w:eastAsia="Arial" w:hAnsi="Arial"/>
                  <w:sz w:val="17"/>
                  <w:szCs w:val="17"/>
                  <w:color w:val="0000EE"/>
                  <w:w w:val="94"/>
                </w:rPr>
                <w:t>reference to Exhibit 10.5 of the Company’s Quarterly Report on Form 10-Q for the quarterly period ended March 31, 2016 as filed on May</w:t>
              </w:r>
            </w:hyperlink>
          </w:p>
        </w:tc>
      </w:tr>
      <w:tr>
        <w:trPr>
          <w:trHeight w:val="189"/>
        </w:trPr>
        <w:tc>
          <w:tcPr>
            <w:tcW w:w="1620" w:type="dxa"/>
            <w:vAlign w:val="bottom"/>
          </w:tcPr>
          <w:p>
            <w:pPr>
              <w:spacing w:after="0"/>
              <w:rPr>
                <w:sz w:val="16"/>
                <w:szCs w:val="16"/>
                <w:color w:val="auto"/>
              </w:rPr>
            </w:pPr>
          </w:p>
        </w:tc>
        <w:tc>
          <w:tcPr>
            <w:tcW w:w="62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9"/>
              </w:rPr>
            </w:pPr>
            <w:hyperlink r:id="rId153">
              <w:r>
                <w:rPr>
                  <w:rFonts w:ascii="Arial" w:cs="Arial" w:eastAsia="Arial" w:hAnsi="Arial"/>
                  <w:sz w:val="17"/>
                  <w:szCs w:val="17"/>
                  <w:color w:val="0000EE"/>
                  <w:w w:val="89"/>
                </w:rPr>
                <w:t>5, 2016).</w:t>
              </w:r>
            </w:hyperlink>
          </w:p>
        </w:tc>
        <w:tc>
          <w:tcPr>
            <w:tcW w:w="3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*(10.20)</w:t>
            </w:r>
          </w:p>
        </w:tc>
        <w:tc>
          <w:tcPr>
            <w:tcW w:w="9620" w:type="dxa"/>
            <w:vAlign w:val="bottom"/>
            <w:tcBorders>
              <w:bottom w:val="single" w:sz="8" w:color="0000EE"/>
            </w:tcBorders>
            <w:gridSpan w:val="22"/>
          </w:tcPr>
          <w:p>
            <w:pPr>
              <w:spacing w:after="0"/>
              <w:rPr>
                <w:rFonts w:ascii="Arial" w:cs="Arial" w:eastAsia="Arial" w:hAnsi="Arial"/>
                <w:sz w:val="17"/>
                <w:szCs w:val="17"/>
                <w:color w:val="0000EE"/>
                <w:w w:val="92"/>
              </w:rPr>
            </w:pPr>
            <w:hyperlink r:id="rId154">
              <w:r>
                <w:rPr>
                  <w:rFonts w:ascii="Arial" w:cs="Arial" w:eastAsia="Arial" w:hAnsi="Arial"/>
                  <w:sz w:val="17"/>
                  <w:szCs w:val="17"/>
                  <w:color w:val="0000EE"/>
                  <w:w w:val="92"/>
                </w:rPr>
                <w:t>Amended and Restated Employment Agreement between Eastman Kodak Company and Jeffrey J. Clarke, effective as of March 12, 2017.</w:t>
              </w:r>
            </w:hyperlink>
          </w:p>
        </w:tc>
        <w:tc>
          <w:tcPr>
            <w:tcW w:w="200" w:type="dxa"/>
            <w:vAlign w:val="bottom"/>
            <w:gridSpan w:val="9"/>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w w:val="94"/>
              </w:rPr>
            </w:pPr>
            <w:hyperlink r:id="rId154">
              <w:r>
                <w:rPr>
                  <w:rFonts w:ascii="Arial" w:cs="Arial" w:eastAsia="Arial" w:hAnsi="Arial"/>
                  <w:sz w:val="17"/>
                  <w:szCs w:val="17"/>
                  <w:color w:val="0000EE"/>
                  <w:w w:val="94"/>
                </w:rPr>
                <w:t>(Incorporated by reference to Exhibit 10.1 of the Company’s Quarterly Report on Form 10-Q for the quarterly period ended March 31, 2017</w:t>
              </w:r>
            </w:hyperlink>
          </w:p>
        </w:tc>
      </w:tr>
      <w:tr>
        <w:trPr>
          <w:trHeight w:val="189"/>
        </w:trPr>
        <w:tc>
          <w:tcPr>
            <w:tcW w:w="162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3"/>
              </w:rPr>
            </w:pPr>
            <w:hyperlink r:id="rId154">
              <w:r>
                <w:rPr>
                  <w:rFonts w:ascii="Arial" w:cs="Arial" w:eastAsia="Arial" w:hAnsi="Arial"/>
                  <w:sz w:val="17"/>
                  <w:szCs w:val="17"/>
                  <w:color w:val="0000EE"/>
                  <w:w w:val="93"/>
                </w:rPr>
                <w:t>as filed on May 9, 2017).</w:t>
              </w:r>
            </w:hyperlink>
          </w:p>
        </w:tc>
        <w:tc>
          <w:tcPr>
            <w:tcW w:w="7980" w:type="dxa"/>
            <w:vAlign w:val="bottom"/>
            <w:tcBorders>
              <w:top w:val="single" w:sz="8" w:color="0000EE"/>
            </w:tcBorders>
            <w:gridSpan w:val="22"/>
          </w:tcPr>
          <w:p>
            <w:pPr>
              <w:spacing w:after="0"/>
              <w:rPr>
                <w:sz w:val="16"/>
                <w:szCs w:val="16"/>
                <w:color w:val="auto"/>
              </w:rPr>
            </w:pPr>
          </w:p>
        </w:tc>
        <w:tc>
          <w:tcPr>
            <w:tcW w:w="80" w:type="dxa"/>
            <w:vAlign w:val="bottom"/>
            <w:gridSpan w:val="4"/>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*(10.21)</w:t>
            </w:r>
          </w:p>
        </w:tc>
        <w:tc>
          <w:tcPr>
            <w:tcW w:w="9820" w:type="dxa"/>
            <w:vAlign w:val="bottom"/>
            <w:gridSpan w:val="31"/>
          </w:tcPr>
          <w:p>
            <w:pPr>
              <w:spacing w:after="0"/>
              <w:rPr>
                <w:rFonts w:ascii="Arial" w:cs="Arial" w:eastAsia="Arial" w:hAnsi="Arial"/>
                <w:sz w:val="17"/>
                <w:szCs w:val="17"/>
                <w:color w:val="0000EE"/>
                <w:w w:val="95"/>
              </w:rPr>
            </w:pPr>
            <w:hyperlink r:id="rId155">
              <w:r>
                <w:rPr>
                  <w:rFonts w:ascii="Arial" w:cs="Arial" w:eastAsia="Arial" w:hAnsi="Arial"/>
                  <w:sz w:val="17"/>
                  <w:szCs w:val="17"/>
                  <w:color w:val="0000EE"/>
                  <w:w w:val="95"/>
                </w:rPr>
                <w:t>Eastman Kodak Company 2013 Omnibus Incentive Plan Award Agreement for Jeffrey J. Clarke, dated March 12, 2014. (Incorporated by</w:t>
              </w:r>
            </w:hyperlink>
          </w:p>
        </w:tc>
      </w:tr>
      <w:tr>
        <w:trPr>
          <w:trHeight w:val="20"/>
        </w:trPr>
        <w:tc>
          <w:tcPr>
            <w:tcW w:w="1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100" w:type="dxa"/>
            <w:vAlign w:val="bottom"/>
            <w:tcBorders>
              <w:right w:val="single" w:sz="8" w:color="0000EE"/>
            </w:tcBorders>
            <w:gridSpan w:val="20"/>
            <w:shd w:val="clear" w:color="auto" w:fill="0000EE"/>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31"/>
          </w:tcPr>
          <w:p>
            <w:pPr>
              <w:spacing w:after="0" w:line="189" w:lineRule="exact"/>
              <w:rPr>
                <w:rFonts w:ascii="Arial" w:cs="Arial" w:eastAsia="Arial" w:hAnsi="Arial"/>
                <w:sz w:val="17"/>
                <w:szCs w:val="17"/>
                <w:color w:val="0000EE"/>
                <w:w w:val="93"/>
              </w:rPr>
            </w:pPr>
            <w:hyperlink r:id="rId155">
              <w:r>
                <w:rPr>
                  <w:rFonts w:ascii="Arial" w:cs="Arial" w:eastAsia="Arial" w:hAnsi="Arial"/>
                  <w:sz w:val="17"/>
                  <w:szCs w:val="17"/>
                  <w:color w:val="0000EE"/>
                  <w:w w:val="93"/>
                </w:rPr>
                <w:t>reference to Exhibit 10.17 of the Company’s Annual Report on Form 10-K for the fiscal year ended December 31, 2016 as filed on March 7,</w:t>
              </w:r>
            </w:hyperlink>
          </w:p>
        </w:tc>
      </w:tr>
      <w:tr>
        <w:trPr>
          <w:trHeight w:val="189"/>
        </w:trPr>
        <w:tc>
          <w:tcPr>
            <w:tcW w:w="1620" w:type="dxa"/>
            <w:vAlign w:val="bottom"/>
          </w:tcPr>
          <w:p>
            <w:pPr>
              <w:spacing w:after="0"/>
              <w:rPr>
                <w:sz w:val="16"/>
                <w:szCs w:val="16"/>
                <w:color w:val="auto"/>
              </w:rPr>
            </w:pPr>
          </w:p>
        </w:tc>
        <w:tc>
          <w:tcPr>
            <w:tcW w:w="62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r:id="rId155">
              <w:r>
                <w:rPr>
                  <w:rFonts w:ascii="Arial" w:cs="Arial" w:eastAsia="Arial" w:hAnsi="Arial"/>
                  <w:sz w:val="17"/>
                  <w:szCs w:val="17"/>
                  <w:color w:val="0000EE"/>
                </w:rPr>
                <w:t>2017).</w:t>
              </w:r>
            </w:hyperlink>
          </w:p>
        </w:tc>
        <w:tc>
          <w:tcPr>
            <w:tcW w:w="3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71"/>
        </w:trPr>
        <w:tc>
          <w:tcPr>
            <w:tcW w:w="16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80" w:type="dxa"/>
            <w:vAlign w:val="bottom"/>
            <w:gridSpan w:val="8"/>
          </w:tcPr>
          <w:p>
            <w:pPr>
              <w:jc w:val="right"/>
              <w:ind w:right="300"/>
              <w:spacing w:after="0"/>
              <w:rPr>
                <w:sz w:val="20"/>
                <w:szCs w:val="20"/>
                <w:color w:val="auto"/>
              </w:rPr>
            </w:pPr>
            <w:r>
              <w:rPr>
                <w:rFonts w:ascii="Arial" w:cs="Arial" w:eastAsia="Arial" w:hAnsi="Arial"/>
                <w:sz w:val="17"/>
                <w:szCs w:val="17"/>
                <w:color w:val="auto"/>
              </w:rPr>
              <w:t>102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3" w:right="2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7"/>
                <w:szCs w:val="17"/>
                <w:color w:val="auto"/>
              </w:rPr>
              <w:t>*(10.22)</w:t>
            </w:r>
          </w:p>
        </w:tc>
        <w:tc>
          <w:tcPr>
            <w:tcW w:w="9820" w:type="dxa"/>
            <w:vAlign w:val="bottom"/>
            <w:gridSpan w:val="29"/>
          </w:tcPr>
          <w:p>
            <w:pPr>
              <w:spacing w:after="0"/>
              <w:rPr>
                <w:sz w:val="20"/>
                <w:szCs w:val="20"/>
                <w:color w:val="auto"/>
              </w:rPr>
            </w:pPr>
            <w:r>
              <w:rPr>
                <w:rFonts w:ascii="Arial" w:cs="Arial" w:eastAsia="Arial" w:hAnsi="Arial"/>
                <w:sz w:val="17"/>
                <w:szCs w:val="17"/>
                <w:color w:val="0000EE"/>
                <w:w w:val="95"/>
              </w:rPr>
              <w:t>Separation Agreement and Release between Eastman Kodak Company and Jefferey J. Clarke, dated February 20, 2019, filed herewith.</w:t>
            </w:r>
          </w:p>
        </w:tc>
      </w:tr>
      <w:tr>
        <w:trPr>
          <w:trHeight w:val="20"/>
        </w:trPr>
        <w:tc>
          <w:tcPr>
            <w:tcW w:w="16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*(10.23)</w:t>
            </w:r>
          </w:p>
        </w:tc>
        <w:tc>
          <w:tcPr>
            <w:tcW w:w="9820" w:type="dxa"/>
            <w:vAlign w:val="bottom"/>
            <w:gridSpan w:val="29"/>
          </w:tcPr>
          <w:p>
            <w:pPr>
              <w:spacing w:after="0"/>
              <w:rPr>
                <w:sz w:val="20"/>
                <w:szCs w:val="20"/>
                <w:color w:val="auto"/>
              </w:rPr>
            </w:pPr>
            <w:r>
              <w:rPr>
                <w:rFonts w:ascii="Arial" w:cs="Arial" w:eastAsia="Arial" w:hAnsi="Arial"/>
                <w:sz w:val="17"/>
                <w:szCs w:val="17"/>
                <w:color w:val="0000EE"/>
                <w:w w:val="96"/>
              </w:rPr>
              <w:t>Executive Chairman Agreement between Eastman Kodak Company and James V. Continenza, dated February 20, 2019, filed herewith.</w:t>
            </w: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*(10.24)</w:t>
            </w:r>
          </w:p>
        </w:tc>
        <w:tc>
          <w:tcPr>
            <w:tcW w:w="76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1"/>
              </w:rPr>
              <w:t>James V. Continenza Consolidated Award Agreements, Tranches 1-4, dated February 20, 2019, filed herewith.</w:t>
            </w:r>
          </w:p>
        </w:tc>
        <w:tc>
          <w:tcPr>
            <w:tcW w:w="1720" w:type="dxa"/>
            <w:vAlign w:val="bottom"/>
            <w:tcBorders>
              <w:top w:val="single" w:sz="8" w:color="0000EE"/>
            </w:tcBorders>
            <w:gridSpan w:val="8"/>
          </w:tcPr>
          <w:p>
            <w:pPr>
              <w:spacing w:after="0"/>
              <w:rPr>
                <w:sz w:val="24"/>
                <w:szCs w:val="24"/>
                <w:color w:val="auto"/>
              </w:rPr>
            </w:pPr>
          </w:p>
        </w:tc>
        <w:tc>
          <w:tcPr>
            <w:tcW w:w="420" w:type="dxa"/>
            <w:vAlign w:val="bottom"/>
            <w:gridSpan w:val="13"/>
          </w:tcPr>
          <w:p>
            <w:pPr>
              <w:spacing w:after="0"/>
              <w:rPr>
                <w:sz w:val="24"/>
                <w:szCs w:val="24"/>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*(10.25)</w:t>
            </w:r>
          </w:p>
        </w:tc>
        <w:tc>
          <w:tcPr>
            <w:tcW w:w="9540" w:type="dxa"/>
            <w:vAlign w:val="bottom"/>
            <w:tcBorders>
              <w:bottom w:val="single" w:sz="8" w:color="0000EE"/>
            </w:tcBorders>
            <w:gridSpan w:val="19"/>
          </w:tcPr>
          <w:p>
            <w:pPr>
              <w:spacing w:after="0"/>
              <w:rPr>
                <w:rFonts w:ascii="Arial" w:cs="Arial" w:eastAsia="Arial" w:hAnsi="Arial"/>
                <w:sz w:val="17"/>
                <w:szCs w:val="17"/>
                <w:color w:val="0000EE"/>
                <w:w w:val="93"/>
              </w:rPr>
            </w:pPr>
            <w:hyperlink r:id="rId158">
              <w:r>
                <w:rPr>
                  <w:rFonts w:ascii="Arial" w:cs="Arial" w:eastAsia="Arial" w:hAnsi="Arial"/>
                  <w:sz w:val="17"/>
                  <w:szCs w:val="17"/>
                  <w:color w:val="0000EE"/>
                  <w:w w:val="93"/>
                </w:rPr>
                <w:t>Employment Agreement with Brad Kruchten, dated July 30, 2013. (Incorporated by reference to Exhibit 10.16 of the Company’s Annual</w:t>
              </w:r>
            </w:hyperlink>
          </w:p>
        </w:tc>
        <w:tc>
          <w:tcPr>
            <w:tcW w:w="280" w:type="dxa"/>
            <w:vAlign w:val="bottom"/>
            <w:gridSpan w:val="10"/>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6660" w:type="dxa"/>
            <w:vAlign w:val="bottom"/>
            <w:tcBorders>
              <w:bottom w:val="single" w:sz="8" w:color="0000EE"/>
            </w:tcBorders>
            <w:gridSpan w:val="7"/>
          </w:tcPr>
          <w:p>
            <w:pPr>
              <w:spacing w:after="0" w:line="189" w:lineRule="exact"/>
              <w:rPr>
                <w:rFonts w:ascii="Arial" w:cs="Arial" w:eastAsia="Arial" w:hAnsi="Arial"/>
                <w:sz w:val="17"/>
                <w:szCs w:val="17"/>
                <w:color w:val="0000EE"/>
                <w:w w:val="92"/>
              </w:rPr>
            </w:pPr>
            <w:hyperlink r:id="rId158">
              <w:r>
                <w:rPr>
                  <w:rFonts w:ascii="Arial" w:cs="Arial" w:eastAsia="Arial" w:hAnsi="Arial"/>
                  <w:sz w:val="17"/>
                  <w:szCs w:val="17"/>
                  <w:color w:val="0000EE"/>
                  <w:w w:val="92"/>
                </w:rPr>
                <w:t>Report on Form 10-K for the fiscal year ended December 31, 2013 as filed on March 19, 2014).</w:t>
              </w:r>
            </w:hyperlink>
          </w:p>
        </w:tc>
        <w:tc>
          <w:tcPr>
            <w:tcW w:w="3160" w:type="dxa"/>
            <w:vAlign w:val="bottom"/>
            <w:gridSpan w:val="22"/>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*(10.26)</w:t>
            </w:r>
          </w:p>
        </w:tc>
        <w:tc>
          <w:tcPr>
            <w:tcW w:w="9820" w:type="dxa"/>
            <w:vAlign w:val="bottom"/>
            <w:gridSpan w:val="29"/>
          </w:tcPr>
          <w:p>
            <w:pPr>
              <w:spacing w:after="0"/>
              <w:rPr>
                <w:rFonts w:ascii="Arial" w:cs="Arial" w:eastAsia="Arial" w:hAnsi="Arial"/>
                <w:sz w:val="17"/>
                <w:szCs w:val="17"/>
                <w:color w:val="0000EE"/>
                <w:w w:val="96"/>
              </w:rPr>
            </w:pPr>
            <w:hyperlink r:id="rId159">
              <w:r>
                <w:rPr>
                  <w:rFonts w:ascii="Arial" w:cs="Arial" w:eastAsia="Arial" w:hAnsi="Arial"/>
                  <w:sz w:val="17"/>
                  <w:szCs w:val="17"/>
                  <w:color w:val="0000EE"/>
                  <w:w w:val="96"/>
                </w:rPr>
                <w:t>Employment Agreement between Eastman Kodak Company and Eric Mahe, dated April 23, 2014. (Incorporated by reference to Exhibit</w:t>
              </w:r>
            </w:hyperlink>
          </w:p>
        </w:tc>
      </w:tr>
      <w:tr>
        <w:trPr>
          <w:trHeight w:val="189"/>
        </w:trPr>
        <w:tc>
          <w:tcPr>
            <w:tcW w:w="1620" w:type="dxa"/>
            <w:vAlign w:val="bottom"/>
          </w:tcPr>
          <w:p>
            <w:pPr>
              <w:spacing w:after="0"/>
              <w:rPr>
                <w:sz w:val="16"/>
                <w:szCs w:val="16"/>
                <w:color w:val="auto"/>
              </w:rPr>
            </w:pPr>
          </w:p>
        </w:tc>
        <w:tc>
          <w:tcPr>
            <w:tcW w:w="896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2"/>
              </w:rPr>
            </w:pPr>
            <w:hyperlink r:id="rId159">
              <w:r>
                <w:rPr>
                  <w:rFonts w:ascii="Arial" w:cs="Arial" w:eastAsia="Arial" w:hAnsi="Arial"/>
                  <w:sz w:val="17"/>
                  <w:szCs w:val="17"/>
                  <w:color w:val="0000EE"/>
                  <w:w w:val="92"/>
                </w:rPr>
                <w:t>10.</w:t>
              </w:r>
              <w:r>
                <w:rPr>
                  <w:rFonts w:ascii="Arial" w:cs="Arial" w:eastAsia="Arial" w:hAnsi="Arial"/>
                  <w:sz w:val="17"/>
                  <w:szCs w:val="17"/>
                  <w:u w:val="single" w:color="auto"/>
                  <w:color w:val="0000EE"/>
                  <w:w w:val="92"/>
                </w:rPr>
                <w:t>3</w:t>
              </w:r>
              <w:r>
                <w:rPr>
                  <w:rFonts w:ascii="Arial" w:cs="Arial" w:eastAsia="Arial" w:hAnsi="Arial"/>
                  <w:sz w:val="17"/>
                  <w:szCs w:val="17"/>
                  <w:color w:val="0000EE"/>
                  <w:w w:val="92"/>
                </w:rPr>
                <w:t xml:space="preserve"> of the Company’s Quarterly Report on Form 10-Q for the quarterly period ended June 30, 2018 as filed on August 9, 2018).</w:t>
              </w:r>
            </w:hyperlink>
          </w:p>
        </w:tc>
        <w:tc>
          <w:tcPr>
            <w:tcW w:w="500" w:type="dxa"/>
            <w:vAlign w:val="bottom"/>
            <w:tcBorders>
              <w:top w:val="single" w:sz="8" w:color="0000EE"/>
            </w:tcBorders>
            <w:gridSpan w:val="6"/>
          </w:tcPr>
          <w:p>
            <w:pPr>
              <w:spacing w:after="0"/>
              <w:rPr>
                <w:sz w:val="16"/>
                <w:szCs w:val="16"/>
                <w:color w:val="auto"/>
              </w:rPr>
            </w:pPr>
          </w:p>
        </w:tc>
        <w:tc>
          <w:tcPr>
            <w:tcW w:w="360" w:type="dxa"/>
            <w:vAlign w:val="bottom"/>
            <w:gridSpan w:val="12"/>
          </w:tcPr>
          <w:p>
            <w:pPr>
              <w:spacing w:after="0"/>
              <w:rPr>
                <w:sz w:val="16"/>
                <w:szCs w:val="16"/>
                <w:color w:val="auto"/>
              </w:rPr>
            </w:pPr>
          </w:p>
        </w:tc>
      </w:tr>
      <w:tr>
        <w:trPr>
          <w:trHeight w:val="606"/>
        </w:trPr>
        <w:tc>
          <w:tcPr>
            <w:tcW w:w="1620" w:type="dxa"/>
            <w:vAlign w:val="bottom"/>
          </w:tcPr>
          <w:p>
            <w:pPr>
              <w:spacing w:after="0"/>
              <w:rPr>
                <w:sz w:val="20"/>
                <w:szCs w:val="20"/>
                <w:color w:val="auto"/>
              </w:rPr>
            </w:pPr>
            <w:r>
              <w:rPr>
                <w:rFonts w:ascii="Arial" w:cs="Arial" w:eastAsia="Arial" w:hAnsi="Arial"/>
                <w:sz w:val="17"/>
                <w:szCs w:val="17"/>
                <w:color w:val="auto"/>
              </w:rPr>
              <w:t>*(10.27)</w:t>
            </w:r>
          </w:p>
        </w:tc>
        <w:tc>
          <w:tcPr>
            <w:tcW w:w="9540" w:type="dxa"/>
            <w:vAlign w:val="bottom"/>
            <w:tcBorders>
              <w:bottom w:val="single" w:sz="8" w:color="0000EE"/>
            </w:tcBorders>
            <w:gridSpan w:val="19"/>
          </w:tcPr>
          <w:p>
            <w:pPr>
              <w:spacing w:after="0"/>
              <w:rPr>
                <w:rFonts w:ascii="Arial" w:cs="Arial" w:eastAsia="Arial" w:hAnsi="Arial"/>
                <w:sz w:val="17"/>
                <w:szCs w:val="17"/>
                <w:color w:val="0000EE"/>
                <w:w w:val="93"/>
              </w:rPr>
            </w:pPr>
            <w:hyperlink r:id="rId160">
              <w:r>
                <w:rPr>
                  <w:rFonts w:ascii="Arial" w:cs="Arial" w:eastAsia="Arial" w:hAnsi="Arial"/>
                  <w:sz w:val="17"/>
                  <w:szCs w:val="17"/>
                  <w:color w:val="0000EE"/>
                  <w:w w:val="93"/>
                </w:rPr>
                <w:t>Description of Eric Mahe Travel Stipend. (Incorporated by reference to the description in Item 5.02 in the Company’s Current Report on</w:t>
              </w:r>
            </w:hyperlink>
          </w:p>
        </w:tc>
        <w:tc>
          <w:tcPr>
            <w:tcW w:w="280" w:type="dxa"/>
            <w:vAlign w:val="bottom"/>
            <w:gridSpan w:val="10"/>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rPr>
            </w:pPr>
            <w:hyperlink r:id="rId160">
              <w:r>
                <w:rPr>
                  <w:rFonts w:ascii="Arial" w:cs="Arial" w:eastAsia="Arial" w:hAnsi="Arial"/>
                  <w:sz w:val="17"/>
                  <w:szCs w:val="17"/>
                  <w:color w:val="0000EE"/>
                </w:rPr>
                <w:t>Form 8-K as filed on October 3, 2018).</w:t>
              </w:r>
            </w:hyperlink>
          </w:p>
        </w:tc>
      </w:tr>
      <w:tr>
        <w:trPr>
          <w:trHeight w:val="20"/>
        </w:trPr>
        <w:tc>
          <w:tcPr>
            <w:tcW w:w="16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*(10.28)</w:t>
            </w:r>
          </w:p>
        </w:tc>
        <w:tc>
          <w:tcPr>
            <w:tcW w:w="9580" w:type="dxa"/>
            <w:vAlign w:val="bottom"/>
            <w:tcBorders>
              <w:bottom w:val="single" w:sz="8" w:color="0000EE"/>
            </w:tcBorders>
            <w:gridSpan w:val="21"/>
          </w:tcPr>
          <w:p>
            <w:pPr>
              <w:spacing w:after="0"/>
              <w:rPr>
                <w:rFonts w:ascii="Arial" w:cs="Arial" w:eastAsia="Arial" w:hAnsi="Arial"/>
                <w:sz w:val="17"/>
                <w:szCs w:val="17"/>
                <w:color w:val="0000EE"/>
                <w:w w:val="92"/>
              </w:rPr>
            </w:pPr>
            <w:hyperlink r:id="rId161">
              <w:r>
                <w:rPr>
                  <w:rFonts w:ascii="Arial" w:cs="Arial" w:eastAsia="Arial" w:hAnsi="Arial"/>
                  <w:sz w:val="17"/>
                  <w:szCs w:val="17"/>
                  <w:color w:val="0000EE"/>
                  <w:w w:val="92"/>
                </w:rPr>
                <w:t>Employment Agreement between Eastman Kodak Company and David E. Bullwinkle, dated June 20, 2016. (Incorporated by reference to</w:t>
              </w:r>
            </w:hyperlink>
          </w:p>
        </w:tc>
        <w:tc>
          <w:tcPr>
            <w:tcW w:w="240" w:type="dxa"/>
            <w:vAlign w:val="bottom"/>
            <w:gridSpan w:val="8"/>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520" w:type="dxa"/>
            <w:vAlign w:val="bottom"/>
            <w:tcBorders>
              <w:bottom w:val="single" w:sz="8" w:color="0000EE"/>
            </w:tcBorders>
            <w:gridSpan w:val="18"/>
          </w:tcPr>
          <w:p>
            <w:pPr>
              <w:spacing w:after="0" w:line="189" w:lineRule="exact"/>
              <w:rPr>
                <w:rFonts w:ascii="Arial" w:cs="Arial" w:eastAsia="Arial" w:hAnsi="Arial"/>
                <w:sz w:val="17"/>
                <w:szCs w:val="17"/>
                <w:color w:val="0000EE"/>
                <w:w w:val="93"/>
              </w:rPr>
            </w:pPr>
            <w:hyperlink r:id="rId161">
              <w:r>
                <w:rPr>
                  <w:rFonts w:ascii="Arial" w:cs="Arial" w:eastAsia="Arial" w:hAnsi="Arial"/>
                  <w:sz w:val="17"/>
                  <w:szCs w:val="17"/>
                  <w:color w:val="0000EE"/>
                  <w:w w:val="93"/>
                </w:rPr>
                <w:t>Exhibit 10.3 of the Company’s Quarterly Report on Form 10-Q for the quarterly period ended June 30, 2016 as filed on August 9, 2016).</w:t>
              </w:r>
            </w:hyperlink>
          </w:p>
        </w:tc>
        <w:tc>
          <w:tcPr>
            <w:tcW w:w="300" w:type="dxa"/>
            <w:vAlign w:val="bottom"/>
            <w:gridSpan w:val="11"/>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*(10.29)</w:t>
            </w:r>
          </w:p>
        </w:tc>
        <w:tc>
          <w:tcPr>
            <w:tcW w:w="9540" w:type="dxa"/>
            <w:vAlign w:val="bottom"/>
            <w:tcBorders>
              <w:bottom w:val="single" w:sz="8" w:color="0000EE"/>
            </w:tcBorders>
            <w:gridSpan w:val="19"/>
          </w:tcPr>
          <w:p>
            <w:pPr>
              <w:spacing w:after="0"/>
              <w:rPr>
                <w:rFonts w:ascii="Arial" w:cs="Arial" w:eastAsia="Arial" w:hAnsi="Arial"/>
                <w:sz w:val="17"/>
                <w:szCs w:val="17"/>
                <w:color w:val="0000EE"/>
                <w:w w:val="94"/>
              </w:rPr>
            </w:pPr>
            <w:hyperlink r:id="rId162">
              <w:r>
                <w:rPr>
                  <w:rFonts w:ascii="Arial" w:cs="Arial" w:eastAsia="Arial" w:hAnsi="Arial"/>
                  <w:sz w:val="17"/>
                  <w:szCs w:val="17"/>
                  <w:color w:val="0000EE"/>
                  <w:w w:val="94"/>
                </w:rPr>
                <w:t>Description of David E. Bullwinkle Compensation Increase. (Incorporated by reference to the description in Item 5.02 in the Company’s</w:t>
              </w:r>
            </w:hyperlink>
          </w:p>
        </w:tc>
        <w:tc>
          <w:tcPr>
            <w:tcW w:w="280" w:type="dxa"/>
            <w:vAlign w:val="bottom"/>
            <w:gridSpan w:val="10"/>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430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r:id="rId162">
              <w:r>
                <w:rPr>
                  <w:rFonts w:ascii="Arial" w:cs="Arial" w:eastAsia="Arial" w:hAnsi="Arial"/>
                  <w:sz w:val="17"/>
                  <w:szCs w:val="17"/>
                  <w:color w:val="0000EE"/>
                  <w:w w:val="93"/>
                </w:rPr>
                <w:t>Current Report on Form 8-K as filed on November 30, 2018).</w:t>
              </w:r>
            </w:hyperlink>
          </w:p>
        </w:tc>
        <w:tc>
          <w:tcPr>
            <w:tcW w:w="5520" w:type="dxa"/>
            <w:vAlign w:val="bottom"/>
            <w:gridSpan w:val="24"/>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*(10.30)</w:t>
            </w:r>
          </w:p>
        </w:tc>
        <w:tc>
          <w:tcPr>
            <w:tcW w:w="9820" w:type="dxa"/>
            <w:vAlign w:val="bottom"/>
            <w:gridSpan w:val="29"/>
          </w:tcPr>
          <w:p>
            <w:pPr>
              <w:spacing w:after="0"/>
              <w:rPr>
                <w:rFonts w:ascii="Arial" w:cs="Arial" w:eastAsia="Arial" w:hAnsi="Arial"/>
                <w:sz w:val="17"/>
                <w:szCs w:val="17"/>
                <w:color w:val="0000EE"/>
                <w:w w:val="94"/>
              </w:rPr>
            </w:pPr>
            <w:hyperlink r:id="rId163">
              <w:r>
                <w:rPr>
                  <w:rFonts w:ascii="Arial" w:cs="Arial" w:eastAsia="Arial" w:hAnsi="Arial"/>
                  <w:sz w:val="17"/>
                  <w:szCs w:val="17"/>
                  <w:color w:val="0000EE"/>
                  <w:w w:val="94"/>
                </w:rPr>
                <w:t>Description of John O’Grady Compensation Increase. (Incorporated by reference to the description in Item 5.02 in the Company’s Current</w:t>
              </w:r>
            </w:hyperlink>
          </w:p>
        </w:tc>
      </w:tr>
      <w:tr>
        <w:trPr>
          <w:trHeight w:val="189"/>
        </w:trPr>
        <w:tc>
          <w:tcPr>
            <w:tcW w:w="1620" w:type="dxa"/>
            <w:vAlign w:val="bottom"/>
          </w:tcPr>
          <w:p>
            <w:pPr>
              <w:spacing w:after="0"/>
              <w:rPr>
                <w:sz w:val="16"/>
                <w:szCs w:val="16"/>
                <w:color w:val="auto"/>
              </w:rPr>
            </w:pPr>
          </w:p>
        </w:tc>
        <w:tc>
          <w:tcPr>
            <w:tcW w:w="966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r:id="rId163">
              <w:r>
                <w:rPr>
                  <w:rFonts w:ascii="Arial" w:cs="Arial" w:eastAsia="Arial" w:hAnsi="Arial"/>
                  <w:sz w:val="17"/>
                  <w:szCs w:val="17"/>
                  <w:color w:val="0000EE"/>
                </w:rPr>
                <w:t>Report on Form 8-K as filed on April 9, 2018).</w:t>
              </w:r>
            </w:hyperlink>
          </w:p>
        </w:tc>
        <w:tc>
          <w:tcPr>
            <w:tcW w:w="160" w:type="dxa"/>
            <w:vAlign w:val="bottom"/>
            <w:gridSpan w:val="4"/>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*(10.31)</w:t>
            </w:r>
          </w:p>
        </w:tc>
        <w:tc>
          <w:tcPr>
            <w:tcW w:w="9820" w:type="dxa"/>
            <w:vAlign w:val="bottom"/>
            <w:gridSpan w:val="29"/>
          </w:tcPr>
          <w:p>
            <w:pPr>
              <w:spacing w:after="0"/>
              <w:rPr>
                <w:rFonts w:ascii="Arial" w:cs="Arial" w:eastAsia="Arial" w:hAnsi="Arial"/>
                <w:sz w:val="17"/>
                <w:szCs w:val="17"/>
                <w:color w:val="0000EE"/>
                <w:w w:val="93"/>
              </w:rPr>
            </w:pPr>
            <w:hyperlink r:id="rId164">
              <w:r>
                <w:rPr>
                  <w:rFonts w:ascii="Arial" w:cs="Arial" w:eastAsia="Arial" w:hAnsi="Arial"/>
                  <w:sz w:val="17"/>
                  <w:szCs w:val="17"/>
                  <w:color w:val="0000EE"/>
                  <w:w w:val="93"/>
                </w:rPr>
                <w:t>Employment Agreement between Eastman Kodak Company and Sharon Underberg, dated December 17, 2014. (Incorporated by reference</w:t>
              </w:r>
            </w:hyperlink>
          </w:p>
        </w:tc>
      </w:tr>
      <w:tr>
        <w:trPr>
          <w:trHeight w:val="20"/>
        </w:trPr>
        <w:tc>
          <w:tcPr>
            <w:tcW w:w="16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w w:val="94"/>
              </w:rPr>
            </w:pPr>
            <w:hyperlink r:id="rId164">
              <w:r>
                <w:rPr>
                  <w:rFonts w:ascii="Arial" w:cs="Arial" w:eastAsia="Arial" w:hAnsi="Arial"/>
                  <w:sz w:val="17"/>
                  <w:szCs w:val="17"/>
                  <w:color w:val="0000EE"/>
                  <w:w w:val="94"/>
                </w:rPr>
                <w:t>to Exhibit 10.26 of the Company’s Annual Report on Form 10-K for the fiscal year ended December 31, 2017 as filed on March 15, 2018).</w:t>
              </w:r>
            </w:hyperlink>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(10.32)</w:t>
            </w:r>
          </w:p>
        </w:tc>
        <w:tc>
          <w:tcPr>
            <w:tcW w:w="910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93"/>
              </w:rPr>
            </w:pPr>
            <w:hyperlink r:id="rId165">
              <w:r>
                <w:rPr>
                  <w:rFonts w:ascii="Arial" w:cs="Arial" w:eastAsia="Arial" w:hAnsi="Arial"/>
                  <w:sz w:val="17"/>
                  <w:szCs w:val="17"/>
                  <w:color w:val="0000EE"/>
                  <w:w w:val="93"/>
                </w:rPr>
                <w:t>Intercreditor Agreement dated September 3, 2013 among Bank of America, N.A. as Representative with respect to the ABL Credit</w:t>
              </w:r>
            </w:hyperlink>
          </w:p>
        </w:tc>
        <w:tc>
          <w:tcPr>
            <w:tcW w:w="560" w:type="dxa"/>
            <w:vAlign w:val="bottom"/>
            <w:tcBorders>
              <w:top w:val="single" w:sz="8" w:color="0000EE"/>
            </w:tcBorders>
            <w:gridSpan w:val="13"/>
          </w:tcPr>
          <w:p>
            <w:pPr>
              <w:spacing w:after="0"/>
              <w:rPr>
                <w:sz w:val="24"/>
                <w:szCs w:val="24"/>
                <w:color w:val="auto"/>
              </w:rPr>
            </w:pPr>
          </w:p>
        </w:tc>
        <w:tc>
          <w:tcPr>
            <w:tcW w:w="160" w:type="dxa"/>
            <w:vAlign w:val="bottom"/>
            <w:gridSpan w:val="4"/>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280" w:type="dxa"/>
            <w:vAlign w:val="bottom"/>
            <w:tcBorders>
              <w:bottom w:val="single" w:sz="8" w:color="0000EE"/>
            </w:tcBorders>
            <w:gridSpan w:val="14"/>
          </w:tcPr>
          <w:p>
            <w:pPr>
              <w:spacing w:after="0" w:line="189" w:lineRule="exact"/>
              <w:rPr>
                <w:rFonts w:ascii="Arial" w:cs="Arial" w:eastAsia="Arial" w:hAnsi="Arial"/>
                <w:sz w:val="17"/>
                <w:szCs w:val="17"/>
                <w:color w:val="0000EE"/>
                <w:w w:val="92"/>
              </w:rPr>
            </w:pPr>
            <w:hyperlink r:id="rId165">
              <w:r>
                <w:rPr>
                  <w:rFonts w:ascii="Arial" w:cs="Arial" w:eastAsia="Arial" w:hAnsi="Arial"/>
                  <w:sz w:val="17"/>
                  <w:szCs w:val="17"/>
                  <w:color w:val="0000EE"/>
                  <w:w w:val="92"/>
                </w:rPr>
                <w:t>Agreement, JPMorgan Chase Bank, N.A. as Representative with respect to the Senior Term Loan Agreement, Barclays Bank PLC, as</w:t>
              </w:r>
            </w:hyperlink>
          </w:p>
        </w:tc>
        <w:tc>
          <w:tcPr>
            <w:tcW w:w="540" w:type="dxa"/>
            <w:vAlign w:val="bottom"/>
            <w:gridSpan w:val="15"/>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8900" w:type="dxa"/>
            <w:vAlign w:val="bottom"/>
            <w:tcBorders>
              <w:bottom w:val="single" w:sz="8" w:color="0000EE"/>
            </w:tcBorders>
            <w:gridSpan w:val="10"/>
          </w:tcPr>
          <w:p>
            <w:pPr>
              <w:spacing w:after="0" w:line="189" w:lineRule="exact"/>
              <w:rPr>
                <w:rFonts w:ascii="Arial" w:cs="Arial" w:eastAsia="Arial" w:hAnsi="Arial"/>
                <w:sz w:val="17"/>
                <w:szCs w:val="17"/>
                <w:color w:val="0000EE"/>
                <w:w w:val="91"/>
              </w:rPr>
            </w:pPr>
            <w:hyperlink r:id="rId165">
              <w:r>
                <w:rPr>
                  <w:rFonts w:ascii="Arial" w:cs="Arial" w:eastAsia="Arial" w:hAnsi="Arial"/>
                  <w:sz w:val="17"/>
                  <w:szCs w:val="17"/>
                  <w:color w:val="0000EE"/>
                  <w:w w:val="91"/>
                </w:rPr>
                <w:t>Representative with respect to the Junior Term Loan Agreement, Eastman Kodak Company and the other grantors party thereto.</w:t>
              </w:r>
            </w:hyperlink>
          </w:p>
        </w:tc>
        <w:tc>
          <w:tcPr>
            <w:tcW w:w="920" w:type="dxa"/>
            <w:vAlign w:val="bottom"/>
            <w:gridSpan w:val="19"/>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w w:val="94"/>
              </w:rPr>
            </w:pPr>
            <w:hyperlink r:id="rId165">
              <w:r>
                <w:rPr>
                  <w:rFonts w:ascii="Arial" w:cs="Arial" w:eastAsia="Arial" w:hAnsi="Arial"/>
                  <w:sz w:val="17"/>
                  <w:szCs w:val="17"/>
                  <w:color w:val="0000EE"/>
                  <w:w w:val="94"/>
                </w:rPr>
                <w:t>(Incorporated by reference to Exhibit 10.5 of the Company’s Quarterly Report on Form 10-Q for the quarterly period ended September 30,</w:t>
              </w:r>
            </w:hyperlink>
          </w:p>
        </w:tc>
      </w:tr>
      <w:tr>
        <w:trPr>
          <w:trHeight w:val="189"/>
        </w:trPr>
        <w:tc>
          <w:tcPr>
            <w:tcW w:w="1620" w:type="dxa"/>
            <w:vAlign w:val="bottom"/>
          </w:tcPr>
          <w:p>
            <w:pPr>
              <w:spacing w:after="0"/>
              <w:rPr>
                <w:sz w:val="16"/>
                <w:szCs w:val="16"/>
                <w:color w:val="auto"/>
              </w:rPr>
            </w:pPr>
          </w:p>
        </w:tc>
        <w:tc>
          <w:tcPr>
            <w:tcW w:w="9640" w:type="dxa"/>
            <w:vAlign w:val="bottom"/>
            <w:tcBorders>
              <w:top w:val="single" w:sz="8" w:color="0000EE"/>
            </w:tcBorders>
            <w:gridSpan w:val="23"/>
          </w:tcPr>
          <w:p>
            <w:pPr>
              <w:spacing w:after="0" w:line="189" w:lineRule="exact"/>
              <w:rPr>
                <w:rFonts w:ascii="Arial" w:cs="Arial" w:eastAsia="Arial" w:hAnsi="Arial"/>
                <w:sz w:val="17"/>
                <w:szCs w:val="17"/>
                <w:color w:val="0000EE"/>
              </w:rPr>
            </w:pPr>
            <w:hyperlink r:id="rId165">
              <w:r>
                <w:rPr>
                  <w:rFonts w:ascii="Arial" w:cs="Arial" w:eastAsia="Arial" w:hAnsi="Arial"/>
                  <w:sz w:val="17"/>
                  <w:szCs w:val="17"/>
                  <w:color w:val="0000EE"/>
                </w:rPr>
                <w:t>2013 as filed on November 12, 2013).</w:t>
              </w:r>
            </w:hyperlink>
          </w:p>
        </w:tc>
        <w:tc>
          <w:tcPr>
            <w:tcW w:w="180" w:type="dxa"/>
            <w:vAlign w:val="bottom"/>
            <w:gridSpan w:val="6"/>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 (10.33)</w:t>
            </w:r>
          </w:p>
        </w:tc>
        <w:tc>
          <w:tcPr>
            <w:tcW w:w="9660" w:type="dxa"/>
            <w:vAlign w:val="bottom"/>
            <w:tcBorders>
              <w:bottom w:val="single" w:sz="8" w:color="0000EE"/>
            </w:tcBorders>
            <w:gridSpan w:val="24"/>
          </w:tcPr>
          <w:p>
            <w:pPr>
              <w:spacing w:after="0"/>
              <w:rPr>
                <w:rFonts w:ascii="Arial" w:cs="Arial" w:eastAsia="Arial" w:hAnsi="Arial"/>
                <w:sz w:val="17"/>
                <w:szCs w:val="17"/>
                <w:color w:val="0000EE"/>
                <w:w w:val="91"/>
              </w:rPr>
            </w:pPr>
            <w:hyperlink r:id="rId166">
              <w:r>
                <w:rPr>
                  <w:rFonts w:ascii="Arial" w:cs="Arial" w:eastAsia="Arial" w:hAnsi="Arial"/>
                  <w:sz w:val="17"/>
                  <w:szCs w:val="17"/>
                  <w:color w:val="0000EE"/>
                  <w:w w:val="91"/>
                </w:rPr>
                <w:t>Senior Secured First Lien Term Credit Agreement dated September 3, 2013 among Eastman Kodak Company, as the Borrower, the lenders</w:t>
              </w:r>
            </w:hyperlink>
          </w:p>
        </w:tc>
        <w:tc>
          <w:tcPr>
            <w:tcW w:w="160" w:type="dxa"/>
            <w:vAlign w:val="bottom"/>
            <w:gridSpan w:val="5"/>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w w:val="98"/>
              </w:rPr>
            </w:pPr>
            <w:hyperlink r:id="rId166">
              <w:r>
                <w:rPr>
                  <w:rFonts w:ascii="Arial" w:cs="Arial" w:eastAsia="Arial" w:hAnsi="Arial"/>
                  <w:sz w:val="17"/>
                  <w:szCs w:val="17"/>
                  <w:color w:val="0000EE"/>
                  <w:w w:val="98"/>
                </w:rPr>
                <w:t>party thereto, JPMorgan Chase Bank, N.A. as Administrative Agent, and J.P. Morgan Securities LLC, Barclays Bank PLC and Merrill</w:t>
              </w:r>
            </w:hyperlink>
          </w:p>
        </w:tc>
      </w:tr>
      <w:tr>
        <w:trPr>
          <w:trHeight w:val="20"/>
        </w:trPr>
        <w:tc>
          <w:tcPr>
            <w:tcW w:w="162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660" w:type="dxa"/>
            <w:vAlign w:val="bottom"/>
            <w:tcBorders>
              <w:bottom w:val="single" w:sz="8" w:color="0000EE"/>
            </w:tcBorders>
            <w:gridSpan w:val="24"/>
          </w:tcPr>
          <w:p>
            <w:pPr>
              <w:spacing w:after="0" w:line="189" w:lineRule="exact"/>
              <w:rPr>
                <w:rFonts w:ascii="Arial" w:cs="Arial" w:eastAsia="Arial" w:hAnsi="Arial"/>
                <w:sz w:val="17"/>
                <w:szCs w:val="17"/>
                <w:color w:val="0000EE"/>
                <w:w w:val="92"/>
              </w:rPr>
            </w:pPr>
            <w:hyperlink r:id="rId166">
              <w:r>
                <w:rPr>
                  <w:rFonts w:ascii="Arial" w:cs="Arial" w:eastAsia="Arial" w:hAnsi="Arial"/>
                  <w:sz w:val="17"/>
                  <w:szCs w:val="17"/>
                  <w:color w:val="0000EE"/>
                  <w:w w:val="92"/>
                </w:rPr>
                <w:t>Lynch, Pierce, Fenner &amp; Smith Incorporated, as Joint Lead Arrangers and Joint Bookrunners. (Incorporated by reference to Exhibit 10.6 of</w:t>
              </w:r>
            </w:hyperlink>
          </w:p>
        </w:tc>
        <w:tc>
          <w:tcPr>
            <w:tcW w:w="160" w:type="dxa"/>
            <w:vAlign w:val="bottom"/>
            <w:gridSpan w:val="5"/>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w w:val="99"/>
              </w:rPr>
            </w:pPr>
            <w:hyperlink r:id="rId166">
              <w:r>
                <w:rPr>
                  <w:rFonts w:ascii="Arial" w:cs="Arial" w:eastAsia="Arial" w:hAnsi="Arial"/>
                  <w:sz w:val="17"/>
                  <w:szCs w:val="17"/>
                  <w:color w:val="0000EE"/>
                  <w:w w:val="99"/>
                </w:rPr>
                <w:t>the Company’s Quarterly Report on Form 10-Q for the quarterly period ended September 30, 2013 as filed on November 12, 2013).</w:t>
              </w:r>
            </w:hyperlink>
          </w:p>
        </w:tc>
      </w:tr>
      <w:tr>
        <w:trPr>
          <w:trHeight w:val="20"/>
        </w:trPr>
        <w:tc>
          <w:tcPr>
            <w:tcW w:w="162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 (10.34)</w:t>
            </w:r>
          </w:p>
        </w:tc>
        <w:tc>
          <w:tcPr>
            <w:tcW w:w="9820" w:type="dxa"/>
            <w:vAlign w:val="bottom"/>
            <w:gridSpan w:val="29"/>
          </w:tcPr>
          <w:p>
            <w:pPr>
              <w:spacing w:after="0"/>
              <w:rPr>
                <w:rFonts w:ascii="Arial" w:cs="Arial" w:eastAsia="Arial" w:hAnsi="Arial"/>
                <w:sz w:val="17"/>
                <w:szCs w:val="17"/>
                <w:color w:val="0000EE"/>
                <w:w w:val="93"/>
              </w:rPr>
            </w:pPr>
            <w:hyperlink r:id="rId167">
              <w:r>
                <w:rPr>
                  <w:rFonts w:ascii="Arial" w:cs="Arial" w:eastAsia="Arial" w:hAnsi="Arial"/>
                  <w:sz w:val="17"/>
                  <w:szCs w:val="17"/>
                  <w:color w:val="0000EE"/>
                  <w:w w:val="93"/>
                </w:rPr>
                <w:t>Guarantee and Collateral Agreement dated September 3, 2013 from the grantors referred to therein as Grantors to JPMorgan Chase Bank,</w:t>
              </w:r>
            </w:hyperlink>
          </w:p>
        </w:tc>
      </w:tr>
      <w:tr>
        <w:trPr>
          <w:trHeight w:val="189"/>
        </w:trPr>
        <w:tc>
          <w:tcPr>
            <w:tcW w:w="1620" w:type="dxa"/>
            <w:vAlign w:val="bottom"/>
          </w:tcPr>
          <w:p>
            <w:pPr>
              <w:spacing w:after="0"/>
              <w:rPr>
                <w:sz w:val="16"/>
                <w:szCs w:val="16"/>
                <w:color w:val="auto"/>
              </w:rPr>
            </w:pPr>
          </w:p>
        </w:tc>
        <w:tc>
          <w:tcPr>
            <w:tcW w:w="9560" w:type="dxa"/>
            <w:vAlign w:val="bottom"/>
            <w:tcBorders>
              <w:top w:val="single" w:sz="8" w:color="0000EE"/>
            </w:tcBorders>
            <w:gridSpan w:val="20"/>
          </w:tcPr>
          <w:p>
            <w:pPr>
              <w:spacing w:after="0" w:line="189" w:lineRule="exact"/>
              <w:rPr>
                <w:rFonts w:ascii="Arial" w:cs="Arial" w:eastAsia="Arial" w:hAnsi="Arial"/>
                <w:sz w:val="17"/>
                <w:szCs w:val="17"/>
                <w:color w:val="0000EE"/>
                <w:w w:val="98"/>
              </w:rPr>
            </w:pPr>
            <w:hyperlink r:id="rId167">
              <w:r>
                <w:rPr>
                  <w:rFonts w:ascii="Arial" w:cs="Arial" w:eastAsia="Arial" w:hAnsi="Arial"/>
                  <w:sz w:val="17"/>
                  <w:szCs w:val="17"/>
                  <w:color w:val="0000EE"/>
                  <w:w w:val="98"/>
                </w:rPr>
                <w:t>N.A. as Administrative Agent. (Incorporated by reference to Exhibit 10.7 of the Company’s Quarterly Report on Form 10-Q for the</w:t>
              </w:r>
            </w:hyperlink>
          </w:p>
        </w:tc>
        <w:tc>
          <w:tcPr>
            <w:tcW w:w="260" w:type="dxa"/>
            <w:vAlign w:val="bottom"/>
            <w:gridSpan w:val="9"/>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16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r:id="rId167">
              <w:r>
                <w:rPr>
                  <w:rFonts w:ascii="Arial" w:cs="Arial" w:eastAsia="Arial" w:hAnsi="Arial"/>
                  <w:sz w:val="17"/>
                  <w:szCs w:val="17"/>
                  <w:color w:val="0000EE"/>
                </w:rPr>
                <w:t>quarterly period ended September 30, 2013 as filed on November 12, 2013).</w:t>
              </w:r>
            </w:hyperlink>
          </w:p>
        </w:tc>
        <w:tc>
          <w:tcPr>
            <w:tcW w:w="660" w:type="dxa"/>
            <w:vAlign w:val="bottom"/>
            <w:gridSpan w:val="16"/>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 (10.35)</w:t>
            </w:r>
          </w:p>
        </w:tc>
        <w:tc>
          <w:tcPr>
            <w:tcW w:w="9700" w:type="dxa"/>
            <w:vAlign w:val="bottom"/>
            <w:tcBorders>
              <w:bottom w:val="single" w:sz="8" w:color="0000EE"/>
            </w:tcBorders>
            <w:gridSpan w:val="26"/>
          </w:tcPr>
          <w:p>
            <w:pPr>
              <w:spacing w:after="0"/>
              <w:rPr>
                <w:rFonts w:ascii="Arial" w:cs="Arial" w:eastAsia="Arial" w:hAnsi="Arial"/>
                <w:sz w:val="17"/>
                <w:szCs w:val="17"/>
                <w:color w:val="0000EE"/>
                <w:w w:val="91"/>
              </w:rPr>
            </w:pPr>
            <w:hyperlink r:id="rId168">
              <w:r>
                <w:rPr>
                  <w:rFonts w:ascii="Arial" w:cs="Arial" w:eastAsia="Arial" w:hAnsi="Arial"/>
                  <w:sz w:val="17"/>
                  <w:szCs w:val="17"/>
                  <w:color w:val="0000EE"/>
                  <w:w w:val="91"/>
                </w:rPr>
                <w:t>Amended and Restated Credit Agreement, dated as of May 26, 2016, among Eastman Kodak Company, as Borrower, the guarantors named</w:t>
              </w:r>
            </w:hyperlink>
          </w:p>
        </w:tc>
        <w:tc>
          <w:tcPr>
            <w:tcW w:w="120" w:type="dxa"/>
            <w:vAlign w:val="bottom"/>
            <w:gridSpan w:val="3"/>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700" w:type="dxa"/>
            <w:vAlign w:val="bottom"/>
            <w:tcBorders>
              <w:bottom w:val="single" w:sz="8" w:color="0000EE"/>
            </w:tcBorders>
            <w:gridSpan w:val="26"/>
          </w:tcPr>
          <w:p>
            <w:pPr>
              <w:spacing w:after="0" w:line="189" w:lineRule="exact"/>
              <w:rPr>
                <w:rFonts w:ascii="Arial" w:cs="Arial" w:eastAsia="Arial" w:hAnsi="Arial"/>
                <w:sz w:val="17"/>
                <w:szCs w:val="17"/>
                <w:color w:val="0000EE"/>
                <w:w w:val="92"/>
              </w:rPr>
            </w:pPr>
            <w:hyperlink r:id="rId168">
              <w:r>
                <w:rPr>
                  <w:rFonts w:ascii="Arial" w:cs="Arial" w:eastAsia="Arial" w:hAnsi="Arial"/>
                  <w:sz w:val="17"/>
                  <w:szCs w:val="17"/>
                  <w:color w:val="0000EE"/>
                  <w:w w:val="92"/>
                </w:rPr>
                <w:t>therein, as Guarantors, the lenders named therein, as Lenders, Bank of America, N.A., as Administrative and Collateral Agent, and Bank of</w:t>
              </w:r>
            </w:hyperlink>
          </w:p>
        </w:tc>
        <w:tc>
          <w:tcPr>
            <w:tcW w:w="120" w:type="dxa"/>
            <w:vAlign w:val="bottom"/>
            <w:gridSpan w:val="3"/>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760" w:type="dxa"/>
            <w:vAlign w:val="bottom"/>
            <w:tcBorders>
              <w:bottom w:val="single" w:sz="8" w:color="0000EE"/>
            </w:tcBorders>
            <w:gridSpan w:val="28"/>
          </w:tcPr>
          <w:p>
            <w:pPr>
              <w:spacing w:after="0" w:line="189" w:lineRule="exact"/>
              <w:rPr>
                <w:rFonts w:ascii="Arial" w:cs="Arial" w:eastAsia="Arial" w:hAnsi="Arial"/>
                <w:sz w:val="17"/>
                <w:szCs w:val="17"/>
                <w:color w:val="0000EE"/>
                <w:w w:val="93"/>
              </w:rPr>
            </w:pPr>
            <w:hyperlink r:id="rId168">
              <w:r>
                <w:rPr>
                  <w:rFonts w:ascii="Arial" w:cs="Arial" w:eastAsia="Arial" w:hAnsi="Arial"/>
                  <w:sz w:val="17"/>
                  <w:szCs w:val="17"/>
                  <w:color w:val="0000EE"/>
                  <w:w w:val="93"/>
                </w:rPr>
                <w:t>America, N.A. and JPMorgan Chase Bank, N.A., as Joint Lead Arrangers and Joint Bookrunners. (Incorporated by reference to Exhibit 10.1</w:t>
              </w:r>
            </w:hyperlink>
          </w:p>
        </w:tc>
        <w:tc>
          <w:tcPr>
            <w:tcW w:w="6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rPr>
            </w:pPr>
            <w:hyperlink r:id="rId168">
              <w:r>
                <w:rPr>
                  <w:rFonts w:ascii="Arial" w:cs="Arial" w:eastAsia="Arial" w:hAnsi="Arial"/>
                  <w:sz w:val="17"/>
                  <w:szCs w:val="17"/>
                  <w:color w:val="0000EE"/>
                </w:rPr>
                <w:t>of the Company’s Quarterly Report on Form 10-Q for the quarterly period ended June 30, 2016 as filed on August 9, 2016).</w:t>
              </w:r>
            </w:hyperlink>
          </w:p>
        </w:tc>
      </w:tr>
      <w:tr>
        <w:trPr>
          <w:trHeight w:val="20"/>
        </w:trPr>
        <w:tc>
          <w:tcPr>
            <w:tcW w:w="162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60" w:type="dxa"/>
            <w:vAlign w:val="bottom"/>
            <w:gridSpan w:val="6"/>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 (10.36)</w:t>
            </w:r>
          </w:p>
        </w:tc>
        <w:tc>
          <w:tcPr>
            <w:tcW w:w="9820" w:type="dxa"/>
            <w:vAlign w:val="bottom"/>
            <w:gridSpan w:val="29"/>
          </w:tcPr>
          <w:p>
            <w:pPr>
              <w:spacing w:after="0"/>
              <w:rPr>
                <w:rFonts w:ascii="Arial" w:cs="Arial" w:eastAsia="Arial" w:hAnsi="Arial"/>
                <w:sz w:val="17"/>
                <w:szCs w:val="17"/>
                <w:color w:val="0000EE"/>
                <w:w w:val="95"/>
              </w:rPr>
            </w:pPr>
            <w:hyperlink r:id="rId169">
              <w:r>
                <w:rPr>
                  <w:rFonts w:ascii="Arial" w:cs="Arial" w:eastAsia="Arial" w:hAnsi="Arial"/>
                  <w:sz w:val="17"/>
                  <w:szCs w:val="17"/>
                  <w:color w:val="0000EE"/>
                  <w:w w:val="95"/>
                </w:rPr>
                <w:t>Amended and Restated Security Agreement, dated May 26, 2016, from the Grantors referred to therein, as Grantors, to Bank of America,</w:t>
              </w:r>
            </w:hyperlink>
          </w:p>
        </w:tc>
      </w:tr>
      <w:tr>
        <w:trPr>
          <w:trHeight w:val="20"/>
        </w:trPr>
        <w:tc>
          <w:tcPr>
            <w:tcW w:w="162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6600" w:type="dxa"/>
            <w:vAlign w:val="bottom"/>
            <w:gridSpan w:val="16"/>
            <w:shd w:val="clear" w:color="auto" w:fill="0000EE"/>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720" w:type="dxa"/>
            <w:vAlign w:val="bottom"/>
            <w:tcBorders>
              <w:bottom w:val="single" w:sz="8" w:color="0000EE"/>
            </w:tcBorders>
            <w:gridSpan w:val="27"/>
          </w:tcPr>
          <w:p>
            <w:pPr>
              <w:spacing w:after="0" w:line="189" w:lineRule="exact"/>
              <w:rPr>
                <w:rFonts w:ascii="Arial" w:cs="Arial" w:eastAsia="Arial" w:hAnsi="Arial"/>
                <w:sz w:val="17"/>
                <w:szCs w:val="17"/>
                <w:color w:val="0000EE"/>
                <w:w w:val="93"/>
              </w:rPr>
            </w:pPr>
            <w:hyperlink r:id="rId169">
              <w:r>
                <w:rPr>
                  <w:rFonts w:ascii="Arial" w:cs="Arial" w:eastAsia="Arial" w:hAnsi="Arial"/>
                  <w:sz w:val="17"/>
                  <w:szCs w:val="17"/>
                  <w:color w:val="0000EE"/>
                  <w:w w:val="93"/>
                </w:rPr>
                <w:t>N.A., as Agent. (Incorporated by reference to Exhibit 10.2 of the Company’s Quarterly Report on Form 10-Q for the quarterly period ended</w:t>
              </w:r>
            </w:hyperlink>
          </w:p>
        </w:tc>
        <w:tc>
          <w:tcPr>
            <w:tcW w:w="100" w:type="dxa"/>
            <w:vAlign w:val="bottom"/>
            <w:gridSpan w:val="2"/>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20" w:type="dxa"/>
            <w:vAlign w:val="bottom"/>
            <w:gridSpan w:val="29"/>
          </w:tcPr>
          <w:p>
            <w:pPr>
              <w:spacing w:after="0" w:line="189" w:lineRule="exact"/>
              <w:rPr>
                <w:rFonts w:ascii="Arial" w:cs="Arial" w:eastAsia="Arial" w:hAnsi="Arial"/>
                <w:sz w:val="17"/>
                <w:szCs w:val="17"/>
                <w:color w:val="0000EE"/>
              </w:rPr>
            </w:pPr>
            <w:hyperlink r:id="rId169">
              <w:r>
                <w:rPr>
                  <w:rFonts w:ascii="Arial" w:cs="Arial" w:eastAsia="Arial" w:hAnsi="Arial"/>
                  <w:sz w:val="17"/>
                  <w:szCs w:val="17"/>
                  <w:color w:val="0000EE"/>
                </w:rPr>
                <w:t>June 30, 2016 as filed on August 9, 2016).</w:t>
              </w:r>
            </w:hyperlink>
          </w:p>
        </w:tc>
      </w:tr>
      <w:tr>
        <w:trPr>
          <w:trHeight w:val="671"/>
        </w:trPr>
        <w:tc>
          <w:tcPr>
            <w:tcW w:w="1620" w:type="dxa"/>
            <w:vAlign w:val="bottom"/>
          </w:tcPr>
          <w:p>
            <w:pPr>
              <w:spacing w:after="0"/>
              <w:rPr>
                <w:sz w:val="24"/>
                <w:szCs w:val="24"/>
                <w:color w:val="auto"/>
              </w:rPr>
            </w:pPr>
          </w:p>
        </w:tc>
        <w:tc>
          <w:tcPr>
            <w:tcW w:w="2940" w:type="dxa"/>
            <w:vAlign w:val="bottom"/>
            <w:tcBorders>
              <w:top w:val="single" w:sz="8" w:color="0000EE"/>
            </w:tcBorders>
            <w:gridSpan w:val="3"/>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103</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16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3" w:right="2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7"/>
                <w:szCs w:val="17"/>
                <w:color w:val="auto"/>
              </w:rPr>
              <w:t>(10.37)</w:t>
            </w:r>
          </w:p>
        </w:tc>
        <w:tc>
          <w:tcPr>
            <w:tcW w:w="9740" w:type="dxa"/>
            <w:vAlign w:val="bottom"/>
            <w:tcBorders>
              <w:bottom w:val="single" w:sz="8" w:color="0000EE"/>
            </w:tcBorders>
            <w:gridSpan w:val="16"/>
          </w:tcPr>
          <w:p>
            <w:pPr>
              <w:spacing w:after="0"/>
              <w:rPr>
                <w:rFonts w:ascii="Arial" w:cs="Arial" w:eastAsia="Arial" w:hAnsi="Arial"/>
                <w:sz w:val="17"/>
                <w:szCs w:val="17"/>
                <w:color w:val="0000EE"/>
                <w:w w:val="91"/>
              </w:rPr>
            </w:pPr>
            <w:hyperlink r:id="rId172">
              <w:r>
                <w:rPr>
                  <w:rFonts w:ascii="Arial" w:cs="Arial" w:eastAsia="Arial" w:hAnsi="Arial"/>
                  <w:sz w:val="17"/>
                  <w:szCs w:val="17"/>
                  <w:color w:val="0000EE"/>
                  <w:w w:val="91"/>
                </w:rPr>
                <w:t>Series A Preferred Stock Purchase Agreement, dated as of November 7, 2016, by and among Eastman Kodak Company, Southeastern Asset</w:t>
              </w:r>
            </w:hyperlink>
          </w:p>
        </w:tc>
        <w:tc>
          <w:tcPr>
            <w:tcW w:w="60" w:type="dxa"/>
            <w:vAlign w:val="bottom"/>
            <w:gridSpan w:val="3"/>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00" w:type="dxa"/>
            <w:vAlign w:val="bottom"/>
            <w:tcBorders>
              <w:bottom w:val="single" w:sz="8" w:color="0000EE"/>
            </w:tcBorders>
            <w:gridSpan w:val="19"/>
          </w:tcPr>
          <w:p>
            <w:pPr>
              <w:spacing w:after="0" w:line="189" w:lineRule="exact"/>
              <w:rPr>
                <w:rFonts w:ascii="Arial" w:cs="Arial" w:eastAsia="Arial" w:hAnsi="Arial"/>
                <w:sz w:val="17"/>
                <w:szCs w:val="17"/>
                <w:color w:val="0000EE"/>
                <w:w w:val="92"/>
              </w:rPr>
            </w:pPr>
            <w:hyperlink r:id="rId172">
              <w:r>
                <w:rPr>
                  <w:rFonts w:ascii="Arial" w:cs="Arial" w:eastAsia="Arial" w:hAnsi="Arial"/>
                  <w:sz w:val="17"/>
                  <w:szCs w:val="17"/>
                  <w:color w:val="0000EE"/>
                  <w:w w:val="92"/>
                </w:rPr>
                <w:t>Management, Inc., Longleaf Partners Small-Cap Fund, C2W Partners Master Fund Limited and Deseret Mutual Pension Trust. (Incorporated</w:t>
              </w:r>
            </w:hyperlink>
          </w:p>
        </w:tc>
      </w:tr>
      <w:tr>
        <w:trPr>
          <w:trHeight w:val="189"/>
        </w:trPr>
        <w:tc>
          <w:tcPr>
            <w:tcW w:w="1620" w:type="dxa"/>
            <w:vAlign w:val="bottom"/>
          </w:tcPr>
          <w:p>
            <w:pPr>
              <w:spacing w:after="0"/>
              <w:rPr>
                <w:sz w:val="16"/>
                <w:szCs w:val="16"/>
                <w:color w:val="auto"/>
              </w:rPr>
            </w:pPr>
          </w:p>
        </w:tc>
        <w:tc>
          <w:tcPr>
            <w:tcW w:w="7480" w:type="dxa"/>
            <w:vAlign w:val="bottom"/>
            <w:tcBorders>
              <w:bottom w:val="single" w:sz="8" w:color="0000EE"/>
            </w:tcBorders>
            <w:gridSpan w:val="9"/>
          </w:tcPr>
          <w:p>
            <w:pPr>
              <w:spacing w:after="0" w:line="189" w:lineRule="exact"/>
              <w:rPr>
                <w:rFonts w:ascii="Arial" w:cs="Arial" w:eastAsia="Arial" w:hAnsi="Arial"/>
                <w:sz w:val="17"/>
                <w:szCs w:val="17"/>
                <w:color w:val="0000EE"/>
                <w:w w:val="93"/>
              </w:rPr>
            </w:pPr>
            <w:hyperlink r:id="rId172">
              <w:r>
                <w:rPr>
                  <w:rFonts w:ascii="Arial" w:cs="Arial" w:eastAsia="Arial" w:hAnsi="Arial"/>
                  <w:sz w:val="17"/>
                  <w:szCs w:val="17"/>
                  <w:color w:val="0000EE"/>
                  <w:w w:val="93"/>
                </w:rPr>
                <w:t>by reference to Exhibit 10.1 of the Company’s Current Report on Form 8-K as filed on November 7, 2016).</w:t>
              </w:r>
            </w:hyperlink>
          </w:p>
        </w:tc>
        <w:tc>
          <w:tcPr>
            <w:tcW w:w="2320" w:type="dxa"/>
            <w:vAlign w:val="bottom"/>
            <w:gridSpan w:val="10"/>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(10.38)</w:t>
            </w:r>
          </w:p>
        </w:tc>
        <w:tc>
          <w:tcPr>
            <w:tcW w:w="9800" w:type="dxa"/>
            <w:vAlign w:val="bottom"/>
            <w:tcBorders>
              <w:bottom w:val="single" w:sz="8" w:color="0000EE"/>
            </w:tcBorders>
            <w:gridSpan w:val="19"/>
          </w:tcPr>
          <w:p>
            <w:pPr>
              <w:spacing w:after="0"/>
              <w:rPr>
                <w:rFonts w:ascii="Arial" w:cs="Arial" w:eastAsia="Arial" w:hAnsi="Arial"/>
                <w:sz w:val="17"/>
                <w:szCs w:val="17"/>
                <w:color w:val="0000EE"/>
                <w:w w:val="91"/>
              </w:rPr>
            </w:pPr>
            <w:hyperlink r:id="rId173">
              <w:r>
                <w:rPr>
                  <w:rFonts w:ascii="Arial" w:cs="Arial" w:eastAsia="Arial" w:hAnsi="Arial"/>
                  <w:sz w:val="17"/>
                  <w:szCs w:val="17"/>
                  <w:color w:val="0000EE"/>
                  <w:w w:val="91"/>
                </w:rPr>
                <w:t>Amended and Restated Settlement Agreement (Eastman Business Park) between Eastman Kodak Company, the New York State Department</w:t>
              </w:r>
            </w:hyperlink>
          </w:p>
        </w:tc>
      </w:tr>
      <w:tr>
        <w:trPr>
          <w:trHeight w:val="189"/>
        </w:trPr>
        <w:tc>
          <w:tcPr>
            <w:tcW w:w="1620" w:type="dxa"/>
            <w:vAlign w:val="bottom"/>
          </w:tcPr>
          <w:p>
            <w:pPr>
              <w:spacing w:after="0"/>
              <w:rPr>
                <w:sz w:val="16"/>
                <w:szCs w:val="16"/>
                <w:color w:val="auto"/>
              </w:rPr>
            </w:pPr>
          </w:p>
        </w:tc>
        <w:tc>
          <w:tcPr>
            <w:tcW w:w="9800" w:type="dxa"/>
            <w:vAlign w:val="bottom"/>
            <w:gridSpan w:val="19"/>
          </w:tcPr>
          <w:p>
            <w:pPr>
              <w:spacing w:after="0" w:line="189" w:lineRule="exact"/>
              <w:rPr>
                <w:rFonts w:ascii="Arial" w:cs="Arial" w:eastAsia="Arial" w:hAnsi="Arial"/>
                <w:sz w:val="17"/>
                <w:szCs w:val="17"/>
                <w:color w:val="0000EE"/>
                <w:w w:val="93"/>
              </w:rPr>
            </w:pPr>
            <w:hyperlink r:id="rId173">
              <w:r>
                <w:rPr>
                  <w:rFonts w:ascii="Arial" w:cs="Arial" w:eastAsia="Arial" w:hAnsi="Arial"/>
                  <w:sz w:val="17"/>
                  <w:szCs w:val="17"/>
                  <w:color w:val="0000EE"/>
                  <w:w w:val="93"/>
                </w:rPr>
                <w:t>of Environmental Conservation, and the New York State Urban Development Corporation d/b/a Empire State Development, dated August 6,</w:t>
              </w:r>
            </w:hyperlink>
          </w:p>
        </w:tc>
      </w:tr>
      <w:tr>
        <w:trPr>
          <w:trHeight w:val="189"/>
        </w:trPr>
        <w:tc>
          <w:tcPr>
            <w:tcW w:w="1620" w:type="dxa"/>
            <w:vAlign w:val="bottom"/>
          </w:tcPr>
          <w:p>
            <w:pPr>
              <w:spacing w:after="0"/>
              <w:rPr>
                <w:sz w:val="16"/>
                <w:szCs w:val="16"/>
                <w:color w:val="auto"/>
              </w:rPr>
            </w:pPr>
          </w:p>
        </w:tc>
        <w:tc>
          <w:tcPr>
            <w:tcW w:w="912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93"/>
              </w:rPr>
            </w:pPr>
            <w:hyperlink r:id="rId173">
              <w:r>
                <w:rPr>
                  <w:rFonts w:ascii="Arial" w:cs="Arial" w:eastAsia="Arial" w:hAnsi="Arial"/>
                  <w:sz w:val="17"/>
                  <w:szCs w:val="17"/>
                  <w:color w:val="0000EE"/>
                  <w:w w:val="93"/>
                </w:rPr>
                <w:t>2013. (Incorporated by reference to Exhibit 10.10 of the Company’s Quarterly Report on Form 10-Q for the quarterly period ended</w:t>
              </w:r>
            </w:hyperlink>
          </w:p>
        </w:tc>
        <w:tc>
          <w:tcPr>
            <w:tcW w:w="640" w:type="dxa"/>
            <w:vAlign w:val="bottom"/>
            <w:tcBorders>
              <w:top w:val="single" w:sz="8" w:color="0000EE"/>
            </w:tcBorders>
            <w:gridSpan w:val="7"/>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3700" w:type="dxa"/>
            <w:vAlign w:val="bottom"/>
            <w:tcBorders>
              <w:bottom w:val="single" w:sz="8" w:color="0000EE"/>
            </w:tcBorders>
            <w:gridSpan w:val="3"/>
          </w:tcPr>
          <w:p>
            <w:pPr>
              <w:spacing w:after="0" w:line="189" w:lineRule="exact"/>
              <w:rPr>
                <w:rFonts w:ascii="Arial" w:cs="Arial" w:eastAsia="Arial" w:hAnsi="Arial"/>
                <w:sz w:val="17"/>
                <w:szCs w:val="17"/>
                <w:color w:val="0000EE"/>
                <w:w w:val="91"/>
              </w:rPr>
            </w:pPr>
            <w:hyperlink r:id="rId173">
              <w:r>
                <w:rPr>
                  <w:rFonts w:ascii="Arial" w:cs="Arial" w:eastAsia="Arial" w:hAnsi="Arial"/>
                  <w:sz w:val="17"/>
                  <w:szCs w:val="17"/>
                  <w:color w:val="0000EE"/>
                  <w:w w:val="91"/>
                </w:rPr>
                <w:t>September 30, 2013 as filed on November 12, 2013).</w:t>
              </w:r>
            </w:hyperlink>
          </w:p>
        </w:tc>
        <w:tc>
          <w:tcPr>
            <w:tcW w:w="6100" w:type="dxa"/>
            <w:vAlign w:val="bottom"/>
            <w:gridSpan w:val="16"/>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(10.39)</w:t>
            </w:r>
          </w:p>
        </w:tc>
        <w:tc>
          <w:tcPr>
            <w:tcW w:w="9800" w:type="dxa"/>
            <w:vAlign w:val="bottom"/>
            <w:gridSpan w:val="19"/>
          </w:tcPr>
          <w:p>
            <w:pPr>
              <w:spacing w:after="0"/>
              <w:rPr>
                <w:rFonts w:ascii="Arial" w:cs="Arial" w:eastAsia="Arial" w:hAnsi="Arial"/>
                <w:sz w:val="17"/>
                <w:szCs w:val="17"/>
                <w:color w:val="0000EE"/>
                <w:w w:val="98"/>
              </w:rPr>
            </w:pPr>
            <w:hyperlink r:id="rId174">
              <w:r>
                <w:rPr>
                  <w:rFonts w:ascii="Arial" w:cs="Arial" w:eastAsia="Arial" w:hAnsi="Arial"/>
                  <w:sz w:val="17"/>
                  <w:szCs w:val="17"/>
                  <w:color w:val="0000EE"/>
                  <w:w w:val="98"/>
                </w:rPr>
                <w:t>Settlement Agreement between Eastman Kodak Company, Kodak Limited, Kodak International Finance Limited, Kodak Polychrome</w:t>
              </w:r>
            </w:hyperlink>
          </w:p>
        </w:tc>
      </w:tr>
      <w:tr>
        <w:trPr>
          <w:trHeight w:val="20"/>
        </w:trPr>
        <w:tc>
          <w:tcPr>
            <w:tcW w:w="16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780" w:type="dxa"/>
            <w:vAlign w:val="bottom"/>
            <w:tcBorders>
              <w:bottom w:val="single" w:sz="8" w:color="0000EE"/>
            </w:tcBorders>
            <w:gridSpan w:val="18"/>
          </w:tcPr>
          <w:p>
            <w:pPr>
              <w:spacing w:after="0" w:line="189" w:lineRule="exact"/>
              <w:rPr>
                <w:rFonts w:ascii="Arial" w:cs="Arial" w:eastAsia="Arial" w:hAnsi="Arial"/>
                <w:sz w:val="17"/>
                <w:szCs w:val="17"/>
                <w:color w:val="0000EE"/>
                <w:w w:val="93"/>
              </w:rPr>
            </w:pPr>
            <w:hyperlink r:id="rId174">
              <w:r>
                <w:rPr>
                  <w:rFonts w:ascii="Arial" w:cs="Arial" w:eastAsia="Arial" w:hAnsi="Arial"/>
                  <w:sz w:val="17"/>
                  <w:szCs w:val="17"/>
                  <w:color w:val="0000EE"/>
                  <w:w w:val="93"/>
                </w:rPr>
                <w:t>Graphics Finance UK Limited, and the KPP Trustees Limited, as trustee for the Kodak Pension Plan of the United Kingdom, dated April 26,</w:t>
              </w:r>
            </w:hyperlink>
          </w:p>
        </w:tc>
        <w:tc>
          <w:tcPr>
            <w:tcW w:w="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66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r:id="rId174">
              <w:r>
                <w:rPr>
                  <w:rFonts w:ascii="Arial" w:cs="Arial" w:eastAsia="Arial" w:hAnsi="Arial"/>
                  <w:sz w:val="17"/>
                  <w:szCs w:val="17"/>
                  <w:color w:val="0000EE"/>
                  <w:w w:val="93"/>
                </w:rPr>
                <w:t>2013. (Incorporated by reference to Exhibit 10.1 of the Company’s Quarterly Report on Form 10-Q for the quarterly period ended June 30,</w:t>
              </w:r>
            </w:hyperlink>
          </w:p>
        </w:tc>
        <w:tc>
          <w:tcPr>
            <w:tcW w:w="140" w:type="dxa"/>
            <w:vAlign w:val="bottom"/>
            <w:gridSpan w:val="4"/>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800" w:type="dxa"/>
            <w:vAlign w:val="bottom"/>
            <w:gridSpan w:val="19"/>
          </w:tcPr>
          <w:p>
            <w:pPr>
              <w:spacing w:after="0" w:line="189" w:lineRule="exact"/>
              <w:rPr>
                <w:rFonts w:ascii="Arial" w:cs="Arial" w:eastAsia="Arial" w:hAnsi="Arial"/>
                <w:sz w:val="17"/>
                <w:szCs w:val="17"/>
                <w:color w:val="0000EE"/>
              </w:rPr>
            </w:pPr>
            <w:hyperlink r:id="rId174">
              <w:r>
                <w:rPr>
                  <w:rFonts w:ascii="Arial" w:cs="Arial" w:eastAsia="Arial" w:hAnsi="Arial"/>
                  <w:sz w:val="17"/>
                  <w:szCs w:val="17"/>
                  <w:color w:val="0000EE"/>
                </w:rPr>
                <w:t>2013 as filed on August 7, 2013).</w:t>
              </w:r>
            </w:hyperlink>
          </w:p>
        </w:tc>
      </w:tr>
      <w:tr>
        <w:trPr>
          <w:trHeight w:val="20"/>
        </w:trPr>
        <w:tc>
          <w:tcPr>
            <w:tcW w:w="16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(10.40)</w:t>
            </w:r>
          </w:p>
        </w:tc>
        <w:tc>
          <w:tcPr>
            <w:tcW w:w="9800" w:type="dxa"/>
            <w:vAlign w:val="bottom"/>
            <w:gridSpan w:val="19"/>
          </w:tcPr>
          <w:p>
            <w:pPr>
              <w:spacing w:after="0"/>
              <w:rPr>
                <w:rFonts w:ascii="Arial" w:cs="Arial" w:eastAsia="Arial" w:hAnsi="Arial"/>
                <w:sz w:val="17"/>
                <w:szCs w:val="17"/>
                <w:color w:val="0000EE"/>
                <w:w w:val="94"/>
              </w:rPr>
            </w:pPr>
            <w:hyperlink r:id="rId175">
              <w:r>
                <w:rPr>
                  <w:rFonts w:ascii="Arial" w:cs="Arial" w:eastAsia="Arial" w:hAnsi="Arial"/>
                  <w:sz w:val="17"/>
                  <w:szCs w:val="17"/>
                  <w:color w:val="0000EE"/>
                  <w:w w:val="94"/>
                </w:rPr>
                <w:t>Amended and Restated Stock and Asset Purchase Agreement between Eastman Kodak Company, Qualex, Inc., Kodak (Near East), Inc.,</w:t>
              </w:r>
            </w:hyperlink>
          </w:p>
        </w:tc>
      </w:tr>
      <w:tr>
        <w:trPr>
          <w:trHeight w:val="20"/>
        </w:trPr>
        <w:tc>
          <w:tcPr>
            <w:tcW w:w="16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9800" w:type="dxa"/>
            <w:vAlign w:val="bottom"/>
            <w:gridSpan w:val="19"/>
          </w:tcPr>
          <w:p>
            <w:pPr>
              <w:spacing w:after="0" w:line="189" w:lineRule="exact"/>
              <w:rPr>
                <w:rFonts w:ascii="Arial" w:cs="Arial" w:eastAsia="Arial" w:hAnsi="Arial"/>
                <w:sz w:val="17"/>
                <w:szCs w:val="17"/>
                <w:color w:val="0000EE"/>
                <w:w w:val="93"/>
              </w:rPr>
            </w:pPr>
            <w:hyperlink r:id="rId175">
              <w:r>
                <w:rPr>
                  <w:rFonts w:ascii="Arial" w:cs="Arial" w:eastAsia="Arial" w:hAnsi="Arial"/>
                  <w:sz w:val="17"/>
                  <w:szCs w:val="17"/>
                  <w:color w:val="0000EE"/>
                  <w:w w:val="93"/>
                </w:rPr>
                <w:t>KPP Trustees Limited, as Trustee for the Kodak Pension Plan of the United Kingdom, and, solely for purposes of Section 11.4, KPP Holdco</w:t>
              </w:r>
            </w:hyperlink>
          </w:p>
        </w:tc>
      </w:tr>
      <w:tr>
        <w:trPr>
          <w:trHeight w:val="189"/>
        </w:trPr>
        <w:tc>
          <w:tcPr>
            <w:tcW w:w="1620" w:type="dxa"/>
            <w:vAlign w:val="bottom"/>
          </w:tcPr>
          <w:p>
            <w:pPr>
              <w:spacing w:after="0"/>
              <w:rPr>
                <w:sz w:val="16"/>
                <w:szCs w:val="16"/>
                <w:color w:val="auto"/>
              </w:rPr>
            </w:pPr>
          </w:p>
        </w:tc>
        <w:tc>
          <w:tcPr>
            <w:tcW w:w="9740" w:type="dxa"/>
            <w:vAlign w:val="bottom"/>
            <w:tcBorders>
              <w:top w:val="single" w:sz="8" w:color="0000EE"/>
            </w:tcBorders>
            <w:gridSpan w:val="16"/>
          </w:tcPr>
          <w:p>
            <w:pPr>
              <w:spacing w:after="0" w:line="189" w:lineRule="exact"/>
              <w:rPr>
                <w:rFonts w:ascii="Arial" w:cs="Arial" w:eastAsia="Arial" w:hAnsi="Arial"/>
                <w:sz w:val="17"/>
                <w:szCs w:val="17"/>
                <w:color w:val="0000EE"/>
                <w:w w:val="99"/>
              </w:rPr>
            </w:pPr>
            <w:hyperlink r:id="rId175">
              <w:r>
                <w:rPr>
                  <w:rFonts w:ascii="Arial" w:cs="Arial" w:eastAsia="Arial" w:hAnsi="Arial"/>
                  <w:sz w:val="17"/>
                  <w:szCs w:val="17"/>
                  <w:color w:val="0000EE"/>
                  <w:w w:val="99"/>
                </w:rPr>
                <w:t>Limited, dated August 30, 2013. (Incorporated by reference to Exhibit 2.3 of the Company’s Quarterly Report on Form 10-Q for the</w:t>
              </w:r>
            </w:hyperlink>
          </w:p>
        </w:tc>
        <w:tc>
          <w:tcPr>
            <w:tcW w:w="60" w:type="dxa"/>
            <w:vAlign w:val="bottom"/>
            <w:gridSpan w:val="3"/>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9180" w:type="dxa"/>
            <w:vAlign w:val="bottom"/>
            <w:tcBorders>
              <w:top w:val="single" w:sz="8" w:color="0000EE"/>
            </w:tcBorders>
            <w:gridSpan w:val="11"/>
          </w:tcPr>
          <w:p>
            <w:pPr>
              <w:spacing w:after="0" w:line="189" w:lineRule="exact"/>
              <w:rPr>
                <w:rFonts w:ascii="Arial" w:cs="Arial" w:eastAsia="Arial" w:hAnsi="Arial"/>
                <w:sz w:val="17"/>
                <w:szCs w:val="17"/>
                <w:color w:val="0000EE"/>
              </w:rPr>
            </w:pPr>
            <w:hyperlink r:id="rId175">
              <w:r>
                <w:rPr>
                  <w:rFonts w:ascii="Arial" w:cs="Arial" w:eastAsia="Arial" w:hAnsi="Arial"/>
                  <w:sz w:val="17"/>
                  <w:szCs w:val="17"/>
                  <w:color w:val="0000EE"/>
                </w:rPr>
                <w:t>quarterly period ended September 30, 2013 as filed on November 12, 2013).</w:t>
              </w:r>
            </w:hyperlink>
          </w:p>
        </w:tc>
        <w:tc>
          <w:tcPr>
            <w:tcW w:w="620" w:type="dxa"/>
            <w:vAlign w:val="bottom"/>
            <w:gridSpan w:val="8"/>
          </w:tcPr>
          <w:p>
            <w:pPr>
              <w:spacing w:after="0"/>
              <w:rPr>
                <w:sz w:val="16"/>
                <w:szCs w:val="16"/>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(21)</w:t>
            </w:r>
          </w:p>
        </w:tc>
        <w:tc>
          <w:tcPr>
            <w:tcW w:w="40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2"/>
              </w:rPr>
              <w:t>Subsidiaries of Eastman Kodak Company, filed herewith.</w:t>
            </w:r>
          </w:p>
        </w:tc>
        <w:tc>
          <w:tcPr>
            <w:tcW w:w="1300" w:type="dxa"/>
            <w:vAlign w:val="bottom"/>
            <w:tcBorders>
              <w:top w:val="single" w:sz="8" w:color="0000EE"/>
            </w:tcBorders>
            <w:gridSpan w:val="4"/>
          </w:tcPr>
          <w:p>
            <w:pPr>
              <w:spacing w:after="0"/>
              <w:rPr>
                <w:sz w:val="24"/>
                <w:szCs w:val="24"/>
                <w:color w:val="auto"/>
              </w:rPr>
            </w:pPr>
          </w:p>
        </w:tc>
        <w:tc>
          <w:tcPr>
            <w:tcW w:w="4500" w:type="dxa"/>
            <w:vAlign w:val="bottom"/>
            <w:gridSpan w:val="11"/>
          </w:tcPr>
          <w:p>
            <w:pPr>
              <w:spacing w:after="0"/>
              <w:rPr>
                <w:sz w:val="24"/>
                <w:szCs w:val="24"/>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(23)</w:t>
            </w:r>
          </w:p>
        </w:tc>
        <w:tc>
          <w:tcPr>
            <w:tcW w:w="9800" w:type="dxa"/>
            <w:vAlign w:val="bottom"/>
            <w:gridSpan w:val="19"/>
          </w:tcPr>
          <w:p>
            <w:pPr>
              <w:spacing w:after="0"/>
              <w:rPr>
                <w:sz w:val="20"/>
                <w:szCs w:val="20"/>
                <w:color w:val="auto"/>
              </w:rPr>
            </w:pPr>
            <w:r>
              <w:rPr>
                <w:rFonts w:ascii="Arial" w:cs="Arial" w:eastAsia="Arial" w:hAnsi="Arial"/>
                <w:sz w:val="17"/>
                <w:szCs w:val="17"/>
                <w:color w:val="0000EE"/>
              </w:rPr>
              <w:t>Consent of Independent Registered Public Accounting Firm, filed herewith.</w:t>
            </w: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(31.1)</w:t>
            </w:r>
          </w:p>
        </w:tc>
        <w:tc>
          <w:tcPr>
            <w:tcW w:w="5260" w:type="dxa"/>
            <w:vAlign w:val="bottom"/>
            <w:tcBorders>
              <w:top w:val="single" w:sz="8" w:color="0000EE"/>
            </w:tcBorders>
            <w:gridSpan w:val="7"/>
          </w:tcPr>
          <w:p>
            <w:pPr>
              <w:spacing w:after="0"/>
              <w:rPr>
                <w:sz w:val="20"/>
                <w:szCs w:val="20"/>
                <w:color w:val="auto"/>
              </w:rPr>
            </w:pPr>
            <w:r>
              <w:rPr>
                <w:rFonts w:ascii="Arial" w:cs="Arial" w:eastAsia="Arial" w:hAnsi="Arial"/>
                <w:sz w:val="17"/>
                <w:szCs w:val="17"/>
                <w:color w:val="0000EE"/>
              </w:rPr>
              <w:t>Certification signed by James V. Continenza, filed herewith.</w:t>
            </w:r>
          </w:p>
        </w:tc>
        <w:tc>
          <w:tcPr>
            <w:tcW w:w="4540" w:type="dxa"/>
            <w:vAlign w:val="bottom"/>
            <w:gridSpan w:val="12"/>
          </w:tcPr>
          <w:p>
            <w:pPr>
              <w:spacing w:after="0"/>
              <w:rPr>
                <w:sz w:val="24"/>
                <w:szCs w:val="24"/>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(31.2)</w:t>
            </w:r>
          </w:p>
        </w:tc>
        <w:tc>
          <w:tcPr>
            <w:tcW w:w="418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0000EE"/>
                <w:w w:val="96"/>
              </w:rPr>
              <w:t>Certification signed by David E. Bullwinkle, filed herewith.</w:t>
            </w:r>
          </w:p>
        </w:tc>
        <w:tc>
          <w:tcPr>
            <w:tcW w:w="5620" w:type="dxa"/>
            <w:vAlign w:val="bottom"/>
            <w:gridSpan w:val="13"/>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49"/>
        </w:trPr>
        <w:tc>
          <w:tcPr>
            <w:tcW w:w="1620" w:type="dxa"/>
            <w:vAlign w:val="bottom"/>
          </w:tcPr>
          <w:p>
            <w:pPr>
              <w:spacing w:after="0"/>
              <w:rPr>
                <w:sz w:val="20"/>
                <w:szCs w:val="20"/>
                <w:color w:val="auto"/>
              </w:rPr>
            </w:pPr>
            <w:r>
              <w:rPr>
                <w:rFonts w:ascii="Arial" w:cs="Arial" w:eastAsia="Arial" w:hAnsi="Arial"/>
                <w:sz w:val="17"/>
                <w:szCs w:val="17"/>
                <w:color w:val="auto"/>
              </w:rPr>
              <w:t>(32.1)</w:t>
            </w:r>
          </w:p>
        </w:tc>
        <w:tc>
          <w:tcPr>
            <w:tcW w:w="9800" w:type="dxa"/>
            <w:vAlign w:val="bottom"/>
            <w:gridSpan w:val="19"/>
          </w:tcPr>
          <w:p>
            <w:pPr>
              <w:spacing w:after="0"/>
              <w:rPr>
                <w:sz w:val="20"/>
                <w:szCs w:val="20"/>
                <w:color w:val="auto"/>
              </w:rPr>
            </w:pPr>
            <w:r>
              <w:rPr>
                <w:rFonts w:ascii="Arial" w:cs="Arial" w:eastAsia="Arial" w:hAnsi="Arial"/>
                <w:sz w:val="17"/>
                <w:szCs w:val="17"/>
                <w:color w:val="0000EE"/>
                <w:w w:val="93"/>
              </w:rPr>
              <w:t>Certification Pursuant to 18 U.S.C. Section 1350, as Adopted Pursuant to Section 906 of the Sarbanes-Oxley Act of 2002, signed by James</w:t>
            </w:r>
          </w:p>
        </w:tc>
      </w:tr>
      <w:tr>
        <w:trPr>
          <w:trHeight w:val="189"/>
        </w:trPr>
        <w:tc>
          <w:tcPr>
            <w:tcW w:w="1620" w:type="dxa"/>
            <w:vAlign w:val="bottom"/>
          </w:tcPr>
          <w:p>
            <w:pPr>
              <w:spacing w:after="0"/>
              <w:rPr>
                <w:sz w:val="16"/>
                <w:szCs w:val="16"/>
                <w:color w:val="auto"/>
              </w:rPr>
            </w:pPr>
          </w:p>
        </w:tc>
        <w:tc>
          <w:tcPr>
            <w:tcW w:w="9660" w:type="dxa"/>
            <w:vAlign w:val="bottom"/>
            <w:tcBorders>
              <w:top w:val="single" w:sz="8" w:color="0000EE"/>
            </w:tcBorders>
            <w:gridSpan w:val="15"/>
          </w:tcPr>
          <w:p>
            <w:pPr>
              <w:spacing w:after="0" w:line="189" w:lineRule="exact"/>
              <w:rPr>
                <w:sz w:val="20"/>
                <w:szCs w:val="20"/>
                <w:color w:val="auto"/>
              </w:rPr>
            </w:pPr>
            <w:r>
              <w:rPr>
                <w:rFonts w:ascii="Arial" w:cs="Arial" w:eastAsia="Arial" w:hAnsi="Arial"/>
                <w:sz w:val="17"/>
                <w:szCs w:val="17"/>
                <w:color w:val="0000EE"/>
              </w:rPr>
              <w:t>V. Continenza, filed herewith.</w:t>
            </w:r>
          </w:p>
        </w:tc>
        <w:tc>
          <w:tcPr>
            <w:tcW w:w="140" w:type="dxa"/>
            <w:vAlign w:val="bottom"/>
            <w:gridSpan w:val="4"/>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560" w:type="dxa"/>
            <w:vAlign w:val="bottom"/>
            <w:tcBorders>
              <w:left w:val="single" w:sz="8" w:color="0000EE"/>
            </w:tcBorders>
            <w:gridSpan w:val="1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23"/>
        </w:trPr>
        <w:tc>
          <w:tcPr>
            <w:tcW w:w="1620" w:type="dxa"/>
            <w:vAlign w:val="bottom"/>
          </w:tcPr>
          <w:p>
            <w:pPr>
              <w:spacing w:after="0"/>
              <w:rPr>
                <w:sz w:val="20"/>
                <w:szCs w:val="20"/>
                <w:color w:val="auto"/>
              </w:rPr>
            </w:pPr>
            <w:r>
              <w:rPr>
                <w:rFonts w:ascii="Arial" w:cs="Arial" w:eastAsia="Arial" w:hAnsi="Arial"/>
                <w:sz w:val="17"/>
                <w:szCs w:val="17"/>
                <w:color w:val="auto"/>
              </w:rPr>
              <w:t>(32.2)</w:t>
            </w:r>
          </w:p>
        </w:tc>
        <w:tc>
          <w:tcPr>
            <w:tcW w:w="962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w w:val="92"/>
              </w:rPr>
              <w:t>Certification Pursuant to 18 U.S.C. Section 1350, as Adopted Pursuant to Section 906 of the Sarbanes-Oxley Act of 2002 signed by David</w:t>
            </w:r>
          </w:p>
        </w:tc>
        <w:tc>
          <w:tcPr>
            <w:tcW w:w="180" w:type="dxa"/>
            <w:vAlign w:val="bottom"/>
            <w:gridSpan w:val="5"/>
          </w:tcPr>
          <w:p>
            <w:pPr>
              <w:spacing w:after="0"/>
              <w:rPr>
                <w:sz w:val="24"/>
                <w:szCs w:val="24"/>
                <w:color w:val="auto"/>
              </w:rPr>
            </w:pPr>
          </w:p>
        </w:tc>
      </w:tr>
      <w:tr>
        <w:trPr>
          <w:trHeight w:val="189"/>
        </w:trPr>
        <w:tc>
          <w:tcPr>
            <w:tcW w:w="1620" w:type="dxa"/>
            <w:vAlign w:val="bottom"/>
          </w:tcPr>
          <w:p>
            <w:pPr>
              <w:spacing w:after="0"/>
              <w:rPr>
                <w:sz w:val="16"/>
                <w:szCs w:val="16"/>
                <w:color w:val="auto"/>
              </w:rPr>
            </w:pPr>
          </w:p>
        </w:tc>
        <w:tc>
          <w:tcPr>
            <w:tcW w:w="9800" w:type="dxa"/>
            <w:vAlign w:val="bottom"/>
            <w:gridSpan w:val="19"/>
          </w:tcPr>
          <w:p>
            <w:pPr>
              <w:spacing w:after="0" w:line="189" w:lineRule="exact"/>
              <w:rPr>
                <w:sz w:val="20"/>
                <w:szCs w:val="20"/>
                <w:color w:val="auto"/>
              </w:rPr>
            </w:pPr>
            <w:r>
              <w:rPr>
                <w:rFonts w:ascii="Arial" w:cs="Arial" w:eastAsia="Arial" w:hAnsi="Arial"/>
                <w:sz w:val="17"/>
                <w:szCs w:val="17"/>
                <w:color w:val="0000EE"/>
              </w:rPr>
              <w:t>E. Bullwinkle, filed herewith.</w:t>
            </w:r>
          </w:p>
        </w:tc>
      </w:tr>
      <w:tr>
        <w:trPr>
          <w:trHeight w:val="20"/>
        </w:trPr>
        <w:tc>
          <w:tcPr>
            <w:tcW w:w="16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740" w:type="dxa"/>
            <w:vAlign w:val="bottom"/>
            <w:gridSpan w:val="18"/>
          </w:tcPr>
          <w:p>
            <w:pPr>
              <w:spacing w:after="0" w:line="20" w:lineRule="exact"/>
              <w:rPr>
                <w:sz w:val="1"/>
                <w:szCs w:val="1"/>
                <w:color w:val="auto"/>
              </w:rPr>
            </w:pPr>
          </w:p>
        </w:tc>
      </w:tr>
      <w:tr>
        <w:trPr>
          <w:trHeight w:val="462"/>
        </w:trPr>
        <w:tc>
          <w:tcPr>
            <w:tcW w:w="1620" w:type="dxa"/>
            <w:vAlign w:val="bottom"/>
          </w:tcPr>
          <w:p>
            <w:pPr>
              <w:spacing w:after="0"/>
              <w:rPr>
                <w:sz w:val="20"/>
                <w:szCs w:val="20"/>
                <w:color w:val="auto"/>
              </w:rPr>
            </w:pPr>
            <w:r>
              <w:rPr>
                <w:rFonts w:ascii="Arial" w:cs="Arial" w:eastAsia="Arial" w:hAnsi="Arial"/>
                <w:sz w:val="17"/>
                <w:szCs w:val="17"/>
                <w:color w:val="auto"/>
              </w:rPr>
              <w:t>(101.CAL)</w:t>
            </w:r>
          </w:p>
        </w:tc>
        <w:tc>
          <w:tcPr>
            <w:tcW w:w="9800" w:type="dxa"/>
            <w:vAlign w:val="bottom"/>
            <w:gridSpan w:val="19"/>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469"/>
        </w:trPr>
        <w:tc>
          <w:tcPr>
            <w:tcW w:w="1620" w:type="dxa"/>
            <w:vAlign w:val="bottom"/>
          </w:tcPr>
          <w:p>
            <w:pPr>
              <w:spacing w:after="0"/>
              <w:rPr>
                <w:sz w:val="20"/>
                <w:szCs w:val="20"/>
                <w:color w:val="auto"/>
              </w:rPr>
            </w:pPr>
            <w:r>
              <w:rPr>
                <w:rFonts w:ascii="Arial" w:cs="Arial" w:eastAsia="Arial" w:hAnsi="Arial"/>
                <w:sz w:val="17"/>
                <w:szCs w:val="17"/>
                <w:color w:val="auto"/>
              </w:rPr>
              <w:t>(101.INS)</w:t>
            </w:r>
          </w:p>
        </w:tc>
        <w:tc>
          <w:tcPr>
            <w:tcW w:w="9800" w:type="dxa"/>
            <w:vAlign w:val="bottom"/>
            <w:gridSpan w:val="19"/>
          </w:tcPr>
          <w:p>
            <w:pPr>
              <w:spacing w:after="0"/>
              <w:rPr>
                <w:sz w:val="20"/>
                <w:szCs w:val="20"/>
                <w:color w:val="auto"/>
              </w:rPr>
            </w:pPr>
            <w:r>
              <w:rPr>
                <w:rFonts w:ascii="Arial" w:cs="Arial" w:eastAsia="Arial" w:hAnsi="Arial"/>
                <w:sz w:val="17"/>
                <w:szCs w:val="17"/>
                <w:color w:val="auto"/>
              </w:rPr>
              <w:t>XBRL Instance Document.</w:t>
            </w:r>
          </w:p>
        </w:tc>
      </w:tr>
      <w:tr>
        <w:trPr>
          <w:trHeight w:val="469"/>
        </w:trPr>
        <w:tc>
          <w:tcPr>
            <w:tcW w:w="1620" w:type="dxa"/>
            <w:vAlign w:val="bottom"/>
          </w:tcPr>
          <w:p>
            <w:pPr>
              <w:spacing w:after="0"/>
              <w:rPr>
                <w:sz w:val="20"/>
                <w:szCs w:val="20"/>
                <w:color w:val="auto"/>
              </w:rPr>
            </w:pPr>
            <w:r>
              <w:rPr>
                <w:rFonts w:ascii="Arial" w:cs="Arial" w:eastAsia="Arial" w:hAnsi="Arial"/>
                <w:sz w:val="17"/>
                <w:szCs w:val="17"/>
                <w:color w:val="auto"/>
              </w:rPr>
              <w:t>(101.LAB)</w:t>
            </w:r>
          </w:p>
        </w:tc>
        <w:tc>
          <w:tcPr>
            <w:tcW w:w="9800" w:type="dxa"/>
            <w:vAlign w:val="bottom"/>
            <w:gridSpan w:val="19"/>
          </w:tcPr>
          <w:p>
            <w:pPr>
              <w:spacing w:after="0"/>
              <w:rPr>
                <w:sz w:val="20"/>
                <w:szCs w:val="20"/>
                <w:color w:val="auto"/>
              </w:rPr>
            </w:pPr>
            <w:r>
              <w:rPr>
                <w:rFonts w:ascii="Arial" w:cs="Arial" w:eastAsia="Arial" w:hAnsi="Arial"/>
                <w:sz w:val="17"/>
                <w:szCs w:val="17"/>
                <w:color w:val="auto"/>
              </w:rPr>
              <w:t>XBRL Taxonomy Extension Label Linkbase.</w:t>
            </w:r>
          </w:p>
        </w:tc>
      </w:tr>
      <w:tr>
        <w:trPr>
          <w:trHeight w:val="469"/>
        </w:trPr>
        <w:tc>
          <w:tcPr>
            <w:tcW w:w="1620" w:type="dxa"/>
            <w:vAlign w:val="bottom"/>
          </w:tcPr>
          <w:p>
            <w:pPr>
              <w:spacing w:after="0"/>
              <w:rPr>
                <w:sz w:val="20"/>
                <w:szCs w:val="20"/>
                <w:color w:val="auto"/>
              </w:rPr>
            </w:pPr>
            <w:r>
              <w:rPr>
                <w:rFonts w:ascii="Arial" w:cs="Arial" w:eastAsia="Arial" w:hAnsi="Arial"/>
                <w:sz w:val="17"/>
                <w:szCs w:val="17"/>
                <w:color w:val="auto"/>
              </w:rPr>
              <w:t>(101.PRE)</w:t>
            </w:r>
          </w:p>
        </w:tc>
        <w:tc>
          <w:tcPr>
            <w:tcW w:w="9800" w:type="dxa"/>
            <w:vAlign w:val="bottom"/>
            <w:gridSpan w:val="19"/>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469"/>
        </w:trPr>
        <w:tc>
          <w:tcPr>
            <w:tcW w:w="1620" w:type="dxa"/>
            <w:vAlign w:val="bottom"/>
          </w:tcPr>
          <w:p>
            <w:pPr>
              <w:spacing w:after="0"/>
              <w:rPr>
                <w:sz w:val="20"/>
                <w:szCs w:val="20"/>
                <w:color w:val="auto"/>
              </w:rPr>
            </w:pPr>
            <w:r>
              <w:rPr>
                <w:rFonts w:ascii="Arial" w:cs="Arial" w:eastAsia="Arial" w:hAnsi="Arial"/>
                <w:sz w:val="17"/>
                <w:szCs w:val="17"/>
                <w:color w:val="auto"/>
              </w:rPr>
              <w:t>(101.SCH)</w:t>
            </w:r>
          </w:p>
        </w:tc>
        <w:tc>
          <w:tcPr>
            <w:tcW w:w="9800" w:type="dxa"/>
            <w:vAlign w:val="bottom"/>
            <w:gridSpan w:val="19"/>
          </w:tcPr>
          <w:p>
            <w:pPr>
              <w:spacing w:after="0"/>
              <w:rPr>
                <w:sz w:val="20"/>
                <w:szCs w:val="20"/>
                <w:color w:val="auto"/>
              </w:rPr>
            </w:pPr>
            <w:r>
              <w:rPr>
                <w:rFonts w:ascii="Arial" w:cs="Arial" w:eastAsia="Arial" w:hAnsi="Arial"/>
                <w:sz w:val="17"/>
                <w:szCs w:val="17"/>
                <w:color w:val="auto"/>
              </w:rPr>
              <w:t>XBRL Taxonomy Extension Scheme Linkbase.</w:t>
            </w:r>
          </w:p>
        </w:tc>
      </w:tr>
      <w:tr>
        <w:trPr>
          <w:trHeight w:val="469"/>
        </w:trPr>
        <w:tc>
          <w:tcPr>
            <w:tcW w:w="1620" w:type="dxa"/>
            <w:vAlign w:val="bottom"/>
          </w:tcPr>
          <w:p>
            <w:pPr>
              <w:spacing w:after="0"/>
              <w:rPr>
                <w:sz w:val="20"/>
                <w:szCs w:val="20"/>
                <w:color w:val="auto"/>
              </w:rPr>
            </w:pPr>
            <w:r>
              <w:rPr>
                <w:rFonts w:ascii="Arial" w:cs="Arial" w:eastAsia="Arial" w:hAnsi="Arial"/>
                <w:sz w:val="17"/>
                <w:szCs w:val="17"/>
                <w:color w:val="auto"/>
              </w:rPr>
              <w:t>(101.DEF)</w:t>
            </w:r>
          </w:p>
        </w:tc>
        <w:tc>
          <w:tcPr>
            <w:tcW w:w="9800" w:type="dxa"/>
            <w:vAlign w:val="bottom"/>
            <w:gridSpan w:val="19"/>
          </w:tcPr>
          <w:p>
            <w:pPr>
              <w:spacing w:after="0"/>
              <w:rPr>
                <w:sz w:val="20"/>
                <w:szCs w:val="20"/>
                <w:color w:val="auto"/>
              </w:rPr>
            </w:pPr>
            <w:r>
              <w:rPr>
                <w:rFonts w:ascii="Arial" w:cs="Arial" w:eastAsia="Arial" w:hAnsi="Arial"/>
                <w:sz w:val="17"/>
                <w:szCs w:val="17"/>
                <w:color w:val="auto"/>
              </w:rPr>
              <w:t>XBRL Taxonomy Extension Definition Linkbase.</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5" w:lineRule="exact"/>
        <w:rPr>
          <w:sz w:val="20"/>
          <w:szCs w:val="20"/>
          <w:color w:val="auto"/>
        </w:rPr>
      </w:pPr>
    </w:p>
    <w:p>
      <w:pPr>
        <w:ind w:right="300" w:firstLine="4"/>
        <w:spacing w:after="0" w:line="304" w:lineRule="auto"/>
        <w:tabs>
          <w:tab w:leader="none" w:pos="13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29297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7"/>
                <w:szCs w:val="17"/>
                <w:b w:val="1"/>
                <w:bCs w:val="1"/>
                <w:color w:val="auto"/>
                <w:w w:val="91"/>
              </w:rPr>
              <w:t>Schedule II</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00" w:type="dxa"/>
            <w:vAlign w:val="bottom"/>
            <w:gridSpan w:val="4"/>
          </w:tcPr>
          <w:p>
            <w:pPr>
              <w:jc w:val="center"/>
              <w:ind w:left="613"/>
              <w:spacing w:after="0"/>
              <w:rPr>
                <w:sz w:val="20"/>
                <w:szCs w:val="20"/>
                <w:color w:val="auto"/>
              </w:rPr>
            </w:pPr>
            <w:r>
              <w:rPr>
                <w:rFonts w:ascii="Arial" w:cs="Arial" w:eastAsia="Arial" w:hAnsi="Arial"/>
                <w:sz w:val="17"/>
                <w:szCs w:val="17"/>
                <w:b w:val="1"/>
                <w:bCs w:val="1"/>
                <w:color w:val="auto"/>
                <w:w w:val="94"/>
              </w:rPr>
              <w:t>Eastman Kodak Company</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0" w:type="dxa"/>
            <w:vAlign w:val="bottom"/>
            <w:gridSpan w:val="4"/>
          </w:tcPr>
          <w:p>
            <w:pPr>
              <w:jc w:val="center"/>
              <w:ind w:left="633"/>
              <w:spacing w:after="0"/>
              <w:rPr>
                <w:sz w:val="20"/>
                <w:szCs w:val="20"/>
                <w:color w:val="auto"/>
              </w:rPr>
            </w:pPr>
            <w:r>
              <w:rPr>
                <w:rFonts w:ascii="Arial" w:cs="Arial" w:eastAsia="Arial" w:hAnsi="Arial"/>
                <w:sz w:val="17"/>
                <w:szCs w:val="17"/>
                <w:b w:val="1"/>
                <w:bCs w:val="1"/>
                <w:color w:val="auto"/>
                <w:w w:val="92"/>
              </w:rPr>
              <w:t>Valuation and Qualifying Accounts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Beginning</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Net Deductions</w:t>
            </w:r>
          </w:p>
        </w:tc>
        <w:tc>
          <w:tcPr>
            <w:tcW w:w="22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Balance</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2018</w:t>
            </w:r>
          </w:p>
        </w:tc>
        <w:tc>
          <w:tcPr>
            <w:tcW w:w="26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7"/>
                <w:szCs w:val="17"/>
                <w:color w:val="auto"/>
              </w:rPr>
              <w:t>Reserve for doubtful accounts</w:t>
            </w:r>
          </w:p>
        </w:tc>
        <w:tc>
          <w:tcPr>
            <w:tcW w:w="2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2017</w:t>
            </w:r>
          </w:p>
        </w:tc>
        <w:tc>
          <w:tcPr>
            <w:tcW w:w="2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7"/>
                <w:szCs w:val="17"/>
                <w:color w:val="auto"/>
              </w:rPr>
              <w:t>Reserve for doubtful accounts</w:t>
            </w:r>
          </w:p>
        </w:tc>
        <w:tc>
          <w:tcPr>
            <w:tcW w:w="2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1,209</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0" w:type="dxa"/>
            <w:vAlign w:val="bottom"/>
          </w:tcPr>
          <w:p>
            <w:pPr>
              <w:jc w:val="center"/>
              <w:ind w:left="2013"/>
              <w:spacing w:after="0"/>
              <w:rPr>
                <w:sz w:val="20"/>
                <w:szCs w:val="20"/>
                <w:color w:val="auto"/>
              </w:rPr>
            </w:pPr>
            <w:r>
              <w:rPr>
                <w:rFonts w:ascii="Arial" w:cs="Arial" w:eastAsia="Arial" w:hAnsi="Arial"/>
                <w:sz w:val="17"/>
                <w:szCs w:val="17"/>
                <w:color w:val="auto"/>
                <w:w w:val="91"/>
              </w:rPr>
              <w:t>105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EASTMAN KODAK COMPANY</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(Registrant)</w:t>
      </w:r>
    </w:p>
    <w:p>
      <w:pPr>
        <w:spacing w:after="0" w:line="24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15875</wp:posOffset>
            </wp:positionV>
            <wp:extent cx="29883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James V. Continenza</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Executive Chairman</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April 1, 2019</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620" w:type="dxa"/>
            <w:vAlign w:val="bottom"/>
          </w:tcPr>
          <w:p>
            <w:pPr>
              <w:ind w:left="620"/>
              <w:spacing w:after="0"/>
              <w:rPr>
                <w:sz w:val="20"/>
                <w:szCs w:val="20"/>
                <w:color w:val="auto"/>
              </w:rPr>
            </w:pPr>
            <w:r>
              <w:rPr>
                <w:rFonts w:ascii="Arial" w:cs="Arial" w:eastAsia="Arial" w:hAnsi="Arial"/>
                <w:sz w:val="17"/>
                <w:szCs w:val="17"/>
                <w:b w:val="1"/>
                <w:bCs w:val="1"/>
                <w:color w:val="auto"/>
              </w:rPr>
              <w:t>Signature</w:t>
            </w:r>
          </w:p>
        </w:tc>
        <w:tc>
          <w:tcPr>
            <w:tcW w:w="3860" w:type="dxa"/>
            <w:vAlign w:val="bottom"/>
          </w:tcPr>
          <w:p>
            <w:pPr>
              <w:ind w:left="300"/>
              <w:spacing w:after="0"/>
              <w:rPr>
                <w:sz w:val="20"/>
                <w:szCs w:val="20"/>
                <w:color w:val="auto"/>
              </w:rPr>
            </w:pPr>
            <w:r>
              <w:rPr>
                <w:rFonts w:ascii="Arial" w:cs="Arial" w:eastAsia="Arial" w:hAnsi="Arial"/>
                <w:sz w:val="17"/>
                <w:szCs w:val="17"/>
                <w:b w:val="1"/>
                <w:bCs w:val="1"/>
                <w:color w:val="auto"/>
              </w:rPr>
              <w:t>Title</w:t>
            </w:r>
          </w:p>
        </w:tc>
      </w:tr>
      <w:tr>
        <w:trPr>
          <w:trHeight w:val="356"/>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James V. Continenza</w:t>
            </w:r>
          </w:p>
        </w:tc>
        <w:tc>
          <w:tcPr>
            <w:tcW w:w="3860" w:type="dxa"/>
            <w:vAlign w:val="bottom"/>
          </w:tcPr>
          <w:p>
            <w:pPr>
              <w:ind w:left="300"/>
              <w:spacing w:after="0"/>
              <w:rPr>
                <w:sz w:val="20"/>
                <w:szCs w:val="20"/>
                <w:color w:val="auto"/>
              </w:rPr>
            </w:pPr>
            <w:r>
              <w:rPr>
                <w:rFonts w:ascii="Arial" w:cs="Arial" w:eastAsia="Arial" w:hAnsi="Arial"/>
                <w:sz w:val="17"/>
                <w:szCs w:val="17"/>
                <w:color w:val="auto"/>
              </w:rPr>
              <w:t>Executive Chairman</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James V. Continenza</w:t>
            </w:r>
          </w:p>
        </w:tc>
        <w:tc>
          <w:tcPr>
            <w:tcW w:w="3860" w:type="dxa"/>
            <w:vAlign w:val="bottom"/>
          </w:tcPr>
          <w:p>
            <w:pPr>
              <w:ind w:left="560"/>
              <w:spacing w:after="0"/>
              <w:rPr>
                <w:sz w:val="20"/>
                <w:szCs w:val="20"/>
                <w:color w:val="auto"/>
              </w:rPr>
            </w:pPr>
            <w:r>
              <w:rPr>
                <w:rFonts w:ascii="Arial" w:cs="Arial" w:eastAsia="Arial" w:hAnsi="Arial"/>
                <w:sz w:val="17"/>
                <w:szCs w:val="17"/>
                <w:color w:val="auto"/>
              </w:rPr>
              <w:t>(Principal Executive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David E. Bullwinkle</w:t>
            </w:r>
          </w:p>
        </w:tc>
        <w:tc>
          <w:tcPr>
            <w:tcW w:w="3860" w:type="dxa"/>
            <w:vAlign w:val="bottom"/>
          </w:tcPr>
          <w:p>
            <w:pPr>
              <w:ind w:left="300"/>
              <w:spacing w:after="0"/>
              <w:rPr>
                <w:sz w:val="20"/>
                <w:szCs w:val="20"/>
                <w:color w:val="auto"/>
              </w:rPr>
            </w:pPr>
            <w:r>
              <w:rPr>
                <w:rFonts w:ascii="Arial" w:cs="Arial" w:eastAsia="Arial" w:hAnsi="Arial"/>
                <w:sz w:val="17"/>
                <w:szCs w:val="17"/>
                <w:color w:val="auto"/>
              </w:rPr>
              <w:t>Chief Financial Officer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David E. Bullwinkle</w:t>
            </w:r>
          </w:p>
        </w:tc>
        <w:tc>
          <w:tcPr>
            <w:tcW w:w="3860" w:type="dxa"/>
            <w:vAlign w:val="bottom"/>
          </w:tcPr>
          <w:p>
            <w:pPr>
              <w:ind w:left="560"/>
              <w:spacing w:after="0"/>
              <w:rPr>
                <w:sz w:val="20"/>
                <w:szCs w:val="20"/>
                <w:color w:val="auto"/>
              </w:rPr>
            </w:pPr>
            <w:r>
              <w:rPr>
                <w:rFonts w:ascii="Arial" w:cs="Arial" w:eastAsia="Arial" w:hAnsi="Arial"/>
                <w:sz w:val="17"/>
                <w:szCs w:val="17"/>
                <w:color w:val="auto"/>
              </w:rPr>
              <w:t>(Principal Financial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Eric H. Samuels</w:t>
            </w:r>
          </w:p>
        </w:tc>
        <w:tc>
          <w:tcPr>
            <w:tcW w:w="3860" w:type="dxa"/>
            <w:vAlign w:val="bottom"/>
          </w:tcPr>
          <w:p>
            <w:pPr>
              <w:ind w:left="300"/>
              <w:spacing w:after="0"/>
              <w:rPr>
                <w:sz w:val="20"/>
                <w:szCs w:val="20"/>
                <w:color w:val="auto"/>
              </w:rPr>
            </w:pPr>
            <w:r>
              <w:rPr>
                <w:rFonts w:ascii="Arial" w:cs="Arial" w:eastAsia="Arial" w:hAnsi="Arial"/>
                <w:sz w:val="17"/>
                <w:szCs w:val="17"/>
                <w:color w:val="auto"/>
                <w:w w:val="94"/>
              </w:rPr>
              <w:t>Chief Accounting Officer and Corporate Controller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Eric H. Samuels</w:t>
            </w:r>
          </w:p>
        </w:tc>
        <w:tc>
          <w:tcPr>
            <w:tcW w:w="3860" w:type="dxa"/>
            <w:vAlign w:val="bottom"/>
          </w:tcPr>
          <w:p>
            <w:pPr>
              <w:ind w:left="560"/>
              <w:spacing w:after="0"/>
              <w:rPr>
                <w:sz w:val="20"/>
                <w:szCs w:val="20"/>
                <w:color w:val="auto"/>
              </w:rPr>
            </w:pPr>
            <w:r>
              <w:rPr>
                <w:rFonts w:ascii="Arial" w:cs="Arial" w:eastAsia="Arial" w:hAnsi="Arial"/>
                <w:sz w:val="17"/>
                <w:szCs w:val="17"/>
                <w:color w:val="auto"/>
              </w:rPr>
              <w:t>(Principal Accounting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Richard Todd Bradley</w:t>
            </w:r>
          </w:p>
        </w:tc>
        <w:tc>
          <w:tcPr>
            <w:tcW w:w="3860" w:type="dxa"/>
            <w:vAlign w:val="bottom"/>
          </w:tcPr>
          <w:p>
            <w:pPr>
              <w:ind w:left="32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Richard Todd Bradley</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Mark S. Burgess</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Mark S. Burgess</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Matthew A. Doheny</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Matthew A. Doheny</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Jeffrey D. Engelberg</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Jeffrey D. Engelberg</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George Karfunkel</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George Karfunkel</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Phillippe D. Katz</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Phillippe D. Katz</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Jason New</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8"/>
        </w:trPr>
        <w:tc>
          <w:tcPr>
            <w:tcW w:w="4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7"/>
                <w:szCs w:val="17"/>
                <w:color w:val="auto"/>
              </w:rPr>
              <w:t>Jason New</w:t>
            </w:r>
          </w:p>
        </w:tc>
        <w:tc>
          <w:tcPr>
            <w:tcW w:w="386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20" w:type="dxa"/>
            <w:vAlign w:val="bottom"/>
          </w:tcPr>
          <w:p>
            <w:pPr>
              <w:ind w:left="620"/>
              <w:spacing w:after="0"/>
              <w:rPr>
                <w:sz w:val="20"/>
                <w:szCs w:val="20"/>
                <w:color w:val="auto"/>
              </w:rPr>
            </w:pPr>
            <w:r>
              <w:rPr>
                <w:rFonts w:ascii="Arial" w:cs="Arial" w:eastAsia="Arial" w:hAnsi="Arial"/>
                <w:sz w:val="17"/>
                <w:szCs w:val="17"/>
                <w:color w:val="auto"/>
              </w:rPr>
              <w:t>/s/ William G. Parrett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0</wp:posOffset>
            </wp:positionV>
            <wp:extent cx="3567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William G. Parrett</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Date: April 1,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60"/>
          </w:cols>
          <w:pgMar w:left="240" w:top="121" w:right="3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(10.3)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EASTMAN KODAK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INCENTIVE PLAN</w:t>
      </w:r>
    </w:p>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Eastman Kodak Company 2013 Omnibus Incentive Plan, as amended effective May 22, 2018 (the “</w:t>
      </w:r>
      <w:r>
        <w:rPr>
          <w:rFonts w:ascii="Arial" w:cs="Arial" w:eastAsia="Arial" w:hAnsi="Arial"/>
          <w:sz w:val="19"/>
          <w:szCs w:val="19"/>
          <w:b w:val="1"/>
          <w:bCs w:val="1"/>
          <w:color w:val="auto"/>
        </w:rPr>
        <w:t>Plan</w:t>
      </w:r>
      <w:r>
        <w:rPr>
          <w:rFonts w:ascii="Arial" w:cs="Arial" w:eastAsia="Arial" w:hAnsi="Arial"/>
          <w:sz w:val="19"/>
          <w:szCs w:val="19"/>
          <w:color w:val="auto"/>
        </w:rPr>
        <w:t>”), is hereby</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further amended as follows, effective</w:t>
      </w:r>
    </w:p>
    <w:p>
      <w:pPr>
        <w:spacing w:after="0"/>
        <w:rPr>
          <w:sz w:val="20"/>
          <w:szCs w:val="20"/>
          <w:color w:val="auto"/>
        </w:rPr>
      </w:pPr>
      <w:r>
        <w:rPr>
          <w:rFonts w:ascii="Arial" w:cs="Arial" w:eastAsia="Arial" w:hAnsi="Arial"/>
          <w:sz w:val="21"/>
          <w:szCs w:val="21"/>
          <w:color w:val="auto"/>
        </w:rPr>
        <w:t>February 20, 2019:</w:t>
      </w:r>
    </w:p>
    <w:p>
      <w:pPr>
        <w:spacing w:after="0" w:line="210" w:lineRule="exact"/>
        <w:rPr>
          <w:sz w:val="20"/>
          <w:szCs w:val="20"/>
          <w:color w:val="auto"/>
        </w:rPr>
      </w:pPr>
    </w:p>
    <w:p>
      <w:pPr>
        <w:ind w:left="1300" w:hanging="422"/>
        <w:spacing w:after="0"/>
        <w:tabs>
          <w:tab w:leader="none" w:pos="13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Section 6.7 of the Plan is hereby amended and restated in its entirety to provide as follows:</w:t>
      </w:r>
    </w:p>
    <w:p>
      <w:pPr>
        <w:spacing w:after="0" w:line="196" w:lineRule="exact"/>
        <w:rPr>
          <w:sz w:val="20"/>
          <w:szCs w:val="20"/>
          <w:color w:val="auto"/>
        </w:rPr>
      </w:pPr>
    </w:p>
    <w:p>
      <w:pPr>
        <w:jc w:val="both"/>
        <w:ind w:left="1760" w:right="1860" w:firstLine="601"/>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6.7 Individual Limitations.</w:t>
      </w:r>
      <w:r>
        <w:rPr>
          <w:rFonts w:ascii="Arial" w:cs="Arial" w:eastAsia="Arial" w:hAnsi="Arial"/>
          <w:sz w:val="21"/>
          <w:szCs w:val="21"/>
          <w:color w:val="auto"/>
        </w:rPr>
        <w:t xml:space="preserve"> No Employee may be granted Options or Stock Appreciation Rights covering in excess of 2,500,000 Shares in any calendar year (with tandem Options and Stock Appreciation Rights being counted only once with respect to this limit), subject to adjustment as provided in </w:t>
      </w:r>
      <w:r>
        <w:rPr>
          <w:rFonts w:ascii="Arial" w:cs="Arial" w:eastAsia="Arial" w:hAnsi="Arial"/>
          <w:sz w:val="21"/>
          <w:szCs w:val="21"/>
          <w:u w:val="single" w:color="auto"/>
          <w:color w:val="auto"/>
        </w:rPr>
        <w:t>Article 14</w:t>
      </w:r>
      <w:r>
        <w:rPr>
          <w:rFonts w:ascii="Arial" w:cs="Arial" w:eastAsia="Arial" w:hAnsi="Arial"/>
          <w:sz w:val="21"/>
          <w:szCs w:val="21"/>
          <w:color w:val="auto"/>
        </w:rPr>
        <w:t xml:space="preserve"> hereof.”</w:t>
      </w:r>
    </w:p>
    <w:p>
      <w:pPr>
        <w:spacing w:after="0" w:line="175" w:lineRule="exact"/>
        <w:rPr>
          <w:sz w:val="20"/>
          <w:szCs w:val="20"/>
          <w:color w:val="auto"/>
        </w:rPr>
      </w:pPr>
    </w:p>
    <w:p>
      <w:pPr>
        <w:ind w:left="5880" w:hanging="740"/>
        <w:spacing w:after="0"/>
        <w:tabs>
          <w:tab w:leader="none" w:pos="58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w:t>
      </w:r>
    </w:p>
    <w:p>
      <w:pPr>
        <w:sectPr>
          <w:pgSz w:w="11900" w:h="16838" w:orient="portrait"/>
          <w:cols w:equalWidth="0" w:num="1">
            <w:col w:w="11420"/>
          </w:cols>
          <w:pgMar w:left="240" w:top="35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(10.22)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SEPARATION AGREEMENT AND RELEASE</w:t>
      </w:r>
    </w:p>
    <w:p>
      <w:pPr>
        <w:spacing w:after="0" w:line="200" w:lineRule="exact"/>
        <w:rPr>
          <w:sz w:val="20"/>
          <w:szCs w:val="20"/>
          <w:color w:val="auto"/>
        </w:rPr>
      </w:pPr>
    </w:p>
    <w:p>
      <w:pPr>
        <w:spacing w:after="0" w:line="216" w:lineRule="exact"/>
        <w:rPr>
          <w:sz w:val="20"/>
          <w:szCs w:val="20"/>
          <w:color w:val="auto"/>
        </w:rPr>
      </w:pPr>
    </w:p>
    <w:p>
      <w:pPr>
        <w:ind w:firstLine="878"/>
        <w:spacing w:after="0" w:line="245" w:lineRule="auto"/>
        <w:rPr>
          <w:sz w:val="20"/>
          <w:szCs w:val="20"/>
          <w:color w:val="auto"/>
        </w:rPr>
      </w:pPr>
      <w:r>
        <w:rPr>
          <w:rFonts w:ascii="Arial" w:cs="Arial" w:eastAsia="Arial" w:hAnsi="Arial"/>
          <w:sz w:val="21"/>
          <w:szCs w:val="21"/>
          <w:color w:val="auto"/>
        </w:rPr>
        <w:t>This Separation and Release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by and between Jeffrey J. Clarke (“</w:t>
      </w:r>
      <w:r>
        <w:rPr>
          <w:rFonts w:ascii="Arial" w:cs="Arial" w:eastAsia="Arial" w:hAnsi="Arial"/>
          <w:sz w:val="21"/>
          <w:szCs w:val="21"/>
          <w:u w:val="single" w:color="auto"/>
          <w:color w:val="auto"/>
        </w:rPr>
        <w:t>you</w:t>
      </w:r>
      <w:r>
        <w:rPr>
          <w:rFonts w:ascii="Arial" w:cs="Arial" w:eastAsia="Arial" w:hAnsi="Arial"/>
          <w:sz w:val="21"/>
          <w:szCs w:val="21"/>
          <w:color w:val="auto"/>
        </w:rPr>
        <w:t>” or “</w:t>
      </w:r>
      <w:r>
        <w:rPr>
          <w:rFonts w:ascii="Arial" w:cs="Arial" w:eastAsia="Arial" w:hAnsi="Arial"/>
          <w:sz w:val="21"/>
          <w:szCs w:val="21"/>
          <w:u w:val="single" w:color="auto"/>
          <w:color w:val="auto"/>
        </w:rPr>
        <w:t>your</w:t>
      </w:r>
      <w:r>
        <w:rPr>
          <w:rFonts w:ascii="Arial" w:cs="Arial" w:eastAsia="Arial" w:hAnsi="Arial"/>
          <w:sz w:val="21"/>
          <w:szCs w:val="21"/>
          <w:color w:val="auto"/>
        </w:rPr>
        <w:t>’) and Eastman Kodak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(you and the Company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 The Parties hereby agree as follows:</w:t>
      </w:r>
    </w:p>
    <w:p>
      <w:pPr>
        <w:spacing w:after="0" w:line="199" w:lineRule="exact"/>
        <w:rPr>
          <w:sz w:val="20"/>
          <w:szCs w:val="20"/>
          <w:color w:val="auto"/>
        </w:rPr>
      </w:pPr>
    </w:p>
    <w:p>
      <w:pPr>
        <w:ind w:firstLine="882"/>
        <w:spacing w:after="0" w:line="249" w:lineRule="auto"/>
        <w:tabs>
          <w:tab w:leader="none" w:pos="16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Resignation as Director and Officer</w:t>
      </w:r>
      <w:r>
        <w:rPr>
          <w:rFonts w:ascii="Arial" w:cs="Arial" w:eastAsia="Arial" w:hAnsi="Arial"/>
          <w:sz w:val="20"/>
          <w:szCs w:val="20"/>
          <w:color w:val="auto"/>
        </w:rPr>
        <w:t>. The Parties hereby mutually agree that your employment with the Company will terminate effective February 20, 2019(the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As of the Termination Date, you no longer will be, and no longer will hold yourself out to be, an employee, agent, or representative of the Company or any of its affiliates or subsidiaries, and you resign, effective as of the Termination Date, in all capacities as director, officer, member, manager, partner or similar position of and from the Company and its affiliates and subsidiaries and will deliver any documents the Company determines necessary to effectuate the foregoing. The Company agrees to pay you the Accrued Compensation and provide you with the Other Benefits (each as defined in the Amended and Restated Employment Agreement between you and the Company, dated March 30, 2017 (the “Employment Agreement”)) in accordance with the terms of the Employment Agreement. For the avoidance of doubt, the Accrued Compensation and Other Benefits shall include $111,149 in vacation pay which was accrued prior to February 1, 2016, which the Parties acknowledge is the entire amount owed with respect to vacation.</w:t>
      </w:r>
    </w:p>
    <w:p>
      <w:pPr>
        <w:spacing w:after="0" w:line="195" w:lineRule="exact"/>
        <w:rPr>
          <w:rFonts w:ascii="Arial" w:cs="Arial" w:eastAsia="Arial" w:hAnsi="Arial"/>
          <w:sz w:val="20"/>
          <w:szCs w:val="20"/>
          <w:color w:val="auto"/>
        </w:rPr>
      </w:pPr>
    </w:p>
    <w:p>
      <w:pPr>
        <w:ind w:left="1660" w:hanging="778"/>
        <w:spacing w:after="0"/>
        <w:tabs>
          <w:tab w:leader="none" w:pos="16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Your Company-sponsored group medical and dental coverage, if any, will cease on February 28,</w:t>
      </w:r>
    </w:p>
    <w:p>
      <w:pPr>
        <w:spacing w:after="0" w:line="23" w:lineRule="exact"/>
        <w:rPr>
          <w:sz w:val="20"/>
          <w:szCs w:val="20"/>
          <w:color w:val="auto"/>
        </w:rPr>
      </w:pPr>
    </w:p>
    <w:p>
      <w:pPr>
        <w:ind w:right="140"/>
        <w:spacing w:after="0" w:line="236" w:lineRule="auto"/>
        <w:rPr>
          <w:sz w:val="20"/>
          <w:szCs w:val="20"/>
          <w:color w:val="auto"/>
        </w:rPr>
      </w:pPr>
      <w:r>
        <w:rPr>
          <w:rFonts w:ascii="Arial" w:cs="Arial" w:eastAsia="Arial" w:hAnsi="Arial"/>
          <w:sz w:val="21"/>
          <w:szCs w:val="21"/>
          <w:color w:val="auto"/>
        </w:rPr>
        <w:t>2019. Thereafter, pursuant to governing law and independent of this Agreement, you, your spouse and your eligible dependents may continue participation in the Company’s group health and dental plans at your own cost in accordance with the health care continuation rules under the Consolidated Omnibus Budget Reconciliation Act of 1985, as amended (“</w:t>
      </w:r>
      <w:r>
        <w:rPr>
          <w:rFonts w:ascii="Arial" w:cs="Arial" w:eastAsia="Arial" w:hAnsi="Arial"/>
          <w:sz w:val="21"/>
          <w:szCs w:val="21"/>
          <w:u w:val="single" w:color="auto"/>
          <w:color w:val="auto"/>
        </w:rPr>
        <w:t>COBRA</w:t>
      </w:r>
      <w:r>
        <w:rPr>
          <w:rFonts w:ascii="Arial" w:cs="Arial" w:eastAsia="Arial" w:hAnsi="Arial"/>
          <w:sz w:val="21"/>
          <w:szCs w:val="21"/>
          <w:color w:val="auto"/>
        </w:rPr>
        <w:t>”). Information regarding COBRA will be sent to your home in a separate mailing following the Termination Date.</w:t>
      </w:r>
    </w:p>
    <w:p>
      <w:pPr>
        <w:spacing w:after="0" w:line="205" w:lineRule="exact"/>
        <w:rPr>
          <w:sz w:val="20"/>
          <w:szCs w:val="20"/>
          <w:color w:val="auto"/>
        </w:rPr>
      </w:pPr>
    </w:p>
    <w:p>
      <w:pPr>
        <w:ind w:right="440" w:firstLine="882"/>
        <w:spacing w:after="0" w:line="241" w:lineRule="auto"/>
        <w:tabs>
          <w:tab w:leader="none" w:pos="166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Separation Benefits</w:t>
      </w:r>
      <w:r>
        <w:rPr>
          <w:rFonts w:ascii="Arial" w:cs="Arial" w:eastAsia="Arial" w:hAnsi="Arial"/>
          <w:sz w:val="21"/>
          <w:szCs w:val="21"/>
          <w:color w:val="auto"/>
        </w:rPr>
        <w:t>. In consideration of your signing and delivering (and not revoking) this Agreement, in full settlement of any compensation or benefits to which you otherwise could claim to be entitled, and in exchange for the promises, covenants, releases, and waivers set forth herein, subject to Section 9 below, the Company agrees to provide you with the following payments, rights and benefits:</w:t>
      </w:r>
    </w:p>
    <w:p>
      <w:pPr>
        <w:spacing w:after="0" w:line="203" w:lineRule="exact"/>
        <w:rPr>
          <w:rFonts w:ascii="Arial" w:cs="Arial" w:eastAsia="Arial" w:hAnsi="Arial"/>
          <w:sz w:val="21"/>
          <w:szCs w:val="21"/>
          <w:color w:val="auto"/>
        </w:rPr>
      </w:pPr>
    </w:p>
    <w:p>
      <w:pPr>
        <w:ind w:left="880" w:right="60" w:firstLine="813"/>
        <w:spacing w:after="0" w:line="241" w:lineRule="auto"/>
        <w:tabs>
          <w:tab w:leader="none" w:pos="2548"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Company agrees to provide you with a payment in the total gross amount of $82,130.44 (less applicable deductions and withholdings), representing thirty (30) days of your current base salary, in lieu of the Parties providing notice pursuant to Section 6(c) of the Employment Agreement. Such amount shall be payable in a lump sum on the sixty-fifth (65</w:t>
      </w:r>
      <w:r>
        <w:rPr>
          <w:rFonts w:ascii="Arial" w:cs="Arial" w:eastAsia="Arial" w:hAnsi="Arial"/>
          <w:sz w:val="17"/>
          <w:szCs w:val="17"/>
          <w:color w:val="auto"/>
        </w:rPr>
        <w:t>th</w:t>
      </w:r>
      <w:r>
        <w:rPr>
          <w:rFonts w:ascii="Arial" w:cs="Arial" w:eastAsia="Arial" w:hAnsi="Arial"/>
          <w:sz w:val="21"/>
          <w:szCs w:val="21"/>
          <w:color w:val="auto"/>
        </w:rPr>
        <w:t>) day following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29297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ind w:left="860" w:right="20" w:firstLine="813"/>
        <w:spacing w:after="0" w:line="239" w:lineRule="auto"/>
        <w:tabs>
          <w:tab w:leader="none" w:pos="2539"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Company agrees to provide you with a severance payment equal to two (2) years’ base salary, in the total gross amount of $2,000,000 (less applicable deductions and withholdings) (the “</w:t>
      </w:r>
      <w:r>
        <w:rPr>
          <w:rFonts w:ascii="Arial" w:cs="Arial" w:eastAsia="Arial" w:hAnsi="Arial"/>
          <w:sz w:val="21"/>
          <w:szCs w:val="21"/>
          <w:u w:val="single" w:color="auto"/>
          <w:color w:val="auto"/>
        </w:rPr>
        <w:t>Severance Payments</w:t>
      </w:r>
      <w:r>
        <w:rPr>
          <w:rFonts w:ascii="Arial" w:cs="Arial" w:eastAsia="Arial" w:hAnsi="Arial"/>
          <w:sz w:val="21"/>
          <w:szCs w:val="21"/>
          <w:color w:val="auto"/>
        </w:rPr>
        <w:t>”), payable in equal installments on the Company’s regular payroll dates, with the first installment to be paid on the Company’s first regular payroll date occurring at least five (5) days after the Effective Date (as defined below), which shall include payment of any amounts that would otherwise be due prior thereto.</w:t>
      </w:r>
    </w:p>
    <w:p>
      <w:pPr>
        <w:spacing w:after="0" w:line="206" w:lineRule="exact"/>
        <w:rPr>
          <w:rFonts w:ascii="Arial" w:cs="Arial" w:eastAsia="Arial" w:hAnsi="Arial"/>
          <w:sz w:val="21"/>
          <w:szCs w:val="21"/>
          <w:color w:val="auto"/>
        </w:rPr>
      </w:pPr>
    </w:p>
    <w:p>
      <w:pPr>
        <w:ind w:left="860" w:firstLine="813"/>
        <w:spacing w:after="0" w:line="266" w:lineRule="auto"/>
        <w:tabs>
          <w:tab w:leader="none" w:pos="2528"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Company agrees to provide you with the Earned Annual Incentive for the fiscal year ending December 31, 2018, if any, and Pro-Rata Annual Incentive for the Termination Year, if any, each in accordance with the terms and conditions of the Employment Agreement. The Earned Annual Incentive, if any, shall be payable in a lump sum sixty-five (65) days following the Termination Date. The Pro-Rata Annual Incentive for the Termination Year, if any, shall be payable in 2020 on the date that such incentive award payments, relating to the 2019 fiscal year are made to the Company’s management level employees, in accordance with the terms and conditions of the governing plan documents (it being understood that there is expected to be no Earned Annual Incentive for the fiscal year ending December 31, 2018).</w:t>
      </w:r>
    </w:p>
    <w:p>
      <w:pPr>
        <w:spacing w:after="0" w:line="182" w:lineRule="exact"/>
        <w:rPr>
          <w:rFonts w:ascii="Arial" w:cs="Arial" w:eastAsia="Arial" w:hAnsi="Arial"/>
          <w:sz w:val="19"/>
          <w:szCs w:val="19"/>
          <w:color w:val="auto"/>
        </w:rPr>
      </w:pPr>
    </w:p>
    <w:p>
      <w:pPr>
        <w:ind w:left="860" w:firstLine="813"/>
        <w:spacing w:after="0" w:line="237" w:lineRule="auto"/>
        <w:tabs>
          <w:tab w:leader="none" w:pos="2539"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Company agrees to provide you with the Modified Accelerated Vesting (as defined in the Employment Agreement) of your unvested stock options which would otherwise vest on the vesting date immediately following the Termination Date, in accordance with the terms and conditions of Section 6(d)(5) of the Employment Agreement. For avoidance of doubt, any other unvested stock options, as well as any other unvested Long-Term Equity Awards (as defined in the Employment Agreement) and any long-term performance compensation (including your Contingent Cash Award (as defined in the Employment Agreement)) which are not vested as of the Termination Date, will be forfeited as of the Termination Date.</w:t>
      </w:r>
    </w:p>
    <w:p>
      <w:pPr>
        <w:spacing w:after="0" w:line="200" w:lineRule="exact"/>
        <w:rPr>
          <w:rFonts w:ascii="Arial" w:cs="Arial" w:eastAsia="Arial" w:hAnsi="Arial"/>
          <w:sz w:val="21"/>
          <w:szCs w:val="21"/>
          <w:color w:val="auto"/>
        </w:rPr>
      </w:pPr>
    </w:p>
    <w:p>
      <w:pPr>
        <w:spacing w:after="0" w:line="242" w:lineRule="exact"/>
        <w:rPr>
          <w:rFonts w:ascii="Arial" w:cs="Arial" w:eastAsia="Arial" w:hAnsi="Arial"/>
          <w:sz w:val="21"/>
          <w:szCs w:val="21"/>
          <w:color w:val="auto"/>
        </w:rPr>
      </w:pPr>
    </w:p>
    <w:p>
      <w:pPr>
        <w:ind w:left="-20" w:firstLine="882"/>
        <w:spacing w:after="0" w:line="250" w:lineRule="auto"/>
        <w:tabs>
          <w:tab w:leader="none" w:pos="164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 You acknowledge and agree that the consideration provided in Paragraph 3, above: (a) is in full discharge of any and all obligations owed to you, monetarily or otherwise, with respect to your employment; and (b) exceeds any payment, benefit, or other thing of value to which you might otherwise be entitled. You specifically acknowledge and agree that, other than as explicitly provided in this Agreement, you are not entitled to severance under the TAP (as defined in the Employment Agreement) or the special termination program under the Kodak Retirement Income Plan, any bonus with respect to 2019 or any other year, or any other salary, wages, interests, stock options, commissions, overtime, paid time off, premiums, royalties, equity, phantom equity, carried interest, deferred compensation, or other forms of compensation, benefits, fringe benefits, perquisites, or payments of any kind or nature whatsoever (collectively, “</w:t>
      </w: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20" w:right="940" w:firstLine="882"/>
        <w:spacing w:after="0" w:line="257" w:lineRule="auto"/>
        <w:tabs>
          <w:tab w:leader="none" w:pos="164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In exchange for the payments and other consideration provided for herein, which you acknowledge is fair and sufficient, you hereby agree, represent and warrant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137160</wp:posOffset>
            </wp:positionV>
            <wp:extent cx="729297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109" w:name="page110"/>
    <w:bookmarkEnd w:id="109"/>
    <w:p>
      <w:pPr>
        <w:ind w:firstLine="878"/>
        <w:spacing w:after="0" w:line="259" w:lineRule="auto"/>
        <w:rPr>
          <w:sz w:val="20"/>
          <w:szCs w:val="20"/>
          <w:color w:val="auto"/>
        </w:rPr>
      </w:pPr>
      <w:r>
        <w:rPr>
          <w:rFonts w:ascii="Arial" w:cs="Arial" w:eastAsia="Arial" w:hAnsi="Arial"/>
          <w:sz w:val="19"/>
          <w:szCs w:val="19"/>
          <w:color w:val="auto"/>
        </w:rPr>
        <w:t>You, on your own behalf and on behalf of your heirs, executors, administrators, successors, and assigns (collectively, “</w:t>
      </w:r>
      <w:r>
        <w:rPr>
          <w:rFonts w:ascii="Arial" w:cs="Arial" w:eastAsia="Arial" w:hAnsi="Arial"/>
          <w:sz w:val="19"/>
          <w:szCs w:val="19"/>
          <w:u w:val="single" w:color="auto"/>
          <w:color w:val="auto"/>
        </w:rPr>
        <w:t>Releasors</w:t>
      </w:r>
      <w:r>
        <w:rPr>
          <w:rFonts w:ascii="Arial" w:cs="Arial" w:eastAsia="Arial" w:hAnsi="Arial"/>
          <w:sz w:val="19"/>
          <w:szCs w:val="19"/>
          <w:color w:val="auto"/>
        </w:rPr>
        <w:t>”), hereby release and forever waive and discharge any and all claims, liabilities, causes of action, demands, charges, complaints, suits, rights, costs, debts, expenses, promises, agreements, or damages of any kind or nature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that you or any of the other Releasors ever had, now have, or might have against the Company or any of its current, former, or future subsidiaries, parents, divisions, related companies, and affiliates (collectively, with Company,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 and each and all of the Company Entities’ respective present, former, and future officers, directors, partners, principals, members, owners, shareholders, employees, investors, fiduciaries, representatives, and agents (collectively, with the Company Entities, the “</w:t>
      </w:r>
      <w:r>
        <w:rPr>
          <w:rFonts w:ascii="Arial" w:cs="Arial" w:eastAsia="Arial" w:hAnsi="Arial"/>
          <w:sz w:val="19"/>
          <w:szCs w:val="19"/>
          <w:u w:val="single" w:color="auto"/>
          <w:color w:val="auto"/>
        </w:rPr>
        <w:t>Releasees</w:t>
      </w:r>
      <w:r>
        <w:rPr>
          <w:rFonts w:ascii="Arial" w:cs="Arial" w:eastAsia="Arial" w:hAnsi="Arial"/>
          <w:sz w:val="19"/>
          <w:szCs w:val="19"/>
          <w:color w:val="auto"/>
        </w:rPr>
        <w:t>”), arising at any time prior to the Effective Date of this Agreement, whether such Claims are known to you or unknown to you, whether such Claims are accrued or contingent, including but not limited to any and all Claims arising directly or indirectly out of your employment or other relationship with the Releasees, your interests or rights to Compensation from any of the Releasees, or the termination of your employment or other relationship with any of the Releasees. The Claims being released and discharged include, but are not limited to, any and all Claims in law or equity, whether arising under any federal, state, local, or foreign statute, regulation, rule, ordinance, common law, treaty, constitution, or otherwise, including, without limitation, the following: (i) any and all Claims under Title VII of the Civil Rights Act of 1964, the Civil Rights Acts of 1866, 1871, and 1991, the Age Discrimination in Employment Act (including the Older Workers Benefit Protection Act), the Americans with Disabilities Act, the Equal Pay Act, the Workers Adjustment Retraining Notification Act of 1988, the Fair Labor Standards Act of 1938, the Employee Retirement Income Security Act of 1974, the Family and Medical Leave Act of 1993, the Sarbanes-Oxley Act of 2002, the Dodd-Frank Act, the Internal Revenue Code of 1986, the New York Labor Law, the New York Wage Theft Prevention Act, Article 15 of the Executive Law of the State of New York (Human Rights Law), the New York State WARN Act, the New York City Human Rights Law, and the New York City Earned Sick Time Act, as all such laws have been amended from time to time; (ii) any and all Claims arising in tort or otherwise arising under the common law, including, but not limited to, Claims for misrepresentation, defamation, invasion of privacy, libel, slander, conversion, replevin, false light, tortious interference with contract or economic advantage, negligence, fraud, fraudulent inducement, quantum meruit, promissory estoppel, implied contract, quasi-contract, prima facie tort, restitution, or any other legal or equitable theory whatsoever; (iii) any and all Claims for Compensation, other monetary or equitable relief, attorneys’ or experts’ fees or costs, forum fees or costs, or any tangible or intangible property, in each case except as explicitly set forth herein; (iv) any and all Claims under any agreement with any of the Releasees, whether express or implied (including, but not limited to, under the Employment Agreement); and (v) any and all Claims otherwise arising out of or relating to your employment or other relationship with any of the Releasees or the termination thereof (collectively, all of the foregoing, the “</w:t>
      </w:r>
      <w:r>
        <w:rPr>
          <w:rFonts w:ascii="Arial" w:cs="Arial" w:eastAsia="Arial" w:hAnsi="Arial"/>
          <w:sz w:val="19"/>
          <w:szCs w:val="19"/>
          <w:u w:val="single" w:color="auto"/>
          <w:color w:val="auto"/>
        </w:rPr>
        <w:t>Released Claims</w:t>
      </w:r>
      <w:r>
        <w:rPr>
          <w:rFonts w:ascii="Arial" w:cs="Arial" w:eastAsia="Arial" w:hAnsi="Arial"/>
          <w:sz w:val="19"/>
          <w:szCs w:val="19"/>
          <w:color w:val="auto"/>
        </w:rPr>
        <w:t>”). The release of Claims in this Agreement shall be construed as broadly as possible and extend to any and all Claims of any kind or nature whatsoever; provided that the release shall not apply to (v) any Claims that arise after the Effective Date of this Agreement; (w) any Claims for breach of this Agreement or to enforce the terms of this Agreement; (x) any Claims that cannot be waived or released as a matter of law; (y) any Claim for indemnification under Section 5(c) of the Employment Agreement relating to actions or omissions occurring during your employment; or (z) any vested benefits under any employee benefit pension plan. For the avoidance of doubt, you have read Section 1542 of the Civil Code of the State of California, which provides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729297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0" w:name="page111"/>
    <w:bookmarkEnd w:id="110"/>
    <w:p>
      <w:pPr>
        <w:ind w:right="1820"/>
        <w:spacing w:after="0" w:line="241" w:lineRule="auto"/>
        <w:rPr>
          <w:sz w:val="20"/>
          <w:szCs w:val="20"/>
          <w:color w:val="auto"/>
        </w:rPr>
      </w:pPr>
      <w:r>
        <w:rPr>
          <w:rFonts w:ascii="Arial" w:cs="Arial" w:eastAsia="Arial" w:hAnsi="Arial"/>
          <w:sz w:val="21"/>
          <w:szCs w:val="2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8" w:lineRule="exact"/>
        <w:rPr>
          <w:sz w:val="20"/>
          <w:szCs w:val="20"/>
          <w:color w:val="auto"/>
        </w:rPr>
      </w:pPr>
    </w:p>
    <w:p>
      <w:pPr>
        <w:ind w:left="860" w:hanging="426"/>
        <w:spacing w:after="0"/>
        <w:tabs>
          <w:tab w:leader="none" w:pos="8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Except as set forth in Section 5 above:</w:t>
      </w:r>
    </w:p>
    <w:p>
      <w:pPr>
        <w:spacing w:after="0" w:line="227" w:lineRule="exact"/>
        <w:rPr>
          <w:rFonts w:ascii="Arial" w:cs="Arial" w:eastAsia="Arial" w:hAnsi="Arial"/>
          <w:sz w:val="21"/>
          <w:szCs w:val="21"/>
          <w:color w:val="auto"/>
        </w:rPr>
      </w:pPr>
    </w:p>
    <w:p>
      <w:pPr>
        <w:ind w:right="80" w:firstLine="1760"/>
        <w:spacing w:after="0" w:line="265" w:lineRule="auto"/>
        <w:tabs>
          <w:tab w:leader="none" w:pos="2613" w:val="left"/>
        </w:tabs>
        <w:numPr>
          <w:ilvl w:val="2"/>
          <w:numId w:val="48"/>
        </w:numPr>
        <w:rPr>
          <w:rFonts w:ascii="Arial" w:cs="Arial" w:eastAsia="Arial" w:hAnsi="Arial"/>
          <w:sz w:val="19"/>
          <w:szCs w:val="19"/>
          <w:color w:val="auto"/>
        </w:rPr>
      </w:pPr>
      <w:r>
        <w:rPr>
          <w:rFonts w:ascii="Arial" w:cs="Arial" w:eastAsia="Arial" w:hAnsi="Arial"/>
          <w:sz w:val="19"/>
          <w:szCs w:val="19"/>
          <w:color w:val="auto"/>
        </w:rPr>
        <w:t>You (i) represent that you have not filed or caused to be filed any lawsuit or complaint (“</w:t>
      </w:r>
      <w:r>
        <w:rPr>
          <w:rFonts w:ascii="Arial" w:cs="Arial" w:eastAsia="Arial" w:hAnsi="Arial"/>
          <w:sz w:val="19"/>
          <w:szCs w:val="19"/>
          <w:u w:val="single" w:color="auto"/>
          <w:color w:val="auto"/>
        </w:rPr>
        <w:t>legal action</w:t>
      </w:r>
      <w:r>
        <w:rPr>
          <w:rFonts w:ascii="Arial" w:cs="Arial" w:eastAsia="Arial" w:hAnsi="Arial"/>
          <w:sz w:val="19"/>
          <w:szCs w:val="19"/>
          <w:color w:val="auto"/>
        </w:rPr>
        <w:t>”) against any of the Releasees in any court with respect to any Claim, whether known or unknown, through the Effective Date, and (ii) agree not to file any legal action pursuing any Released Claims in the future. For the avoidance of doubt, nothing in this Agreement, any other agreement between you and the Company, or any Company policy shall prevent you from filing a charge with the Equal Employment Opportunity Commission (the “</w:t>
      </w:r>
      <w:r>
        <w:rPr>
          <w:rFonts w:ascii="Arial" w:cs="Arial" w:eastAsia="Arial" w:hAnsi="Arial"/>
          <w:sz w:val="19"/>
          <w:szCs w:val="19"/>
          <w:u w:val="single" w:color="auto"/>
          <w:color w:val="auto"/>
        </w:rPr>
        <w:t>EEOC</w:t>
      </w:r>
      <w:r>
        <w:rPr>
          <w:rFonts w:ascii="Arial" w:cs="Arial" w:eastAsia="Arial" w:hAnsi="Arial"/>
          <w:sz w:val="19"/>
          <w:szCs w:val="19"/>
          <w:color w:val="auto"/>
        </w:rPr>
        <w:t xml:space="preserve">”) or any other government or self-regulatory agency, or from participating in any EEOC or other agency investigation;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you expressly waive your right to any form of monetary relief or other damages, or any other form of recovery or relief, from any of the Releasees in connection with any legal action pursuing any Released Claims, or in connection with any Claim brought by a third party, all to the maximum extent permitted by law.</w:t>
      </w:r>
    </w:p>
    <w:p>
      <w:pPr>
        <w:spacing w:after="0" w:line="181" w:lineRule="exact"/>
        <w:rPr>
          <w:rFonts w:ascii="Arial" w:cs="Arial" w:eastAsia="Arial" w:hAnsi="Arial"/>
          <w:sz w:val="19"/>
          <w:szCs w:val="19"/>
          <w:color w:val="auto"/>
        </w:rPr>
      </w:pPr>
    </w:p>
    <w:p>
      <w:pPr>
        <w:ind w:right="20" w:firstLine="1760"/>
        <w:spacing w:after="0" w:line="237" w:lineRule="auto"/>
        <w:tabs>
          <w:tab w:leader="none" w:pos="2625" w:val="left"/>
        </w:tabs>
        <w:numPr>
          <w:ilvl w:val="2"/>
          <w:numId w:val="48"/>
        </w:numPr>
        <w:rPr>
          <w:rFonts w:ascii="Arial" w:cs="Arial" w:eastAsia="Arial" w:hAnsi="Arial"/>
          <w:sz w:val="21"/>
          <w:szCs w:val="21"/>
          <w:color w:val="auto"/>
        </w:rPr>
      </w:pPr>
      <w:r>
        <w:rPr>
          <w:rFonts w:ascii="Arial" w:cs="Arial" w:eastAsia="Arial" w:hAnsi="Arial"/>
          <w:sz w:val="21"/>
          <w:szCs w:val="21"/>
          <w:color w:val="auto"/>
        </w:rPr>
        <w:t>You (i) agree to cooperate fully with the Company during the two-year period following the Termination Date on all matters relating to your employment and termination of employment, the transition of your duties and responsibilities to your successor(s), and the conduct of the Company’s business and (ii) agree during such periods to cooperate fully with the Company regarding, and conduct all of your actions, statements and communications in a manner consistent with, the announcement by the Company of the termination of your employment; provided however, that nothing in this Section 6(b) shall require additional compensation to be paid to you from the Company and that the Company agrees to make reasonable scheduling accommodations for your other obligations.</w:t>
      </w:r>
    </w:p>
    <w:p>
      <w:pPr>
        <w:spacing w:after="0" w:line="207" w:lineRule="exact"/>
        <w:rPr>
          <w:rFonts w:ascii="Arial" w:cs="Arial" w:eastAsia="Arial" w:hAnsi="Arial"/>
          <w:sz w:val="21"/>
          <w:szCs w:val="21"/>
          <w:color w:val="auto"/>
        </w:rPr>
      </w:pPr>
    </w:p>
    <w:p>
      <w:pPr>
        <w:ind w:right="100" w:firstLine="882"/>
        <w:spacing w:after="0" w:line="261" w:lineRule="auto"/>
        <w:tabs>
          <w:tab w:leader="none" w:pos="166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Surviving Provisions</w:t>
      </w:r>
      <w:r>
        <w:rPr>
          <w:rFonts w:ascii="Arial" w:cs="Arial" w:eastAsia="Arial" w:hAnsi="Arial"/>
          <w:sz w:val="19"/>
          <w:szCs w:val="19"/>
          <w:color w:val="auto"/>
        </w:rPr>
        <w:t>. You acknowledge and agree that Section 7 (Confidential Information), Section 8 (On-going Restrictions on Your Activities), and Section 11 (General Provisions) of the Employment Agreement, as well as Exhibit 1 to Prior Agreement (Terms of Eastman Kodak Company Employee’s Agreement) attached thereto, shall remain in full force and effect and will continue to bind you following the Termination Date in accordance with their terms (collectively, all of the foregoing, the “</w:t>
      </w:r>
      <w:r>
        <w:rPr>
          <w:rFonts w:ascii="Arial" w:cs="Arial" w:eastAsia="Arial" w:hAnsi="Arial"/>
          <w:sz w:val="19"/>
          <w:szCs w:val="19"/>
          <w:u w:val="single" w:color="auto"/>
          <w:color w:val="auto"/>
        </w:rPr>
        <w:t>Surviving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Provisions</w:t>
      </w:r>
      <w:r>
        <w:rPr>
          <w:rFonts w:ascii="Arial" w:cs="Arial" w:eastAsia="Arial" w:hAnsi="Arial"/>
          <w:sz w:val="19"/>
          <w:szCs w:val="19"/>
          <w:color w:val="auto"/>
        </w:rPr>
        <w:t>”). You also shall treat this Agreement as Confidential Information, in accordance with the Surviving</w:t>
      </w:r>
    </w:p>
    <w:p>
      <w:pPr>
        <w:spacing w:after="0" w:line="3" w:lineRule="exact"/>
        <w:rPr>
          <w:rFonts w:ascii="Arial" w:cs="Arial" w:eastAsia="Arial" w:hAnsi="Arial"/>
          <w:sz w:val="19"/>
          <w:szCs w:val="19"/>
          <w:color w:val="auto"/>
        </w:rPr>
      </w:pPr>
    </w:p>
    <w:p>
      <w:pPr>
        <w:spacing w:after="0" w:line="263" w:lineRule="auto"/>
        <w:rPr>
          <w:rFonts w:ascii="Arial" w:cs="Arial" w:eastAsia="Arial" w:hAnsi="Arial"/>
          <w:sz w:val="19"/>
          <w:szCs w:val="19"/>
          <w:color w:val="auto"/>
        </w:rPr>
      </w:pPr>
      <w:r>
        <w:rPr>
          <w:rFonts w:ascii="Arial" w:cs="Arial" w:eastAsia="Arial" w:hAnsi="Arial"/>
          <w:sz w:val="19"/>
          <w:szCs w:val="19"/>
          <w:color w:val="auto"/>
        </w:rPr>
        <w:t>Provisions. Notwithstanding the foregoing, in accordance with the Defend Trade Secrets Act, 18 U.S.C. § 1833(b), and other applicable law, nothing in this Agreement, the Employment Agreement, the Surviving Provisions, or any other agreement or policy shall prevent you from, or expose you to criminal or civil liability under federal or state trade secret law for, (a) directly or indirectly sharing any Company trade secrets or other Confidential Information (except information protected by any of the Releasees’ attorney-client or work product privilege) with an attorney or with any federal, state, or local government agencies, regulators, or officials, for the purpose of investigating or reporting a suspected violation of law, whether in response to a subpoena or otherwise, without notice to the Company; or (b) disclosing the Company’s trade secrets in a filing in connection with a legal claim, provided that the filing is made under seal.</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729297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1" w:name="page112"/>
    <w:bookmarkEnd w:id="111"/>
    <w:p>
      <w:pPr>
        <w:ind w:right="120" w:firstLine="882"/>
        <w:spacing w:after="0" w:line="239" w:lineRule="auto"/>
        <w:tabs>
          <w:tab w:leader="none" w:pos="1660"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Non-Admission; Representations</w:t>
      </w:r>
      <w:r>
        <w:rPr>
          <w:rFonts w:ascii="Arial" w:cs="Arial" w:eastAsia="Arial" w:hAnsi="Arial"/>
          <w:sz w:val="21"/>
          <w:szCs w:val="21"/>
          <w:color w:val="auto"/>
        </w:rPr>
        <w:t>. This Agreement shall not in any way be construed as an admission by any of the Releasees of any liability or of any wrongful acts whatsoever against you or any other person or entity. You further represent and warrant that you are not aware of any facts or circumstances that you know or believe to be either (a) a past or current violation of any of the Company’s rules and/or policies, or (b) a past or current violation of any laws, rules, and/or regulations applicable to the Company.</w:t>
      </w:r>
    </w:p>
    <w:p>
      <w:pPr>
        <w:spacing w:after="0" w:line="205" w:lineRule="exact"/>
        <w:rPr>
          <w:rFonts w:ascii="Arial" w:cs="Arial" w:eastAsia="Arial" w:hAnsi="Arial"/>
          <w:sz w:val="21"/>
          <w:szCs w:val="21"/>
          <w:color w:val="auto"/>
        </w:rPr>
      </w:pPr>
    </w:p>
    <w:p>
      <w:pPr>
        <w:ind w:right="60" w:firstLine="882"/>
        <w:spacing w:after="0" w:line="267" w:lineRule="auto"/>
        <w:tabs>
          <w:tab w:leader="none" w:pos="166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Breach of Agreement</w:t>
      </w:r>
      <w:r>
        <w:rPr>
          <w:rFonts w:ascii="Arial" w:cs="Arial" w:eastAsia="Arial" w:hAnsi="Arial"/>
          <w:sz w:val="19"/>
          <w:szCs w:val="19"/>
          <w:color w:val="auto"/>
        </w:rPr>
        <w:t>. You agree that, upon the Effective Date of this Agreement, you will be bound by all of the terms and conditions herein. Should you materially breach this Agreement at any time, including any of the Surviving Provisions, then:</w:t>
      </w:r>
    </w:p>
    <w:p>
      <w:pPr>
        <w:spacing w:after="0" w:line="1" w:lineRule="exact"/>
        <w:rPr>
          <w:rFonts w:ascii="Arial" w:cs="Arial" w:eastAsia="Arial" w:hAnsi="Arial"/>
          <w:sz w:val="19"/>
          <w:szCs w:val="19"/>
          <w:color w:val="auto"/>
        </w:rPr>
      </w:pPr>
    </w:p>
    <w:p>
      <w:pPr>
        <w:ind w:right="20" w:firstLine="4"/>
        <w:spacing w:after="0" w:line="272" w:lineRule="auto"/>
        <w:tabs>
          <w:tab w:leader="none" w:pos="2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indemnify and hold harmless each and all of the Releasees from and against any and all direct and indirect losses, costs, damages, and/or expenses, including, but not limited to, attorneys’ and experts’ fees, costs, and disbursements incurred by the Releasees, or any of them, arising in connection with such breach; (b) the Releasees shall have no further obligations to you under this Agreement or otherwise (including, but not limited to, any obligation to continue to provide the payments and other consideration set forth in Paragraph 3 of this Agreement); (c) you agree to repay, and the Company will be entitled to recoup, all payments previously provided to you under Paragraph 3 of this Agreement, plus the attorneys’ fees and costs the Company incurs in recouping such amounts;</w:t>
      </w:r>
    </w:p>
    <w:p>
      <w:pPr>
        <w:ind w:right="140" w:firstLine="4"/>
        <w:spacing w:after="0" w:line="237" w:lineRule="auto"/>
        <w:tabs>
          <w:tab w:leader="none" w:pos="295"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shall have all rights and remedies available to it under this Agreement, under the Surviving Provisions, and under any applicable law or equitable theory; and (e) all of your promises, covenants, representations, and warranties under this Agreement, and under the Surviving Provisions, will remain in full force and effect.</w:t>
      </w:r>
    </w:p>
    <w:p>
      <w:pPr>
        <w:spacing w:after="0" w:line="205" w:lineRule="exact"/>
        <w:rPr>
          <w:rFonts w:ascii="Arial" w:cs="Arial" w:eastAsia="Arial" w:hAnsi="Arial"/>
          <w:sz w:val="21"/>
          <w:szCs w:val="21"/>
          <w:color w:val="auto"/>
        </w:rPr>
      </w:pPr>
    </w:p>
    <w:p>
      <w:pPr>
        <w:ind w:firstLine="882"/>
        <w:spacing w:after="0" w:line="238" w:lineRule="auto"/>
        <w:tabs>
          <w:tab w:leader="none" w:pos="1765"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Equitable Remedies</w:t>
      </w:r>
      <w:r>
        <w:rPr>
          <w:rFonts w:ascii="Arial" w:cs="Arial" w:eastAsia="Arial" w:hAnsi="Arial"/>
          <w:sz w:val="21"/>
          <w:szCs w:val="21"/>
          <w:color w:val="auto"/>
        </w:rPr>
        <w:t>. You agree that your breach or threatened breach of Paragraphs 5, 6 or 7 of this Agreement, or your breach or threatened breach of any of the Surviving Provisions, would result in irreparable and continuing harm to the Releasees for which there is no adequate remedy at law. Therefore, each of the Releasees, in addition and supplementary to other rights and remedies existing in its favor, shall be entitled to specific performance and/or temporary or permanent injunctive or other equitable relief from a court of competent jurisdiction in order to enforce or prevent any violations of the provisions thereof (without posting a bond or other security).</w:t>
      </w:r>
    </w:p>
    <w:p>
      <w:pPr>
        <w:spacing w:after="0" w:line="205" w:lineRule="exact"/>
        <w:rPr>
          <w:rFonts w:ascii="Arial" w:cs="Arial" w:eastAsia="Arial" w:hAnsi="Arial"/>
          <w:sz w:val="21"/>
          <w:szCs w:val="21"/>
          <w:color w:val="auto"/>
        </w:rPr>
      </w:pPr>
    </w:p>
    <w:p>
      <w:pPr>
        <w:ind w:right="180" w:firstLine="882"/>
        <w:spacing w:after="0" w:line="252" w:lineRule="auto"/>
        <w:tabs>
          <w:tab w:leader="none" w:pos="1757"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AND UNCONDITIONALLY WAIVES, TO THE FULLEST EXTENT SUCH PARTY MAY LEGALLY AND EFFECTIVELY DO SO, TRIAL BY JURY IN ANY SUIT, ACTION, OR PROCEEDING ARISING HEREUNDER. Each Party hereto agrees that any legal action or other legal proceeding (whether in tort, contract, or otherwise) arising under or relating to this Agreement or the enforcement of any provision of this Agreement, or in respect of any representations made or alleged to be made in connection herewith, shall be brought or otherwise commenced exclusively in any state or federal court located in Monroe County, New York, New York.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729297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12" w:name="page113"/>
    <w:bookmarkEnd w:id="112"/>
    <w:p>
      <w:pPr>
        <w:ind w:firstLine="882"/>
        <w:spacing w:after="0" w:line="260" w:lineRule="auto"/>
        <w:tabs>
          <w:tab w:leader="none" w:pos="176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Construction and Severability</w:t>
      </w:r>
      <w:r>
        <w:rPr>
          <w:rFonts w:ascii="Arial" w:cs="Arial" w:eastAsia="Arial" w:hAnsi="Arial"/>
          <w:sz w:val="19"/>
          <w:szCs w:val="19"/>
          <w:color w:val="auto"/>
        </w:rPr>
        <w:t>. It is the desire and intent of the Parties that the provisions of this Agreement be enforced to the fullest extent permitted under the laws and public policies applied in each jurisdiction in which enforcement is sought. If any provision (or portion thereof) of this Agreement shall be held invalid, illegal, or unenforceable in any jurisdiction, such provision, as to such jurisdiction, shall be ineffective, without in any way affecting the validity, legality, and enforceability of the remaining provisions (or portions thereof) contained herein or the validity, legality, and enforceability of such provision in any other jurisdiction. Upon a determination that any term or provision (or any portion thereof) is invalid, illegal, or incapable of being enforced, the Parties agree that an arbitrator or reviewing court shall have the authority to “blue pencil” or modify this Agreement so as to render</w:t>
      </w:r>
    </w:p>
    <w:p>
      <w:pPr>
        <w:spacing w:after="0" w:line="4" w:lineRule="exact"/>
        <w:rPr>
          <w:rFonts w:ascii="Arial" w:cs="Arial" w:eastAsia="Arial" w:hAnsi="Arial"/>
          <w:sz w:val="19"/>
          <w:szCs w:val="19"/>
          <w:color w:val="auto"/>
        </w:rPr>
      </w:pPr>
    </w:p>
    <w:p>
      <w:pPr>
        <w:ind w:right="20"/>
        <w:spacing w:after="0" w:line="235" w:lineRule="auto"/>
        <w:rPr>
          <w:rFonts w:ascii="Arial" w:cs="Arial" w:eastAsia="Arial" w:hAnsi="Arial"/>
          <w:sz w:val="19"/>
          <w:szCs w:val="19"/>
          <w:color w:val="auto"/>
        </w:rPr>
      </w:pPr>
      <w:r>
        <w:rPr>
          <w:rFonts w:ascii="Arial" w:cs="Arial" w:eastAsia="Arial" w:hAnsi="Arial"/>
          <w:sz w:val="21"/>
          <w:szCs w:val="21"/>
          <w:color w:val="auto"/>
        </w:rPr>
        <w:t>it enforceable and effect the original intent of the Parties as reflected herein to the fullest extent permitted by applicable law. The Parties further agree, if necessary, to undertake to implement all efforts which are necessary, desirable, and sufficient to amend, supplement, or substitute all and any such invalid, illegal, or unenforceable provisions (or portions thereof) with enforceable and valid provisions which would produce, as nearly as may be possible, the result previously intended by the Parties without renegotiation of any material terms and conditions stipulated herein.</w:t>
      </w:r>
    </w:p>
    <w:p>
      <w:pPr>
        <w:spacing w:after="0" w:line="207" w:lineRule="exact"/>
        <w:rPr>
          <w:rFonts w:ascii="Arial" w:cs="Arial" w:eastAsia="Arial" w:hAnsi="Arial"/>
          <w:sz w:val="19"/>
          <w:szCs w:val="19"/>
          <w:color w:val="auto"/>
        </w:rPr>
      </w:pPr>
    </w:p>
    <w:p>
      <w:pPr>
        <w:ind w:right="20" w:firstLine="882"/>
        <w:spacing w:after="0" w:line="260" w:lineRule="auto"/>
        <w:tabs>
          <w:tab w:leader="none" w:pos="176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Execution of Agreement</w:t>
      </w:r>
      <w:r>
        <w:rPr>
          <w:rFonts w:ascii="Arial" w:cs="Arial" w:eastAsia="Arial" w:hAnsi="Arial"/>
          <w:sz w:val="19"/>
          <w:szCs w:val="19"/>
          <w:color w:val="auto"/>
        </w:rPr>
        <w:t>. You understand that this Agreement includes a release of all legal rights or claims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(29 U.S.C. § 626, as amended), and all other federal, state, and local laws regarding age discrimination, whether those claims are presently known to you or hereafter discovered. To the extent the Company has a right to recoupment of any amounts paid to you under this Agreement, such right shall not be triggered by any cause of action brought by you challenging this Agreement under the ADEA. You understand that you have twenty-one (21) days from the day that you receive this Agreement, not counting the day upon which you receive it, to consider whether you wish to sign this Agreement. If you sign this Agreement before the end of such twenty-one (21) day period, it will be your voluntary decision to do so because you have decided that you do not need any additional time to decide whether to sign this Agreement. You also agree that any changes made to this Agreement before you sign it, whether material or immaterial, will not restart the twenty-one (21) day period. The Company has encouraged you in writing to show and discuss this Agreement with an attorney of your choosing before signing it, and to the extent you wished to do so, you have done so. You acknowledge and agree that you have been given ample opportunity to carefully consider this Agreement and read all of its terms, including the release of Claims in Paragraph 5; that you understand you are waiving legal rights or claims by signing this Agreement; that you fully understand this Agreement and its legal and binding effect; that you are voluntarily and knowingly signing this Agreement of your own free will, with the intent to be bound by its terms, and free from any duress, concealment, fraud, or undue influence; and that you are competent to manage your business and personal affairs. To execute this Agreement, you must sign and date the Agreement below on or before 9 a.m. eastern time on February 8, 2019, and return a complete copy thereof to Roger Byrd, either by electronic mail at roger.byrd@kodak.com, or by overnight courier (via FedEx or UPS) at Eastman Kodak Company, 343 State Street, Rochester, NY 14650. If you execute this Agreement on or before 9 a.m. eastern time on February 8, 2019, and return it to Roger Byrd as provided herein, you understand that you may rescind this Agreement at any time within seven (7) days after the date you sign it, not counting the day upon which you sign it. If you do not revoke this Agreement within such seven (7) day period, this Agreement will become fully binding, enforceable, and irrevocable on the eighth (8</w:t>
      </w:r>
      <w:r>
        <w:rPr>
          <w:rFonts w:ascii="Arial" w:cs="Arial" w:eastAsia="Arial" w:hAnsi="Arial"/>
          <w:sz w:val="15"/>
          <w:szCs w:val="15"/>
          <w:color w:val="auto"/>
        </w:rPr>
        <w:t>th</w:t>
      </w:r>
      <w:r>
        <w:rPr>
          <w:rFonts w:ascii="Arial" w:cs="Arial" w:eastAsia="Arial" w:hAnsi="Arial"/>
          <w:sz w:val="19"/>
          <w:szCs w:val="19"/>
          <w:color w:val="auto"/>
        </w:rPr>
        <w:t>) calendar day after you sign it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729297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ind w:right="40" w:firstLine="882"/>
        <w:spacing w:after="0" w:line="238" w:lineRule="auto"/>
        <w:tabs>
          <w:tab w:leader="none" w:pos="176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Surviving Provisions set forth the complete agreement and understanding among the Parties hereto and fully supersede and preempt any and all prior agreements, understandings, or representations between you and any of the Releasees, written or oral, which may have related to the subject matter hereof in any way (including, but not limited to, the Employment Agreement). You specifically acknowledge and agree that notwithstanding any discussions or negotiations you may have had with any of the Releasees prior to the execution of this Agreement, you are not relying on any promises or assurances other than those explicitly contained in this Agreement.</w:t>
      </w:r>
    </w:p>
    <w:p>
      <w:pPr>
        <w:spacing w:after="0" w:line="206" w:lineRule="exact"/>
        <w:rPr>
          <w:rFonts w:ascii="Arial" w:cs="Arial" w:eastAsia="Arial" w:hAnsi="Arial"/>
          <w:sz w:val="21"/>
          <w:szCs w:val="21"/>
          <w:color w:val="auto"/>
        </w:rPr>
      </w:pPr>
    </w:p>
    <w:p>
      <w:pPr>
        <w:ind w:firstLine="882"/>
        <w:spacing w:after="0" w:line="238" w:lineRule="auto"/>
        <w:tabs>
          <w:tab w:leader="none" w:pos="176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The provisions of this Agreement may be amended or waived only in a writing signed by the Company and you,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205" w:lineRule="exact"/>
        <w:rPr>
          <w:rFonts w:ascii="Arial" w:cs="Arial" w:eastAsia="Arial" w:hAnsi="Arial"/>
          <w:sz w:val="21"/>
          <w:szCs w:val="21"/>
          <w:color w:val="auto"/>
        </w:rPr>
      </w:pPr>
    </w:p>
    <w:p>
      <w:pPr>
        <w:ind w:right="100" w:firstLine="882"/>
        <w:spacing w:after="0" w:line="270" w:lineRule="auto"/>
        <w:tabs>
          <w:tab w:leader="none" w:pos="176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Assignability</w:t>
      </w:r>
      <w:r>
        <w:rPr>
          <w:rFonts w:ascii="Arial" w:cs="Arial" w:eastAsia="Arial" w:hAnsi="Arial"/>
          <w:sz w:val="19"/>
          <w:szCs w:val="19"/>
          <w:color w:val="auto"/>
        </w:rPr>
        <w:t>. You may not assign your interest in or delegate your duties under this Agreement. This Agreement shall be binding upon and inure to the benefit of and be enforceable by the Parties to this Agreement and their successors and assigns. Without limiting the foregoing, and notwithstanding anything else in this Agreement to the contrary, the Company may assign this Agreement to, and all rights hereunder shall inure to the benefit of, any entity resulting from the reorganization of the Company or succeeding to the business or assets of the Company by purchase, merger, consolidation, or otherwise.</w:t>
      </w:r>
    </w:p>
    <w:p>
      <w:pPr>
        <w:spacing w:after="0" w:line="178" w:lineRule="exact"/>
        <w:rPr>
          <w:rFonts w:ascii="Arial" w:cs="Arial" w:eastAsia="Arial" w:hAnsi="Arial"/>
          <w:sz w:val="19"/>
          <w:szCs w:val="19"/>
          <w:color w:val="auto"/>
        </w:rPr>
      </w:pPr>
    </w:p>
    <w:p>
      <w:pPr>
        <w:ind w:right="20" w:firstLine="882"/>
        <w:spacing w:after="0" w:line="261" w:lineRule="auto"/>
        <w:tabs>
          <w:tab w:leader="none" w:pos="176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Descriptive Headings; Interpretation</w:t>
      </w:r>
      <w:r>
        <w:rPr>
          <w:rFonts w:ascii="Arial" w:cs="Arial" w:eastAsia="Arial" w:hAnsi="Arial"/>
          <w:sz w:val="19"/>
          <w:szCs w:val="19"/>
          <w:color w:val="auto"/>
        </w:rPr>
        <w:t>. The descriptive headings of this Agreement are inserted for convenience only and do not constitute a substantive part of this Agreement. This Agreement shall be interpreted strictly in accordance with its terms, to the maximum extent permissible under governing law, and shall not be construed against or in favor of any Party, regardless of which Party drafted this Agreement or any provision hereof. Whenever required by the context, any pronoun used in this Agreement shall include the corresponding masculine, feminine, or neuter forms, and the singular form of nouns, pronouns, and verbs shall include the plural and vice versa. The use of the word “</w:t>
      </w:r>
      <w:r>
        <w:rPr>
          <w:rFonts w:ascii="Arial" w:cs="Arial" w:eastAsia="Arial" w:hAnsi="Arial"/>
          <w:sz w:val="19"/>
          <w:szCs w:val="19"/>
          <w:u w:val="single" w:color="auto"/>
          <w:color w:val="auto"/>
        </w:rPr>
        <w:t>including</w:t>
      </w:r>
      <w:r>
        <w:rPr>
          <w:rFonts w:ascii="Arial" w:cs="Arial" w:eastAsia="Arial" w:hAnsi="Arial"/>
          <w:sz w:val="19"/>
          <w:szCs w:val="19"/>
          <w:color w:val="auto"/>
        </w:rPr>
        <w:t>” in this Agreement shall be by way of example rather than by</w:t>
      </w:r>
    </w:p>
    <w:p>
      <w:pPr>
        <w:ind w:right="600"/>
        <w:spacing w:after="0" w:line="237" w:lineRule="auto"/>
        <w:rPr>
          <w:rFonts w:ascii="Arial" w:cs="Arial" w:eastAsia="Arial" w:hAnsi="Arial"/>
          <w:sz w:val="19"/>
          <w:szCs w:val="19"/>
          <w:color w:val="auto"/>
        </w:rPr>
      </w:pPr>
      <w:r>
        <w:rPr>
          <w:rFonts w:ascii="Arial" w:cs="Arial" w:eastAsia="Arial" w:hAnsi="Arial"/>
          <w:sz w:val="21"/>
          <w:szCs w:val="21"/>
          <w:color w:val="auto"/>
        </w:rPr>
        <w:t>limitation. Reference to any agreement, document, or instrument means such agreement, document, or instrument as amended or otherwise modified from time to time in accordance with the terms thereof, and if applicable hereof. The use of the words “</w:t>
      </w:r>
      <w:r>
        <w:rPr>
          <w:rFonts w:ascii="Arial" w:cs="Arial" w:eastAsia="Arial" w:hAnsi="Arial"/>
          <w:sz w:val="21"/>
          <w:szCs w:val="21"/>
          <w:u w:val="single" w:color="auto"/>
          <w:color w:val="auto"/>
        </w:rPr>
        <w:t>or</w:t>
      </w:r>
      <w:r>
        <w:rPr>
          <w:rFonts w:ascii="Arial" w:cs="Arial" w:eastAsia="Arial" w:hAnsi="Arial"/>
          <w:sz w:val="21"/>
          <w:szCs w:val="21"/>
          <w:color w:val="auto"/>
        </w:rPr>
        <w:t>,” “</w:t>
      </w:r>
      <w:r>
        <w:rPr>
          <w:rFonts w:ascii="Arial" w:cs="Arial" w:eastAsia="Arial" w:hAnsi="Arial"/>
          <w:sz w:val="21"/>
          <w:szCs w:val="21"/>
          <w:u w:val="single" w:color="auto"/>
          <w:color w:val="auto"/>
        </w:rPr>
        <w:t>either</w:t>
      </w:r>
      <w:r>
        <w:rPr>
          <w:rFonts w:ascii="Arial" w:cs="Arial" w:eastAsia="Arial" w:hAnsi="Arial"/>
          <w:sz w:val="21"/>
          <w:szCs w:val="21"/>
          <w:color w:val="auto"/>
        </w:rPr>
        <w:t>,” and “</w:t>
      </w:r>
      <w:r>
        <w:rPr>
          <w:rFonts w:ascii="Arial" w:cs="Arial" w:eastAsia="Arial" w:hAnsi="Arial"/>
          <w:sz w:val="21"/>
          <w:szCs w:val="21"/>
          <w:u w:val="single" w:color="auto"/>
          <w:color w:val="auto"/>
        </w:rPr>
        <w:t>any</w:t>
      </w:r>
      <w:r>
        <w:rPr>
          <w:rFonts w:ascii="Arial" w:cs="Arial" w:eastAsia="Arial" w:hAnsi="Arial"/>
          <w:sz w:val="21"/>
          <w:szCs w:val="21"/>
          <w:color w:val="auto"/>
        </w:rPr>
        <w:t>” shall not be exclusive.</w:t>
      </w:r>
    </w:p>
    <w:p>
      <w:pPr>
        <w:spacing w:after="0" w:line="205" w:lineRule="exact"/>
        <w:rPr>
          <w:rFonts w:ascii="Arial" w:cs="Arial" w:eastAsia="Arial" w:hAnsi="Arial"/>
          <w:sz w:val="19"/>
          <w:szCs w:val="19"/>
          <w:color w:val="auto"/>
        </w:rPr>
      </w:pPr>
    </w:p>
    <w:p>
      <w:pPr>
        <w:jc w:val="both"/>
        <w:ind w:right="380" w:firstLine="882"/>
        <w:spacing w:after="0" w:line="340" w:lineRule="auto"/>
        <w:tabs>
          <w:tab w:leader="none" w:pos="176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signature pages delivered by a facsimile machine or electronic mail), all of which taken together shall constitute one and the same instrument.</w:t>
      </w:r>
    </w:p>
    <w:p>
      <w:pPr>
        <w:spacing w:after="0" w:line="117" w:lineRule="exact"/>
        <w:rPr>
          <w:rFonts w:ascii="Arial" w:cs="Arial" w:eastAsia="Arial" w:hAnsi="Arial"/>
          <w:sz w:val="18"/>
          <w:szCs w:val="18"/>
          <w:color w:val="auto"/>
        </w:rPr>
      </w:pPr>
    </w:p>
    <w:p>
      <w:pPr>
        <w:ind w:right="500" w:firstLine="882"/>
        <w:spacing w:after="0" w:line="245" w:lineRule="auto"/>
        <w:tabs>
          <w:tab w:leader="none" w:pos="176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deemed to have been made in New York, New York, and shall be interpreted, construed, and enforced pursuant to the laws of the State of New York, without giving effect to New York’s conflict or choice of law principles.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729297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4" w:name="page115"/>
    <w:bookmarkEnd w:id="114"/>
    <w:p>
      <w:pPr>
        <w:ind w:left="-40" w:firstLine="882"/>
        <w:spacing w:after="0" w:line="276" w:lineRule="auto"/>
        <w:tabs>
          <w:tab w:leader="none" w:pos="172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and the compensation and benefits provided under this Agreement are intended to be exempt from or comply with the limitations and requirements set forth in Section 409A of the United States Internal Revenue Code of 1986, as amended, and the regulations promulgated thereunder and other official guidance issued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and shall be construed, performed and interpreted in accordance with such intent. References to “termination of employment” and similar terms used in this Agreement mean, to the extent necessary to qualify for an exemption from or comply with Section 409A, the date that you first incur a “separation from service” within the meaning of Section 409A. Each payment under this Agreement in a series of payments shall be deemed to be a separate payment for purposes of Section 409A. Notwithstanding anything in this Agreement to the contrary, if any payment payable under this Agreement as a result of your separation from service is required to be delayed by six months pursuant to Section 409A, then the Company will make such payment on the day following the date that is six months following your separation from service with the Company; the amount of such payment will equal the sum of the payments that would have been paid to you during the six-month period immediately following your separation from service had the payment commenced as of such date. Notwithstanding anything herein to the contrary, the Company and its respective officers, directors, employees or agents make no representations or guarantees that the terms of this Agreement or the arrangements described in this Agreement, in each case, as written, comply with or are exempt from the provisions of Section 409A or that the payments and benefits provided under this Agreement are or will be exempt from, or compliant with, Section 409A, and in no event shall any of the Releasees be liable for all or any portion of any taxes, penalties, interest, or other expenses that you may incur on account of any non-compliance with Section 409A.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9297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40"/>
          </w:cols>
          <w:pgMar w:left="280" w:top="118" w:right="27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The Parties hereto, intending to be legally bound, have hereunto executed this Agreement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 Jeffrey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9525</wp:posOffset>
            </wp:positionV>
            <wp:extent cx="32118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3211830" cy="8255"/>
                    </a:xfrm>
                    <a:prstGeom prst="rect">
                      <a:avLst/>
                    </a:prstGeom>
                    <a:noFill/>
                  </pic:spPr>
                </pic:pic>
              </a:graphicData>
            </a:graphic>
          </wp:anchor>
        </w:drawing>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Jeffrey J. Clarke</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Date: February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40"/>
        <w:spacing w:after="0"/>
        <w:rPr>
          <w:sz w:val="20"/>
          <w:szCs w:val="20"/>
          <w:color w:val="auto"/>
        </w:rPr>
      </w:pPr>
      <w:r>
        <w:rPr>
          <w:rFonts w:ascii="Arial" w:cs="Arial" w:eastAsia="Arial" w:hAnsi="Arial"/>
          <w:sz w:val="21"/>
          <w:szCs w:val="21"/>
          <w:b w:val="1"/>
          <w:bCs w:val="1"/>
          <w:color w:val="auto"/>
        </w:rPr>
        <w:t>EASTMAN KODAK COMPANY</w:t>
      </w:r>
    </w:p>
    <w:p>
      <w:pPr>
        <w:spacing w:after="0" w:line="26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By: /s/ David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9525</wp:posOffset>
            </wp:positionV>
            <wp:extent cx="32118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3211830" cy="8255"/>
                    </a:xfrm>
                    <a:prstGeom prst="rect">
                      <a:avLst/>
                    </a:prstGeom>
                    <a:noFill/>
                  </pic:spPr>
                </pic:pic>
              </a:graphicData>
            </a:graphic>
          </wp:anchor>
        </w:drawing>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Name:  David Bullwinkle</w:t>
      </w:r>
    </w:p>
    <w:p>
      <w:pPr>
        <w:spacing w:after="0" w:line="19" w:lineRule="exact"/>
        <w:rPr>
          <w:sz w:val="20"/>
          <w:szCs w:val="20"/>
          <w:color w:val="auto"/>
        </w:rPr>
      </w:pPr>
    </w:p>
    <w:p>
      <w:pPr>
        <w:ind w:left="4520"/>
        <w:spacing w:after="0"/>
        <w:tabs>
          <w:tab w:leader="none" w:pos="5200" w:val="left"/>
        </w:tabs>
        <w:rPr>
          <w:sz w:val="20"/>
          <w:szCs w:val="20"/>
          <w:color w:val="auto"/>
        </w:rPr>
      </w:pPr>
      <w:r>
        <w:rPr>
          <w:rFonts w:ascii="Arial" w:cs="Arial" w:eastAsia="Arial" w:hAnsi="Arial"/>
          <w:sz w:val="19"/>
          <w:szCs w:val="19"/>
          <w:color w:val="auto"/>
        </w:rPr>
        <w:t>Title:</w:t>
        <w:tab/>
        <w:t>Chief Financial Officer and Senior Vice President</w:t>
      </w:r>
    </w:p>
    <w:p>
      <w:pPr>
        <w:spacing w:after="0" w:line="29" w:lineRule="exact"/>
        <w:rPr>
          <w:sz w:val="20"/>
          <w:szCs w:val="20"/>
          <w:color w:val="auto"/>
        </w:rPr>
      </w:pPr>
    </w:p>
    <w:p>
      <w:pPr>
        <w:ind w:left="4520"/>
        <w:spacing w:after="0"/>
        <w:tabs>
          <w:tab w:leader="none" w:pos="5200" w:val="left"/>
        </w:tabs>
        <w:rPr>
          <w:sz w:val="20"/>
          <w:szCs w:val="20"/>
          <w:color w:val="auto"/>
        </w:rPr>
      </w:pPr>
      <w:r>
        <w:rPr>
          <w:rFonts w:ascii="Arial" w:cs="Arial" w:eastAsia="Arial" w:hAnsi="Arial"/>
          <w:sz w:val="21"/>
          <w:szCs w:val="21"/>
          <w:color w:val="auto"/>
        </w:rPr>
        <w:t>Date:</w:t>
        <w:tab/>
        <w:t>February 20, 2019</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Signature Page to Separation Agreement</w:t>
      </w:r>
    </w:p>
    <w:p>
      <w:pPr>
        <w:sectPr>
          <w:pgSz w:w="11900" w:h="16838" w:orient="portrait"/>
          <w:cols w:equalWidth="0" w:num="1">
            <w:col w:w="9380"/>
          </w:cols>
          <w:pgMar w:left="1120" w:top="118" w:right="1399" w:bottom="1440" w:gutter="0" w:footer="0" w:header="0"/>
        </w:sectPr>
      </w:pPr>
    </w:p>
    <w:bookmarkStart w:id="116" w:name="page117"/>
    <w:bookmarkEnd w:id="116"/>
    <w:p>
      <w:pPr>
        <w:ind w:left="9780"/>
        <w:spacing w:after="0"/>
        <w:rPr>
          <w:sz w:val="20"/>
          <w:szCs w:val="20"/>
          <w:color w:val="auto"/>
        </w:rPr>
      </w:pPr>
      <w:r>
        <w:rPr>
          <w:rFonts w:ascii="Arial" w:cs="Arial" w:eastAsia="Arial" w:hAnsi="Arial"/>
          <w:sz w:val="17"/>
          <w:szCs w:val="17"/>
          <w:b w:val="1"/>
          <w:bCs w:val="1"/>
          <w:color w:val="auto"/>
        </w:rPr>
        <w:t>Exhibit (10.23)</w:t>
      </w:r>
    </w:p>
    <w:p>
      <w:pPr>
        <w:spacing w:after="0" w:line="200" w:lineRule="exact"/>
        <w:rPr>
          <w:sz w:val="20"/>
          <w:szCs w:val="20"/>
          <w:color w:val="auto"/>
        </w:rPr>
      </w:pPr>
    </w:p>
    <w:p>
      <w:pPr>
        <w:spacing w:after="0" w:line="227" w:lineRule="exact"/>
        <w:rPr>
          <w:sz w:val="20"/>
          <w:szCs w:val="20"/>
          <w:color w:val="auto"/>
        </w:rPr>
      </w:pPr>
    </w:p>
    <w:p>
      <w:pPr>
        <w:ind w:left="8780"/>
        <w:spacing w:after="0"/>
        <w:rPr>
          <w:sz w:val="20"/>
          <w:szCs w:val="20"/>
          <w:color w:val="auto"/>
        </w:rPr>
      </w:pPr>
      <w:r>
        <w:rPr>
          <w:rFonts w:ascii="Arial" w:cs="Arial" w:eastAsia="Arial" w:hAnsi="Arial"/>
          <w:sz w:val="21"/>
          <w:szCs w:val="21"/>
          <w:color w:val="auto"/>
        </w:rPr>
        <w:t>February 20,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James V. Continenza</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xml:space="preserve">Re: </w:t>
      </w:r>
      <w:r>
        <w:rPr>
          <w:rFonts w:ascii="Arial" w:cs="Arial" w:eastAsia="Arial" w:hAnsi="Arial"/>
          <w:sz w:val="21"/>
          <w:szCs w:val="21"/>
          <w:u w:val="single" w:color="auto"/>
          <w:color w:val="auto"/>
        </w:rPr>
        <w:t>Executive Chairman Agreement</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Dear Mr. Continenza:</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and Eastman Kodak Company (the “</w:t>
      </w:r>
      <w:r>
        <w:rPr>
          <w:rFonts w:ascii="Arial" w:cs="Arial" w:eastAsia="Arial" w:hAnsi="Arial"/>
          <w:sz w:val="21"/>
          <w:szCs w:val="21"/>
          <w:i w:val="1"/>
          <w:iCs w:val="1"/>
          <w:color w:val="auto"/>
        </w:rPr>
        <w:t>Company</w:t>
      </w:r>
      <w:r>
        <w:rPr>
          <w:rFonts w:ascii="Arial" w:cs="Arial" w:eastAsia="Arial" w:hAnsi="Arial"/>
          <w:sz w:val="21"/>
          <w:szCs w:val="21"/>
          <w:color w:val="auto"/>
        </w:rPr>
        <w:t>”) are entering into this mutually agreeable form of employment agreement (this “</w:t>
      </w:r>
      <w:r>
        <w:rPr>
          <w:rFonts w:ascii="Arial" w:cs="Arial" w:eastAsia="Arial" w:hAnsi="Arial"/>
          <w:sz w:val="21"/>
          <w:szCs w:val="21"/>
          <w:i w:val="1"/>
          <w:iCs w:val="1"/>
          <w:color w:val="auto"/>
        </w:rPr>
        <w:t>Agreement</w:t>
      </w:r>
      <w:r>
        <w:rPr>
          <w:rFonts w:ascii="Arial" w:cs="Arial" w:eastAsia="Arial" w:hAnsi="Arial"/>
          <w:sz w:val="21"/>
          <w:szCs w:val="21"/>
          <w:color w:val="auto"/>
        </w:rPr>
        <w:t>”), which will be effective as of February 20, 2019 (the “</w:t>
      </w:r>
      <w:r>
        <w:rPr>
          <w:rFonts w:ascii="Arial" w:cs="Arial" w:eastAsia="Arial" w:hAnsi="Arial"/>
          <w:sz w:val="21"/>
          <w:szCs w:val="21"/>
          <w:i w:val="1"/>
          <w:iCs w:val="1"/>
          <w:color w:val="auto"/>
        </w:rPr>
        <w:t>Effective Date</w:t>
      </w:r>
      <w:r>
        <w:rPr>
          <w:rFonts w:ascii="Arial" w:cs="Arial" w:eastAsia="Arial" w:hAnsi="Arial"/>
          <w:sz w:val="21"/>
          <w:szCs w:val="21"/>
          <w:color w:val="auto"/>
        </w:rPr>
        <w:t>”), and which sets forth the terms of your employment as Executive Chairman of the Company for the Scheduled Term set forth below.</w:t>
      </w:r>
    </w:p>
    <w:p>
      <w:pPr>
        <w:spacing w:after="0" w:line="167" w:lineRule="exact"/>
        <w:rPr>
          <w:sz w:val="20"/>
          <w:szCs w:val="20"/>
          <w:color w:val="auto"/>
        </w:rPr>
      </w:pPr>
    </w:p>
    <w:p>
      <w:pPr>
        <w:ind w:left="840" w:hanging="836"/>
        <w:spacing w:after="0"/>
        <w:tabs>
          <w:tab w:leader="none" w:pos="840" w:val="left"/>
        </w:tabs>
        <w:numPr>
          <w:ilvl w:val="0"/>
          <w:numId w:val="55"/>
        </w:numPr>
        <w:rPr>
          <w:rFonts w:ascii="Arial" w:cs="Arial" w:eastAsia="Arial" w:hAnsi="Arial"/>
          <w:sz w:val="21"/>
          <w:szCs w:val="21"/>
          <w:b w:val="1"/>
          <w:bCs w:val="1"/>
          <w:color w:val="010000"/>
        </w:rPr>
      </w:pPr>
      <w:r>
        <w:rPr>
          <w:rFonts w:ascii="Arial" w:cs="Arial" w:eastAsia="Arial" w:hAnsi="Arial"/>
          <w:sz w:val="21"/>
          <w:szCs w:val="21"/>
          <w:b w:val="1"/>
          <w:bCs w:val="1"/>
          <w:color w:val="auto"/>
        </w:rPr>
        <w:t>Terms Schedule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Some of the terms of your employment are in the attached schedule (your “</w:t>
      </w:r>
      <w:r>
        <w:rPr>
          <w:rFonts w:ascii="Arial" w:cs="Arial" w:eastAsia="Arial" w:hAnsi="Arial"/>
          <w:sz w:val="21"/>
          <w:szCs w:val="21"/>
          <w:i w:val="1"/>
          <w:iCs w:val="1"/>
          <w:color w:val="auto"/>
        </w:rPr>
        <w:t>Schedule</w:t>
      </w:r>
      <w:r>
        <w:rPr>
          <w:rFonts w:ascii="Arial" w:cs="Arial" w:eastAsia="Arial" w:hAnsi="Arial"/>
          <w:sz w:val="21"/>
          <w:szCs w:val="21"/>
          <w:color w:val="auto"/>
        </w:rPr>
        <w:t>”), which is part of this Agreement.</w:t>
      </w:r>
    </w:p>
    <w:p>
      <w:pPr>
        <w:spacing w:after="0" w:line="196" w:lineRule="exact"/>
        <w:rPr>
          <w:sz w:val="20"/>
          <w:szCs w:val="20"/>
          <w:color w:val="auto"/>
        </w:rPr>
      </w:pPr>
    </w:p>
    <w:p>
      <w:pPr>
        <w:ind w:left="840" w:hanging="836"/>
        <w:spacing w:after="0"/>
        <w:tabs>
          <w:tab w:leader="none" w:pos="840" w:val="left"/>
        </w:tabs>
        <w:numPr>
          <w:ilvl w:val="0"/>
          <w:numId w:val="56"/>
        </w:numPr>
        <w:rPr>
          <w:rFonts w:ascii="Arial" w:cs="Arial" w:eastAsia="Arial" w:hAnsi="Arial"/>
          <w:sz w:val="21"/>
          <w:szCs w:val="21"/>
          <w:b w:val="1"/>
          <w:bCs w:val="1"/>
          <w:color w:val="010000"/>
        </w:rPr>
      </w:pPr>
      <w:r>
        <w:rPr>
          <w:rFonts w:ascii="Arial" w:cs="Arial" w:eastAsia="Arial" w:hAnsi="Arial"/>
          <w:sz w:val="21"/>
          <w:szCs w:val="21"/>
          <w:b w:val="1"/>
          <w:bCs w:val="1"/>
          <w:color w:val="auto"/>
        </w:rPr>
        <w:t>Scheduled Term</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term of this Agreement will begin on the Effective Date and, subject to earlier termination as provided for in Section 6 herein, will end on the earlier of (i) your resignation or removal from the Board of Directors of the Company (the “</w:t>
      </w:r>
      <w:r>
        <w:rPr>
          <w:rFonts w:ascii="Arial" w:cs="Arial" w:eastAsia="Arial" w:hAnsi="Arial"/>
          <w:sz w:val="21"/>
          <w:szCs w:val="21"/>
          <w:i w:val="1"/>
          <w:iCs w:val="1"/>
          <w:color w:val="auto"/>
        </w:rPr>
        <w:t>Board</w:t>
      </w:r>
      <w:r>
        <w:rPr>
          <w:rFonts w:ascii="Arial" w:cs="Arial" w:eastAsia="Arial" w:hAnsi="Arial"/>
          <w:sz w:val="21"/>
          <w:szCs w:val="21"/>
          <w:color w:val="auto"/>
        </w:rPr>
        <w:t>”), and (ii) February 19, 2021 (the “</w:t>
      </w:r>
      <w:r>
        <w:rPr>
          <w:rFonts w:ascii="Arial" w:cs="Arial" w:eastAsia="Arial" w:hAnsi="Arial"/>
          <w:sz w:val="21"/>
          <w:szCs w:val="21"/>
          <w:i w:val="1"/>
          <w:iCs w:val="1"/>
          <w:color w:val="auto"/>
        </w:rPr>
        <w:t>Scheduled Term</w:t>
      </w:r>
      <w:r>
        <w:rPr>
          <w:rFonts w:ascii="Arial" w:cs="Arial" w:eastAsia="Arial" w:hAnsi="Arial"/>
          <w:sz w:val="21"/>
          <w:szCs w:val="21"/>
          <w:color w:val="auto"/>
        </w:rPr>
        <w:t>”).</w:t>
      </w:r>
    </w:p>
    <w:p>
      <w:pPr>
        <w:spacing w:after="0" w:line="167" w:lineRule="exact"/>
        <w:rPr>
          <w:sz w:val="20"/>
          <w:szCs w:val="20"/>
          <w:color w:val="auto"/>
        </w:rPr>
      </w:pPr>
    </w:p>
    <w:p>
      <w:pPr>
        <w:ind w:left="840" w:hanging="836"/>
        <w:spacing w:after="0"/>
        <w:tabs>
          <w:tab w:leader="none" w:pos="840" w:val="left"/>
        </w:tabs>
        <w:numPr>
          <w:ilvl w:val="0"/>
          <w:numId w:val="57"/>
        </w:numPr>
        <w:rPr>
          <w:rFonts w:ascii="Arial" w:cs="Arial" w:eastAsia="Arial" w:hAnsi="Arial"/>
          <w:sz w:val="21"/>
          <w:szCs w:val="21"/>
          <w:b w:val="1"/>
          <w:bCs w:val="1"/>
          <w:color w:val="010000"/>
        </w:rPr>
      </w:pPr>
      <w:r>
        <w:rPr>
          <w:rFonts w:ascii="Arial" w:cs="Arial" w:eastAsia="Arial" w:hAnsi="Arial"/>
          <w:sz w:val="21"/>
          <w:szCs w:val="21"/>
          <w:b w:val="1"/>
          <w:bCs w:val="1"/>
          <w:color w:val="auto"/>
        </w:rPr>
        <w:t>Your Position, Performance and Other Activities</w:t>
      </w:r>
    </w:p>
    <w:p>
      <w:pPr>
        <w:spacing w:after="0" w:line="207" w:lineRule="exact"/>
        <w:rPr>
          <w:rFonts w:ascii="Arial" w:cs="Arial" w:eastAsia="Arial" w:hAnsi="Arial"/>
          <w:sz w:val="21"/>
          <w:szCs w:val="21"/>
          <w:b w:val="1"/>
          <w:bCs w:val="1"/>
          <w:color w:val="010000"/>
        </w:rPr>
      </w:pPr>
    </w:p>
    <w:p>
      <w:pPr>
        <w:ind w:left="1760" w:hanging="882"/>
        <w:spacing w:after="0"/>
        <w:tabs>
          <w:tab w:leader="none" w:pos="1760" w:val="left"/>
        </w:tabs>
        <w:numPr>
          <w:ilvl w:val="1"/>
          <w:numId w:val="57"/>
        </w:numPr>
        <w:rPr>
          <w:rFonts w:ascii="Arial" w:cs="Arial" w:eastAsia="Arial" w:hAnsi="Arial"/>
          <w:sz w:val="21"/>
          <w:szCs w:val="21"/>
          <w:color w:val="010000"/>
        </w:rPr>
      </w:pPr>
      <w:r>
        <w:rPr>
          <w:rFonts w:ascii="Arial" w:cs="Arial" w:eastAsia="Arial" w:hAnsi="Arial"/>
          <w:sz w:val="21"/>
          <w:szCs w:val="21"/>
          <w:i w:val="1"/>
          <w:iCs w:val="1"/>
          <w:color w:val="auto"/>
        </w:rPr>
        <w:t>Position</w:t>
      </w:r>
      <w:r>
        <w:rPr>
          <w:rFonts w:ascii="Arial" w:cs="Arial" w:eastAsia="Arial" w:hAnsi="Arial"/>
          <w:sz w:val="21"/>
          <w:szCs w:val="21"/>
          <w:color w:val="auto"/>
        </w:rPr>
        <w:t>. You will be employed in the position stated in your Schedule.</w:t>
      </w:r>
    </w:p>
    <w:p>
      <w:pPr>
        <w:spacing w:after="0" w:line="201" w:lineRule="exact"/>
        <w:rPr>
          <w:rFonts w:ascii="Arial" w:cs="Arial" w:eastAsia="Arial" w:hAnsi="Arial"/>
          <w:sz w:val="21"/>
          <w:szCs w:val="21"/>
          <w:color w:val="010000"/>
        </w:rPr>
      </w:pPr>
    </w:p>
    <w:p>
      <w:pPr>
        <w:ind w:left="1760" w:hanging="882"/>
        <w:spacing w:after="0" w:line="257" w:lineRule="auto"/>
        <w:tabs>
          <w:tab w:leader="none" w:pos="1760" w:val="left"/>
        </w:tabs>
        <w:numPr>
          <w:ilvl w:val="1"/>
          <w:numId w:val="57"/>
        </w:numPr>
        <w:rPr>
          <w:rFonts w:ascii="Arial" w:cs="Arial" w:eastAsia="Arial" w:hAnsi="Arial"/>
          <w:sz w:val="21"/>
          <w:szCs w:val="21"/>
          <w:color w:val="010000"/>
        </w:rPr>
      </w:pPr>
      <w:r>
        <w:rPr>
          <w:rFonts w:ascii="Arial" w:cs="Arial" w:eastAsia="Arial" w:hAnsi="Arial"/>
          <w:sz w:val="21"/>
          <w:szCs w:val="21"/>
          <w:i w:val="1"/>
          <w:iCs w:val="1"/>
          <w:color w:val="auto"/>
        </w:rPr>
        <w:t>Authority, Responsibilities, and Reporting</w:t>
      </w:r>
      <w:r>
        <w:rPr>
          <w:rFonts w:ascii="Arial" w:cs="Arial" w:eastAsia="Arial" w:hAnsi="Arial"/>
          <w:sz w:val="21"/>
          <w:szCs w:val="21"/>
          <w:color w:val="auto"/>
        </w:rPr>
        <w:t>. Your authority, responsibilities and reporting relationships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determined from time to time by the Board in good faith.</w:t>
      </w:r>
    </w:p>
    <w:p>
      <w:pPr>
        <w:spacing w:after="0" w:line="160" w:lineRule="exact"/>
        <w:rPr>
          <w:rFonts w:ascii="Arial" w:cs="Arial" w:eastAsia="Arial" w:hAnsi="Arial"/>
          <w:sz w:val="21"/>
          <w:szCs w:val="21"/>
          <w:color w:val="010000"/>
        </w:rPr>
      </w:pPr>
    </w:p>
    <w:p>
      <w:pPr>
        <w:jc w:val="both"/>
        <w:ind w:left="1760" w:hanging="882"/>
        <w:spacing w:after="0" w:line="245" w:lineRule="auto"/>
        <w:tabs>
          <w:tab w:leader="none" w:pos="1760" w:val="left"/>
        </w:tabs>
        <w:numPr>
          <w:ilvl w:val="1"/>
          <w:numId w:val="57"/>
        </w:numPr>
        <w:rPr>
          <w:rFonts w:ascii="Arial" w:cs="Arial" w:eastAsia="Arial" w:hAnsi="Arial"/>
          <w:sz w:val="21"/>
          <w:szCs w:val="21"/>
          <w:color w:val="010000"/>
        </w:rPr>
      </w:pPr>
      <w:r>
        <w:rPr>
          <w:rFonts w:ascii="Arial" w:cs="Arial" w:eastAsia="Arial" w:hAnsi="Arial"/>
          <w:sz w:val="21"/>
          <w:szCs w:val="21"/>
          <w:i w:val="1"/>
          <w:iCs w:val="1"/>
          <w:color w:val="auto"/>
        </w:rPr>
        <w:t>Performance</w:t>
      </w:r>
      <w:r>
        <w:rPr>
          <w:rFonts w:ascii="Arial" w:cs="Arial" w:eastAsia="Arial" w:hAnsi="Arial"/>
          <w:sz w:val="21"/>
          <w:szCs w:val="21"/>
          <w:color w:val="auto"/>
        </w:rPr>
        <w:t>. You will devote as much time and attention as is reasonably required to fulfill your responsibilities</w:t>
      </w:r>
      <w:r>
        <w:rPr>
          <w:rFonts w:ascii="Arial" w:cs="Arial" w:eastAsia="Arial" w:hAnsi="Arial"/>
          <w:sz w:val="21"/>
          <w:szCs w:val="21"/>
          <w:i w:val="1"/>
          <w:iCs w:val="1"/>
          <w:color w:val="auto"/>
        </w:rPr>
        <w:t xml:space="preserve"> </w:t>
      </w:r>
      <w:r>
        <w:rPr>
          <w:rFonts w:ascii="Arial" w:cs="Arial" w:eastAsia="Arial" w:hAnsi="Arial"/>
          <w:sz w:val="21"/>
          <w:szCs w:val="21"/>
          <w:color w:val="auto"/>
        </w:rPr>
        <w:t>hereunder and will use good faith efforts to discharge your responsibilities under this Agreement to the best of your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441960</wp:posOffset>
            </wp:positionV>
            <wp:extent cx="729297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7" w:name="page118"/>
    <w:bookmarkEnd w:id="117"/>
    <w:p>
      <w:pPr>
        <w:jc w:val="both"/>
        <w:ind w:left="1760" w:hanging="882"/>
        <w:spacing w:after="0" w:line="251" w:lineRule="auto"/>
        <w:tabs>
          <w:tab w:leader="none" w:pos="1760" w:val="left"/>
        </w:tabs>
        <w:numPr>
          <w:ilvl w:val="1"/>
          <w:numId w:val="58"/>
        </w:numPr>
        <w:rPr>
          <w:rFonts w:ascii="Arial" w:cs="Arial" w:eastAsia="Arial" w:hAnsi="Arial"/>
          <w:sz w:val="20"/>
          <w:szCs w:val="20"/>
          <w:color w:val="010000"/>
        </w:rPr>
      </w:pPr>
      <w:r>
        <w:rPr>
          <w:rFonts w:ascii="Arial" w:cs="Arial" w:eastAsia="Arial" w:hAnsi="Arial"/>
          <w:sz w:val="20"/>
          <w:szCs w:val="20"/>
          <w:i w:val="1"/>
          <w:iCs w:val="1"/>
          <w:color w:val="auto"/>
        </w:rPr>
        <w:t>Other Activities</w:t>
      </w:r>
      <w:r>
        <w:rPr>
          <w:rFonts w:ascii="Arial" w:cs="Arial" w:eastAsia="Arial" w:hAnsi="Arial"/>
          <w:sz w:val="20"/>
          <w:szCs w:val="20"/>
          <w:color w:val="auto"/>
        </w:rPr>
        <w:t>. During the Scheduled Term, you may (1) serve on corporate, civic or charitable boards 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committees, (2) manage personal investments, and (3) serve as an employee for other companies where you are currently an employee,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these activities, whether individually or in the aggregate, do not materially interfere or conflict with your performance of your responsibilities under this Agreement and do not violate Section 7 or 8 hereof or the Employee’s Agreement (as defined below). Should such activities as described in this Section 3(d) appear to materially interfere or conflict with your performance, the Company shall promptly notify you in writing so that you may address any such interference or conflict.</w:t>
      </w:r>
    </w:p>
    <w:p>
      <w:pPr>
        <w:spacing w:after="0" w:line="167" w:lineRule="exact"/>
        <w:rPr>
          <w:rFonts w:ascii="Arial" w:cs="Arial" w:eastAsia="Arial" w:hAnsi="Arial"/>
          <w:sz w:val="20"/>
          <w:szCs w:val="20"/>
          <w:color w:val="010000"/>
        </w:rPr>
      </w:pPr>
    </w:p>
    <w:p>
      <w:pPr>
        <w:jc w:val="both"/>
        <w:ind w:left="1760" w:hanging="882"/>
        <w:spacing w:after="0" w:line="239" w:lineRule="auto"/>
        <w:tabs>
          <w:tab w:leader="none" w:pos="1760" w:val="left"/>
        </w:tabs>
        <w:numPr>
          <w:ilvl w:val="1"/>
          <w:numId w:val="58"/>
        </w:numPr>
        <w:rPr>
          <w:rFonts w:ascii="Arial" w:cs="Arial" w:eastAsia="Arial" w:hAnsi="Arial"/>
          <w:sz w:val="21"/>
          <w:szCs w:val="21"/>
          <w:color w:val="010000"/>
        </w:rPr>
      </w:pPr>
      <w:r>
        <w:rPr>
          <w:rFonts w:ascii="Arial" w:cs="Arial" w:eastAsia="Arial" w:hAnsi="Arial"/>
          <w:sz w:val="21"/>
          <w:szCs w:val="21"/>
          <w:i w:val="1"/>
          <w:iCs w:val="1"/>
          <w:color w:val="auto"/>
        </w:rPr>
        <w:t>Acknowledgment of Employee’s Agreement</w:t>
      </w:r>
      <w:r>
        <w:rPr>
          <w:rFonts w:ascii="Arial" w:cs="Arial" w:eastAsia="Arial" w:hAnsi="Arial"/>
          <w:sz w:val="21"/>
          <w:szCs w:val="21"/>
          <w:color w:val="auto"/>
        </w:rPr>
        <w:t>. You acknowledge and agree to comply with the terms of Eastman</w:t>
      </w:r>
      <w:r>
        <w:rPr>
          <w:rFonts w:ascii="Arial" w:cs="Arial" w:eastAsia="Arial" w:hAnsi="Arial"/>
          <w:sz w:val="21"/>
          <w:szCs w:val="21"/>
          <w:i w:val="1"/>
          <w:iCs w:val="1"/>
          <w:color w:val="auto"/>
        </w:rPr>
        <w:t xml:space="preserve"> </w:t>
      </w:r>
      <w:r>
        <w:rPr>
          <w:rFonts w:ascii="Arial" w:cs="Arial" w:eastAsia="Arial" w:hAnsi="Arial"/>
          <w:sz w:val="21"/>
          <w:szCs w:val="21"/>
          <w:color w:val="auto"/>
        </w:rPr>
        <w:t>Kodak Company Employee’s Agreement, which is attached hereto as Exhibit 1 (the “</w:t>
      </w:r>
      <w:r>
        <w:rPr>
          <w:rFonts w:ascii="Arial" w:cs="Arial" w:eastAsia="Arial" w:hAnsi="Arial"/>
          <w:sz w:val="21"/>
          <w:szCs w:val="21"/>
          <w:i w:val="1"/>
          <w:iCs w:val="1"/>
          <w:color w:val="auto"/>
        </w:rPr>
        <w:t>Employee’s Agreement</w:t>
      </w:r>
      <w:r>
        <w:rPr>
          <w:rFonts w:ascii="Arial" w:cs="Arial" w:eastAsia="Arial" w:hAnsi="Arial"/>
          <w:sz w:val="21"/>
          <w:szCs w:val="21"/>
          <w:color w:val="auto"/>
        </w:rPr>
        <w:t>”). To the extent any terms of the Employee’s Agreement are inconsistent with this Agreement, this Agreement shall control. For purposes of the Employee’s Agreement, you acknowledge and agree that you are employed in the State of New York.</w:t>
      </w:r>
    </w:p>
    <w:p>
      <w:pPr>
        <w:spacing w:after="0" w:line="173" w:lineRule="exact"/>
        <w:rPr>
          <w:rFonts w:ascii="Arial" w:cs="Arial" w:eastAsia="Arial" w:hAnsi="Arial"/>
          <w:sz w:val="21"/>
          <w:szCs w:val="21"/>
          <w:color w:val="010000"/>
        </w:rPr>
      </w:pPr>
    </w:p>
    <w:p>
      <w:pPr>
        <w:ind w:left="840" w:hanging="836"/>
        <w:spacing w:after="0"/>
        <w:tabs>
          <w:tab w:leader="none" w:pos="840" w:val="left"/>
        </w:tabs>
        <w:numPr>
          <w:ilvl w:val="0"/>
          <w:numId w:val="59"/>
        </w:numPr>
        <w:rPr>
          <w:rFonts w:ascii="Arial" w:cs="Arial" w:eastAsia="Arial" w:hAnsi="Arial"/>
          <w:sz w:val="21"/>
          <w:szCs w:val="21"/>
          <w:b w:val="1"/>
          <w:bCs w:val="1"/>
          <w:color w:val="010000"/>
        </w:rPr>
      </w:pPr>
      <w:r>
        <w:rPr>
          <w:rFonts w:ascii="Arial" w:cs="Arial" w:eastAsia="Arial" w:hAnsi="Arial"/>
          <w:sz w:val="21"/>
          <w:szCs w:val="21"/>
          <w:b w:val="1"/>
          <w:bCs w:val="1"/>
          <w:color w:val="auto"/>
        </w:rPr>
        <w:t>Your Compensation</w:t>
      </w:r>
    </w:p>
    <w:p>
      <w:pPr>
        <w:spacing w:after="0" w:line="207" w:lineRule="exact"/>
        <w:rPr>
          <w:rFonts w:ascii="Arial" w:cs="Arial" w:eastAsia="Arial" w:hAnsi="Arial"/>
          <w:sz w:val="21"/>
          <w:szCs w:val="21"/>
          <w:b w:val="1"/>
          <w:bCs w:val="1"/>
          <w:color w:val="010000"/>
        </w:rPr>
      </w:pPr>
    </w:p>
    <w:p>
      <w:pPr>
        <w:jc w:val="both"/>
        <w:ind w:left="1760" w:hanging="882"/>
        <w:spacing w:after="0" w:line="249" w:lineRule="auto"/>
        <w:tabs>
          <w:tab w:leader="none" w:pos="1760" w:val="left"/>
        </w:tabs>
        <w:numPr>
          <w:ilvl w:val="1"/>
          <w:numId w:val="59"/>
        </w:numPr>
        <w:rPr>
          <w:rFonts w:ascii="Arial" w:cs="Arial" w:eastAsia="Arial" w:hAnsi="Arial"/>
          <w:sz w:val="20"/>
          <w:szCs w:val="20"/>
          <w:color w:val="010000"/>
        </w:rPr>
      </w:pPr>
      <w:r>
        <w:rPr>
          <w:rFonts w:ascii="Arial" w:cs="Arial" w:eastAsia="Arial" w:hAnsi="Arial"/>
          <w:sz w:val="20"/>
          <w:szCs w:val="20"/>
          <w:i w:val="1"/>
          <w:iCs w:val="1"/>
          <w:color w:val="auto"/>
        </w:rPr>
        <w:t>Salary</w:t>
      </w:r>
      <w:r>
        <w:rPr>
          <w:rFonts w:ascii="Arial" w:cs="Arial" w:eastAsia="Arial" w:hAnsi="Arial"/>
          <w:sz w:val="20"/>
          <w:szCs w:val="20"/>
          <w:color w:val="auto"/>
        </w:rPr>
        <w:t>. During the Scheduled Term, you will receive an annual base salary (your “</w:t>
      </w:r>
      <w:r>
        <w:rPr>
          <w:rFonts w:ascii="Arial" w:cs="Arial" w:eastAsia="Arial" w:hAnsi="Arial"/>
          <w:sz w:val="20"/>
          <w:szCs w:val="20"/>
          <w:i w:val="1"/>
          <w:iCs w:val="1"/>
          <w:color w:val="auto"/>
        </w:rPr>
        <w:t>Salary</w:t>
      </w:r>
      <w:r>
        <w:rPr>
          <w:rFonts w:ascii="Arial" w:cs="Arial" w:eastAsia="Arial" w:hAnsi="Arial"/>
          <w:sz w:val="20"/>
          <w:szCs w:val="20"/>
          <w:color w:val="auto"/>
        </w:rPr>
        <w:t>”). Commencing on the</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Date, the starting amount of your Salary will be the amount set forth in your Schedule. The Executive Compensation Committee of the Board (the “</w:t>
      </w:r>
      <w:r>
        <w:rPr>
          <w:rFonts w:ascii="Arial" w:cs="Arial" w:eastAsia="Arial" w:hAnsi="Arial"/>
          <w:sz w:val="20"/>
          <w:szCs w:val="20"/>
          <w:i w:val="1"/>
          <w:iCs w:val="1"/>
          <w:color w:val="auto"/>
        </w:rPr>
        <w:t>Committee</w:t>
      </w:r>
      <w:r>
        <w:rPr>
          <w:rFonts w:ascii="Arial" w:cs="Arial" w:eastAsia="Arial" w:hAnsi="Arial"/>
          <w:sz w:val="20"/>
          <w:szCs w:val="20"/>
          <w:color w:val="auto"/>
        </w:rPr>
        <w:t>”) will review your Salary at least annually and may increase it at any time for any reason. However, your Salary may not be decreased at any time (including after any increase) absent your prior written consent, and any increase in your Salary will not reduce or limit any other obligation to you under this Agreement. Your Salary will be paid in accordance with the Company’s normal practices for similarly situated executives. Your Salary shall be in lieu of, and not in addition to, any director fees that you are otherwise entitled to receive, except as otherwise has been or may be determined by the Board and in compliance with any applicable Company policies.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18" w:name="page119"/>
    <w:bookmarkEnd w:id="118"/>
    <w:p>
      <w:pPr>
        <w:jc w:val="both"/>
        <w:ind w:left="1760" w:hanging="882"/>
        <w:spacing w:after="0" w:line="262" w:lineRule="auto"/>
        <w:tabs>
          <w:tab w:leader="none" w:pos="1760" w:val="left"/>
        </w:tabs>
        <w:numPr>
          <w:ilvl w:val="1"/>
          <w:numId w:val="60"/>
        </w:numPr>
        <w:rPr>
          <w:rFonts w:ascii="Arial" w:cs="Arial" w:eastAsia="Arial" w:hAnsi="Arial"/>
          <w:sz w:val="19"/>
          <w:szCs w:val="19"/>
          <w:color w:val="010000"/>
        </w:rPr>
      </w:pPr>
      <w:r>
        <w:rPr>
          <w:rFonts w:ascii="Arial" w:cs="Arial" w:eastAsia="Arial" w:hAnsi="Arial"/>
          <w:sz w:val="19"/>
          <w:szCs w:val="19"/>
          <w:i w:val="1"/>
          <w:iCs w:val="1"/>
          <w:color w:val="auto"/>
        </w:rPr>
        <w:t>Annual Incentive</w:t>
      </w:r>
      <w:r>
        <w:rPr>
          <w:rFonts w:ascii="Arial" w:cs="Arial" w:eastAsia="Arial" w:hAnsi="Arial"/>
          <w:sz w:val="19"/>
          <w:szCs w:val="19"/>
          <w:color w:val="auto"/>
        </w:rPr>
        <w:t>. During 2019 and each full year of the Scheduled Term thereafter, you will be eligible to</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participate in the Company’s short-term variable pay plan for its management level employees, currently known as Executive Compensation for Excellence and Leadership (“EXCEL”) (your “</w:t>
      </w:r>
      <w:r>
        <w:rPr>
          <w:rFonts w:ascii="Arial" w:cs="Arial" w:eastAsia="Arial" w:hAnsi="Arial"/>
          <w:sz w:val="19"/>
          <w:szCs w:val="19"/>
          <w:i w:val="1"/>
          <w:iCs w:val="1"/>
          <w:color w:val="auto"/>
        </w:rPr>
        <w:t>Annual Incentive</w:t>
      </w:r>
      <w:r>
        <w:rPr>
          <w:rFonts w:ascii="Arial" w:cs="Arial" w:eastAsia="Arial" w:hAnsi="Arial"/>
          <w:sz w:val="19"/>
          <w:szCs w:val="19"/>
          <w:color w:val="auto"/>
        </w:rPr>
        <w:t>”); provided, however, that you must be employed and not have given notice or received notice of termination at the time your Annual Incentive is paid to be eligible to receive such Annual Incentive. Your annual target award under the EXCEL plan will be determined in accordance with your Schedule. Any actual award under the EXCEL plan in a given annual performance period will depend upon performance against corporate goals selected by management and approved by the Committee and will be paid in the discretion of the Committee. The terms of the EXCEL plan itself govern and control all interpretations of the plan. The Annual Incentive, if any, will be payable in accordance with the terms and conditions of the EXCEL plan. For the avoidance of doubt, if you have been terminated for any reason, given notice of your resignation or received notice of termination prior to the date on which any Annual Incentive is paid you shall automatically forfeit such Annual Incentive.</w:t>
      </w:r>
    </w:p>
    <w:p>
      <w:pPr>
        <w:spacing w:after="0" w:line="162" w:lineRule="exact"/>
        <w:rPr>
          <w:rFonts w:ascii="Arial" w:cs="Arial" w:eastAsia="Arial" w:hAnsi="Arial"/>
          <w:sz w:val="19"/>
          <w:szCs w:val="19"/>
          <w:color w:val="010000"/>
        </w:rPr>
      </w:pPr>
    </w:p>
    <w:p>
      <w:pPr>
        <w:ind w:left="1760" w:right="100" w:hanging="882"/>
        <w:spacing w:after="0" w:line="239" w:lineRule="auto"/>
        <w:tabs>
          <w:tab w:leader="none" w:pos="1760" w:val="left"/>
        </w:tabs>
        <w:numPr>
          <w:ilvl w:val="1"/>
          <w:numId w:val="60"/>
        </w:numPr>
        <w:rPr>
          <w:rFonts w:ascii="Arial" w:cs="Arial" w:eastAsia="Arial" w:hAnsi="Arial"/>
          <w:sz w:val="21"/>
          <w:szCs w:val="21"/>
          <w:color w:val="auto"/>
        </w:rPr>
      </w:pPr>
      <w:r>
        <w:rPr>
          <w:rFonts w:ascii="Arial" w:cs="Arial" w:eastAsia="Arial" w:hAnsi="Arial"/>
          <w:sz w:val="21"/>
          <w:szCs w:val="21"/>
          <w:i w:val="1"/>
          <w:iCs w:val="1"/>
          <w:color w:val="auto"/>
        </w:rPr>
        <w:t>Long Term Incentive Awards</w:t>
      </w:r>
      <w:r>
        <w:rPr>
          <w:rFonts w:ascii="Arial" w:cs="Arial" w:eastAsia="Arial" w:hAnsi="Arial"/>
          <w:sz w:val="21"/>
          <w:szCs w:val="21"/>
          <w:color w:val="auto"/>
        </w:rPr>
        <w:t>. On or shortly after the Effective Date, you will be granted, the equity-based awards</w:t>
      </w:r>
      <w:r>
        <w:rPr>
          <w:rFonts w:ascii="Arial" w:cs="Arial" w:eastAsia="Arial" w:hAnsi="Arial"/>
          <w:sz w:val="21"/>
          <w:szCs w:val="21"/>
          <w:i w:val="1"/>
          <w:iCs w:val="1"/>
          <w:color w:val="auto"/>
        </w:rPr>
        <w:t xml:space="preserve"> </w:t>
      </w:r>
      <w:r>
        <w:rPr>
          <w:rFonts w:ascii="Arial" w:cs="Arial" w:eastAsia="Arial" w:hAnsi="Arial"/>
          <w:sz w:val="21"/>
          <w:szCs w:val="21"/>
          <w:color w:val="auto"/>
        </w:rPr>
        <w:t>stated in your Schedule which will be subject to the terms and conditions set forth in the applicable award agreements except as otherwise provided by this Agreement. You acknowledge and agree that, during the Scheduled Term, you are not entitled to any grants of equity-based awards that you would have otherwise received solely in your capacity as a director.</w:t>
      </w:r>
    </w:p>
    <w:p>
      <w:pPr>
        <w:spacing w:after="0" w:line="173" w:lineRule="exact"/>
        <w:rPr>
          <w:rFonts w:ascii="Arial" w:cs="Arial" w:eastAsia="Arial" w:hAnsi="Arial"/>
          <w:sz w:val="21"/>
          <w:szCs w:val="21"/>
          <w:color w:val="auto"/>
        </w:rPr>
      </w:pPr>
    </w:p>
    <w:p>
      <w:pPr>
        <w:ind w:left="840" w:hanging="836"/>
        <w:spacing w:after="0"/>
        <w:tabs>
          <w:tab w:leader="none" w:pos="840" w:val="left"/>
        </w:tabs>
        <w:numPr>
          <w:ilvl w:val="0"/>
          <w:numId w:val="61"/>
        </w:numPr>
        <w:rPr>
          <w:rFonts w:ascii="Arial" w:cs="Arial" w:eastAsia="Arial" w:hAnsi="Arial"/>
          <w:sz w:val="21"/>
          <w:szCs w:val="21"/>
          <w:b w:val="1"/>
          <w:bCs w:val="1"/>
          <w:color w:val="010000"/>
        </w:rPr>
      </w:pPr>
      <w:r>
        <w:rPr>
          <w:rFonts w:ascii="Arial" w:cs="Arial" w:eastAsia="Arial" w:hAnsi="Arial"/>
          <w:sz w:val="21"/>
          <w:szCs w:val="21"/>
          <w:b w:val="1"/>
          <w:bCs w:val="1"/>
          <w:color w:val="auto"/>
        </w:rPr>
        <w:t>Your Benefits</w:t>
      </w:r>
    </w:p>
    <w:p>
      <w:pPr>
        <w:spacing w:after="0" w:line="207" w:lineRule="exact"/>
        <w:rPr>
          <w:rFonts w:ascii="Arial" w:cs="Arial" w:eastAsia="Arial" w:hAnsi="Arial"/>
          <w:sz w:val="21"/>
          <w:szCs w:val="21"/>
          <w:b w:val="1"/>
          <w:bCs w:val="1"/>
          <w:color w:val="010000"/>
        </w:rPr>
      </w:pPr>
    </w:p>
    <w:p>
      <w:pPr>
        <w:ind w:left="1760" w:right="220" w:hanging="882"/>
        <w:spacing w:after="0" w:line="239" w:lineRule="auto"/>
        <w:tabs>
          <w:tab w:leader="none" w:pos="1760" w:val="left"/>
        </w:tabs>
        <w:numPr>
          <w:ilvl w:val="1"/>
          <w:numId w:val="61"/>
        </w:numPr>
        <w:rPr>
          <w:rFonts w:ascii="Arial" w:cs="Arial" w:eastAsia="Arial" w:hAnsi="Arial"/>
          <w:sz w:val="21"/>
          <w:szCs w:val="21"/>
          <w:color w:val="010000"/>
        </w:rPr>
      </w:pPr>
      <w:r>
        <w:rPr>
          <w:rFonts w:ascii="Arial" w:cs="Arial" w:eastAsia="Arial" w:hAnsi="Arial"/>
          <w:sz w:val="21"/>
          <w:szCs w:val="21"/>
          <w:i w:val="1"/>
          <w:iCs w:val="1"/>
          <w:color w:val="auto"/>
        </w:rPr>
        <w:t>Employee Benefit Plans</w:t>
      </w:r>
      <w:r>
        <w:rPr>
          <w:rFonts w:ascii="Arial" w:cs="Arial" w:eastAsia="Arial" w:hAnsi="Arial"/>
          <w:sz w:val="21"/>
          <w:szCs w:val="21"/>
          <w:color w:val="auto"/>
        </w:rPr>
        <w:t>. During the Scheduled Term, you will be entitled to participate in each of the Company’s</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 benefit and welfare plans, including plans providing retirement benefits and medical, dental, hospitalization, life and disability insurance, on a basis that is at least as favorable as that provided to similarly situated executives of the Company, subject to the terms of applicable Company plans as in effect from time to time.</w:t>
      </w:r>
    </w:p>
    <w:p>
      <w:pPr>
        <w:spacing w:after="0" w:line="179" w:lineRule="exact"/>
        <w:rPr>
          <w:rFonts w:ascii="Arial" w:cs="Arial" w:eastAsia="Arial" w:hAnsi="Arial"/>
          <w:sz w:val="21"/>
          <w:szCs w:val="21"/>
          <w:color w:val="010000"/>
        </w:rPr>
      </w:pPr>
    </w:p>
    <w:p>
      <w:pPr>
        <w:ind w:left="1760" w:right="180" w:hanging="882"/>
        <w:spacing w:after="0" w:line="257" w:lineRule="auto"/>
        <w:tabs>
          <w:tab w:leader="none" w:pos="1760" w:val="left"/>
        </w:tabs>
        <w:numPr>
          <w:ilvl w:val="1"/>
          <w:numId w:val="61"/>
        </w:numPr>
        <w:rPr>
          <w:rFonts w:ascii="Arial" w:cs="Arial" w:eastAsia="Arial" w:hAnsi="Arial"/>
          <w:sz w:val="21"/>
          <w:szCs w:val="21"/>
          <w:color w:val="010000"/>
        </w:rPr>
      </w:pPr>
      <w:r>
        <w:rPr>
          <w:rFonts w:ascii="Arial" w:cs="Arial" w:eastAsia="Arial" w:hAnsi="Arial"/>
          <w:sz w:val="21"/>
          <w:szCs w:val="21"/>
          <w:i w:val="1"/>
          <w:iCs w:val="1"/>
          <w:color w:val="auto"/>
        </w:rPr>
        <w:t>Vacation</w:t>
      </w:r>
      <w:r>
        <w:rPr>
          <w:rFonts w:ascii="Arial" w:cs="Arial" w:eastAsia="Arial" w:hAnsi="Arial"/>
          <w:sz w:val="21"/>
          <w:szCs w:val="21"/>
          <w:color w:val="auto"/>
        </w:rPr>
        <w:t>. During the Scheduled Term, you will be entitled to paid annual vacation in accordance with the Exempt</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 Flexible Time-Off Plan.</w:t>
      </w:r>
    </w:p>
    <w:p>
      <w:pPr>
        <w:spacing w:after="0" w:line="160" w:lineRule="exact"/>
        <w:rPr>
          <w:rFonts w:ascii="Arial" w:cs="Arial" w:eastAsia="Arial" w:hAnsi="Arial"/>
          <w:sz w:val="21"/>
          <w:szCs w:val="21"/>
          <w:color w:val="010000"/>
        </w:rPr>
      </w:pPr>
    </w:p>
    <w:p>
      <w:pPr>
        <w:jc w:val="both"/>
        <w:ind w:left="1760" w:hanging="882"/>
        <w:spacing w:after="0" w:line="245" w:lineRule="auto"/>
        <w:tabs>
          <w:tab w:leader="none" w:pos="1760" w:val="left"/>
        </w:tabs>
        <w:numPr>
          <w:ilvl w:val="1"/>
          <w:numId w:val="61"/>
        </w:numPr>
        <w:rPr>
          <w:rFonts w:ascii="Arial" w:cs="Arial" w:eastAsia="Arial" w:hAnsi="Arial"/>
          <w:sz w:val="21"/>
          <w:szCs w:val="21"/>
          <w:color w:val="010000"/>
        </w:rPr>
      </w:pPr>
      <w:r>
        <w:rPr>
          <w:rFonts w:ascii="Arial" w:cs="Arial" w:eastAsia="Arial" w:hAnsi="Arial"/>
          <w:sz w:val="21"/>
          <w:szCs w:val="21"/>
          <w:i w:val="1"/>
          <w:iCs w:val="1"/>
          <w:color w:val="auto"/>
        </w:rPr>
        <w:t>Business Expenses</w:t>
      </w:r>
      <w:r>
        <w:rPr>
          <w:rFonts w:ascii="Arial" w:cs="Arial" w:eastAsia="Arial" w:hAnsi="Arial"/>
          <w:sz w:val="21"/>
          <w:szCs w:val="21"/>
          <w:color w:val="auto"/>
        </w:rPr>
        <w:t>. During the Scheduled Term, you will be reimbursed for all reasonable business expenses</w:t>
      </w:r>
      <w:r>
        <w:rPr>
          <w:rFonts w:ascii="Arial" w:cs="Arial" w:eastAsia="Arial" w:hAnsi="Arial"/>
          <w:sz w:val="21"/>
          <w:szCs w:val="21"/>
          <w:i w:val="1"/>
          <w:iCs w:val="1"/>
          <w:color w:val="auto"/>
        </w:rPr>
        <w:t xml:space="preserve"> </w:t>
      </w:r>
      <w:r>
        <w:rPr>
          <w:rFonts w:ascii="Arial" w:cs="Arial" w:eastAsia="Arial" w:hAnsi="Arial"/>
          <w:sz w:val="21"/>
          <w:szCs w:val="21"/>
          <w:color w:val="auto"/>
        </w:rPr>
        <w:t>incurred by you in performing your responsibilities under this Agreement, subject to the terms of applicable Company reimbursement policies as in effect from time to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19" w:name="page120"/>
    <w:bookmarkEnd w:id="119"/>
    <w:p>
      <w:pPr>
        <w:jc w:val="both"/>
        <w:ind w:left="1760" w:hanging="882"/>
        <w:spacing w:after="0" w:line="283" w:lineRule="auto"/>
        <w:tabs>
          <w:tab w:leader="none" w:pos="1760" w:val="left"/>
        </w:tabs>
        <w:numPr>
          <w:ilvl w:val="1"/>
          <w:numId w:val="62"/>
        </w:numPr>
        <w:rPr>
          <w:rFonts w:ascii="Arial" w:cs="Arial" w:eastAsia="Arial" w:hAnsi="Arial"/>
          <w:sz w:val="18"/>
          <w:szCs w:val="18"/>
          <w:color w:val="010000"/>
        </w:rPr>
      </w:pPr>
      <w:r>
        <w:rPr>
          <w:rFonts w:ascii="Arial" w:cs="Arial" w:eastAsia="Arial" w:hAnsi="Arial"/>
          <w:sz w:val="18"/>
          <w:szCs w:val="18"/>
          <w:i w:val="1"/>
          <w:iCs w:val="1"/>
          <w:color w:val="auto"/>
        </w:rPr>
        <w:t>Indemnification; Advancement of Expenses</w:t>
      </w:r>
      <w:r>
        <w:rPr>
          <w:rFonts w:ascii="Arial" w:cs="Arial" w:eastAsia="Arial" w:hAnsi="Arial"/>
          <w:sz w:val="18"/>
          <w:szCs w:val="18"/>
          <w:color w:val="auto"/>
        </w:rPr>
        <w:t>. Pursuant to the Company’s articles of incorporation and bylaws,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indemnify you and advance or reimburse expenses to the same extent as the most favorable indemnification and advancement or reimbursement of expenses provisions applicable to any member of the Board. If the Company’s ability to make any payment contemplated by your applicable indemnification and advancement or reimbursement of expenses provisions depends on an investigation or determination by the Board or any member of the Company, at your request the Company will use its best efforts to cause the investigation to be made (at the Company’s expense) and to have the Board reach a determination as soon as reasonably possible.</w:t>
      </w:r>
    </w:p>
    <w:p>
      <w:pPr>
        <w:spacing w:after="0" w:line="136" w:lineRule="exact"/>
        <w:rPr>
          <w:rFonts w:ascii="Arial" w:cs="Arial" w:eastAsia="Arial" w:hAnsi="Arial"/>
          <w:sz w:val="18"/>
          <w:szCs w:val="18"/>
          <w:color w:val="010000"/>
        </w:rPr>
      </w:pPr>
    </w:p>
    <w:p>
      <w:pPr>
        <w:ind w:left="840" w:hanging="836"/>
        <w:spacing w:after="0"/>
        <w:tabs>
          <w:tab w:leader="none" w:pos="840" w:val="left"/>
        </w:tabs>
        <w:numPr>
          <w:ilvl w:val="0"/>
          <w:numId w:val="63"/>
        </w:numPr>
        <w:rPr>
          <w:rFonts w:ascii="Arial" w:cs="Arial" w:eastAsia="Arial" w:hAnsi="Arial"/>
          <w:sz w:val="21"/>
          <w:szCs w:val="21"/>
          <w:b w:val="1"/>
          <w:bCs w:val="1"/>
          <w:color w:val="010000"/>
        </w:rPr>
      </w:pPr>
      <w:r>
        <w:rPr>
          <w:rFonts w:ascii="Arial" w:cs="Arial" w:eastAsia="Arial" w:hAnsi="Arial"/>
          <w:sz w:val="21"/>
          <w:szCs w:val="21"/>
          <w:b w:val="1"/>
          <w:bCs w:val="1"/>
          <w:color w:val="auto"/>
        </w:rPr>
        <w:t>Termination of Your Employment; End of Scheduled Term</w:t>
      </w:r>
    </w:p>
    <w:p>
      <w:pPr>
        <w:spacing w:after="0" w:line="207" w:lineRule="exact"/>
        <w:rPr>
          <w:rFonts w:ascii="Arial" w:cs="Arial" w:eastAsia="Arial" w:hAnsi="Arial"/>
          <w:sz w:val="21"/>
          <w:szCs w:val="21"/>
          <w:b w:val="1"/>
          <w:bCs w:val="1"/>
          <w:color w:val="010000"/>
        </w:rPr>
      </w:pPr>
    </w:p>
    <w:p>
      <w:pPr>
        <w:jc w:val="both"/>
        <w:ind w:left="1760" w:hanging="882"/>
        <w:spacing w:after="0" w:line="280" w:lineRule="auto"/>
        <w:tabs>
          <w:tab w:leader="none" w:pos="1760" w:val="left"/>
        </w:tabs>
        <w:numPr>
          <w:ilvl w:val="1"/>
          <w:numId w:val="63"/>
        </w:numPr>
        <w:rPr>
          <w:rFonts w:ascii="Arial" w:cs="Arial" w:eastAsia="Arial" w:hAnsi="Arial"/>
          <w:sz w:val="18"/>
          <w:szCs w:val="18"/>
          <w:color w:val="010000"/>
        </w:rPr>
      </w:pPr>
      <w:r>
        <w:rPr>
          <w:rFonts w:ascii="Arial" w:cs="Arial" w:eastAsia="Arial" w:hAnsi="Arial"/>
          <w:sz w:val="18"/>
          <w:szCs w:val="18"/>
          <w:i w:val="1"/>
          <w:iCs w:val="1"/>
          <w:color w:val="auto"/>
        </w:rPr>
        <w:t>No Reason Required</w:t>
      </w:r>
      <w:r>
        <w:rPr>
          <w:rFonts w:ascii="Arial" w:cs="Arial" w:eastAsia="Arial" w:hAnsi="Arial"/>
          <w:sz w:val="18"/>
          <w:szCs w:val="18"/>
          <w:color w:val="auto"/>
        </w:rPr>
        <w:t>. Neither you nor the Company is under any obligation to continue your employment beyond</w:t>
      </w:r>
      <w:r>
        <w:rPr>
          <w:rFonts w:ascii="Arial" w:cs="Arial" w:eastAsia="Arial" w:hAnsi="Arial"/>
          <w:sz w:val="18"/>
          <w:szCs w:val="18"/>
          <w:i w:val="1"/>
          <w:iCs w:val="1"/>
          <w:color w:val="auto"/>
        </w:rPr>
        <w:t xml:space="preserve"> </w:t>
      </w:r>
      <w:r>
        <w:rPr>
          <w:rFonts w:ascii="Arial" w:cs="Arial" w:eastAsia="Arial" w:hAnsi="Arial"/>
          <w:sz w:val="18"/>
          <w:szCs w:val="18"/>
          <w:color w:val="auto"/>
        </w:rPr>
        <w:t>the Scheduled Term. In addition, you or the Company may terminate your employment early at any time for any reason, or for no reason, subject to compliance with Section 6(c); provided, however, if the Company terminates your employment for any reason other than Cause prior to the first anniversary of the Effective Date, the Company shall pay you an amount equal to any remaining Base Salary that would have been due to you had your employment not been terminated by the Company for any reason other than Cause prior the first anniversary of the Effective Date, minus applicable withholdings and deductions, to be paid in equal installments on the Company’s regular payroll dates, in accordance with Section 6(k) below, and any of your stock options which are outstanding and unvested as of the date of such termination of your employment shall immediately become fully vested.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20" w:name="page121"/>
    <w:bookmarkEnd w:id="120"/>
    <w:p>
      <w:pPr>
        <w:ind w:left="882" w:hanging="882"/>
        <w:spacing w:after="0"/>
        <w:tabs>
          <w:tab w:leader="none" w:pos="882" w:val="left"/>
        </w:tabs>
        <w:numPr>
          <w:ilvl w:val="0"/>
          <w:numId w:val="64"/>
        </w:numPr>
        <w:rPr>
          <w:rFonts w:ascii="Arial" w:cs="Arial" w:eastAsia="Arial" w:hAnsi="Arial"/>
          <w:sz w:val="21"/>
          <w:szCs w:val="21"/>
          <w:color w:val="010000"/>
        </w:rPr>
      </w:pPr>
      <w:r>
        <w:rPr>
          <w:rFonts w:ascii="Arial" w:cs="Arial" w:eastAsia="Arial" w:hAnsi="Arial"/>
          <w:sz w:val="21"/>
          <w:szCs w:val="21"/>
          <w:i w:val="1"/>
          <w:iCs w:val="1"/>
          <w:color w:val="auto"/>
        </w:rPr>
        <w:t>Related Definitions</w:t>
      </w:r>
      <w:r>
        <w:rPr>
          <w:rFonts w:ascii="Arial" w:cs="Arial" w:eastAsia="Arial" w:hAnsi="Arial"/>
          <w:sz w:val="21"/>
          <w:szCs w:val="21"/>
          <w:color w:val="auto"/>
        </w:rPr>
        <w:t>.</w:t>
      </w:r>
    </w:p>
    <w:p>
      <w:pPr>
        <w:spacing w:after="0" w:line="201" w:lineRule="exact"/>
        <w:rPr>
          <w:rFonts w:ascii="Arial" w:cs="Arial" w:eastAsia="Arial" w:hAnsi="Arial"/>
          <w:sz w:val="21"/>
          <w:szCs w:val="21"/>
          <w:color w:val="010000"/>
        </w:rPr>
      </w:pPr>
    </w:p>
    <w:p>
      <w:pPr>
        <w:jc w:val="both"/>
        <w:ind w:left="1742" w:hanging="869"/>
        <w:spacing w:after="0" w:line="261" w:lineRule="auto"/>
        <w:tabs>
          <w:tab w:leader="none" w:pos="1742"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means any of the following: (A) your Willful and continued failure or refusal for a period of at least 60 days following delivery to you of a written notification from the Board to attempt to perform the usual, customary or reasonable functions of your positions other than due to a disability or approved leave; or (B) your gross negligence or Willful misconduct in the performance of your duties or obligations to the Company that is, as determined by the Board in good faith, materially detrimental to the Company; or (C) your conviction of any felony (other than a felony predicated on your vicarious liability or involving a traffic violation) or crime involving moral turpitude; or (D) your unlawful possession, use or sale of narcotics or other controlled substances, or performing job duties while illegally used controlled substances are present in your system; or (E) your material breach of this Agreement which, if correctable, remains uncorrected for 20 days after written notice to you by the Company of the breach; or (F) your material breach of a requirement of the Kodak Business Conduct Guide which requirement has consistently resulted in the termination of employment by employees who have committed similar breaches and which, if correctable, remains uncorrected for 20 days after written notice to you by the Company of the breach; or (G) your material breach of the Employee’s Agreement.</w:t>
      </w:r>
    </w:p>
    <w:p>
      <w:pPr>
        <w:spacing w:after="0" w:line="167" w:lineRule="exact"/>
        <w:rPr>
          <w:rFonts w:ascii="Arial" w:cs="Arial" w:eastAsia="Arial" w:hAnsi="Arial"/>
          <w:sz w:val="19"/>
          <w:szCs w:val="19"/>
          <w:color w:val="010000"/>
        </w:rPr>
      </w:pPr>
    </w:p>
    <w:p>
      <w:pPr>
        <w:ind w:left="1742" w:hanging="869"/>
        <w:spacing w:after="0" w:line="257" w:lineRule="auto"/>
        <w:tabs>
          <w:tab w:leader="none" w:pos="1742"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i w:val="1"/>
          <w:iCs w:val="1"/>
          <w:color w:val="auto"/>
        </w:rPr>
        <w:t>Disability”</w:t>
      </w:r>
      <w:r>
        <w:rPr>
          <w:rFonts w:ascii="Arial" w:cs="Arial" w:eastAsia="Arial" w:hAnsi="Arial"/>
          <w:sz w:val="21"/>
          <w:szCs w:val="21"/>
          <w:color w:val="auto"/>
        </w:rPr>
        <w:t xml:space="preserve"> means meeting the definition of disability under the terms of the Kodak Long-Term Disability Plan and receiving benefits under such plan.</w:t>
      </w:r>
    </w:p>
    <w:p>
      <w:pPr>
        <w:spacing w:after="0" w:line="160" w:lineRule="exact"/>
        <w:rPr>
          <w:rFonts w:ascii="Arial" w:cs="Arial" w:eastAsia="Arial" w:hAnsi="Arial"/>
          <w:sz w:val="21"/>
          <w:szCs w:val="21"/>
          <w:color w:val="010000"/>
        </w:rPr>
      </w:pPr>
    </w:p>
    <w:p>
      <w:pPr>
        <w:ind w:left="1742" w:hanging="869"/>
        <w:spacing w:after="0" w:line="257" w:lineRule="auto"/>
        <w:tabs>
          <w:tab w:leader="none" w:pos="1742"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i w:val="1"/>
          <w:iCs w:val="1"/>
          <w:color w:val="auto"/>
        </w:rPr>
        <w:t>Willful”</w:t>
      </w:r>
      <w:r>
        <w:rPr>
          <w:rFonts w:ascii="Arial" w:cs="Arial" w:eastAsia="Arial" w:hAnsi="Arial"/>
          <w:sz w:val="21"/>
          <w:szCs w:val="21"/>
          <w:color w:val="auto"/>
        </w:rPr>
        <w:t xml:space="preserve"> means any act done or omitted to be done not in good faith and without reasonable belief that such action or omission was in the best interest of the Company.</w:t>
      </w:r>
    </w:p>
    <w:p>
      <w:pPr>
        <w:spacing w:after="0" w:line="160" w:lineRule="exact"/>
        <w:rPr>
          <w:rFonts w:ascii="Arial" w:cs="Arial" w:eastAsia="Arial" w:hAnsi="Arial"/>
          <w:sz w:val="21"/>
          <w:szCs w:val="21"/>
          <w:color w:val="010000"/>
        </w:rPr>
      </w:pPr>
    </w:p>
    <w:p>
      <w:pPr>
        <w:ind w:left="882" w:hanging="882"/>
        <w:spacing w:after="0"/>
        <w:tabs>
          <w:tab w:leader="none" w:pos="882" w:val="left"/>
        </w:tabs>
        <w:numPr>
          <w:ilvl w:val="0"/>
          <w:numId w:val="64"/>
        </w:numPr>
        <w:rPr>
          <w:rFonts w:ascii="Arial" w:cs="Arial" w:eastAsia="Arial" w:hAnsi="Arial"/>
          <w:sz w:val="21"/>
          <w:szCs w:val="21"/>
          <w:color w:val="010000"/>
        </w:rPr>
      </w:pPr>
      <w:r>
        <w:rPr>
          <w:rFonts w:ascii="Arial" w:cs="Arial" w:eastAsia="Arial" w:hAnsi="Arial"/>
          <w:sz w:val="21"/>
          <w:szCs w:val="21"/>
          <w:i w:val="1"/>
          <w:iCs w:val="1"/>
          <w:color w:val="auto"/>
        </w:rPr>
        <w:t>Advance Notice Generally Required</w:t>
      </w:r>
      <w:r>
        <w:rPr>
          <w:rFonts w:ascii="Arial" w:cs="Arial" w:eastAsia="Arial" w:hAnsi="Arial"/>
          <w:sz w:val="21"/>
          <w:szCs w:val="21"/>
          <w:color w:val="auto"/>
        </w:rPr>
        <w:t>.</w:t>
      </w:r>
    </w:p>
    <w:p>
      <w:pPr>
        <w:spacing w:after="0" w:line="201" w:lineRule="exact"/>
        <w:rPr>
          <w:rFonts w:ascii="Arial" w:cs="Arial" w:eastAsia="Arial" w:hAnsi="Arial"/>
          <w:sz w:val="21"/>
          <w:szCs w:val="21"/>
          <w:color w:val="010000"/>
        </w:rPr>
      </w:pPr>
    </w:p>
    <w:p>
      <w:pPr>
        <w:jc w:val="both"/>
        <w:ind w:left="1742" w:hanging="869"/>
        <w:spacing w:after="0" w:line="237" w:lineRule="auto"/>
        <w:tabs>
          <w:tab w:leader="none" w:pos="1742"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To terminate your employment before the end of the Scheduled Term, either you or the Company must provide a Termination Notice to the other. A “</w:t>
      </w:r>
      <w:r>
        <w:rPr>
          <w:rFonts w:ascii="Arial" w:cs="Arial" w:eastAsia="Arial" w:hAnsi="Arial"/>
          <w:sz w:val="21"/>
          <w:szCs w:val="21"/>
          <w:i w:val="1"/>
          <w:iCs w:val="1"/>
          <w:color w:val="auto"/>
        </w:rPr>
        <w:t>Termination Notice</w:t>
      </w:r>
      <w:r>
        <w:rPr>
          <w:rFonts w:ascii="Arial" w:cs="Arial" w:eastAsia="Arial" w:hAnsi="Arial"/>
          <w:sz w:val="21"/>
          <w:szCs w:val="21"/>
          <w:color w:val="auto"/>
        </w:rPr>
        <w:t xml:space="preserve">” is a written notice that states the specific provision of this Agreement on which termination is based, including, if applicable, the specific clause of the definition of Cause and a reasonably detailed description of the facts that permit termination under that clause; </w:t>
      </w:r>
      <w:r>
        <w:rPr>
          <w:rFonts w:ascii="Arial" w:cs="Arial" w:eastAsia="Arial" w:hAnsi="Arial"/>
          <w:sz w:val="21"/>
          <w:szCs w:val="21"/>
          <w:i w:val="1"/>
          <w:iCs w:val="1"/>
          <w:color w:val="auto"/>
        </w:rPr>
        <w:t>provided</w:t>
      </w:r>
      <w:r>
        <w:rPr>
          <w:rFonts w:ascii="Arial" w:cs="Arial" w:eastAsia="Arial" w:hAnsi="Arial"/>
          <w:sz w:val="21"/>
          <w:szCs w:val="21"/>
          <w:color w:val="auto"/>
        </w:rPr>
        <w:t>, that the failure to include any fact in a Termination Notice that contributes to a showing of Cause does not preclude the Company from asserting that fact in enforcing its rights under this Agreement.</w:t>
      </w:r>
    </w:p>
    <w:p>
      <w:pPr>
        <w:spacing w:after="0" w:line="390" w:lineRule="exact"/>
        <w:rPr>
          <w:sz w:val="20"/>
          <w:szCs w:val="20"/>
          <w:color w:val="auto"/>
        </w:rPr>
      </w:pPr>
    </w:p>
    <w:p>
      <w:pPr>
        <w:ind w:left="4782"/>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2"/>
          </w:cols>
          <w:pgMar w:left="1118" w:top="327" w:right="239" w:bottom="1440" w:gutter="0" w:footer="0" w:header="0"/>
        </w:sectPr>
      </w:pPr>
    </w:p>
    <w:bookmarkStart w:id="121" w:name="page122"/>
    <w:bookmarkEnd w:id="121"/>
    <w:p>
      <w:pPr>
        <w:jc w:val="both"/>
        <w:ind w:left="1742" w:hanging="869"/>
        <w:spacing w:after="0" w:line="239" w:lineRule="auto"/>
        <w:tabs>
          <w:tab w:leader="none" w:pos="1742"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You and the Company agree to provide 30 days’ advance Termination Notice of any termination, unless your employment is terminated by the Company for Cause or because of your Disability or death. If you die or become Disabled after the Company provides a Termination Notice without Cause, your termination will be treated as a termination without Cause, effective as of the date of your Disability or death.</w:t>
      </w:r>
    </w:p>
    <w:p>
      <w:pPr>
        <w:spacing w:after="0" w:line="179" w:lineRule="exact"/>
        <w:rPr>
          <w:rFonts w:ascii="Arial" w:cs="Arial" w:eastAsia="Arial" w:hAnsi="Arial"/>
          <w:sz w:val="21"/>
          <w:szCs w:val="21"/>
          <w:color w:val="010000"/>
        </w:rPr>
      </w:pPr>
    </w:p>
    <w:p>
      <w:pPr>
        <w:jc w:val="both"/>
        <w:ind w:left="1742" w:hanging="869"/>
        <w:spacing w:after="0" w:line="245" w:lineRule="auto"/>
        <w:tabs>
          <w:tab w:leader="none" w:pos="1742"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72" w:lineRule="exact"/>
        <w:rPr>
          <w:rFonts w:ascii="Arial" w:cs="Arial" w:eastAsia="Arial" w:hAnsi="Arial"/>
          <w:sz w:val="21"/>
          <w:szCs w:val="21"/>
          <w:color w:val="010000"/>
        </w:rPr>
      </w:pPr>
    </w:p>
    <w:p>
      <w:pPr>
        <w:ind w:left="882" w:hanging="882"/>
        <w:spacing w:after="0" w:line="257" w:lineRule="auto"/>
        <w:tabs>
          <w:tab w:leader="none" w:pos="882" w:val="left"/>
        </w:tabs>
        <w:numPr>
          <w:ilvl w:val="0"/>
          <w:numId w:val="66"/>
        </w:numPr>
        <w:rPr>
          <w:rFonts w:ascii="Arial" w:cs="Arial" w:eastAsia="Arial" w:hAnsi="Arial"/>
          <w:sz w:val="21"/>
          <w:szCs w:val="21"/>
          <w:color w:val="010000"/>
        </w:rPr>
      </w:pPr>
      <w:r>
        <w:rPr>
          <w:rFonts w:ascii="Arial" w:cs="Arial" w:eastAsia="Arial" w:hAnsi="Arial"/>
          <w:sz w:val="21"/>
          <w:szCs w:val="21"/>
          <w:i w:val="1"/>
          <w:iCs w:val="1"/>
          <w:color w:val="auto"/>
        </w:rPr>
        <w:t>Without Cause</w:t>
      </w:r>
      <w:r>
        <w:rPr>
          <w:rFonts w:ascii="Arial" w:cs="Arial" w:eastAsia="Arial" w:hAnsi="Arial"/>
          <w:sz w:val="21"/>
          <w:szCs w:val="21"/>
          <w:color w:val="auto"/>
        </w:rPr>
        <w:t>. If, during the Scheduled Term, but after the first anniversary of the Effective Date,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terminates your employment without Cause:</w:t>
      </w:r>
    </w:p>
    <w:p>
      <w:pPr>
        <w:spacing w:after="0" w:line="160" w:lineRule="exact"/>
        <w:rPr>
          <w:rFonts w:ascii="Arial" w:cs="Arial" w:eastAsia="Arial" w:hAnsi="Arial"/>
          <w:sz w:val="21"/>
          <w:szCs w:val="21"/>
          <w:color w:val="010000"/>
        </w:rPr>
      </w:pPr>
    </w:p>
    <w:p>
      <w:pPr>
        <w:jc w:val="both"/>
        <w:ind w:left="1742" w:hanging="869"/>
        <w:spacing w:after="0" w:line="266" w:lineRule="auto"/>
        <w:tabs>
          <w:tab w:leader="none" w:pos="1742" w:val="left"/>
        </w:tabs>
        <w:numPr>
          <w:ilvl w:val="1"/>
          <w:numId w:val="66"/>
        </w:numPr>
        <w:rPr>
          <w:rFonts w:ascii="Arial" w:cs="Arial" w:eastAsia="Arial" w:hAnsi="Arial"/>
          <w:sz w:val="19"/>
          <w:szCs w:val="19"/>
          <w:color w:val="010000"/>
        </w:rPr>
      </w:pPr>
      <w:r>
        <w:rPr>
          <w:rFonts w:ascii="Arial" w:cs="Arial" w:eastAsia="Arial" w:hAnsi="Arial"/>
          <w:sz w:val="19"/>
          <w:szCs w:val="19"/>
          <w:color w:val="auto"/>
        </w:rPr>
        <w:t>The Company will pay you the following at the end of your employment: (A) your accrued but unpaid Salary through the last day of your employment and (B) any accrued expense reimbursements and other cash entitlements (including for accrued expense reimbursement for which supporting documentation is submitted within 30 days after the termination of your employment) (together, your “</w:t>
      </w:r>
      <w:r>
        <w:rPr>
          <w:rFonts w:ascii="Arial" w:cs="Arial" w:eastAsia="Arial" w:hAnsi="Arial"/>
          <w:sz w:val="19"/>
          <w:szCs w:val="19"/>
          <w:i w:val="1"/>
          <w:iCs w:val="1"/>
          <w:color w:val="auto"/>
        </w:rPr>
        <w:t>Accrued</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w:t>
      </w:r>
      <w:r>
        <w:rPr>
          <w:rFonts w:ascii="Arial" w:cs="Arial" w:eastAsia="Arial" w:hAnsi="Arial"/>
          <w:sz w:val="19"/>
          <w:szCs w:val="19"/>
          <w:color w:val="auto"/>
        </w:rPr>
        <w:t>”). In addition, the Company will timely pay you any amounts and provide you any</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that are required, or to which you are entitled, under any plan, contract or arrangement of the Company as of the end of your employment (together, your “</w:t>
      </w:r>
      <w:r>
        <w:rPr>
          <w:rFonts w:ascii="Arial" w:cs="Arial" w:eastAsia="Arial" w:hAnsi="Arial"/>
          <w:sz w:val="19"/>
          <w:szCs w:val="19"/>
          <w:i w:val="1"/>
          <w:iCs w:val="1"/>
          <w:color w:val="auto"/>
        </w:rPr>
        <w:t>Other Benefits</w:t>
      </w:r>
      <w:r>
        <w:rPr>
          <w:rFonts w:ascii="Arial" w:cs="Arial" w:eastAsia="Arial" w:hAnsi="Arial"/>
          <w:sz w:val="19"/>
          <w:szCs w:val="19"/>
          <w:color w:val="auto"/>
        </w:rPr>
        <w:t>”).</w:t>
      </w:r>
    </w:p>
    <w:p>
      <w:pPr>
        <w:spacing w:after="0" w:line="156" w:lineRule="exact"/>
        <w:rPr>
          <w:rFonts w:ascii="Arial" w:cs="Arial" w:eastAsia="Arial" w:hAnsi="Arial"/>
          <w:sz w:val="19"/>
          <w:szCs w:val="19"/>
          <w:color w:val="010000"/>
        </w:rPr>
      </w:pPr>
    </w:p>
    <w:p>
      <w:pPr>
        <w:jc w:val="both"/>
        <w:ind w:left="1742" w:hanging="869"/>
        <w:spacing w:after="0" w:line="247" w:lineRule="auto"/>
        <w:tabs>
          <w:tab w:leader="none" w:pos="1742" w:val="left"/>
        </w:tabs>
        <w:numPr>
          <w:ilvl w:val="1"/>
          <w:numId w:val="66"/>
        </w:numPr>
        <w:rPr>
          <w:rFonts w:ascii="Arial" w:cs="Arial" w:eastAsia="Arial" w:hAnsi="Arial"/>
          <w:sz w:val="20"/>
          <w:szCs w:val="20"/>
          <w:color w:val="010000"/>
        </w:rPr>
      </w:pPr>
      <w:r>
        <w:rPr>
          <w:rFonts w:ascii="Arial" w:cs="Arial" w:eastAsia="Arial" w:hAnsi="Arial"/>
          <w:sz w:val="20"/>
          <w:szCs w:val="20"/>
          <w:color w:val="auto"/>
        </w:rPr>
        <w:t>Subject to executing, delivering and not revoking a release of any and all claims you may have against the Company (other than the rights and benefits provided in Section 5 and the other rights under this Agreement that continue following your employment) in a form reasonably provided by the Company such that you have taken all action necessary for such release to become effective and irrevocable no later than 65 days following your date of termination, the Company shall pay you, subject to applicable deductions and withholdings, and in accordance with Sections 6(j) and 6(k) below, (a) an amount, if any, equal to any Annual Incentive for the fiscal year ending immediately prior to the year in which your employment is terminated by the Company without Cause that was forfeited upon such termination, subject to the Company’s achievement of applicable performance targets consistent with the terms of the EXCEL plan, and (b) an amount, if any, equal to the Annual Incentive that was forfeited upon termination in respect of the fiscal year in which your termination of employment occurs, pro-rated based upon the number of days from the beginning of such fiscal year through the date of your termination of employment (the “</w:t>
      </w:r>
      <w:r>
        <w:rPr>
          <w:rFonts w:ascii="Arial" w:cs="Arial" w:eastAsia="Arial" w:hAnsi="Arial"/>
          <w:sz w:val="20"/>
          <w:szCs w:val="20"/>
          <w:i w:val="1"/>
          <w:iCs w:val="1"/>
          <w:color w:val="auto"/>
        </w:rPr>
        <w:t>Pro-Rata Annual Incentive for the Termination Year</w:t>
      </w:r>
      <w:r>
        <w:rPr>
          <w:rFonts w:ascii="Arial" w:cs="Arial" w:eastAsia="Arial" w:hAnsi="Arial"/>
          <w:sz w:val="20"/>
          <w:szCs w:val="20"/>
          <w:color w:val="auto"/>
        </w:rPr>
        <w:t>”), subject to the Company’s achievement of applicable performance targets consistent the terms of the EXCEL plan. The calculation of payment(s), if any, set forth in this Section 6(d)(3) shall be made in accordance with the terms of the EXCEL plan.</w:t>
      </w:r>
    </w:p>
    <w:p>
      <w:pPr>
        <w:spacing w:after="0" w:line="385" w:lineRule="exact"/>
        <w:rPr>
          <w:sz w:val="20"/>
          <w:szCs w:val="20"/>
          <w:color w:val="auto"/>
        </w:rPr>
      </w:pPr>
    </w:p>
    <w:p>
      <w:pPr>
        <w:ind w:left="4782"/>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2"/>
          </w:cols>
          <w:pgMar w:left="1118" w:top="327" w:right="239" w:bottom="1440" w:gutter="0" w:footer="0" w:header="0"/>
        </w:sectPr>
      </w:pPr>
    </w:p>
    <w:bookmarkStart w:id="122" w:name="page123"/>
    <w:bookmarkEnd w:id="122"/>
    <w:p>
      <w:pPr>
        <w:jc w:val="both"/>
        <w:ind w:left="882" w:hanging="882"/>
        <w:spacing w:after="0" w:line="238" w:lineRule="auto"/>
        <w:tabs>
          <w:tab w:leader="none" w:pos="882" w:val="left"/>
        </w:tabs>
        <w:numPr>
          <w:ilvl w:val="0"/>
          <w:numId w:val="67"/>
        </w:numPr>
        <w:rPr>
          <w:rFonts w:ascii="Arial" w:cs="Arial" w:eastAsia="Arial" w:hAnsi="Arial"/>
          <w:sz w:val="21"/>
          <w:szCs w:val="21"/>
          <w:color w:val="010000"/>
        </w:rPr>
      </w:pPr>
      <w:r>
        <w:rPr>
          <w:rFonts w:ascii="Arial" w:cs="Arial" w:eastAsia="Arial" w:hAnsi="Arial"/>
          <w:sz w:val="21"/>
          <w:szCs w:val="21"/>
          <w:i w:val="1"/>
          <w:iCs w:val="1"/>
          <w:color w:val="auto"/>
        </w:rPr>
        <w:t>For Cause or Your Voluntary Termination</w:t>
      </w:r>
      <w:r>
        <w:rPr>
          <w:rFonts w:ascii="Arial" w:cs="Arial" w:eastAsia="Arial" w:hAnsi="Arial"/>
          <w:sz w:val="21"/>
          <w:szCs w:val="21"/>
          <w:color w:val="auto"/>
        </w:rPr>
        <w:t>. If, during the Scheduled Term, the Company terminates your</w:t>
      </w:r>
      <w:r>
        <w:rPr>
          <w:rFonts w:ascii="Arial" w:cs="Arial" w:eastAsia="Arial" w:hAnsi="Arial"/>
          <w:sz w:val="21"/>
          <w:szCs w:val="21"/>
          <w:i w:val="1"/>
          <w:iCs w:val="1"/>
          <w:color w:val="auto"/>
        </w:rPr>
        <w:t xml:space="preserve"> </w:t>
      </w:r>
      <w:r>
        <w:rPr>
          <w:rFonts w:ascii="Arial" w:cs="Arial" w:eastAsia="Arial" w:hAnsi="Arial"/>
          <w:sz w:val="21"/>
          <w:szCs w:val="21"/>
          <w:color w:val="auto"/>
        </w:rPr>
        <w:t>employment for Cause or you terminate your employment for any reason, the Company will pay your Accrued Compensation and your Other Benefits. Effective upon the date of this termination for Cause or voluntary termination at your election for any reason, all of the unvested portion of your remaining equity-based awards (other than restricted stock units granted to you solely in your capacity as a director prior to the Effective Date) will be immediately forfeited.</w:t>
      </w:r>
    </w:p>
    <w:p>
      <w:pPr>
        <w:spacing w:after="0" w:line="179" w:lineRule="exact"/>
        <w:rPr>
          <w:rFonts w:ascii="Arial" w:cs="Arial" w:eastAsia="Arial" w:hAnsi="Arial"/>
          <w:sz w:val="21"/>
          <w:szCs w:val="21"/>
          <w:color w:val="010000"/>
        </w:rPr>
      </w:pPr>
    </w:p>
    <w:p>
      <w:pPr>
        <w:jc w:val="both"/>
        <w:ind w:left="882" w:hanging="882"/>
        <w:spacing w:after="0" w:line="245" w:lineRule="auto"/>
        <w:tabs>
          <w:tab w:leader="none" w:pos="882" w:val="left"/>
        </w:tabs>
        <w:numPr>
          <w:ilvl w:val="0"/>
          <w:numId w:val="67"/>
        </w:numPr>
        <w:rPr>
          <w:rFonts w:ascii="Arial" w:cs="Arial" w:eastAsia="Arial" w:hAnsi="Arial"/>
          <w:sz w:val="21"/>
          <w:szCs w:val="21"/>
          <w:color w:val="010000"/>
        </w:rPr>
      </w:pPr>
      <w:r>
        <w:rPr>
          <w:rFonts w:ascii="Arial" w:cs="Arial" w:eastAsia="Arial" w:hAnsi="Arial"/>
          <w:sz w:val="21"/>
          <w:szCs w:val="21"/>
          <w:i w:val="1"/>
          <w:iCs w:val="1"/>
          <w:color w:val="auto"/>
        </w:rPr>
        <w:t>For Your Disability or Death</w:t>
      </w:r>
      <w:r>
        <w:rPr>
          <w:rFonts w:ascii="Arial" w:cs="Arial" w:eastAsia="Arial" w:hAnsi="Arial"/>
          <w:sz w:val="21"/>
          <w:szCs w:val="21"/>
          <w:color w:val="auto"/>
        </w:rPr>
        <w:t>. If, during the Scheduled Term, your employment terminates as a result of your</w:t>
      </w:r>
      <w:r>
        <w:rPr>
          <w:rFonts w:ascii="Arial" w:cs="Arial" w:eastAsia="Arial" w:hAnsi="Arial"/>
          <w:sz w:val="21"/>
          <w:szCs w:val="21"/>
          <w:i w:val="1"/>
          <w:iCs w:val="1"/>
          <w:color w:val="auto"/>
        </w:rPr>
        <w:t xml:space="preserve"> </w:t>
      </w:r>
      <w:r>
        <w:rPr>
          <w:rFonts w:ascii="Arial" w:cs="Arial" w:eastAsia="Arial" w:hAnsi="Arial"/>
          <w:sz w:val="21"/>
          <w:szCs w:val="21"/>
          <w:color w:val="auto"/>
        </w:rPr>
        <w:t>Disability or death, the Company will pay (1) your Accrued Compensation, and will provide you (2) your Other Benefits.</w:t>
      </w:r>
    </w:p>
    <w:p>
      <w:pPr>
        <w:spacing w:after="0" w:line="172" w:lineRule="exact"/>
        <w:rPr>
          <w:rFonts w:ascii="Arial" w:cs="Arial" w:eastAsia="Arial" w:hAnsi="Arial"/>
          <w:sz w:val="21"/>
          <w:szCs w:val="21"/>
          <w:color w:val="010000"/>
        </w:rPr>
      </w:pPr>
    </w:p>
    <w:p>
      <w:pPr>
        <w:ind w:left="882" w:hanging="882"/>
        <w:spacing w:after="0" w:line="257" w:lineRule="auto"/>
        <w:tabs>
          <w:tab w:leader="none" w:pos="882" w:val="left"/>
        </w:tabs>
        <w:numPr>
          <w:ilvl w:val="0"/>
          <w:numId w:val="67"/>
        </w:numPr>
        <w:rPr>
          <w:rFonts w:ascii="Arial" w:cs="Arial" w:eastAsia="Arial" w:hAnsi="Arial"/>
          <w:sz w:val="21"/>
          <w:szCs w:val="21"/>
          <w:color w:val="010000"/>
        </w:rPr>
      </w:pPr>
      <w:r>
        <w:rPr>
          <w:rFonts w:ascii="Arial" w:cs="Arial" w:eastAsia="Arial" w:hAnsi="Arial"/>
          <w:sz w:val="21"/>
          <w:szCs w:val="21"/>
          <w:color w:val="010000"/>
        </w:rPr>
        <w:t>You hereby acknowledge and agree that you shall not be eligible for any payment or benefit under the Termination Allowance Plan if your employment ceases under Sections 6(a), (d), or (e) herein.</w:t>
      </w:r>
    </w:p>
    <w:p>
      <w:pPr>
        <w:spacing w:after="0" w:line="160" w:lineRule="exact"/>
        <w:rPr>
          <w:rFonts w:ascii="Arial" w:cs="Arial" w:eastAsia="Arial" w:hAnsi="Arial"/>
          <w:sz w:val="21"/>
          <w:szCs w:val="21"/>
          <w:color w:val="010000"/>
        </w:rPr>
      </w:pPr>
    </w:p>
    <w:p>
      <w:pPr>
        <w:ind w:left="882" w:hanging="882"/>
        <w:spacing w:after="0" w:line="257" w:lineRule="auto"/>
        <w:tabs>
          <w:tab w:leader="none" w:pos="882" w:val="left"/>
        </w:tabs>
        <w:numPr>
          <w:ilvl w:val="0"/>
          <w:numId w:val="67"/>
        </w:numPr>
        <w:rPr>
          <w:rFonts w:ascii="Arial" w:cs="Arial" w:eastAsia="Arial" w:hAnsi="Arial"/>
          <w:sz w:val="21"/>
          <w:szCs w:val="21"/>
          <w:color w:val="010000"/>
        </w:rPr>
      </w:pPr>
      <w:r>
        <w:rPr>
          <w:rFonts w:ascii="Arial" w:cs="Arial" w:eastAsia="Arial" w:hAnsi="Arial"/>
          <w:sz w:val="21"/>
          <w:szCs w:val="21"/>
          <w:i w:val="1"/>
          <w:iCs w:val="1"/>
          <w:color w:val="010000"/>
        </w:rPr>
        <w:t>Benefits Bearing</w:t>
      </w:r>
      <w:r>
        <w:rPr>
          <w:rFonts w:ascii="Arial" w:cs="Arial" w:eastAsia="Arial" w:hAnsi="Arial"/>
          <w:sz w:val="21"/>
          <w:szCs w:val="21"/>
          <w:color w:val="010000"/>
        </w:rPr>
        <w:t>. In no event shall any of the payments or benefits provided under this Section 6 be “benefits</w:t>
      </w:r>
      <w:r>
        <w:rPr>
          <w:rFonts w:ascii="Arial" w:cs="Arial" w:eastAsia="Arial" w:hAnsi="Arial"/>
          <w:sz w:val="21"/>
          <w:szCs w:val="21"/>
          <w:i w:val="1"/>
          <w:iCs w:val="1"/>
          <w:color w:val="010000"/>
        </w:rPr>
        <w:t xml:space="preserve"> </w:t>
      </w:r>
      <w:r>
        <w:rPr>
          <w:rFonts w:ascii="Arial" w:cs="Arial" w:eastAsia="Arial" w:hAnsi="Arial"/>
          <w:sz w:val="21"/>
          <w:szCs w:val="21"/>
          <w:color w:val="010000"/>
        </w:rPr>
        <w:t>bearing.”</w:t>
      </w:r>
    </w:p>
    <w:p>
      <w:pPr>
        <w:spacing w:after="0" w:line="161" w:lineRule="exact"/>
        <w:rPr>
          <w:sz w:val="20"/>
          <w:szCs w:val="20"/>
          <w:color w:val="auto"/>
        </w:rPr>
      </w:pPr>
    </w:p>
    <w:p>
      <w:pPr>
        <w:jc w:val="both"/>
        <w:ind w:left="882" w:hanging="882"/>
        <w:spacing w:after="0" w:line="257" w:lineRule="auto"/>
        <w:tabs>
          <w:tab w:leader="none" w:pos="882" w:val="left"/>
        </w:tabs>
        <w:numPr>
          <w:ilvl w:val="0"/>
          <w:numId w:val="68"/>
        </w:numPr>
        <w:rPr>
          <w:rFonts w:ascii="Arial" w:cs="Arial" w:eastAsia="Arial" w:hAnsi="Arial"/>
          <w:sz w:val="20"/>
          <w:szCs w:val="20"/>
          <w:color w:val="010000"/>
        </w:rPr>
      </w:pPr>
      <w:r>
        <w:rPr>
          <w:rFonts w:ascii="Arial" w:cs="Arial" w:eastAsia="Arial" w:hAnsi="Arial"/>
          <w:sz w:val="20"/>
          <w:szCs w:val="20"/>
          <w:i w:val="1"/>
          <w:iCs w:val="1"/>
          <w:color w:val="auto"/>
        </w:rPr>
        <w:t>Timing</w:t>
      </w:r>
      <w:r>
        <w:rPr>
          <w:rFonts w:ascii="Arial" w:cs="Arial" w:eastAsia="Arial" w:hAnsi="Arial"/>
          <w:sz w:val="20"/>
          <w:szCs w:val="20"/>
          <w:color w:val="auto"/>
        </w:rPr>
        <w:t>. The benefits provided in this Section 6 will begin at the end of your employment, and any cash payments</w:t>
      </w:r>
      <w:r>
        <w:rPr>
          <w:rFonts w:ascii="Arial" w:cs="Arial" w:eastAsia="Arial" w:hAnsi="Arial"/>
          <w:sz w:val="20"/>
          <w:szCs w:val="20"/>
          <w:i w:val="1"/>
          <w:iCs w:val="1"/>
          <w:color w:val="auto"/>
        </w:rPr>
        <w:t xml:space="preserve"> </w:t>
      </w:r>
      <w:r>
        <w:rPr>
          <w:rFonts w:ascii="Arial" w:cs="Arial" w:eastAsia="Arial" w:hAnsi="Arial"/>
          <w:sz w:val="20"/>
          <w:szCs w:val="20"/>
          <w:color w:val="auto"/>
        </w:rPr>
        <w:t>owed to you under this Section 6 (other than under Section 6(a)) will be paid in one lump sum 65 days following your date of termination except that any Pro-Rata Annual Incentive for the Termination Year shall be paid in the year following the year in which such termination of employment occurs.</w:t>
      </w:r>
    </w:p>
    <w:p>
      <w:pPr>
        <w:spacing w:after="0" w:line="371" w:lineRule="exact"/>
        <w:rPr>
          <w:sz w:val="20"/>
          <w:szCs w:val="20"/>
          <w:color w:val="auto"/>
        </w:rPr>
      </w:pPr>
    </w:p>
    <w:p>
      <w:pPr>
        <w:ind w:left="4782"/>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2"/>
          </w:cols>
          <w:pgMar w:left="1118" w:top="327" w:right="239" w:bottom="1440" w:gutter="0" w:footer="0" w:header="0"/>
        </w:sectPr>
      </w:pPr>
    </w:p>
    <w:bookmarkStart w:id="123" w:name="page124"/>
    <w:bookmarkEnd w:id="123"/>
    <w:p>
      <w:pPr>
        <w:jc w:val="both"/>
        <w:ind w:left="882" w:hanging="882"/>
        <w:spacing w:after="0" w:line="259" w:lineRule="auto"/>
        <w:tabs>
          <w:tab w:leader="none" w:pos="882" w:val="left"/>
        </w:tabs>
        <w:numPr>
          <w:ilvl w:val="0"/>
          <w:numId w:val="69"/>
        </w:numPr>
        <w:rPr>
          <w:rFonts w:ascii="Arial" w:cs="Arial" w:eastAsia="Arial" w:hAnsi="Arial"/>
          <w:sz w:val="19"/>
          <w:szCs w:val="19"/>
          <w:color w:val="010000"/>
        </w:rPr>
      </w:pPr>
      <w:r>
        <w:rPr>
          <w:rFonts w:ascii="Arial" w:cs="Arial" w:eastAsia="Arial" w:hAnsi="Arial"/>
          <w:sz w:val="19"/>
          <w:szCs w:val="19"/>
          <w:i w:val="1"/>
          <w:iCs w:val="1"/>
          <w:color w:val="auto"/>
        </w:rPr>
        <w:t>Section 409A</w:t>
      </w:r>
      <w:r>
        <w:rPr>
          <w:rFonts w:ascii="Arial" w:cs="Arial" w:eastAsia="Arial" w:hAnsi="Arial"/>
          <w:sz w:val="19"/>
          <w:szCs w:val="19"/>
          <w:color w:val="auto"/>
        </w:rPr>
        <w:t>. This Agreement is intended to comply with or be exempt from the requirements of Section 409A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Internal Revenue Code of 1986, as amended, and the regulations promulgated thereunder and other official guidance issued thereunder (“</w:t>
      </w:r>
      <w:r>
        <w:rPr>
          <w:rFonts w:ascii="Arial" w:cs="Arial" w:eastAsia="Arial" w:hAnsi="Arial"/>
          <w:sz w:val="19"/>
          <w:szCs w:val="19"/>
          <w:i w:val="1"/>
          <w:iCs w:val="1"/>
          <w:color w:val="auto"/>
        </w:rPr>
        <w:t>Section 409A</w:t>
      </w:r>
      <w:r>
        <w:rPr>
          <w:rFonts w:ascii="Arial" w:cs="Arial" w:eastAsia="Arial" w:hAnsi="Arial"/>
          <w:sz w:val="19"/>
          <w:szCs w:val="19"/>
          <w:color w:val="auto"/>
        </w:rPr>
        <w:t>”) with respect to amounts or benefits,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will be paid to you on the earlier of the day following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6(a) and 6(d)(1) through 6(d)(2)(a) of this Agreement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A-6. Notwithstanding anything to the contrary in this Agreement, the Company and its officers, directors, employees or agents make no representations or guarantees that the terms of this Agreement or the arrangements described in this Agreement, in each case, as written, comply with or are exempt from the provisions of Section 409A or that the payments and benefits provided under this Agreement are or will be exempt from, or compliant with, Section 409A, and in no event shall the Company and its officers, directors, employees or agents be liable for all or any portion of any taxes, penalties, interest or other expenses that you may incur on account of any non-compliance with Section 409A.</w:t>
      </w:r>
    </w:p>
    <w:p>
      <w:pPr>
        <w:spacing w:after="0" w:line="386" w:lineRule="exact"/>
        <w:rPr>
          <w:sz w:val="20"/>
          <w:szCs w:val="20"/>
          <w:color w:val="auto"/>
        </w:rPr>
      </w:pPr>
    </w:p>
    <w:p>
      <w:pPr>
        <w:ind w:left="4782"/>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2"/>
          </w:cols>
          <w:pgMar w:left="1118" w:top="327" w:right="239" w:bottom="1440" w:gutter="0" w:footer="0" w:header="0"/>
        </w:sectPr>
      </w:pPr>
    </w:p>
    <w:bookmarkStart w:id="124" w:name="page125"/>
    <w:bookmarkEnd w:id="124"/>
    <w:p>
      <w:pPr>
        <w:ind w:left="1760"/>
        <w:spacing w:after="0" w:line="267" w:lineRule="auto"/>
        <w:rPr>
          <w:sz w:val="20"/>
          <w:szCs w:val="20"/>
          <w:color w:val="auto"/>
        </w:rPr>
      </w:pPr>
      <w:r>
        <w:rPr>
          <w:rFonts w:ascii="Arial" w:cs="Arial" w:eastAsia="Arial" w:hAnsi="Arial"/>
          <w:sz w:val="19"/>
          <w:szCs w:val="19"/>
          <w:color w:val="auto"/>
        </w:rPr>
        <w:t>Notwithstanding anything to the contrary in this Agreement or elsewhere, any payment or benefit under this Agreement or otherwise that is exempt from Section 409A pursuant to Treas. Reg. Section 1.409A-1(b)(9)(v)(A) or</w:t>
      </w:r>
    </w:p>
    <w:p>
      <w:pPr>
        <w:spacing w:after="0" w:line="1" w:lineRule="exact"/>
        <w:rPr>
          <w:sz w:val="20"/>
          <w:szCs w:val="20"/>
          <w:color w:val="auto"/>
        </w:rPr>
      </w:pPr>
    </w:p>
    <w:p>
      <w:pPr>
        <w:jc w:val="both"/>
        <w:ind w:left="1760"/>
        <w:spacing w:after="0" w:line="260" w:lineRule="auto"/>
        <w:tabs>
          <w:tab w:leader="none" w:pos="2108"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such expenses are reimbursed no 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162" w:lineRule="exact"/>
        <w:rPr>
          <w:rFonts w:ascii="Arial" w:cs="Arial" w:eastAsia="Arial" w:hAnsi="Arial"/>
          <w:sz w:val="19"/>
          <w:szCs w:val="19"/>
          <w:color w:val="auto"/>
        </w:rPr>
      </w:pPr>
    </w:p>
    <w:p>
      <w:pPr>
        <w:ind w:left="840" w:hanging="836"/>
        <w:spacing w:after="0"/>
        <w:tabs>
          <w:tab w:leader="none" w:pos="840" w:val="left"/>
        </w:tabs>
        <w:numPr>
          <w:ilvl w:val="0"/>
          <w:numId w:val="71"/>
        </w:numPr>
        <w:rPr>
          <w:rFonts w:ascii="Arial" w:cs="Arial" w:eastAsia="Arial" w:hAnsi="Arial"/>
          <w:sz w:val="21"/>
          <w:szCs w:val="21"/>
          <w:b w:val="1"/>
          <w:bCs w:val="1"/>
          <w:color w:val="010000"/>
        </w:rPr>
      </w:pPr>
      <w:r>
        <w:rPr>
          <w:rFonts w:ascii="Arial" w:cs="Arial" w:eastAsia="Arial" w:hAnsi="Arial"/>
          <w:sz w:val="21"/>
          <w:szCs w:val="21"/>
          <w:b w:val="1"/>
          <w:bCs w:val="1"/>
          <w:color w:val="010000"/>
        </w:rPr>
        <w:t>Confidential Information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20"/>
          <w:szCs w:val="20"/>
          <w:i w:val="1"/>
          <w:iCs w:val="1"/>
          <w:color w:val="auto"/>
        </w:rPr>
        <w:t>Confidential Information</w:t>
      </w:r>
      <w:r>
        <w:rPr>
          <w:rFonts w:ascii="Arial" w:cs="Arial" w:eastAsia="Arial" w:hAnsi="Arial"/>
          <w:sz w:val="20"/>
          <w:szCs w:val="20"/>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25" w:name="page126"/>
    <w:bookmarkEnd w:id="125"/>
    <w:p>
      <w:pPr>
        <w:jc w:val="both"/>
        <w:spacing w:after="0" w:line="248" w:lineRule="auto"/>
        <w:rPr>
          <w:sz w:val="20"/>
          <w:szCs w:val="20"/>
          <w:color w:val="auto"/>
        </w:rPr>
      </w:pPr>
      <w:r>
        <w:rPr>
          <w:rFonts w:ascii="Arial" w:cs="Arial" w:eastAsia="Arial" w:hAnsi="Arial"/>
          <w:sz w:val="20"/>
          <w:szCs w:val="20"/>
          <w:color w:val="auto"/>
        </w:rPr>
        <w:t>Notwithstanding the foregoing, nothing in this Section 7, this Agreement, the Employee’s Agreement, or any other agreement or Company policy (a) prohibits or prevents you from making reports or assisting in the investigation of possible violations of federal law or regulation with any governmental agency, official, or entity in accordance with the provisions and rules of Section 21F of the Exchange Act, Section 806 of the Sarbanes-Oxley Act of 2002, or of any other whistleblower protection provisions of state or federal law or regulation, or (b) requires notification or prior approval by the Company of any such report or assistance; provided that, you are not authorized to disclose communications with counsel that were made for the purpose of receiving legal advice or that contain legal advice on behalf of the Company or any of its subsidiaries, or that are protected by the Company’s or any of its subsidiaries’ attorney work product or similar privilege. Furthermore, in accordance with the Defend Trade Secrets Act, 18 U.S.C. § 1833(b), and other applicable law, you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w:t>
      </w:r>
    </w:p>
    <w:p>
      <w:pPr>
        <w:spacing w:after="0" w:line="167" w:lineRule="exact"/>
        <w:rPr>
          <w:sz w:val="20"/>
          <w:szCs w:val="20"/>
          <w:color w:val="auto"/>
        </w:rPr>
      </w:pPr>
    </w:p>
    <w:p>
      <w:pPr>
        <w:ind w:left="840" w:hanging="836"/>
        <w:spacing w:after="0"/>
        <w:tabs>
          <w:tab w:leader="none" w:pos="840" w:val="left"/>
        </w:tabs>
        <w:numPr>
          <w:ilvl w:val="0"/>
          <w:numId w:val="72"/>
        </w:numPr>
        <w:rPr>
          <w:rFonts w:ascii="Arial" w:cs="Arial" w:eastAsia="Arial" w:hAnsi="Arial"/>
          <w:sz w:val="21"/>
          <w:szCs w:val="21"/>
          <w:b w:val="1"/>
          <w:bCs w:val="1"/>
          <w:color w:val="010000"/>
        </w:rPr>
      </w:pPr>
      <w:r>
        <w:rPr>
          <w:rFonts w:ascii="Arial" w:cs="Arial" w:eastAsia="Arial" w:hAnsi="Arial"/>
          <w:sz w:val="21"/>
          <w:szCs w:val="21"/>
          <w:b w:val="1"/>
          <w:bCs w:val="1"/>
          <w:color w:val="auto"/>
        </w:rPr>
        <w:t>On-going Restrictions on Your Activities</w:t>
      </w:r>
    </w:p>
    <w:p>
      <w:pPr>
        <w:spacing w:after="0" w:line="207" w:lineRule="exact"/>
        <w:rPr>
          <w:rFonts w:ascii="Arial" w:cs="Arial" w:eastAsia="Arial" w:hAnsi="Arial"/>
          <w:sz w:val="21"/>
          <w:szCs w:val="21"/>
          <w:b w:val="1"/>
          <w:bCs w:val="1"/>
          <w:color w:val="010000"/>
        </w:rPr>
      </w:pPr>
    </w:p>
    <w:p>
      <w:pPr>
        <w:ind w:left="1760" w:hanging="882"/>
        <w:spacing w:after="0"/>
        <w:tabs>
          <w:tab w:leader="none" w:pos="1760" w:val="left"/>
        </w:tabs>
        <w:numPr>
          <w:ilvl w:val="1"/>
          <w:numId w:val="72"/>
        </w:numPr>
        <w:rPr>
          <w:rFonts w:ascii="Arial" w:cs="Arial" w:eastAsia="Arial" w:hAnsi="Arial"/>
          <w:sz w:val="21"/>
          <w:szCs w:val="21"/>
          <w:color w:val="010000"/>
        </w:rPr>
      </w:pPr>
      <w:r>
        <w:rPr>
          <w:rFonts w:ascii="Arial" w:cs="Arial" w:eastAsia="Arial" w:hAnsi="Arial"/>
          <w:sz w:val="21"/>
          <w:szCs w:val="21"/>
          <w:i w:val="1"/>
          <w:iCs w:val="1"/>
          <w:color w:val="auto"/>
        </w:rPr>
        <w:t>Related Definitions</w:t>
      </w:r>
      <w:r>
        <w:rPr>
          <w:rFonts w:ascii="Arial" w:cs="Arial" w:eastAsia="Arial" w:hAnsi="Arial"/>
          <w:sz w:val="21"/>
          <w:szCs w:val="21"/>
          <w:color w:val="auto"/>
        </w:rPr>
        <w:t>.</w:t>
      </w:r>
    </w:p>
    <w:p>
      <w:pPr>
        <w:spacing w:after="0" w:line="201" w:lineRule="exact"/>
        <w:rPr>
          <w:rFonts w:ascii="Arial" w:cs="Arial" w:eastAsia="Arial" w:hAnsi="Arial"/>
          <w:sz w:val="21"/>
          <w:szCs w:val="21"/>
          <w:color w:val="010000"/>
        </w:rPr>
      </w:pPr>
    </w:p>
    <w:p>
      <w:pPr>
        <w:jc w:val="both"/>
        <w:ind w:left="2620" w:hanging="869"/>
        <w:spacing w:after="0" w:line="245" w:lineRule="auto"/>
        <w:tabs>
          <w:tab w:leader="none" w:pos="2620" w:val="left"/>
        </w:tabs>
        <w:numPr>
          <w:ilvl w:val="2"/>
          <w:numId w:val="7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i w:val="1"/>
          <w:iCs w:val="1"/>
          <w:color w:val="auto"/>
        </w:rPr>
        <w:t>Competitive Enterprise</w:t>
      </w:r>
      <w:r>
        <w:rPr>
          <w:rFonts w:ascii="Arial" w:cs="Arial" w:eastAsia="Arial" w:hAnsi="Arial"/>
          <w:sz w:val="21"/>
          <w:szCs w:val="21"/>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72" w:lineRule="exact"/>
        <w:rPr>
          <w:rFonts w:ascii="Arial" w:cs="Arial" w:eastAsia="Arial" w:hAnsi="Arial"/>
          <w:sz w:val="21"/>
          <w:szCs w:val="21"/>
          <w:color w:val="010000"/>
        </w:rPr>
      </w:pPr>
    </w:p>
    <w:p>
      <w:pPr>
        <w:jc w:val="both"/>
        <w:ind w:left="2620" w:hanging="869"/>
        <w:spacing w:after="0" w:line="245" w:lineRule="auto"/>
        <w:tabs>
          <w:tab w:leader="none" w:pos="2620" w:val="left"/>
        </w:tabs>
        <w:numPr>
          <w:ilvl w:val="2"/>
          <w:numId w:val="7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i w:val="1"/>
          <w:iCs w:val="1"/>
          <w:color w:val="auto"/>
        </w:rPr>
        <w:t>Client</w:t>
      </w:r>
      <w:r>
        <w:rPr>
          <w:rFonts w:ascii="Arial" w:cs="Arial" w:eastAsia="Arial" w:hAnsi="Arial"/>
          <w:sz w:val="21"/>
          <w:szCs w:val="21"/>
          <w:color w:val="auto"/>
        </w:rPr>
        <w:t>” means any client or prospective client of the Company to whom you provided services, or for whom you transacted business, or whose identity became known to you in connection with your employment by the Company.</w:t>
      </w:r>
    </w:p>
    <w:p>
      <w:pPr>
        <w:spacing w:after="0" w:line="172" w:lineRule="exact"/>
        <w:rPr>
          <w:rFonts w:ascii="Arial" w:cs="Arial" w:eastAsia="Arial" w:hAnsi="Arial"/>
          <w:sz w:val="21"/>
          <w:szCs w:val="21"/>
          <w:color w:val="010000"/>
        </w:rPr>
      </w:pPr>
    </w:p>
    <w:p>
      <w:pPr>
        <w:ind w:left="2620" w:hanging="869"/>
        <w:spacing w:after="0" w:line="257" w:lineRule="auto"/>
        <w:tabs>
          <w:tab w:leader="none" w:pos="2620" w:val="left"/>
        </w:tabs>
        <w:numPr>
          <w:ilvl w:val="2"/>
          <w:numId w:val="7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i w:val="1"/>
          <w:iCs w:val="1"/>
          <w:color w:val="auto"/>
        </w:rPr>
        <w:t>Solicit</w:t>
      </w:r>
      <w:r>
        <w:rPr>
          <w:rFonts w:ascii="Arial" w:cs="Arial" w:eastAsia="Arial" w:hAnsi="Arial"/>
          <w:sz w:val="21"/>
          <w:szCs w:val="21"/>
          <w:color w:val="auto"/>
        </w:rPr>
        <w:t>” means any direct or indirect communication that in any way invites, advises, encourages or requests any person to take or refrain from taking any action.</w:t>
      </w:r>
    </w:p>
    <w:p>
      <w:pPr>
        <w:spacing w:after="0" w:line="160" w:lineRule="exact"/>
        <w:rPr>
          <w:rFonts w:ascii="Arial" w:cs="Arial" w:eastAsia="Arial" w:hAnsi="Arial"/>
          <w:sz w:val="21"/>
          <w:szCs w:val="21"/>
          <w:color w:val="010000"/>
        </w:rPr>
      </w:pPr>
    </w:p>
    <w:p>
      <w:pPr>
        <w:ind w:left="1760" w:hanging="882"/>
        <w:spacing w:after="0"/>
        <w:tabs>
          <w:tab w:leader="none" w:pos="1760" w:val="left"/>
        </w:tabs>
        <w:numPr>
          <w:ilvl w:val="1"/>
          <w:numId w:val="72"/>
        </w:numPr>
        <w:rPr>
          <w:rFonts w:ascii="Arial" w:cs="Arial" w:eastAsia="Arial" w:hAnsi="Arial"/>
          <w:sz w:val="21"/>
          <w:szCs w:val="21"/>
          <w:color w:val="010000"/>
        </w:rPr>
      </w:pPr>
      <w:r>
        <w:rPr>
          <w:rFonts w:ascii="Arial" w:cs="Arial" w:eastAsia="Arial" w:hAnsi="Arial"/>
          <w:sz w:val="21"/>
          <w:szCs w:val="21"/>
          <w:i w:val="1"/>
          <w:iCs w:val="1"/>
          <w:color w:val="auto"/>
        </w:rPr>
        <w:t>Your Importance to the Company and the Effect of this Section 8</w:t>
      </w:r>
      <w:r>
        <w:rPr>
          <w:rFonts w:ascii="Arial" w:cs="Arial" w:eastAsia="Arial" w:hAnsi="Arial"/>
          <w:sz w:val="21"/>
          <w:szCs w:val="21"/>
          <w:color w:val="auto"/>
        </w:rPr>
        <w:t>. You acknowledge that: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26" w:name="page127"/>
    <w:bookmarkEnd w:id="126"/>
    <w:p>
      <w:pPr>
        <w:jc w:val="both"/>
        <w:ind w:left="1742" w:hanging="869"/>
        <w:spacing w:after="0" w:line="250" w:lineRule="auto"/>
        <w:tabs>
          <w:tab w:leader="none" w:pos="1742" w:val="left"/>
        </w:tabs>
        <w:numPr>
          <w:ilvl w:val="1"/>
          <w:numId w:val="73"/>
        </w:numPr>
        <w:rPr>
          <w:rFonts w:ascii="Arial" w:cs="Arial" w:eastAsia="Arial" w:hAnsi="Arial"/>
          <w:sz w:val="20"/>
          <w:szCs w:val="20"/>
          <w:color w:val="010000"/>
        </w:rPr>
      </w:pPr>
      <w:r>
        <w:rPr>
          <w:rFonts w:ascii="Arial" w:cs="Arial" w:eastAsia="Arial" w:hAnsi="Arial"/>
          <w:sz w:val="20"/>
          <w:szCs w:val="20"/>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8. The Company would not have entered into this Agreement if you did not agree to this Section 8.</w:t>
      </w:r>
    </w:p>
    <w:p>
      <w:pPr>
        <w:spacing w:after="0" w:line="169" w:lineRule="exact"/>
        <w:rPr>
          <w:rFonts w:ascii="Arial" w:cs="Arial" w:eastAsia="Arial" w:hAnsi="Arial"/>
          <w:sz w:val="20"/>
          <w:szCs w:val="20"/>
          <w:color w:val="010000"/>
        </w:rPr>
      </w:pPr>
    </w:p>
    <w:p>
      <w:pPr>
        <w:jc w:val="both"/>
        <w:ind w:left="882" w:hanging="882"/>
        <w:spacing w:after="0" w:line="245" w:lineRule="auto"/>
        <w:tabs>
          <w:tab w:leader="none" w:pos="882" w:val="left"/>
        </w:tabs>
        <w:numPr>
          <w:ilvl w:val="0"/>
          <w:numId w:val="74"/>
        </w:numPr>
        <w:rPr>
          <w:rFonts w:ascii="Arial" w:cs="Arial" w:eastAsia="Arial" w:hAnsi="Arial"/>
          <w:sz w:val="21"/>
          <w:szCs w:val="21"/>
          <w:color w:val="010000"/>
        </w:rPr>
      </w:pPr>
      <w:r>
        <w:rPr>
          <w:rFonts w:ascii="Arial" w:cs="Arial" w:eastAsia="Arial" w:hAnsi="Arial"/>
          <w:sz w:val="21"/>
          <w:szCs w:val="21"/>
          <w:i w:val="1"/>
          <w:iCs w:val="1"/>
          <w:color w:val="auto"/>
        </w:rPr>
        <w:t>Transition Assistance</w:t>
      </w:r>
      <w:r>
        <w:rPr>
          <w:rFonts w:ascii="Arial" w:cs="Arial" w:eastAsia="Arial" w:hAnsi="Arial"/>
          <w:sz w:val="21"/>
          <w:szCs w:val="21"/>
          <w:color w:val="auto"/>
        </w:rPr>
        <w:t>. During the 90 days after a Termination Notice has been given, you will take all actions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may reasonably request to maintain for the Company the business, goodwill and business relationships with any Clients.</w:t>
      </w:r>
    </w:p>
    <w:p>
      <w:pPr>
        <w:spacing w:after="0" w:line="173" w:lineRule="exact"/>
        <w:rPr>
          <w:sz w:val="20"/>
          <w:szCs w:val="20"/>
          <w:color w:val="auto"/>
        </w:rPr>
      </w:pPr>
    </w:p>
    <w:p>
      <w:pPr>
        <w:jc w:val="both"/>
        <w:ind w:left="882" w:hanging="882"/>
        <w:spacing w:after="0" w:line="283" w:lineRule="auto"/>
        <w:tabs>
          <w:tab w:leader="none" w:pos="882" w:val="left"/>
        </w:tabs>
        <w:numPr>
          <w:ilvl w:val="0"/>
          <w:numId w:val="75"/>
        </w:numPr>
        <w:rPr>
          <w:rFonts w:ascii="Arial" w:cs="Arial" w:eastAsia="Arial" w:hAnsi="Arial"/>
          <w:sz w:val="19"/>
          <w:szCs w:val="19"/>
          <w:color w:val="010000"/>
        </w:rPr>
      </w:pPr>
      <w:r>
        <w:rPr>
          <w:rFonts w:ascii="Arial" w:cs="Arial" w:eastAsia="Arial" w:hAnsi="Arial"/>
          <w:sz w:val="19"/>
          <w:szCs w:val="19"/>
          <w:i w:val="1"/>
          <w:iCs w:val="1"/>
          <w:color w:val="auto"/>
        </w:rPr>
        <w:t>Non-Solicitation of Clients</w:t>
      </w:r>
      <w:r>
        <w:rPr>
          <w:rFonts w:ascii="Arial" w:cs="Arial" w:eastAsia="Arial" w:hAnsi="Arial"/>
          <w:sz w:val="19"/>
          <w:szCs w:val="19"/>
          <w:color w:val="auto"/>
        </w:rPr>
        <w:t>. Until the end of the twelve (12) month period following the end of the Scheduled Term,</w:t>
      </w:r>
      <w:r>
        <w:rPr>
          <w:rFonts w:ascii="Arial" w:cs="Arial" w:eastAsia="Arial" w:hAnsi="Arial"/>
          <w:sz w:val="19"/>
          <w:szCs w:val="19"/>
          <w:i w:val="1"/>
          <w:iCs w:val="1"/>
          <w:color w:val="auto"/>
        </w:rPr>
        <w:t xml:space="preserve"> </w:t>
      </w:r>
      <w:r>
        <w:rPr>
          <w:rFonts w:ascii="Arial" w:cs="Arial" w:eastAsia="Arial" w:hAnsi="Arial"/>
          <w:sz w:val="19"/>
          <w:szCs w:val="19"/>
          <w:color w:val="auto"/>
        </w:rPr>
        <w:t>you will not Solicit any Client to transact business with a Competitive Enterprise or to reduce or refrain from doing any business with the Company or interfere with or damage any relationship between the Company and a Client.</w:t>
      </w:r>
    </w:p>
    <w:p>
      <w:pPr>
        <w:spacing w:after="0" w:line="139" w:lineRule="exact"/>
        <w:rPr>
          <w:rFonts w:ascii="Arial" w:cs="Arial" w:eastAsia="Arial" w:hAnsi="Arial"/>
          <w:sz w:val="19"/>
          <w:szCs w:val="19"/>
          <w:color w:val="010000"/>
        </w:rPr>
      </w:pPr>
    </w:p>
    <w:p>
      <w:pPr>
        <w:jc w:val="both"/>
        <w:ind w:left="882" w:hanging="882"/>
        <w:spacing w:after="0" w:line="275" w:lineRule="auto"/>
        <w:tabs>
          <w:tab w:leader="none" w:pos="882" w:val="left"/>
        </w:tabs>
        <w:numPr>
          <w:ilvl w:val="0"/>
          <w:numId w:val="75"/>
        </w:numPr>
        <w:rPr>
          <w:rFonts w:ascii="Arial" w:cs="Arial" w:eastAsia="Arial" w:hAnsi="Arial"/>
          <w:sz w:val="19"/>
          <w:szCs w:val="19"/>
          <w:color w:val="010000"/>
        </w:rPr>
      </w:pPr>
      <w:r>
        <w:rPr>
          <w:rFonts w:ascii="Arial" w:cs="Arial" w:eastAsia="Arial" w:hAnsi="Arial"/>
          <w:sz w:val="19"/>
          <w:szCs w:val="19"/>
          <w:i w:val="1"/>
          <w:iCs w:val="1"/>
          <w:color w:val="auto"/>
        </w:rPr>
        <w:t>Non-Solicitation of Company Employees</w:t>
      </w:r>
      <w:r>
        <w:rPr>
          <w:rFonts w:ascii="Arial" w:cs="Arial" w:eastAsia="Arial" w:hAnsi="Arial"/>
          <w:sz w:val="19"/>
          <w:szCs w:val="19"/>
          <w:color w:val="auto"/>
        </w:rPr>
        <w:t>. Until the end of the twelve (12) month period following the end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Scheduled Term, you will not attempt to Solicit anyone who is then an employee or consultant of the Company (or who was an employee or consultant of the Company within the prior six months) to resign from or cease to provide services to the Company or to apply for or accept employment with any Competitive Enterprise.</w:t>
      </w:r>
    </w:p>
    <w:p>
      <w:pPr>
        <w:spacing w:after="0" w:line="145" w:lineRule="exact"/>
        <w:rPr>
          <w:rFonts w:ascii="Arial" w:cs="Arial" w:eastAsia="Arial" w:hAnsi="Arial"/>
          <w:sz w:val="19"/>
          <w:szCs w:val="19"/>
          <w:color w:val="010000"/>
        </w:rPr>
      </w:pPr>
    </w:p>
    <w:p>
      <w:pPr>
        <w:jc w:val="both"/>
        <w:ind w:left="882" w:hanging="882"/>
        <w:spacing w:after="0" w:line="245" w:lineRule="auto"/>
        <w:tabs>
          <w:tab w:leader="none" w:pos="882" w:val="left"/>
        </w:tabs>
        <w:numPr>
          <w:ilvl w:val="0"/>
          <w:numId w:val="75"/>
        </w:numPr>
        <w:rPr>
          <w:rFonts w:ascii="Arial" w:cs="Arial" w:eastAsia="Arial" w:hAnsi="Arial"/>
          <w:sz w:val="21"/>
          <w:szCs w:val="21"/>
          <w:color w:val="010000"/>
        </w:rPr>
      </w:pPr>
      <w:r>
        <w:rPr>
          <w:rFonts w:ascii="Arial" w:cs="Arial" w:eastAsia="Arial" w:hAnsi="Arial"/>
          <w:sz w:val="21"/>
          <w:szCs w:val="21"/>
          <w:i w:val="1"/>
          <w:iCs w:val="1"/>
          <w:color w:val="auto"/>
        </w:rPr>
        <w:t>Notice to New Employers</w:t>
      </w:r>
      <w:r>
        <w:rPr>
          <w:rFonts w:ascii="Arial" w:cs="Arial" w:eastAsia="Arial" w:hAnsi="Arial"/>
          <w:sz w:val="21"/>
          <w:szCs w:val="21"/>
          <w:color w:val="auto"/>
        </w:rPr>
        <w:t>. Before you accept employment with any other person or entity while this Section 8 is in</w:t>
      </w:r>
      <w:r>
        <w:rPr>
          <w:rFonts w:ascii="Arial" w:cs="Arial" w:eastAsia="Arial" w:hAnsi="Arial"/>
          <w:sz w:val="21"/>
          <w:szCs w:val="21"/>
          <w:i w:val="1"/>
          <w:iCs w:val="1"/>
          <w:color w:val="auto"/>
        </w:rPr>
        <w:t xml:space="preserve"> </w:t>
      </w:r>
      <w:r>
        <w:rPr>
          <w:rFonts w:ascii="Arial" w:cs="Arial" w:eastAsia="Arial" w:hAnsi="Arial"/>
          <w:sz w:val="21"/>
          <w:szCs w:val="21"/>
          <w:color w:val="auto"/>
        </w:rPr>
        <w:t>effect, you will provide the prospective employer with written notice of the provisions of this Section 8 and will deliver a copy of the notice to the Company.</w:t>
      </w:r>
    </w:p>
    <w:p>
      <w:pPr>
        <w:spacing w:after="0" w:line="382" w:lineRule="exact"/>
        <w:rPr>
          <w:sz w:val="20"/>
          <w:szCs w:val="20"/>
          <w:color w:val="auto"/>
        </w:rPr>
      </w:pPr>
    </w:p>
    <w:p>
      <w:pPr>
        <w:ind w:left="4742"/>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2"/>
          </w:cols>
          <w:pgMar w:left="1118" w:top="327" w:right="239" w:bottom="1440" w:gutter="0" w:footer="0" w:header="0"/>
        </w:sectPr>
      </w:pPr>
    </w:p>
    <w:bookmarkStart w:id="127" w:name="page128"/>
    <w:bookmarkEnd w:id="127"/>
    <w:p>
      <w:pPr>
        <w:jc w:val="both"/>
        <w:ind w:left="1760" w:hanging="882"/>
        <w:spacing w:after="0" w:line="262" w:lineRule="auto"/>
        <w:tabs>
          <w:tab w:leader="none" w:pos="1760" w:val="left"/>
        </w:tabs>
        <w:numPr>
          <w:ilvl w:val="1"/>
          <w:numId w:val="76"/>
        </w:numPr>
        <w:rPr>
          <w:rFonts w:ascii="Arial" w:cs="Arial" w:eastAsia="Arial" w:hAnsi="Arial"/>
          <w:sz w:val="19"/>
          <w:szCs w:val="19"/>
          <w:color w:val="010000"/>
        </w:rPr>
      </w:pPr>
      <w:r>
        <w:rPr>
          <w:rFonts w:ascii="Arial" w:cs="Arial" w:eastAsia="Arial" w:hAnsi="Arial"/>
          <w:sz w:val="19"/>
          <w:szCs w:val="19"/>
          <w:i w:val="1"/>
          <w:iCs w:val="1"/>
          <w:color w:val="auto"/>
        </w:rPr>
        <w:t>Other Employment</w:t>
      </w:r>
      <w:r>
        <w:rPr>
          <w:rFonts w:ascii="Arial" w:cs="Arial" w:eastAsia="Arial" w:hAnsi="Arial"/>
          <w:sz w:val="19"/>
          <w:szCs w:val="19"/>
          <w:color w:val="auto"/>
        </w:rPr>
        <w:t>. Notwithstanding anything to the contrary contained in this Agreement or the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no term or condition of this Agreement or the Employee’s Agreement shall restrict you from continuing employment as Chief Executive Officer of Vivial, Inc. in a manner substantially similar to how such employment is conducted as of the date of this Agreement. You hereby represent and warrant to the Company that</w:t>
      </w:r>
    </w:p>
    <w:p>
      <w:pPr>
        <w:spacing w:after="0" w:line="2" w:lineRule="exact"/>
        <w:rPr>
          <w:rFonts w:ascii="Arial" w:cs="Arial" w:eastAsia="Arial" w:hAnsi="Arial"/>
          <w:sz w:val="19"/>
          <w:szCs w:val="19"/>
          <w:color w:val="010000"/>
        </w:rPr>
      </w:pPr>
    </w:p>
    <w:p>
      <w:pPr>
        <w:jc w:val="both"/>
        <w:ind w:left="1760"/>
        <w:spacing w:after="0" w:line="260" w:lineRule="auto"/>
        <w:rPr>
          <w:rFonts w:ascii="Arial" w:cs="Arial" w:eastAsia="Arial" w:hAnsi="Arial"/>
          <w:sz w:val="19"/>
          <w:szCs w:val="19"/>
          <w:color w:val="010000"/>
        </w:rPr>
      </w:pPr>
      <w:r>
        <w:rPr>
          <w:rFonts w:ascii="Arial" w:cs="Arial" w:eastAsia="Arial" w:hAnsi="Arial"/>
          <w:sz w:val="19"/>
          <w:szCs w:val="19"/>
          <w:color w:val="auto"/>
        </w:rPr>
        <w:t>(a) the execution, delivery and performance of this Agreement by you does not and shall not conflict with, breach, violate or cause a default under any contract, agreement, instrument, order, judgment or decree to which you are a party or by which you are bound, (b) you are not a party to or bound by any employment agreement, consulting agreement, non-compete agreement, confidentiality agreement or other restriction with any other person or entity, which would be breached by entering into this Agreement, and (c) you will abide by all contractual obligations that you may have to all prior employers or other persons or entities, and you will not retain, review, or utilize any other person's or entity's confidential or proprietary information or trade secrets in connection with your work for the Company, or share or disclose any such information with or to the Company or any of its personnel. You agree to immediately notify the Company, in writing, if any representation in this Section 8 is or becomes untrue or inaccurate at any time. In addition, should you become aware of any reason that you cannot remain employed by the Company or fully execute your responsibilities for the Company, or should a former employer or any other person or entity allege that you are in violation of any obligation to such person or entity, or if you believe any violation of law exists relating to the Company, you promise to immediately so notify the Company in writing.</w:t>
      </w:r>
    </w:p>
    <w:p>
      <w:pPr>
        <w:spacing w:after="0" w:line="157" w:lineRule="exact"/>
        <w:rPr>
          <w:rFonts w:ascii="Arial" w:cs="Arial" w:eastAsia="Arial" w:hAnsi="Arial"/>
          <w:sz w:val="19"/>
          <w:szCs w:val="19"/>
          <w:color w:val="010000"/>
        </w:rPr>
      </w:pPr>
    </w:p>
    <w:p>
      <w:pPr>
        <w:ind w:left="840" w:hanging="836"/>
        <w:spacing w:after="0"/>
        <w:tabs>
          <w:tab w:leader="none" w:pos="840" w:val="left"/>
        </w:tabs>
        <w:numPr>
          <w:ilvl w:val="0"/>
          <w:numId w:val="77"/>
        </w:numPr>
        <w:rPr>
          <w:rFonts w:ascii="Arial" w:cs="Arial" w:eastAsia="Arial" w:hAnsi="Arial"/>
          <w:sz w:val="21"/>
          <w:szCs w:val="21"/>
          <w:b w:val="1"/>
          <w:bCs w:val="1"/>
          <w:color w:val="010000"/>
        </w:rPr>
      </w:pPr>
      <w:r>
        <w:rPr>
          <w:rFonts w:ascii="Arial" w:cs="Arial" w:eastAsia="Arial" w:hAnsi="Arial"/>
          <w:sz w:val="21"/>
          <w:szCs w:val="21"/>
          <w:b w:val="1"/>
          <w:bCs w:val="1"/>
          <w:color w:val="auto"/>
        </w:rPr>
        <w:t>Effect on Other Agreements; Entire Agreement</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This Agreement and the Employee’s Agreement contain the entire agreement between you and the Company with respect to the relationship 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 or the Employee’s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28" w:name="page129"/>
    <w:bookmarkEnd w:id="128"/>
    <w:p>
      <w:pPr>
        <w:spacing w:after="0"/>
        <w:tabs>
          <w:tab w:leader="none" w:pos="880" w:val="left"/>
        </w:tabs>
        <w:rPr>
          <w:sz w:val="20"/>
          <w:szCs w:val="20"/>
          <w:color w:val="auto"/>
        </w:rPr>
      </w:pPr>
      <w:r>
        <w:rPr>
          <w:rFonts w:ascii="Arial" w:cs="Arial" w:eastAsia="Arial" w:hAnsi="Arial"/>
          <w:sz w:val="21"/>
          <w:szCs w:val="21"/>
          <w:b w:val="1"/>
          <w:bCs w:val="1"/>
          <w:color w:val="010000"/>
        </w:rPr>
        <w:t>9a.</w:t>
      </w:r>
      <w:r>
        <w:rPr>
          <w:sz w:val="20"/>
          <w:szCs w:val="20"/>
          <w:color w:val="auto"/>
        </w:rPr>
        <w:tab/>
      </w:r>
      <w:r>
        <w:rPr>
          <w:rFonts w:ascii="Arial" w:cs="Arial" w:eastAsia="Arial" w:hAnsi="Arial"/>
          <w:sz w:val="21"/>
          <w:szCs w:val="21"/>
          <w:b w:val="1"/>
          <w:bCs w:val="1"/>
          <w:color w:val="010000"/>
        </w:rPr>
        <w:t>Indemnification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Pursuant to the Company’s articles of incorporation and bylaws, the Company will indemnify you and advance or reimburse expenses to the same extent as the most favorable indemnification and advancement or reimbursement of expenses provisions applicable to any member of the Board. If the Company’s ability to make any payment contemplated by your applicable indemnification and advancement or reimbursement of expenses provisions depends on an investigation or determination by the Board or any member of the Company, at your request the Company will use its best efforts to cause the investigation to be made (at the Company’s expense) and to have the Board reach a determination as soon as reasonably possible. For the avoidance of doubt, the obligations of the Company under this Section 9(a), shall include if you are or were involved in any matter (including, without limitation as a party or witness) or is threatened to be made so involved in any threatened, pending or completed investigation, claim, action, suit or proceeding, whether civil, criminal, administrative or investigative (a “</w:t>
      </w:r>
      <w:r>
        <w:rPr>
          <w:rFonts w:ascii="Arial" w:cs="Arial" w:eastAsia="Arial" w:hAnsi="Arial"/>
          <w:sz w:val="20"/>
          <w:szCs w:val="20"/>
          <w:i w:val="1"/>
          <w:iCs w:val="1"/>
          <w:color w:val="auto"/>
        </w:rPr>
        <w:t>Proceeding</w:t>
      </w:r>
      <w:r>
        <w:rPr>
          <w:rFonts w:ascii="Arial" w:cs="Arial" w:eastAsia="Arial" w:hAnsi="Arial"/>
          <w:sz w:val="20"/>
          <w:szCs w:val="20"/>
          <w:color w:val="auto"/>
        </w:rPr>
        <w:t>”) by reason of the fact that you are or were a director, officer or agent of the Company and shall cover Proceedings whether now pending or hereafter commenced and shall be retroactive to cover acts or omissions or alleged acts or omissions relating to the Company or any of its affiliates that take pace during your tenure with the Company, subject to the terms set forth above.</w:t>
      </w:r>
    </w:p>
    <w:p>
      <w:pPr>
        <w:spacing w:after="0" w:line="167" w:lineRule="exact"/>
        <w:rPr>
          <w:sz w:val="20"/>
          <w:szCs w:val="20"/>
          <w:color w:val="auto"/>
        </w:rPr>
      </w:pPr>
    </w:p>
    <w:p>
      <w:pPr>
        <w:ind w:left="900" w:hanging="896"/>
        <w:spacing w:after="0"/>
        <w:tabs>
          <w:tab w:leader="none" w:pos="900" w:val="left"/>
        </w:tabs>
        <w:numPr>
          <w:ilvl w:val="0"/>
          <w:numId w:val="78"/>
        </w:numPr>
        <w:rPr>
          <w:rFonts w:ascii="Arial" w:cs="Arial" w:eastAsia="Arial" w:hAnsi="Arial"/>
          <w:sz w:val="21"/>
          <w:szCs w:val="21"/>
          <w:b w:val="1"/>
          <w:bCs w:val="1"/>
          <w:color w:val="010000"/>
        </w:rPr>
      </w:pPr>
      <w:r>
        <w:rPr>
          <w:rFonts w:ascii="Arial" w:cs="Arial" w:eastAsia="Arial" w:hAnsi="Arial"/>
          <w:sz w:val="21"/>
          <w:szCs w:val="21"/>
          <w:b w:val="1"/>
          <w:bCs w:val="1"/>
          <w:color w:val="auto"/>
        </w:rPr>
        <w:t>Successors</w:t>
      </w:r>
    </w:p>
    <w:p>
      <w:pPr>
        <w:spacing w:after="0" w:line="207" w:lineRule="exact"/>
        <w:rPr>
          <w:rFonts w:ascii="Arial" w:cs="Arial" w:eastAsia="Arial" w:hAnsi="Arial"/>
          <w:sz w:val="21"/>
          <w:szCs w:val="21"/>
          <w:b w:val="1"/>
          <w:bCs w:val="1"/>
          <w:color w:val="010000"/>
        </w:rPr>
      </w:pPr>
    </w:p>
    <w:p>
      <w:pPr>
        <w:jc w:val="both"/>
        <w:ind w:left="1760" w:hanging="882"/>
        <w:spacing w:after="0" w:line="241" w:lineRule="auto"/>
        <w:tabs>
          <w:tab w:leader="none" w:pos="1760" w:val="left"/>
        </w:tabs>
        <w:numPr>
          <w:ilvl w:val="1"/>
          <w:numId w:val="78"/>
        </w:numPr>
        <w:rPr>
          <w:rFonts w:ascii="Arial" w:cs="Arial" w:eastAsia="Arial" w:hAnsi="Arial"/>
          <w:sz w:val="21"/>
          <w:szCs w:val="21"/>
          <w:color w:val="010000"/>
        </w:rPr>
      </w:pPr>
      <w:r>
        <w:rPr>
          <w:rFonts w:ascii="Arial" w:cs="Arial" w:eastAsia="Arial" w:hAnsi="Arial"/>
          <w:sz w:val="21"/>
          <w:szCs w:val="21"/>
          <w:i w:val="1"/>
          <w:iCs w:val="1"/>
          <w:color w:val="auto"/>
        </w:rPr>
        <w:t>Assignment by You</w:t>
      </w:r>
      <w:r>
        <w:rPr>
          <w:rFonts w:ascii="Arial" w:cs="Arial" w:eastAsia="Arial" w:hAnsi="Arial"/>
          <w:sz w:val="21"/>
          <w:szCs w:val="21"/>
          <w:color w:val="auto"/>
        </w:rPr>
        <w:t>. You may not assign this Agreement without the Company’s consent. Also, except as required</w:t>
      </w:r>
      <w:r>
        <w:rPr>
          <w:rFonts w:ascii="Arial" w:cs="Arial" w:eastAsia="Arial" w:hAnsi="Arial"/>
          <w:sz w:val="21"/>
          <w:szCs w:val="21"/>
          <w:i w:val="1"/>
          <w:iCs w:val="1"/>
          <w:color w:val="auto"/>
        </w:rPr>
        <w:t xml:space="preserve"> </w:t>
      </w:r>
      <w:r>
        <w:rPr>
          <w:rFonts w:ascii="Arial" w:cs="Arial" w:eastAsia="Arial" w:hAnsi="Arial"/>
          <w:sz w:val="21"/>
          <w:szCs w:val="21"/>
          <w:color w:val="auto"/>
        </w:rPr>
        <w:t>by law, your right to receive payments or benefits under this Agreement may not be subject to execution, attachment, levy or similar process. Any attempt to effect any of the preceding in violation of this Section 10, whether voluntary or involuntary, will be void.</w:t>
      </w:r>
    </w:p>
    <w:p>
      <w:pPr>
        <w:spacing w:after="0" w:line="177" w:lineRule="exact"/>
        <w:rPr>
          <w:rFonts w:ascii="Arial" w:cs="Arial" w:eastAsia="Arial" w:hAnsi="Arial"/>
          <w:sz w:val="21"/>
          <w:szCs w:val="21"/>
          <w:color w:val="010000"/>
        </w:rPr>
      </w:pPr>
    </w:p>
    <w:p>
      <w:pPr>
        <w:jc w:val="both"/>
        <w:ind w:left="1760" w:hanging="882"/>
        <w:spacing w:after="0" w:line="236" w:lineRule="auto"/>
        <w:tabs>
          <w:tab w:leader="none" w:pos="1760" w:val="left"/>
        </w:tabs>
        <w:numPr>
          <w:ilvl w:val="1"/>
          <w:numId w:val="78"/>
        </w:numPr>
        <w:rPr>
          <w:rFonts w:ascii="Arial" w:cs="Arial" w:eastAsia="Arial" w:hAnsi="Arial"/>
          <w:sz w:val="21"/>
          <w:szCs w:val="21"/>
          <w:color w:val="010000"/>
        </w:rPr>
      </w:pPr>
      <w:r>
        <w:rPr>
          <w:rFonts w:ascii="Arial" w:cs="Arial" w:eastAsia="Arial" w:hAnsi="Arial"/>
          <w:sz w:val="21"/>
          <w:szCs w:val="21"/>
          <w:i w:val="1"/>
          <w:iCs w:val="1"/>
          <w:color w:val="auto"/>
        </w:rPr>
        <w:t>Assumption by any Surviving Company</w:t>
      </w:r>
      <w:r>
        <w:rPr>
          <w:rFonts w:ascii="Arial" w:cs="Arial" w:eastAsia="Arial" w:hAnsi="Arial"/>
          <w:sz w:val="21"/>
          <w:szCs w:val="21"/>
          <w:color w:val="auto"/>
        </w:rPr>
        <w:t>. Before the effectiveness of any merger, consolidation, statutory share</w:t>
      </w:r>
      <w:r>
        <w:rPr>
          <w:rFonts w:ascii="Arial" w:cs="Arial" w:eastAsia="Arial" w:hAnsi="Arial"/>
          <w:sz w:val="21"/>
          <w:szCs w:val="21"/>
          <w:i w:val="1"/>
          <w:iCs w:val="1"/>
          <w:color w:val="auto"/>
        </w:rPr>
        <w:t xml:space="preserve"> </w:t>
      </w:r>
      <w:r>
        <w:rPr>
          <w:rFonts w:ascii="Arial" w:cs="Arial" w:eastAsia="Arial" w:hAnsi="Arial"/>
          <w:sz w:val="21"/>
          <w:szCs w:val="21"/>
          <w:color w:val="auto"/>
        </w:rPr>
        <w:t>exchange or similar transaction (including an exchange offer combined with a merger or consolidation) involving the Company (a “</w:t>
      </w:r>
      <w:r>
        <w:rPr>
          <w:rFonts w:ascii="Arial" w:cs="Arial" w:eastAsia="Arial" w:hAnsi="Arial"/>
          <w:sz w:val="21"/>
          <w:szCs w:val="21"/>
          <w:i w:val="1"/>
          <w:iCs w:val="1"/>
          <w:color w:val="auto"/>
        </w:rPr>
        <w:t>Reorganization</w:t>
      </w:r>
      <w:r>
        <w:rPr>
          <w:rFonts w:ascii="Arial" w:cs="Arial" w:eastAsia="Arial" w:hAnsi="Arial"/>
          <w:sz w:val="21"/>
          <w:szCs w:val="21"/>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21"/>
          <w:szCs w:val="21"/>
          <w:i w:val="1"/>
          <w:iCs w:val="1"/>
          <w:color w:val="auto"/>
        </w:rPr>
        <w:t>Sale</w:t>
      </w:r>
      <w:r>
        <w:rPr>
          <w:rFonts w:ascii="Arial" w:cs="Arial" w:eastAsia="Arial" w:hAnsi="Arial"/>
          <w:sz w:val="21"/>
          <w:szCs w:val="21"/>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21"/>
          <w:szCs w:val="21"/>
          <w:i w:val="1"/>
          <w:iCs w:val="1"/>
          <w:color w:val="auto"/>
        </w:rPr>
        <w:t>Surviving Company</w:t>
      </w:r>
      <w:r>
        <w:rPr>
          <w:rFonts w:ascii="Arial" w:cs="Arial" w:eastAsia="Arial" w:hAnsi="Arial"/>
          <w:sz w:val="21"/>
          <w:szCs w:val="21"/>
          <w:color w:val="auto"/>
        </w:rPr>
        <w:t>” means (A) in a Reorganization, the entity resulting from the Reorganization or (B) in a Sale, the entity that has acquired all or substantially all of the assets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29" w:name="page130"/>
    <w:bookmarkEnd w:id="129"/>
    <w:p>
      <w:pPr>
        <w:ind w:left="880" w:hanging="876"/>
        <w:spacing w:after="0"/>
        <w:tabs>
          <w:tab w:leader="none" w:pos="880" w:val="left"/>
        </w:tabs>
        <w:numPr>
          <w:ilvl w:val="0"/>
          <w:numId w:val="79"/>
        </w:numPr>
        <w:rPr>
          <w:rFonts w:ascii="Arial" w:cs="Arial" w:eastAsia="Arial" w:hAnsi="Arial"/>
          <w:sz w:val="21"/>
          <w:szCs w:val="21"/>
          <w:b w:val="1"/>
          <w:bCs w:val="1"/>
          <w:color w:val="010000"/>
        </w:rPr>
      </w:pPr>
      <w:r>
        <w:rPr>
          <w:rFonts w:ascii="Arial" w:cs="Arial" w:eastAsia="Arial" w:hAnsi="Arial"/>
          <w:sz w:val="21"/>
          <w:szCs w:val="21"/>
          <w:b w:val="1"/>
          <w:bCs w:val="1"/>
          <w:color w:val="auto"/>
        </w:rPr>
        <w:t>General Provisions</w:t>
      </w:r>
    </w:p>
    <w:p>
      <w:pPr>
        <w:spacing w:after="0" w:line="207" w:lineRule="exact"/>
        <w:rPr>
          <w:rFonts w:ascii="Arial" w:cs="Arial" w:eastAsia="Arial" w:hAnsi="Arial"/>
          <w:sz w:val="21"/>
          <w:szCs w:val="21"/>
          <w:b w:val="1"/>
          <w:bCs w:val="1"/>
          <w:color w:val="010000"/>
        </w:rPr>
      </w:pPr>
    </w:p>
    <w:p>
      <w:pPr>
        <w:jc w:val="both"/>
        <w:ind w:left="1760" w:hanging="882"/>
        <w:spacing w:after="0" w:line="245" w:lineRule="auto"/>
        <w:tabs>
          <w:tab w:leader="none" w:pos="1760" w:val="left"/>
        </w:tabs>
        <w:numPr>
          <w:ilvl w:val="1"/>
          <w:numId w:val="79"/>
        </w:numPr>
        <w:rPr>
          <w:rFonts w:ascii="Arial" w:cs="Arial" w:eastAsia="Arial" w:hAnsi="Arial"/>
          <w:sz w:val="21"/>
          <w:szCs w:val="21"/>
          <w:color w:val="010000"/>
        </w:rPr>
      </w:pPr>
      <w:r>
        <w:rPr>
          <w:rFonts w:ascii="Arial" w:cs="Arial" w:eastAsia="Arial" w:hAnsi="Arial"/>
          <w:sz w:val="21"/>
          <w:szCs w:val="21"/>
          <w:i w:val="1"/>
          <w:iCs w:val="1"/>
          <w:color w:val="auto"/>
        </w:rPr>
        <w:t>Withholding</w:t>
      </w:r>
      <w:r>
        <w:rPr>
          <w:rFonts w:ascii="Arial" w:cs="Arial" w:eastAsia="Arial" w:hAnsi="Arial"/>
          <w:sz w:val="21"/>
          <w:szCs w:val="21"/>
          <w:color w:val="auto"/>
        </w:rPr>
        <w:t>. You and the Company will treat all payments to you under this Agreement as compensation for</w:t>
      </w:r>
      <w:r>
        <w:rPr>
          <w:rFonts w:ascii="Arial" w:cs="Arial" w:eastAsia="Arial" w:hAnsi="Arial"/>
          <w:sz w:val="21"/>
          <w:szCs w:val="21"/>
          <w:i w:val="1"/>
          <w:iCs w:val="1"/>
          <w:color w:val="auto"/>
        </w:rPr>
        <w:t xml:space="preserve"> </w:t>
      </w:r>
      <w:r>
        <w:rPr>
          <w:rFonts w:ascii="Arial" w:cs="Arial" w:eastAsia="Arial" w:hAnsi="Arial"/>
          <w:sz w:val="21"/>
          <w:szCs w:val="21"/>
          <w:color w:val="auto"/>
        </w:rPr>
        <w:t>services. Accordingly, the Company may withhold from any payment any taxes that are required to be withheld under any law, rule or regulation.</w:t>
      </w:r>
    </w:p>
    <w:p>
      <w:pPr>
        <w:spacing w:after="0" w:line="172" w:lineRule="exact"/>
        <w:rPr>
          <w:rFonts w:ascii="Arial" w:cs="Arial" w:eastAsia="Arial" w:hAnsi="Arial"/>
          <w:sz w:val="21"/>
          <w:szCs w:val="21"/>
          <w:color w:val="010000"/>
        </w:rPr>
      </w:pPr>
    </w:p>
    <w:p>
      <w:pPr>
        <w:jc w:val="both"/>
        <w:ind w:left="1760" w:hanging="882"/>
        <w:spacing w:after="0" w:line="237" w:lineRule="auto"/>
        <w:tabs>
          <w:tab w:leader="none" w:pos="1760" w:val="left"/>
        </w:tabs>
        <w:numPr>
          <w:ilvl w:val="1"/>
          <w:numId w:val="79"/>
        </w:numPr>
        <w:rPr>
          <w:rFonts w:ascii="Arial" w:cs="Arial" w:eastAsia="Arial" w:hAnsi="Arial"/>
          <w:sz w:val="21"/>
          <w:szCs w:val="21"/>
          <w:color w:val="010000"/>
        </w:rPr>
      </w:pPr>
      <w:r>
        <w:rPr>
          <w:rFonts w:ascii="Arial" w:cs="Arial" w:eastAsia="Arial" w:hAnsi="Arial"/>
          <w:sz w:val="21"/>
          <w:szCs w:val="21"/>
          <w:i w:val="1"/>
          <w:iCs w:val="1"/>
          <w:color w:val="auto"/>
        </w:rPr>
        <w:t>Severability</w:t>
      </w:r>
      <w:r>
        <w:rPr>
          <w:rFonts w:ascii="Arial" w:cs="Arial" w:eastAsia="Arial" w:hAnsi="Arial"/>
          <w:sz w:val="21"/>
          <w:szCs w:val="21"/>
          <w:color w:val="auto"/>
        </w:rPr>
        <w:t>. If any provision of this Agreement is found by any court of competent jurisdiction (or legally</w:t>
      </w:r>
      <w:r>
        <w:rPr>
          <w:rFonts w:ascii="Arial" w:cs="Arial" w:eastAsia="Arial" w:hAnsi="Arial"/>
          <w:sz w:val="21"/>
          <w:szCs w:val="21"/>
          <w:i w:val="1"/>
          <w:iCs w:val="1"/>
          <w:color w:val="auto"/>
        </w:rPr>
        <w:t xml:space="preserve"> </w:t>
      </w:r>
      <w:r>
        <w:rPr>
          <w:rFonts w:ascii="Arial" w:cs="Arial" w:eastAsia="Arial" w:hAnsi="Arial"/>
          <w:sz w:val="21"/>
          <w:szCs w:val="21"/>
          <w:color w:val="auto"/>
        </w:rPr>
        <w:t>empowered agency) to be illegal, invalid or 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181" w:lineRule="exact"/>
        <w:rPr>
          <w:rFonts w:ascii="Arial" w:cs="Arial" w:eastAsia="Arial" w:hAnsi="Arial"/>
          <w:sz w:val="21"/>
          <w:szCs w:val="21"/>
          <w:color w:val="010000"/>
        </w:rPr>
      </w:pPr>
    </w:p>
    <w:p>
      <w:pPr>
        <w:jc w:val="both"/>
        <w:ind w:left="1760" w:hanging="882"/>
        <w:spacing w:after="0" w:line="239" w:lineRule="auto"/>
        <w:tabs>
          <w:tab w:leader="none" w:pos="1760" w:val="left"/>
        </w:tabs>
        <w:numPr>
          <w:ilvl w:val="1"/>
          <w:numId w:val="79"/>
        </w:numPr>
        <w:rPr>
          <w:rFonts w:ascii="Arial" w:cs="Arial" w:eastAsia="Arial" w:hAnsi="Arial"/>
          <w:sz w:val="21"/>
          <w:szCs w:val="21"/>
          <w:color w:val="010000"/>
        </w:rPr>
      </w:pPr>
      <w:r>
        <w:rPr>
          <w:rFonts w:ascii="Arial" w:cs="Arial" w:eastAsia="Arial" w:hAnsi="Arial"/>
          <w:sz w:val="21"/>
          <w:szCs w:val="21"/>
          <w:i w:val="1"/>
          <w:iCs w:val="1"/>
          <w:color w:val="auto"/>
        </w:rPr>
        <w:t>No Set-off or Mitigation</w:t>
      </w:r>
      <w:r>
        <w:rPr>
          <w:rFonts w:ascii="Arial" w:cs="Arial" w:eastAsia="Arial" w:hAnsi="Arial"/>
          <w:sz w:val="21"/>
          <w:szCs w:val="21"/>
          <w:color w:val="auto"/>
        </w:rPr>
        <w:t>. Your and the Company’s respective obligations under this Agreement will not be affected</w:t>
      </w:r>
      <w:r>
        <w:rPr>
          <w:rFonts w:ascii="Arial" w:cs="Arial" w:eastAsia="Arial" w:hAnsi="Arial"/>
          <w:sz w:val="21"/>
          <w:szCs w:val="21"/>
          <w:i w:val="1"/>
          <w:iCs w:val="1"/>
          <w:color w:val="auto"/>
        </w:rPr>
        <w:t xml:space="preserve"> </w:t>
      </w:r>
      <w:r>
        <w:rPr>
          <w:rFonts w:ascii="Arial" w:cs="Arial" w:eastAsia="Arial" w:hAnsi="Arial"/>
          <w:sz w:val="21"/>
          <w:szCs w:val="21"/>
          <w:color w:val="auto"/>
        </w:rPr>
        <w:t>by any set-off, counterclaim, recoupment or 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79" w:lineRule="exact"/>
        <w:rPr>
          <w:rFonts w:ascii="Arial" w:cs="Arial" w:eastAsia="Arial" w:hAnsi="Arial"/>
          <w:sz w:val="21"/>
          <w:szCs w:val="21"/>
          <w:color w:val="010000"/>
        </w:rPr>
      </w:pPr>
    </w:p>
    <w:p>
      <w:pPr>
        <w:jc w:val="both"/>
        <w:ind w:left="1760" w:hanging="882"/>
        <w:spacing w:after="0" w:line="268" w:lineRule="auto"/>
        <w:tabs>
          <w:tab w:leader="none" w:pos="1760" w:val="left"/>
        </w:tabs>
        <w:numPr>
          <w:ilvl w:val="1"/>
          <w:numId w:val="79"/>
        </w:numPr>
        <w:rPr>
          <w:rFonts w:ascii="Arial" w:cs="Arial" w:eastAsia="Arial" w:hAnsi="Arial"/>
          <w:sz w:val="19"/>
          <w:szCs w:val="19"/>
          <w:color w:val="010000"/>
        </w:rPr>
      </w:pPr>
      <w:r>
        <w:rPr>
          <w:rFonts w:ascii="Arial" w:cs="Arial" w:eastAsia="Arial" w:hAnsi="Arial"/>
          <w:sz w:val="19"/>
          <w:szCs w:val="19"/>
          <w:i w:val="1"/>
          <w:iCs w:val="1"/>
          <w:color w:val="auto"/>
        </w:rPr>
        <w:t>Notices</w:t>
      </w:r>
      <w:r>
        <w:rPr>
          <w:rFonts w:ascii="Arial" w:cs="Arial" w:eastAsia="Arial" w:hAnsi="Arial"/>
          <w:sz w:val="19"/>
          <w:szCs w:val="19"/>
          <w:color w:val="auto"/>
        </w:rPr>
        <w:t>. All notices, requests, demands and other communications under this Agreement must be in writing and</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deemed given (1) on the 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11(d)):</w:t>
      </w:r>
    </w:p>
    <w:p>
      <w:pPr>
        <w:spacing w:after="0" w:line="152" w:lineRule="exact"/>
        <w:rPr>
          <w:rFonts w:ascii="Arial" w:cs="Arial" w:eastAsia="Arial" w:hAnsi="Arial"/>
          <w:sz w:val="19"/>
          <w:szCs w:val="19"/>
          <w:color w:val="010000"/>
        </w:rPr>
      </w:pPr>
    </w:p>
    <w:p>
      <w:pPr>
        <w:ind w:left="1760"/>
        <w:spacing w:after="0"/>
        <w:rPr>
          <w:rFonts w:ascii="Arial" w:cs="Arial" w:eastAsia="Arial" w:hAnsi="Arial"/>
          <w:sz w:val="19"/>
          <w:szCs w:val="19"/>
          <w:color w:val="010000"/>
        </w:rPr>
      </w:pPr>
      <w:r>
        <w:rPr>
          <w:rFonts w:ascii="Arial" w:cs="Arial" w:eastAsia="Arial" w:hAnsi="Arial"/>
          <w:sz w:val="21"/>
          <w:szCs w:val="21"/>
          <w:color w:val="auto"/>
        </w:rPr>
        <w:t>If to you, to the address stated on the first page of this Agreement with a copy to:</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Jessica T. Rosenberg</w:t>
      </w:r>
    </w:p>
    <w:p>
      <w:pPr>
        <w:spacing w:after="0" w:line="4"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Kasowitz, Benson, Torres LLP</w:t>
      </w:r>
    </w:p>
    <w:p>
      <w:pPr>
        <w:ind w:left="2640"/>
        <w:spacing w:after="0" w:line="233" w:lineRule="auto"/>
        <w:rPr>
          <w:sz w:val="20"/>
          <w:szCs w:val="20"/>
          <w:color w:val="auto"/>
        </w:rPr>
      </w:pPr>
      <w:r>
        <w:rPr>
          <w:rFonts w:ascii="Arial" w:cs="Arial" w:eastAsia="Arial" w:hAnsi="Arial"/>
          <w:sz w:val="21"/>
          <w:szCs w:val="21"/>
          <w:color w:val="auto"/>
        </w:rPr>
        <w:t>1633 Broadway</w:t>
      </w:r>
    </w:p>
    <w:p>
      <w:pPr>
        <w:ind w:left="2640"/>
        <w:spacing w:after="0" w:line="233" w:lineRule="auto"/>
        <w:rPr>
          <w:sz w:val="20"/>
          <w:szCs w:val="20"/>
          <w:color w:val="auto"/>
        </w:rPr>
      </w:pPr>
      <w:r>
        <w:rPr>
          <w:rFonts w:ascii="Arial" w:cs="Arial" w:eastAsia="Arial" w:hAnsi="Arial"/>
          <w:sz w:val="21"/>
          <w:szCs w:val="21"/>
          <w:color w:val="auto"/>
        </w:rPr>
        <w:t>New York, New York 10019</w:t>
      </w:r>
    </w:p>
    <w:p>
      <w:pPr>
        <w:ind w:left="2640"/>
        <w:spacing w:after="0"/>
        <w:rPr>
          <w:sz w:val="20"/>
          <w:szCs w:val="20"/>
          <w:color w:val="auto"/>
        </w:rPr>
      </w:pPr>
      <w:r>
        <w:rPr>
          <w:rFonts w:ascii="Arial" w:cs="Arial" w:eastAsia="Arial" w:hAnsi="Arial"/>
          <w:sz w:val="21"/>
          <w:szCs w:val="21"/>
          <w:color w:val="auto"/>
        </w:rPr>
        <w:t>jrosenberg@kasowitz.com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29297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30" w:name="page131"/>
    <w:bookmarkEnd w:id="130"/>
    <w:p>
      <w:pPr>
        <w:ind w:left="882"/>
        <w:spacing w:after="0"/>
        <w:rPr>
          <w:sz w:val="20"/>
          <w:szCs w:val="20"/>
          <w:color w:val="auto"/>
        </w:rPr>
      </w:pPr>
      <w:r>
        <w:rPr>
          <w:rFonts w:ascii="Arial" w:cs="Arial" w:eastAsia="Arial" w:hAnsi="Arial"/>
          <w:sz w:val="21"/>
          <w:szCs w:val="21"/>
          <w:color w:val="auto"/>
        </w:rPr>
        <w:t>If to the Company or any other member of the Company, to:</w:t>
      </w:r>
    </w:p>
    <w:p>
      <w:pPr>
        <w:spacing w:after="0" w:line="202" w:lineRule="exact"/>
        <w:rPr>
          <w:sz w:val="20"/>
          <w:szCs w:val="20"/>
          <w:color w:val="auto"/>
        </w:rPr>
      </w:pPr>
    </w:p>
    <w:p>
      <w:pPr>
        <w:ind w:left="1762"/>
        <w:spacing w:after="0"/>
        <w:rPr>
          <w:sz w:val="20"/>
          <w:szCs w:val="20"/>
          <w:color w:val="auto"/>
        </w:rPr>
      </w:pPr>
      <w:r>
        <w:rPr>
          <w:rFonts w:ascii="Arial" w:cs="Arial" w:eastAsia="Arial" w:hAnsi="Arial"/>
          <w:sz w:val="21"/>
          <w:szCs w:val="21"/>
          <w:color w:val="auto"/>
        </w:rPr>
        <w:t>Eastman Kodak Company</w:t>
      </w:r>
    </w:p>
    <w:p>
      <w:pPr>
        <w:spacing w:after="0" w:line="4" w:lineRule="exact"/>
        <w:rPr>
          <w:sz w:val="20"/>
          <w:szCs w:val="20"/>
          <w:color w:val="auto"/>
        </w:rPr>
      </w:pPr>
    </w:p>
    <w:p>
      <w:pPr>
        <w:ind w:left="1762"/>
        <w:spacing w:after="0"/>
        <w:rPr>
          <w:sz w:val="20"/>
          <w:szCs w:val="20"/>
          <w:color w:val="auto"/>
        </w:rPr>
      </w:pPr>
      <w:r>
        <w:rPr>
          <w:rFonts w:ascii="Arial" w:cs="Arial" w:eastAsia="Arial" w:hAnsi="Arial"/>
          <w:sz w:val="21"/>
          <w:szCs w:val="21"/>
          <w:color w:val="auto"/>
        </w:rPr>
        <w:t>343 State Street</w:t>
      </w:r>
    </w:p>
    <w:p>
      <w:pPr>
        <w:ind w:left="1762"/>
        <w:spacing w:after="0" w:line="233" w:lineRule="auto"/>
        <w:rPr>
          <w:sz w:val="20"/>
          <w:szCs w:val="20"/>
          <w:color w:val="auto"/>
        </w:rPr>
      </w:pPr>
      <w:r>
        <w:rPr>
          <w:rFonts w:ascii="Arial" w:cs="Arial" w:eastAsia="Arial" w:hAnsi="Arial"/>
          <w:sz w:val="21"/>
          <w:szCs w:val="21"/>
          <w:color w:val="auto"/>
        </w:rPr>
        <w:t>Rochester, New York 14650-0224</w:t>
      </w:r>
    </w:p>
    <w:p>
      <w:pPr>
        <w:ind w:left="1762"/>
        <w:spacing w:after="0"/>
        <w:rPr>
          <w:sz w:val="20"/>
          <w:szCs w:val="20"/>
          <w:color w:val="auto"/>
        </w:rPr>
      </w:pPr>
      <w:r>
        <w:rPr>
          <w:rFonts w:ascii="Arial" w:cs="Arial" w:eastAsia="Arial" w:hAnsi="Arial"/>
          <w:sz w:val="21"/>
          <w:szCs w:val="21"/>
          <w:color w:val="auto"/>
        </w:rPr>
        <w:t>Attention: General Counsel</w:t>
      </w:r>
    </w:p>
    <w:p>
      <w:pPr>
        <w:spacing w:after="0" w:line="184" w:lineRule="exact"/>
        <w:rPr>
          <w:sz w:val="20"/>
          <w:szCs w:val="20"/>
          <w:color w:val="auto"/>
        </w:rPr>
      </w:pPr>
    </w:p>
    <w:p>
      <w:pPr>
        <w:jc w:val="both"/>
        <w:ind w:left="882" w:hanging="882"/>
        <w:spacing w:after="0" w:line="252" w:lineRule="auto"/>
        <w:tabs>
          <w:tab w:leader="none" w:pos="882" w:val="left"/>
        </w:tabs>
        <w:numPr>
          <w:ilvl w:val="0"/>
          <w:numId w:val="80"/>
        </w:numPr>
        <w:rPr>
          <w:rFonts w:ascii="Arial" w:cs="Arial" w:eastAsia="Arial" w:hAnsi="Arial"/>
          <w:sz w:val="20"/>
          <w:szCs w:val="20"/>
          <w:color w:val="010000"/>
        </w:rPr>
      </w:pPr>
      <w:r>
        <w:rPr>
          <w:rFonts w:ascii="Arial" w:cs="Arial" w:eastAsia="Arial" w:hAnsi="Arial"/>
          <w:sz w:val="20"/>
          <w:szCs w:val="20"/>
          <w:i w:val="1"/>
          <w:iCs w:val="1"/>
          <w:color w:val="auto"/>
        </w:rPr>
        <w:t>Amendments and Waivers</w:t>
      </w:r>
      <w:r>
        <w:rPr>
          <w:rFonts w:ascii="Arial" w:cs="Arial" w:eastAsia="Arial" w:hAnsi="Arial"/>
          <w:sz w:val="20"/>
          <w:szCs w:val="20"/>
          <w:color w:val="auto"/>
        </w:rPr>
        <w:t>. Any provision of this Agreement or the Employee’s Agreement may be amended or</w:t>
      </w:r>
      <w:r>
        <w:rPr>
          <w:rFonts w:ascii="Arial" w:cs="Arial" w:eastAsia="Arial" w:hAnsi="Arial"/>
          <w:sz w:val="20"/>
          <w:szCs w:val="20"/>
          <w:i w:val="1"/>
          <w:iCs w:val="1"/>
          <w:color w:val="auto"/>
        </w:rPr>
        <w:t xml:space="preserve"> </w:t>
      </w:r>
      <w:r>
        <w:rPr>
          <w:rFonts w:ascii="Arial" w:cs="Arial" w:eastAsia="Arial" w:hAnsi="Arial"/>
          <w:sz w:val="20"/>
          <w:szCs w:val="20"/>
          <w:color w:val="auto"/>
        </w:rPr>
        <w:t>waived, but only if the amendment or waiver is in writing and signed, in the case of an amendment, by you and the Company or, in the case of a waiver, by the party that would have benefited from the provision waived. Except as this Agreement or the Employee’s Agreement otherwise provides, no failure or delay by you or the Company to exercise any right or remedy under this Agreement will operate as a waiver, and no partial exercise of any right or remedy will preclude any further exercise.</w:t>
      </w:r>
    </w:p>
    <w:p>
      <w:pPr>
        <w:spacing w:after="0" w:line="167" w:lineRule="exact"/>
        <w:rPr>
          <w:rFonts w:ascii="Arial" w:cs="Arial" w:eastAsia="Arial" w:hAnsi="Arial"/>
          <w:sz w:val="20"/>
          <w:szCs w:val="20"/>
          <w:color w:val="010000"/>
        </w:rPr>
      </w:pPr>
    </w:p>
    <w:p>
      <w:pPr>
        <w:jc w:val="both"/>
        <w:ind w:left="882" w:hanging="882"/>
        <w:spacing w:after="0" w:line="261" w:lineRule="auto"/>
        <w:tabs>
          <w:tab w:leader="none" w:pos="882" w:val="left"/>
        </w:tabs>
        <w:numPr>
          <w:ilvl w:val="0"/>
          <w:numId w:val="80"/>
        </w:numPr>
        <w:rPr>
          <w:rFonts w:ascii="Arial" w:cs="Arial" w:eastAsia="Arial" w:hAnsi="Arial"/>
          <w:sz w:val="19"/>
          <w:szCs w:val="19"/>
          <w:color w:val="010000"/>
        </w:rPr>
      </w:pPr>
      <w:r>
        <w:rPr>
          <w:rFonts w:ascii="Arial" w:cs="Arial" w:eastAsia="Arial" w:hAnsi="Arial"/>
          <w:sz w:val="19"/>
          <w:szCs w:val="19"/>
          <w:i w:val="1"/>
          <w:iCs w:val="1"/>
          <w:color w:val="auto"/>
        </w:rPr>
        <w:t>Jurisdiction; Choice of Forum; Costs</w:t>
      </w:r>
      <w:r>
        <w:rPr>
          <w:rFonts w:ascii="Arial" w:cs="Arial" w:eastAsia="Arial" w:hAnsi="Arial"/>
          <w:sz w:val="19"/>
          <w:szCs w:val="19"/>
          <w:color w:val="auto"/>
        </w:rPr>
        <w:t>. You and the Company irrevocably submit to the exclusive jurisdiction of any</w:t>
      </w:r>
      <w:r>
        <w:rPr>
          <w:rFonts w:ascii="Arial" w:cs="Arial" w:eastAsia="Arial" w:hAnsi="Arial"/>
          <w:sz w:val="19"/>
          <w:szCs w:val="19"/>
          <w:i w:val="1"/>
          <w:iCs w:val="1"/>
          <w:color w:val="auto"/>
        </w:rPr>
        <w:t xml:space="preserve"> </w:t>
      </w:r>
      <w:r>
        <w:rPr>
          <w:rFonts w:ascii="Arial" w:cs="Arial" w:eastAsia="Arial" w:hAnsi="Arial"/>
          <w:sz w:val="19"/>
          <w:szCs w:val="19"/>
          <w:color w:val="auto"/>
        </w:rPr>
        <w:t>state or federal court located in the County of New York over any controversy or claim arising out of or relating to or concerning this Agreement or any aspect of your employment with the Company (together, an “</w:t>
      </w:r>
      <w:r>
        <w:rPr>
          <w:rFonts w:ascii="Arial" w:cs="Arial" w:eastAsia="Arial" w:hAnsi="Arial"/>
          <w:sz w:val="19"/>
          <w:szCs w:val="19"/>
          <w:i w:val="1"/>
          <w:iCs w:val="1"/>
          <w:color w:val="auto"/>
        </w:rPr>
        <w:t>Employment</w:t>
      </w:r>
      <w:r>
        <w:rPr>
          <w:rFonts w:ascii="Arial" w:cs="Arial" w:eastAsia="Arial" w:hAnsi="Arial"/>
          <w:sz w:val="19"/>
          <w:szCs w:val="19"/>
          <w:color w:val="auto"/>
        </w:rPr>
        <w:t xml:space="preserve"> </w:t>
      </w:r>
      <w:r>
        <w:rPr>
          <w:rFonts w:ascii="Arial" w:cs="Arial" w:eastAsia="Arial" w:hAnsi="Arial"/>
          <w:sz w:val="19"/>
          <w:szCs w:val="19"/>
          <w:i w:val="1"/>
          <w:iCs w:val="1"/>
          <w:color w:val="auto"/>
        </w:rPr>
        <w:t>Matter</w:t>
      </w:r>
      <w:r>
        <w:rPr>
          <w:rFonts w:ascii="Arial" w:cs="Arial" w:eastAsia="Arial" w:hAnsi="Arial"/>
          <w:sz w:val="19"/>
          <w:szCs w:val="19"/>
          <w:color w:val="auto"/>
        </w:rPr>
        <w:t>”). Both you and the Company (1) acknowledge that the forum stated in this Section 11(f) has a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11(f) in the forum stated in this Section, (3) agree not to commence any such action or proceeding in any forum other than the forum stated in this Section 11(f)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11(f). To the extent permitted by law, the Company will pay or reimburse any reasonable expenses, including reasonable attorney’s fees, you incur as a result of any Employment Matter.</w:t>
      </w:r>
    </w:p>
    <w:p>
      <w:pPr>
        <w:spacing w:after="0" w:line="161" w:lineRule="exact"/>
        <w:rPr>
          <w:rFonts w:ascii="Arial" w:cs="Arial" w:eastAsia="Arial" w:hAnsi="Arial"/>
          <w:sz w:val="19"/>
          <w:szCs w:val="19"/>
          <w:color w:val="010000"/>
        </w:rPr>
      </w:pPr>
    </w:p>
    <w:p>
      <w:pPr>
        <w:ind w:left="882" w:hanging="882"/>
        <w:spacing w:after="0" w:line="288" w:lineRule="auto"/>
        <w:tabs>
          <w:tab w:leader="none" w:pos="882" w:val="left"/>
        </w:tabs>
        <w:numPr>
          <w:ilvl w:val="0"/>
          <w:numId w:val="80"/>
        </w:numPr>
        <w:rPr>
          <w:rFonts w:ascii="Arial" w:cs="Arial" w:eastAsia="Arial" w:hAnsi="Arial"/>
          <w:sz w:val="20"/>
          <w:szCs w:val="20"/>
          <w:b w:val="1"/>
          <w:bCs w:val="1"/>
          <w:color w:val="010000"/>
        </w:rPr>
      </w:pPr>
      <w:r>
        <w:rPr>
          <w:rFonts w:ascii="Arial" w:cs="Arial" w:eastAsia="Arial" w:hAnsi="Arial"/>
          <w:sz w:val="20"/>
          <w:szCs w:val="20"/>
          <w:b w:val="1"/>
          <w:bCs w:val="1"/>
          <w:i w:val="1"/>
          <w:iCs w:val="1"/>
          <w:color w:val="auto"/>
        </w:rPr>
        <w:t>Governing Law</w:t>
      </w:r>
      <w:r>
        <w:rPr>
          <w:rFonts w:ascii="Arial" w:cs="Arial" w:eastAsia="Arial" w:hAnsi="Arial"/>
          <w:sz w:val="20"/>
          <w:szCs w:val="20"/>
          <w:b w:val="1"/>
          <w:bCs w:val="1"/>
          <w:color w:val="auto"/>
        </w:rPr>
        <w:t>. This Agreement will be governed by and construed in accordance with the law of the State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of New York applicable to contracts made and to be performed entirely within that State.</w:t>
      </w:r>
    </w:p>
    <w:p>
      <w:pPr>
        <w:spacing w:after="0" w:line="131" w:lineRule="exact"/>
        <w:rPr>
          <w:rFonts w:ascii="Arial" w:cs="Arial" w:eastAsia="Arial" w:hAnsi="Arial"/>
          <w:sz w:val="20"/>
          <w:szCs w:val="20"/>
          <w:b w:val="1"/>
          <w:bCs w:val="1"/>
          <w:color w:val="010000"/>
        </w:rPr>
      </w:pPr>
    </w:p>
    <w:p>
      <w:pPr>
        <w:ind w:left="882" w:hanging="882"/>
        <w:spacing w:after="0" w:line="257" w:lineRule="auto"/>
        <w:tabs>
          <w:tab w:leader="none" w:pos="882" w:val="left"/>
        </w:tabs>
        <w:numPr>
          <w:ilvl w:val="0"/>
          <w:numId w:val="80"/>
        </w:numPr>
        <w:rPr>
          <w:rFonts w:ascii="Arial" w:cs="Arial" w:eastAsia="Arial" w:hAnsi="Arial"/>
          <w:sz w:val="21"/>
          <w:szCs w:val="21"/>
          <w:color w:val="010000"/>
        </w:rPr>
      </w:pPr>
      <w:r>
        <w:rPr>
          <w:rFonts w:ascii="Arial" w:cs="Arial" w:eastAsia="Arial" w:hAnsi="Arial"/>
          <w:sz w:val="21"/>
          <w:szCs w:val="21"/>
          <w:i w:val="1"/>
          <w:iCs w:val="1"/>
          <w:color w:val="auto"/>
        </w:rPr>
        <w:t>Counterparts</w:t>
      </w:r>
      <w:r>
        <w:rPr>
          <w:rFonts w:ascii="Arial" w:cs="Arial" w:eastAsia="Arial" w:hAnsi="Arial"/>
          <w:sz w:val="21"/>
          <w:szCs w:val="21"/>
          <w:color w:val="auto"/>
        </w:rPr>
        <w:t>. This Agreement may be executed in counterparts, each of which will constitute an original and all of</w:t>
      </w:r>
      <w:r>
        <w:rPr>
          <w:rFonts w:ascii="Arial" w:cs="Arial" w:eastAsia="Arial" w:hAnsi="Arial"/>
          <w:sz w:val="21"/>
          <w:szCs w:val="21"/>
          <w:i w:val="1"/>
          <w:iCs w:val="1"/>
          <w:color w:val="auto"/>
        </w:rPr>
        <w:t xml:space="preserve"> </w:t>
      </w:r>
      <w:r>
        <w:rPr>
          <w:rFonts w:ascii="Arial" w:cs="Arial" w:eastAsia="Arial" w:hAnsi="Arial"/>
          <w:sz w:val="21"/>
          <w:szCs w:val="21"/>
          <w:color w:val="auto"/>
        </w:rPr>
        <w:t>which, when taken together, will constitute one agreement.</w:t>
      </w:r>
    </w:p>
    <w:p>
      <w:pPr>
        <w:spacing w:after="0" w:line="369" w:lineRule="exact"/>
        <w:rPr>
          <w:sz w:val="20"/>
          <w:szCs w:val="20"/>
          <w:color w:val="auto"/>
        </w:rPr>
      </w:pPr>
    </w:p>
    <w:p>
      <w:pPr>
        <w:ind w:left="4722"/>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2"/>
          </w:cols>
          <w:pgMar w:left="1118" w:top="327" w:right="239" w:bottom="1440" w:gutter="0" w:footer="0" w:header="0"/>
        </w:sectPr>
      </w:pPr>
    </w:p>
    <w:bookmarkStart w:id="131" w:name="page132"/>
    <w:bookmarkEnd w:id="131"/>
    <w:p>
      <w:pPr>
        <w:ind w:left="882" w:hanging="882"/>
        <w:spacing w:after="0" w:line="268" w:lineRule="auto"/>
        <w:tabs>
          <w:tab w:leader="none" w:pos="882"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Legal Fees</w:t>
      </w:r>
      <w:r>
        <w:rPr>
          <w:rFonts w:ascii="Arial" w:cs="Arial" w:eastAsia="Arial" w:hAnsi="Arial"/>
          <w:sz w:val="19"/>
          <w:szCs w:val="19"/>
          <w:color w:val="auto"/>
        </w:rPr>
        <w:t>. You shall be entitled to be reimbursed by the Company in an amount not to exceed $30,000 for</w:t>
      </w:r>
      <w:r>
        <w:rPr>
          <w:rFonts w:ascii="Arial" w:cs="Arial" w:eastAsia="Arial" w:hAnsi="Arial"/>
          <w:sz w:val="19"/>
          <w:szCs w:val="19"/>
          <w:i w:val="1"/>
          <w:iCs w:val="1"/>
          <w:color w:val="auto"/>
        </w:rPr>
        <w:t xml:space="preserve"> </w:t>
      </w:r>
      <w:r>
        <w:rPr>
          <w:rFonts w:ascii="Arial" w:cs="Arial" w:eastAsia="Arial" w:hAnsi="Arial"/>
          <w:sz w:val="19"/>
          <w:szCs w:val="19"/>
          <w:color w:val="auto"/>
        </w:rPr>
        <w:t>reasonable legal fees and expenses incurred by you in connection with negotiating and documenting this Agreement, subject to receiving customary back-up documentation regarding such fees and expenses within thirty (30) days following the Effective Date. Reimbursement for such fees and expenses shall be made within thirty (30) days after receipt of documentation reasonably acceptable to the Company, but in no event later than the last day of the taxable year following the taxable year in which such fees and costs were incurred.</w:t>
      </w:r>
    </w:p>
    <w:p>
      <w:pPr>
        <w:spacing w:after="0" w:line="153" w:lineRule="exact"/>
        <w:rPr>
          <w:sz w:val="20"/>
          <w:szCs w:val="20"/>
          <w:color w:val="auto"/>
        </w:rPr>
      </w:pPr>
    </w:p>
    <w:p>
      <w:pPr>
        <w:jc w:val="center"/>
        <w:ind w:right="818"/>
        <w:spacing w:after="0"/>
        <w:rPr>
          <w:sz w:val="20"/>
          <w:szCs w:val="20"/>
          <w:color w:val="auto"/>
        </w:rPr>
      </w:pPr>
      <w:r>
        <w:rPr>
          <w:rFonts w:ascii="Arial" w:cs="Arial" w:eastAsia="Arial" w:hAnsi="Arial"/>
          <w:sz w:val="21"/>
          <w:szCs w:val="21"/>
          <w:i w:val="1"/>
          <w:iCs w:val="1"/>
          <w:color w:val="auto"/>
        </w:rPr>
        <w:t>[signature page follows]</w:t>
      </w:r>
    </w:p>
    <w:p>
      <w:pPr>
        <w:spacing w:after="0" w:line="202" w:lineRule="exact"/>
        <w:rPr>
          <w:sz w:val="20"/>
          <w:szCs w:val="20"/>
          <w:color w:val="auto"/>
        </w:rPr>
      </w:pPr>
    </w:p>
    <w:p>
      <w:pPr>
        <w:jc w:val="center"/>
        <w:ind w:right="818"/>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327660</wp:posOffset>
            </wp:positionV>
            <wp:extent cx="729297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02"/>
          </w:cols>
          <w:pgMar w:left="1118" w:top="327" w:right="2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By: /s/ David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9525</wp:posOffset>
            </wp:positionV>
            <wp:extent cx="32613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David Bullwinkle</w:t>
      </w:r>
    </w:p>
    <w:p>
      <w:pPr>
        <w:spacing w:after="0" w:line="19" w:lineRule="exact"/>
        <w:rPr>
          <w:sz w:val="20"/>
          <w:szCs w:val="20"/>
          <w:color w:val="auto"/>
        </w:rPr>
      </w:pPr>
    </w:p>
    <w:p>
      <w:pPr>
        <w:ind w:left="5460"/>
        <w:spacing w:after="0"/>
        <w:tabs>
          <w:tab w:leader="none" w:pos="61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and Senior Vice President</w:t>
      </w:r>
    </w:p>
    <w:p>
      <w:pPr>
        <w:spacing w:after="0" w:line="200" w:lineRule="exact"/>
        <w:rPr>
          <w:sz w:val="20"/>
          <w:szCs w:val="20"/>
          <w:color w:val="auto"/>
        </w:rPr>
      </w:pPr>
    </w:p>
    <w:p>
      <w:pPr>
        <w:spacing w:after="0" w:line="218" w:lineRule="exact"/>
        <w:rPr>
          <w:sz w:val="20"/>
          <w:szCs w:val="20"/>
          <w:color w:val="auto"/>
        </w:rPr>
      </w:pPr>
    </w:p>
    <w:p>
      <w:pPr>
        <w:ind w:left="3540"/>
        <w:spacing w:after="0"/>
        <w:rPr>
          <w:sz w:val="20"/>
          <w:szCs w:val="20"/>
          <w:color w:val="auto"/>
        </w:rPr>
      </w:pPr>
      <w:r>
        <w:rPr>
          <w:rFonts w:ascii="Arial" w:cs="Arial" w:eastAsia="Arial" w:hAnsi="Arial"/>
          <w:sz w:val="21"/>
          <w:szCs w:val="21"/>
          <w:i w:val="1"/>
          <w:iCs w:val="1"/>
          <w:color w:val="auto"/>
        </w:rPr>
        <w:t>[Signature page to Executive Chairman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128905</wp:posOffset>
            </wp:positionV>
            <wp:extent cx="729297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300"/>
          </w:cols>
          <w:pgMar w:left="240" w:top="327" w:right="1359" w:bottom="1440" w:gutter="0" w:footer="0" w:header="0"/>
        </w:sectPr>
      </w:pPr>
    </w:p>
    <w:bookmarkStart w:id="133" w:name="page134"/>
    <w:bookmarkEnd w:id="133"/>
    <w:p>
      <w:pPr>
        <w:jc w:val="right"/>
        <w:ind w:right="1979"/>
        <w:spacing w:after="0"/>
        <w:rPr>
          <w:sz w:val="20"/>
          <w:szCs w:val="20"/>
          <w:color w:val="auto"/>
        </w:rPr>
      </w:pPr>
      <w:r>
        <w:rPr>
          <w:rFonts w:ascii="Arial" w:cs="Arial" w:eastAsia="Arial" w:hAnsi="Arial"/>
          <w:sz w:val="21"/>
          <w:szCs w:val="21"/>
          <w:b w:val="1"/>
          <w:bCs w:val="1"/>
          <w:color w:val="auto"/>
        </w:rPr>
        <w:t>EXECUTIVE CHARIMAN</w:t>
      </w:r>
    </w:p>
    <w:p>
      <w:pPr>
        <w:spacing w:after="0" w:line="200" w:lineRule="exact"/>
        <w:rPr>
          <w:sz w:val="20"/>
          <w:szCs w:val="20"/>
          <w:color w:val="auto"/>
        </w:rPr>
      </w:pPr>
    </w:p>
    <w:p>
      <w:pPr>
        <w:spacing w:after="0" w:line="216" w:lineRule="exact"/>
        <w:rPr>
          <w:sz w:val="20"/>
          <w:szCs w:val="20"/>
          <w:color w:val="auto"/>
        </w:rPr>
      </w:pPr>
    </w:p>
    <w:p>
      <w:pPr>
        <w:jc w:val="right"/>
        <w:ind w:right="2479"/>
        <w:spacing w:after="0"/>
        <w:rPr>
          <w:sz w:val="20"/>
          <w:szCs w:val="20"/>
          <w:color w:val="auto"/>
        </w:rPr>
      </w:pPr>
      <w:r>
        <w:rPr>
          <w:rFonts w:ascii="Arial" w:cs="Arial" w:eastAsia="Arial" w:hAnsi="Arial"/>
          <w:sz w:val="21"/>
          <w:szCs w:val="21"/>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9525</wp:posOffset>
            </wp:positionV>
            <wp:extent cx="2905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4" w:lineRule="exact"/>
        <w:rPr>
          <w:sz w:val="20"/>
          <w:szCs w:val="20"/>
          <w:color w:val="auto"/>
        </w:rPr>
      </w:pPr>
    </w:p>
    <w:p>
      <w:pPr>
        <w:jc w:val="right"/>
        <w:ind w:right="2559"/>
        <w:spacing w:after="0"/>
        <w:rPr>
          <w:sz w:val="20"/>
          <w:szCs w:val="20"/>
          <w:color w:val="auto"/>
        </w:rPr>
      </w:pPr>
      <w:r>
        <w:rPr>
          <w:rFonts w:ascii="Arial" w:cs="Arial" w:eastAsia="Arial" w:hAnsi="Arial"/>
          <w:sz w:val="21"/>
          <w:szCs w:val="21"/>
          <w:color w:val="auto"/>
        </w:rPr>
        <w:t>James V. Continenza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Executive Chairman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151130</wp:posOffset>
            </wp:positionV>
            <wp:extent cx="729297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34" w:name="page135"/>
    <w:bookmarkEnd w:id="134"/>
    <w:p>
      <w:pPr>
        <w:spacing w:after="0"/>
        <w:rPr>
          <w:sz w:val="20"/>
          <w:szCs w:val="20"/>
          <w:color w:val="auto"/>
        </w:rPr>
      </w:pPr>
      <w:r>
        <w:rPr>
          <w:rFonts w:ascii="Arial" w:cs="Arial" w:eastAsia="Arial" w:hAnsi="Arial"/>
          <w:sz w:val="21"/>
          <w:szCs w:val="21"/>
          <w:color w:val="auto"/>
        </w:rPr>
        <w:t>CONFIDENTIAL</w:t>
      </w:r>
    </w:p>
    <w:p>
      <w:pPr>
        <w:spacing w:after="0" w:line="196" w:lineRule="exact"/>
        <w:rPr>
          <w:sz w:val="20"/>
          <w:szCs w:val="20"/>
          <w:color w:val="auto"/>
        </w:rPr>
      </w:pPr>
    </w:p>
    <w:tbl>
      <w:tblPr>
        <w:tblLayout w:type="fixed"/>
        <w:tblInd w:w="1670" w:type="dxa"/>
        <w:tblCellMar>
          <w:top w:w="0" w:type="dxa"/>
          <w:left w:w="0" w:type="dxa"/>
          <w:bottom w:w="0" w:type="dxa"/>
          <w:right w:w="0" w:type="dxa"/>
        </w:tblCellMar>
      </w:tblPr>
      <w:tr>
        <w:trPr>
          <w:trHeight w:val="272"/>
        </w:trPr>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340" w:type="dxa"/>
            <w:vAlign w:val="bottom"/>
            <w:gridSpan w:val="6"/>
          </w:tcPr>
          <w:p>
            <w:pPr>
              <w:jc w:val="center"/>
              <w:ind w:right="2820"/>
              <w:spacing w:after="0"/>
              <w:rPr>
                <w:sz w:val="20"/>
                <w:szCs w:val="20"/>
                <w:color w:val="auto"/>
              </w:rPr>
            </w:pPr>
            <w:r>
              <w:rPr>
                <w:rFonts w:ascii="Arial" w:cs="Arial" w:eastAsia="Arial" w:hAnsi="Arial"/>
                <w:sz w:val="21"/>
                <w:szCs w:val="21"/>
                <w:b w:val="1"/>
                <w:bCs w:val="1"/>
                <w:color w:val="auto"/>
                <w:w w:val="99"/>
              </w:rPr>
              <w:t>JAMES V. CONTINENZA</w:t>
            </w:r>
          </w:p>
        </w:tc>
        <w:tc>
          <w:tcPr>
            <w:tcW w:w="0" w:type="dxa"/>
            <w:vAlign w:val="bottom"/>
          </w:tcPr>
          <w:p>
            <w:pPr>
              <w:spacing w:after="0"/>
              <w:rPr>
                <w:sz w:val="1"/>
                <w:szCs w:val="1"/>
                <w:color w:val="auto"/>
              </w:rPr>
            </w:pPr>
          </w:p>
        </w:tc>
      </w:tr>
      <w:tr>
        <w:trPr>
          <w:trHeight w:val="443"/>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gridSpan w:val="7"/>
          </w:tcPr>
          <w:p>
            <w:pPr>
              <w:ind w:left="20"/>
              <w:spacing w:after="0"/>
              <w:rPr>
                <w:sz w:val="20"/>
                <w:szCs w:val="20"/>
                <w:color w:val="auto"/>
              </w:rPr>
            </w:pPr>
            <w:r>
              <w:rPr>
                <w:rFonts w:ascii="Arial" w:cs="Arial" w:eastAsia="Arial" w:hAnsi="Arial"/>
                <w:sz w:val="21"/>
                <w:szCs w:val="21"/>
                <w:b w:val="1"/>
                <w:bCs w:val="1"/>
                <w:color w:val="auto"/>
              </w:rPr>
              <w:t>EXECUTIVE CHAIRMAN AGREEMENT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gridSpan w:val="7"/>
          </w:tcPr>
          <w:p>
            <w:pPr>
              <w:jc w:val="center"/>
              <w:ind w:right="2100"/>
              <w:spacing w:after="0"/>
              <w:rPr>
                <w:sz w:val="20"/>
                <w:szCs w:val="20"/>
                <w:color w:val="auto"/>
              </w:rPr>
            </w:pPr>
            <w:r>
              <w:rPr>
                <w:rFonts w:ascii="Arial" w:cs="Arial" w:eastAsia="Arial" w:hAnsi="Arial"/>
                <w:sz w:val="21"/>
                <w:szCs w:val="21"/>
                <w:color w:val="auto"/>
                <w:w w:val="94"/>
              </w:rPr>
              <w:t>EFFECTIVE FEBRUARY 20, 2019</w:t>
            </w:r>
          </w:p>
        </w:tc>
        <w:tc>
          <w:tcPr>
            <w:tcW w:w="0" w:type="dxa"/>
            <w:vAlign w:val="bottom"/>
          </w:tcPr>
          <w:p>
            <w:pPr>
              <w:spacing w:after="0"/>
              <w:rPr>
                <w:sz w:val="1"/>
                <w:szCs w:val="1"/>
                <w:color w:val="auto"/>
              </w:rPr>
            </w:pPr>
          </w:p>
        </w:tc>
      </w:tr>
      <w:tr>
        <w:trPr>
          <w:trHeight w:val="272"/>
        </w:trPr>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40" w:type="dxa"/>
            <w:vAlign w:val="bottom"/>
            <w:gridSpan w:val="4"/>
          </w:tcPr>
          <w:p>
            <w:pPr>
              <w:jc w:val="center"/>
              <w:ind w:right="3120"/>
              <w:spacing w:after="0"/>
              <w:rPr>
                <w:sz w:val="20"/>
                <w:szCs w:val="20"/>
                <w:color w:val="auto"/>
              </w:rPr>
            </w:pPr>
            <w:r>
              <w:rPr>
                <w:rFonts w:ascii="Arial" w:cs="Arial" w:eastAsia="Arial" w:hAnsi="Arial"/>
                <w:sz w:val="21"/>
                <w:szCs w:val="21"/>
                <w:b w:val="1"/>
                <w:bCs w:val="1"/>
                <w:color w:val="auto"/>
                <w:w w:val="98"/>
              </w:rPr>
              <w:t>TERMS SCHEDULE</w:t>
            </w:r>
          </w:p>
        </w:tc>
        <w:tc>
          <w:tcPr>
            <w:tcW w:w="0" w:type="dxa"/>
            <w:vAlign w:val="bottom"/>
          </w:tcPr>
          <w:p>
            <w:pPr>
              <w:spacing w:after="0"/>
              <w:rPr>
                <w:sz w:val="1"/>
                <w:szCs w:val="1"/>
                <w:color w:val="auto"/>
              </w:rPr>
            </w:pPr>
          </w:p>
        </w:tc>
      </w:tr>
      <w:tr>
        <w:trPr>
          <w:trHeight w:val="199"/>
        </w:trPr>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7"/>
                <w:szCs w:val="17"/>
                <w:i w:val="1"/>
                <w:iCs w:val="1"/>
                <w:color w:val="auto"/>
              </w:rPr>
              <w:t>Position</w:t>
            </w:r>
          </w:p>
        </w:tc>
        <w:tc>
          <w:tcPr>
            <w:tcW w:w="7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Executive Chairman, Eastman Kodak Company</w:t>
            </w:r>
          </w:p>
        </w:tc>
        <w:tc>
          <w:tcPr>
            <w:tcW w:w="0" w:type="dxa"/>
            <w:vAlign w:val="bottom"/>
          </w:tcPr>
          <w:p>
            <w:pPr>
              <w:spacing w:after="0"/>
              <w:rPr>
                <w:sz w:val="1"/>
                <w:szCs w:val="1"/>
                <w:color w:val="auto"/>
              </w:rPr>
            </w:pPr>
          </w:p>
        </w:tc>
      </w:tr>
      <w:tr>
        <w:trPr>
          <w:trHeight w:val="92"/>
        </w:trPr>
        <w:tc>
          <w:tcPr>
            <w:tcW w:w="1020" w:type="dxa"/>
            <w:vAlign w:val="bottom"/>
            <w:tcBorders>
              <w:left w:val="single" w:sz="8" w:color="auto"/>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020" w:type="dxa"/>
            <w:vAlign w:val="bottom"/>
            <w:tcBorders>
              <w:left w:val="single" w:sz="8" w:color="auto"/>
            </w:tcBorders>
          </w:tcPr>
          <w:p>
            <w:pPr>
              <w:ind w:left="20"/>
              <w:spacing w:after="0" w:line="163" w:lineRule="exact"/>
              <w:rPr>
                <w:sz w:val="20"/>
                <w:szCs w:val="20"/>
                <w:color w:val="auto"/>
              </w:rPr>
            </w:pPr>
            <w:r>
              <w:rPr>
                <w:rFonts w:ascii="Arial" w:cs="Arial" w:eastAsia="Arial" w:hAnsi="Arial"/>
                <w:sz w:val="17"/>
                <w:szCs w:val="17"/>
                <w:i w:val="1"/>
                <w:iCs w:val="1"/>
                <w:color w:val="auto"/>
              </w:rPr>
              <w:t>Base Salary</w:t>
            </w:r>
          </w:p>
        </w:tc>
        <w:tc>
          <w:tcPr>
            <w:tcW w:w="7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020" w:type="dxa"/>
            <w:vAlign w:val="bottom"/>
            <w:gridSpan w:val="3"/>
          </w:tcPr>
          <w:p>
            <w:pPr>
              <w:spacing w:after="0" w:line="163"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1,000,000</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2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2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7"/>
                <w:szCs w:val="17"/>
                <w:i w:val="1"/>
                <w:iCs w:val="1"/>
                <w:color w:val="auto"/>
                <w:w w:val="95"/>
              </w:rPr>
              <w:t>Annual  Cash</w:t>
            </w:r>
          </w:p>
        </w:tc>
        <w:tc>
          <w:tcPr>
            <w:tcW w:w="1060" w:type="dxa"/>
            <w:vAlign w:val="bottom"/>
            <w:tcBorders>
              <w:right w:val="single" w:sz="8" w:color="auto"/>
            </w:tcBorders>
            <w:gridSpan w:val="2"/>
          </w:tcPr>
          <w:p>
            <w:pPr>
              <w:jc w:val="right"/>
              <w:spacing w:after="0" w:line="189" w:lineRule="exact"/>
              <w:rPr>
                <w:sz w:val="20"/>
                <w:szCs w:val="20"/>
                <w:color w:val="auto"/>
              </w:rPr>
            </w:pPr>
            <w:r>
              <w:rPr>
                <w:rFonts w:ascii="Arial" w:cs="Arial" w:eastAsia="Arial" w:hAnsi="Arial"/>
                <w:sz w:val="17"/>
                <w:szCs w:val="17"/>
                <w:i w:val="1"/>
                <w:iCs w:val="1"/>
                <w:color w:val="auto"/>
              </w:rPr>
              <w:t>Performance</w:t>
            </w:r>
          </w:p>
        </w:tc>
        <w:tc>
          <w:tcPr>
            <w:tcW w:w="6060" w:type="dxa"/>
            <w:vAlign w:val="bottom"/>
            <w:tcBorders>
              <w:right w:val="single" w:sz="8" w:color="auto"/>
            </w:tcBorders>
            <w:gridSpan w:val="7"/>
          </w:tcPr>
          <w:p>
            <w:pPr>
              <w:spacing w:after="0" w:line="189" w:lineRule="exact"/>
              <w:rPr>
                <w:sz w:val="20"/>
                <w:szCs w:val="20"/>
                <w:color w:val="auto"/>
              </w:rPr>
            </w:pPr>
            <w:r>
              <w:rPr>
                <w:rFonts w:ascii="Arial" w:cs="Arial" w:eastAsia="Arial" w:hAnsi="Arial"/>
                <w:sz w:val="17"/>
                <w:szCs w:val="17"/>
                <w:color w:val="auto"/>
              </w:rPr>
              <w:t xml:space="preserve">The target level for your Annual Incentive will be </w:t>
            </w:r>
            <w:r>
              <w:rPr>
                <w:rFonts w:ascii="Arial" w:cs="Arial" w:eastAsia="Arial" w:hAnsi="Arial"/>
                <w:sz w:val="17"/>
                <w:szCs w:val="17"/>
                <w:b w:val="1"/>
                <w:bCs w:val="1"/>
                <w:color w:val="auto"/>
              </w:rPr>
              <w:t>75%</w:t>
            </w:r>
            <w:r>
              <w:rPr>
                <w:rFonts w:ascii="Arial" w:cs="Arial" w:eastAsia="Arial" w:hAnsi="Arial"/>
                <w:sz w:val="17"/>
                <w:szCs w:val="17"/>
                <w:color w:val="auto"/>
              </w:rPr>
              <w:t xml:space="preserve"> of your Base Salary,</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7"/>
                <w:szCs w:val="17"/>
                <w:i w:val="1"/>
                <w:iCs w:val="1"/>
                <w:color w:val="auto"/>
              </w:rPr>
              <w:t>Incentive</w:t>
            </w:r>
          </w:p>
        </w:tc>
        <w:tc>
          <w:tcPr>
            <w:tcW w:w="700" w:type="dxa"/>
            <w:vAlign w:val="bottom"/>
          </w:tcPr>
          <w:p>
            <w:pPr>
              <w:jc w:val="right"/>
              <w:ind w:right="193"/>
              <w:spacing w:after="0"/>
              <w:rPr>
                <w:sz w:val="20"/>
                <w:szCs w:val="20"/>
                <w:color w:val="auto"/>
              </w:rPr>
            </w:pPr>
            <w:r>
              <w:rPr>
                <w:rFonts w:ascii="Arial" w:cs="Arial" w:eastAsia="Arial" w:hAnsi="Arial"/>
                <w:sz w:val="17"/>
                <w:szCs w:val="17"/>
                <w:i w:val="1"/>
                <w:iCs w:val="1"/>
                <w:color w:val="auto"/>
                <w:w w:val="91"/>
              </w:rPr>
              <w:t>under</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7"/>
                <w:szCs w:val="17"/>
                <w:i w:val="1"/>
                <w:iCs w:val="1"/>
                <w:color w:val="auto"/>
              </w:rPr>
              <w:t>the</w:t>
            </w: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3"/>
              </w:rPr>
              <w:t>predicated on the achievement by the Company of the goals set by the Compensation</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7"/>
                <w:szCs w:val="17"/>
                <w:i w:val="1"/>
                <w:iCs w:val="1"/>
                <w:color w:val="auto"/>
              </w:rPr>
              <w:t>Company’s</w:t>
            </w:r>
          </w:p>
        </w:tc>
        <w:tc>
          <w:tcPr>
            <w:tcW w:w="1060" w:type="dxa"/>
            <w:vAlign w:val="bottom"/>
            <w:tcBorders>
              <w:right w:val="single" w:sz="8" w:color="auto"/>
            </w:tcBorders>
            <w:gridSpan w:val="2"/>
          </w:tcPr>
          <w:p>
            <w:pPr>
              <w:jc w:val="right"/>
              <w:spacing w:after="0"/>
              <w:rPr>
                <w:sz w:val="20"/>
                <w:szCs w:val="20"/>
                <w:color w:val="auto"/>
              </w:rPr>
            </w:pPr>
            <w:r>
              <w:rPr>
                <w:rFonts w:ascii="Arial" w:cs="Arial" w:eastAsia="Arial" w:hAnsi="Arial"/>
                <w:sz w:val="17"/>
                <w:szCs w:val="17"/>
                <w:i w:val="1"/>
                <w:iCs w:val="1"/>
                <w:color w:val="auto"/>
              </w:rPr>
              <w:t>Executive</w:t>
            </w: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Committee for each fiscal year.</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7"/>
                <w:szCs w:val="17"/>
                <w:i w:val="1"/>
                <w:iCs w:val="1"/>
                <w:color w:val="auto"/>
                <w:w w:val="89"/>
              </w:rPr>
              <w:t>Compensation</w:t>
            </w:r>
          </w:p>
        </w:tc>
        <w:tc>
          <w:tcPr>
            <w:tcW w:w="70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7"/>
                <w:szCs w:val="17"/>
                <w:i w:val="1"/>
                <w:iCs w:val="1"/>
                <w:color w:val="auto"/>
              </w:rPr>
              <w:t>for</w:t>
            </w:r>
          </w:p>
        </w:tc>
        <w:tc>
          <w:tcPr>
            <w:tcW w:w="606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7"/>
                <w:szCs w:val="17"/>
                <w:color w:val="auto"/>
              </w:rPr>
              <w:t>The maximum payout under the EXCEL plan is 200%.</w:t>
            </w:r>
          </w:p>
        </w:tc>
        <w:tc>
          <w:tcPr>
            <w:tcW w:w="0" w:type="dxa"/>
            <w:vAlign w:val="bottom"/>
          </w:tcPr>
          <w:p>
            <w:pPr>
              <w:spacing w:after="0"/>
              <w:rPr>
                <w:sz w:val="1"/>
                <w:szCs w:val="1"/>
                <w:color w:val="auto"/>
              </w:rPr>
            </w:pPr>
          </w:p>
        </w:tc>
      </w:tr>
      <w:tr>
        <w:trPr>
          <w:trHeight w:val="208"/>
        </w:trPr>
        <w:tc>
          <w:tcPr>
            <w:tcW w:w="2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7"/>
                <w:szCs w:val="17"/>
                <w:i w:val="1"/>
                <w:iCs w:val="1"/>
                <w:color w:val="auto"/>
                <w:w w:val="94"/>
              </w:rPr>
              <w:t>Excellence  and  Leadership</w:t>
            </w:r>
          </w:p>
        </w:tc>
        <w:tc>
          <w:tcPr>
            <w:tcW w:w="6060" w:type="dxa"/>
            <w:vAlign w:val="bottom"/>
            <w:tcBorders>
              <w:right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7"/>
                <w:szCs w:val="17"/>
                <w:i w:val="1"/>
                <w:iCs w:val="1"/>
                <w:color w:val="auto"/>
              </w:rPr>
              <w:t>(EXCEL)</w:t>
            </w:r>
          </w:p>
        </w:tc>
        <w:tc>
          <w:tcPr>
            <w:tcW w:w="700" w:type="dxa"/>
            <w:vAlign w:val="bottom"/>
          </w:tcPr>
          <w:p>
            <w:pPr>
              <w:jc w:val="right"/>
              <w:ind w:right="193"/>
              <w:spacing w:after="0"/>
              <w:rPr>
                <w:sz w:val="20"/>
                <w:szCs w:val="20"/>
                <w:color w:val="auto"/>
              </w:rPr>
            </w:pPr>
            <w:r>
              <w:rPr>
                <w:rFonts w:ascii="Arial" w:cs="Arial" w:eastAsia="Arial" w:hAnsi="Arial"/>
                <w:sz w:val="17"/>
                <w:szCs w:val="17"/>
                <w:i w:val="1"/>
                <w:iCs w:val="1"/>
                <w:color w:val="auto"/>
                <w:w w:val="95"/>
              </w:rPr>
              <w:t>Plan</w:t>
            </w:r>
            <w:r>
              <w:rPr>
                <w:rFonts w:ascii="Arial" w:cs="Arial" w:eastAsia="Arial" w:hAnsi="Arial"/>
                <w:sz w:val="14"/>
                <w:szCs w:val="14"/>
                <w:i w:val="1"/>
                <w:iCs w:val="1"/>
                <w:color w:val="auto"/>
                <w:w w:val="95"/>
              </w:rPr>
              <w:t>1</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7"/>
                <w:szCs w:val="17"/>
                <w:i w:val="1"/>
                <w:iCs w:val="1"/>
                <w:color w:val="auto"/>
              </w:rPr>
              <w:t>(or</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20" w:type="dxa"/>
            <w:vAlign w:val="bottom"/>
            <w:tcBorders>
              <w:left w:val="single" w:sz="8" w:color="auto"/>
            </w:tcBorders>
            <w:gridSpan w:val="2"/>
          </w:tcPr>
          <w:p>
            <w:pPr>
              <w:ind w:left="20"/>
              <w:spacing w:after="0"/>
              <w:rPr>
                <w:sz w:val="20"/>
                <w:szCs w:val="20"/>
                <w:color w:val="auto"/>
              </w:rPr>
            </w:pPr>
            <w:r>
              <w:rPr>
                <w:rFonts w:ascii="Arial" w:cs="Arial" w:eastAsia="Arial" w:hAnsi="Arial"/>
                <w:sz w:val="17"/>
                <w:szCs w:val="17"/>
                <w:i w:val="1"/>
                <w:iCs w:val="1"/>
                <w:color w:val="auto"/>
                <w:w w:val="95"/>
              </w:rPr>
              <w:t>successor plan thereto)</w:t>
            </w:r>
          </w:p>
        </w:tc>
        <w:tc>
          <w:tcPr>
            <w:tcW w:w="36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02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2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7"/>
                <w:szCs w:val="17"/>
                <w:i w:val="1"/>
                <w:iCs w:val="1"/>
                <w:color w:val="auto"/>
              </w:rPr>
              <w:t>Long-Term</w:t>
            </w:r>
          </w:p>
        </w:tc>
        <w:tc>
          <w:tcPr>
            <w:tcW w:w="1060" w:type="dxa"/>
            <w:vAlign w:val="bottom"/>
            <w:tcBorders>
              <w:right w:val="single" w:sz="8" w:color="auto"/>
            </w:tcBorders>
            <w:gridSpan w:val="2"/>
          </w:tcPr>
          <w:p>
            <w:pPr>
              <w:jc w:val="right"/>
              <w:spacing w:after="0" w:line="189" w:lineRule="exact"/>
              <w:rPr>
                <w:sz w:val="20"/>
                <w:szCs w:val="20"/>
                <w:color w:val="auto"/>
              </w:rPr>
            </w:pPr>
            <w:r>
              <w:rPr>
                <w:rFonts w:ascii="Arial" w:cs="Arial" w:eastAsia="Arial" w:hAnsi="Arial"/>
                <w:sz w:val="17"/>
                <w:szCs w:val="17"/>
                <w:i w:val="1"/>
                <w:iCs w:val="1"/>
                <w:color w:val="auto"/>
              </w:rPr>
              <w:t>Incentive</w:t>
            </w:r>
          </w:p>
        </w:tc>
        <w:tc>
          <w:tcPr>
            <w:tcW w:w="6060" w:type="dxa"/>
            <w:vAlign w:val="bottom"/>
            <w:tcBorders>
              <w:right w:val="single" w:sz="8" w:color="auto"/>
            </w:tcBorders>
            <w:gridSpan w:val="7"/>
          </w:tcPr>
          <w:p>
            <w:pPr>
              <w:spacing w:after="0" w:line="189" w:lineRule="exact"/>
              <w:rPr>
                <w:sz w:val="20"/>
                <w:szCs w:val="20"/>
                <w:color w:val="auto"/>
              </w:rPr>
            </w:pPr>
            <w:r>
              <w:rPr>
                <w:rFonts w:ascii="Arial" w:cs="Arial" w:eastAsia="Arial" w:hAnsi="Arial"/>
                <w:sz w:val="17"/>
                <w:szCs w:val="17"/>
                <w:color w:val="auto"/>
                <w:w w:val="95"/>
              </w:rPr>
              <w:t>On the Effective Date, you will be granted the following stock options (which number</w:t>
            </w: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7"/>
                <w:szCs w:val="17"/>
                <w:i w:val="1"/>
                <w:iCs w:val="1"/>
                <w:color w:val="auto"/>
                <w:w w:val="89"/>
              </w:rPr>
              <w:t>Compensation</w:t>
            </w:r>
          </w:p>
        </w:tc>
        <w:tc>
          <w:tcPr>
            <w:tcW w:w="7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3"/>
              </w:rPr>
              <w:t>of options and exercise prices are subject to adjustment in accordance with the terms</w:t>
            </w:r>
          </w:p>
        </w:tc>
        <w:tc>
          <w:tcPr>
            <w:tcW w:w="0" w:type="dxa"/>
            <w:vAlign w:val="bottom"/>
          </w:tcPr>
          <w:p>
            <w:pPr>
              <w:spacing w:after="0"/>
              <w:rPr>
                <w:sz w:val="1"/>
                <w:szCs w:val="1"/>
                <w:color w:val="auto"/>
              </w:rPr>
            </w:pPr>
          </w:p>
        </w:tc>
      </w:tr>
      <w:tr>
        <w:trPr>
          <w:trHeight w:val="222"/>
        </w:trPr>
        <w:tc>
          <w:tcPr>
            <w:tcW w:w="10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8"/>
              </w:rPr>
              <w:t>and conditions of the Eastman Kodak Company 2013 Omnibus Incentive Plan (as</w:t>
            </w: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8"/>
              </w:rPr>
              <w:t>amended effective May 22, 2018 and as it may be further amended, the “</w:t>
            </w:r>
            <w:r>
              <w:rPr>
                <w:rFonts w:ascii="Arial" w:cs="Arial" w:eastAsia="Arial" w:hAnsi="Arial"/>
                <w:sz w:val="17"/>
                <w:szCs w:val="17"/>
                <w:i w:val="1"/>
                <w:iCs w:val="1"/>
                <w:color w:val="auto"/>
                <w:w w:val="98"/>
              </w:rPr>
              <w:t>Plan</w:t>
            </w:r>
            <w:r>
              <w:rPr>
                <w:rFonts w:ascii="Arial" w:cs="Arial" w:eastAsia="Arial" w:hAnsi="Arial"/>
                <w:sz w:val="17"/>
                <w:szCs w:val="17"/>
                <w:color w:val="auto"/>
                <w:w w:val="98"/>
              </w:rPr>
              <w:t>”) ):</w:t>
            </w:r>
          </w:p>
        </w:tc>
        <w:tc>
          <w:tcPr>
            <w:tcW w:w="0" w:type="dxa"/>
            <w:vAlign w:val="bottom"/>
          </w:tcPr>
          <w:p>
            <w:pPr>
              <w:spacing w:after="0"/>
              <w:rPr>
                <w:sz w:val="1"/>
                <w:szCs w:val="1"/>
                <w:color w:val="auto"/>
              </w:rPr>
            </w:pPr>
          </w:p>
        </w:tc>
      </w:tr>
      <w:tr>
        <w:trPr>
          <w:trHeight w:val="274"/>
        </w:trPr>
        <w:tc>
          <w:tcPr>
            <w:tcW w:w="1020" w:type="dxa"/>
            <w:vAlign w:val="bottom"/>
            <w:tcBorders>
              <w:lef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258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1"/>
              </w:rPr>
              <w:t>Tranche 1 (1,150,000 Stock Options)</w:t>
            </w:r>
          </w:p>
        </w:tc>
        <w:tc>
          <w:tcPr>
            <w:tcW w:w="3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8"/>
              </w:rPr>
              <w:t>The strike price of the Stock Options in Tranche 1 will be equal to the Fair Market</w:t>
            </w: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Value (as defined in the Plan) on the grant date.</w:t>
            </w:r>
          </w:p>
        </w:tc>
        <w:tc>
          <w:tcPr>
            <w:tcW w:w="0" w:type="dxa"/>
            <w:vAlign w:val="bottom"/>
          </w:tcPr>
          <w:p>
            <w:pPr>
              <w:spacing w:after="0"/>
              <w:rPr>
                <w:sz w:val="1"/>
                <w:szCs w:val="1"/>
                <w:color w:val="auto"/>
              </w:rPr>
            </w:pPr>
          </w:p>
        </w:tc>
      </w:tr>
      <w:tr>
        <w:trPr>
          <w:trHeight w:val="274"/>
        </w:trPr>
        <w:tc>
          <w:tcPr>
            <w:tcW w:w="1020" w:type="dxa"/>
            <w:vAlign w:val="bottom"/>
            <w:tcBorders>
              <w:lef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Tranche 2 (700,000 Stock Options)</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The strike price of the Stock Options in Tranche 2 will be split into two parts.</w:t>
            </w:r>
          </w:p>
        </w:tc>
        <w:tc>
          <w:tcPr>
            <w:tcW w:w="0" w:type="dxa"/>
            <w:vAlign w:val="bottom"/>
          </w:tcPr>
          <w:p>
            <w:pPr>
              <w:spacing w:after="0"/>
              <w:rPr>
                <w:sz w:val="1"/>
                <w:szCs w:val="1"/>
                <w:color w:val="auto"/>
              </w:rPr>
            </w:pPr>
          </w:p>
        </w:tc>
      </w:tr>
      <w:tr>
        <w:trPr>
          <w:trHeight w:val="301"/>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3"/>
              </w:rPr>
              <w:t>The first 350,000 will be equal to the Fair Market Value (as defined in the Plan) on the</w:t>
            </w:r>
          </w:p>
        </w:tc>
        <w:tc>
          <w:tcPr>
            <w:tcW w:w="0" w:type="dxa"/>
            <w:vAlign w:val="bottom"/>
          </w:tcPr>
          <w:p>
            <w:pPr>
              <w:spacing w:after="0"/>
              <w:rPr>
                <w:sz w:val="1"/>
                <w:szCs w:val="1"/>
                <w:color w:val="auto"/>
              </w:rPr>
            </w:pPr>
          </w:p>
        </w:tc>
      </w:tr>
      <w:tr>
        <w:trPr>
          <w:trHeight w:val="182"/>
        </w:trPr>
        <w:tc>
          <w:tcPr>
            <w:tcW w:w="1020" w:type="dxa"/>
            <w:vAlign w:val="bottom"/>
            <w:tcBorders>
              <w:lef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060" w:type="dxa"/>
            <w:vAlign w:val="bottom"/>
            <w:tcBorders>
              <w:right w:val="single" w:sz="8" w:color="auto"/>
            </w:tcBorders>
            <w:gridSpan w:val="7"/>
          </w:tcPr>
          <w:p>
            <w:pPr>
              <w:spacing w:after="0" w:line="182" w:lineRule="exact"/>
              <w:rPr>
                <w:sz w:val="20"/>
                <w:szCs w:val="20"/>
                <w:color w:val="auto"/>
              </w:rPr>
            </w:pPr>
            <w:r>
              <w:rPr>
                <w:rFonts w:ascii="Arial" w:cs="Arial" w:eastAsia="Arial" w:hAnsi="Arial"/>
                <w:sz w:val="17"/>
                <w:szCs w:val="17"/>
                <w:color w:val="auto"/>
              </w:rPr>
              <w:t>grant date plus $1.50.</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3"/>
              </w:rPr>
              <w:t>The second 350,000 will be equal to the Fair Market Value (as defined in the Plan) on</w:t>
            </w:r>
          </w:p>
        </w:tc>
        <w:tc>
          <w:tcPr>
            <w:tcW w:w="0" w:type="dxa"/>
            <w:vAlign w:val="bottom"/>
          </w:tcPr>
          <w:p>
            <w:pPr>
              <w:spacing w:after="0"/>
              <w:rPr>
                <w:sz w:val="1"/>
                <w:szCs w:val="1"/>
                <w:color w:val="auto"/>
              </w:rPr>
            </w:pPr>
          </w:p>
        </w:tc>
      </w:tr>
      <w:tr>
        <w:trPr>
          <w:trHeight w:val="182"/>
        </w:trPr>
        <w:tc>
          <w:tcPr>
            <w:tcW w:w="1020" w:type="dxa"/>
            <w:vAlign w:val="bottom"/>
            <w:tcBorders>
              <w:lef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060" w:type="dxa"/>
            <w:vAlign w:val="bottom"/>
            <w:tcBorders>
              <w:right w:val="single" w:sz="8" w:color="auto"/>
            </w:tcBorders>
            <w:gridSpan w:val="7"/>
          </w:tcPr>
          <w:p>
            <w:pPr>
              <w:spacing w:after="0" w:line="182" w:lineRule="exact"/>
              <w:rPr>
                <w:sz w:val="20"/>
                <w:szCs w:val="20"/>
                <w:color w:val="auto"/>
              </w:rPr>
            </w:pPr>
            <w:r>
              <w:rPr>
                <w:rFonts w:ascii="Arial" w:cs="Arial" w:eastAsia="Arial" w:hAnsi="Arial"/>
                <w:sz w:val="17"/>
                <w:szCs w:val="17"/>
                <w:color w:val="auto"/>
              </w:rPr>
              <w:t>the grant date plus $3.00.</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78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Tranche 3 (200,000 Stock Options)</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40" w:type="dxa"/>
            <w:vAlign w:val="bottom"/>
            <w:gridSpan w:val="5"/>
            <w:shd w:val="clear" w:color="auto" w:fill="000000"/>
          </w:tcPr>
          <w:p>
            <w:pPr>
              <w:spacing w:after="0" w:line="20" w:lineRule="exact"/>
              <w:rPr>
                <w:sz w:val="1"/>
                <w:szCs w:val="1"/>
                <w:color w:val="auto"/>
              </w:rPr>
            </w:pPr>
          </w:p>
        </w:tc>
        <w:tc>
          <w:tcPr>
            <w:tcW w:w="36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The strike price of the Stock Options in Tranche 3 will be equal to $12.00.</w:t>
            </w:r>
          </w:p>
        </w:tc>
        <w:tc>
          <w:tcPr>
            <w:tcW w:w="0" w:type="dxa"/>
            <w:vAlign w:val="bottom"/>
          </w:tcPr>
          <w:p>
            <w:pPr>
              <w:spacing w:after="0"/>
              <w:rPr>
                <w:sz w:val="1"/>
                <w:szCs w:val="1"/>
                <w:color w:val="auto"/>
              </w:rPr>
            </w:pPr>
          </w:p>
        </w:tc>
      </w:tr>
      <w:tr>
        <w:trPr>
          <w:trHeight w:val="301"/>
        </w:trPr>
        <w:tc>
          <w:tcPr>
            <w:tcW w:w="102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The Stock Options granted in Tranche 1, Tranche 2 and Tranche 3 will vest as</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8"/>
              </w:rPr>
              <w:t>follows: (i) 50% on the grant date and (ii) the remaining 50% in substantially equal</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3"/>
              </w:rPr>
              <w:t>installments on each of the date that is 3 months, 6 months, 9 months and 12 months</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7"/>
              </w:rPr>
              <w:t>following the grant date, subject to continued employment through each applicable</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w w:val="96"/>
              </w:rPr>
              <w:t>vesting date, except as otherwise expressly provided for in the Executive Chairman</w:t>
            </w: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gridSpan w:val="7"/>
          </w:tcPr>
          <w:p>
            <w:pPr>
              <w:spacing w:after="0"/>
              <w:rPr>
                <w:sz w:val="20"/>
                <w:szCs w:val="20"/>
                <w:color w:val="auto"/>
              </w:rPr>
            </w:pPr>
            <w:r>
              <w:rPr>
                <w:rFonts w:ascii="Arial" w:cs="Arial" w:eastAsia="Arial" w:hAnsi="Arial"/>
                <w:sz w:val="17"/>
                <w:szCs w:val="17"/>
                <w:color w:val="auto"/>
              </w:rPr>
              <w:t>Agreement or in the applicable award agreement.</w:t>
            </w:r>
          </w:p>
        </w:tc>
        <w:tc>
          <w:tcPr>
            <w:tcW w:w="0" w:type="dxa"/>
            <w:vAlign w:val="bottom"/>
          </w:tcPr>
          <w:p>
            <w:pPr>
              <w:spacing w:after="0"/>
              <w:rPr>
                <w:sz w:val="1"/>
                <w:szCs w:val="1"/>
                <w:color w:val="auto"/>
              </w:rPr>
            </w:pPr>
          </w:p>
        </w:tc>
      </w:tr>
      <w:tr>
        <w:trPr>
          <w:trHeight w:val="417"/>
        </w:trPr>
        <w:tc>
          <w:tcPr>
            <w:tcW w:w="10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1448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20" w:hanging="116"/>
        <w:spacing w:after="0"/>
        <w:tabs>
          <w:tab w:leader="none" w:pos="120" w:val="left"/>
        </w:tabs>
        <w:numPr>
          <w:ilvl w:val="0"/>
          <w:numId w:val="82"/>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EXCEL plan performance metrics are determined annually by the Executive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487680</wp:posOffset>
            </wp:positionV>
            <wp:extent cx="729297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535"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21"/>
          <w:szCs w:val="21"/>
          <w:b w:val="1"/>
          <w:bCs w:val="1"/>
          <w:u w:val="single" w:color="auto"/>
          <w:color w:val="auto"/>
        </w:rPr>
        <w:t>Exhibit 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(Terms of Eastman Kodak Company Employee’s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EASTMAN KODAK COMPANY</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EMPLOYEE’S AGREEMENT</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PREAMBLE</w:t>
      </w:r>
    </w:p>
    <w:p>
      <w:pPr>
        <w:spacing w:after="0" w:line="202" w:lineRule="exact"/>
        <w:rPr>
          <w:sz w:val="20"/>
          <w:szCs w:val="20"/>
          <w:color w:val="auto"/>
        </w:rPr>
      </w:pPr>
    </w:p>
    <w:p>
      <w:pPr>
        <w:ind w:right="140" w:firstLine="878"/>
        <w:spacing w:after="0" w:line="252" w:lineRule="auto"/>
        <w:rPr>
          <w:sz w:val="20"/>
          <w:szCs w:val="20"/>
          <w:color w:val="auto"/>
        </w:rPr>
      </w:pPr>
      <w:r>
        <w:rPr>
          <w:rFonts w:ascii="Arial" w:cs="Arial" w:eastAsia="Arial" w:hAnsi="Arial"/>
          <w:sz w:val="20"/>
          <w:szCs w:val="20"/>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(this “Agreement”) governs certain understandings between Kodak and you regarding your work for Kodak, its confidential and proprietary information, and your responsibilities to Kodak including, but not limited to, nondisclosure of Kodak’s Confidential Information and Proprietary Information (each as defined below), assignment of rights, improper competition (as applicable), and non-solicitation.</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BACKGROUND</w:t>
      </w:r>
    </w:p>
    <w:p>
      <w:pPr>
        <w:spacing w:after="0" w:line="202" w:lineRule="exact"/>
        <w:rPr>
          <w:sz w:val="20"/>
          <w:szCs w:val="20"/>
          <w:color w:val="auto"/>
        </w:rPr>
      </w:pPr>
    </w:p>
    <w:p>
      <w:pPr>
        <w:ind w:firstLine="878"/>
        <w:spacing w:after="0" w:line="248" w:lineRule="auto"/>
        <w:rPr>
          <w:sz w:val="20"/>
          <w:szCs w:val="20"/>
          <w:color w:val="auto"/>
        </w:rPr>
      </w:pPr>
      <w:r>
        <w:rPr>
          <w:rFonts w:ascii="Arial" w:cs="Arial" w:eastAsia="Arial" w:hAnsi="Arial"/>
          <w:sz w:val="20"/>
          <w:szCs w:val="20"/>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729297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36" w:name="page137"/>
    <w:bookmarkEnd w:id="136"/>
    <w:p>
      <w:pPr>
        <w:ind w:right="320" w:firstLine="878"/>
        <w:spacing w:after="0" w:line="257" w:lineRule="auto"/>
        <w:rPr>
          <w:sz w:val="20"/>
          <w:szCs w:val="20"/>
          <w:color w:val="auto"/>
        </w:rPr>
      </w:pPr>
      <w:r>
        <w:rPr>
          <w:rFonts w:ascii="Arial" w:cs="Arial" w:eastAsia="Arial" w:hAnsi="Arial"/>
          <w:sz w:val="21"/>
          <w:szCs w:val="21"/>
          <w:color w:val="auto"/>
        </w:rPr>
        <w:t>Therefore, in consideration of my employment by Kodak and of certain other benefits to be received by me in connection with such employment, it is understood and agreed as follows:</w:t>
      </w:r>
    </w:p>
    <w:p>
      <w:pPr>
        <w:spacing w:after="0" w:line="161" w:lineRule="exact"/>
        <w:rPr>
          <w:sz w:val="20"/>
          <w:szCs w:val="20"/>
          <w:color w:val="auto"/>
        </w:rPr>
      </w:pPr>
    </w:p>
    <w:p>
      <w:pPr>
        <w:ind w:left="880" w:hanging="876"/>
        <w:spacing w:after="0"/>
        <w:tabs>
          <w:tab w:leader="none" w:pos="880"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Nondisclosure</w:t>
      </w:r>
    </w:p>
    <w:p>
      <w:pPr>
        <w:spacing w:after="0" w:line="201" w:lineRule="exact"/>
        <w:rPr>
          <w:rFonts w:ascii="Arial" w:cs="Arial" w:eastAsia="Arial" w:hAnsi="Arial"/>
          <w:sz w:val="21"/>
          <w:szCs w:val="21"/>
          <w:color w:val="010000"/>
        </w:rPr>
      </w:pPr>
    </w:p>
    <w:p>
      <w:pPr>
        <w:ind w:left="880"/>
        <w:spacing w:after="0" w:line="261" w:lineRule="auto"/>
        <w:rPr>
          <w:rFonts w:ascii="Arial" w:cs="Arial" w:eastAsia="Arial" w:hAnsi="Arial"/>
          <w:sz w:val="21"/>
          <w:szCs w:val="21"/>
          <w:color w:val="010000"/>
        </w:rPr>
      </w:pPr>
      <w:r>
        <w:rPr>
          <w:rFonts w:ascii="Arial" w:cs="Arial" w:eastAsia="Arial" w:hAnsi="Arial"/>
          <w:sz w:val="19"/>
          <w:szCs w:val="19"/>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 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 Notwithstanding the foregoing, in accordance with the Defend Trade Secrets Act, 18 U.S.C. § 1833(b), and other applicable law, nothing in this section 1, this Employee’s Agreement, or any other agreement or Kodak policy shall prevent me from, or expose me to criminal or civil liability under federal or state trade secret law for, (a) directly or indirectly sharing any trade secrets or other Confidential Information (except information protected by Kodak’s or any of its subsidiaries’ attorney-client or work product privilege) with an attorney or with any federal, state, or local government agencies, regulators, or officials, for the purpose of investigating or reporting a suspected violation of law, whether in response to a subpoena or otherwise, without notice to Kodak, or (b) disclosing Kodak’s trade secrets in a filing in connection with a legal claim, provided that the filing is made under seal.</w:t>
      </w:r>
    </w:p>
    <w:p>
      <w:pPr>
        <w:spacing w:after="0" w:line="161" w:lineRule="exact"/>
        <w:rPr>
          <w:rFonts w:ascii="Arial" w:cs="Arial" w:eastAsia="Arial" w:hAnsi="Arial"/>
          <w:sz w:val="21"/>
          <w:szCs w:val="21"/>
          <w:color w:val="010000"/>
        </w:rPr>
      </w:pPr>
    </w:p>
    <w:p>
      <w:pPr>
        <w:ind w:left="880" w:hanging="876"/>
        <w:spacing w:after="0"/>
        <w:tabs>
          <w:tab w:leader="none" w:pos="880"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Assignment of Rights</w:t>
      </w:r>
    </w:p>
    <w:p>
      <w:pPr>
        <w:spacing w:after="0" w:line="201" w:lineRule="exact"/>
        <w:rPr>
          <w:rFonts w:ascii="Arial" w:cs="Arial" w:eastAsia="Arial" w:hAnsi="Arial"/>
          <w:sz w:val="21"/>
          <w:szCs w:val="21"/>
          <w:color w:val="010000"/>
        </w:rPr>
      </w:pPr>
    </w:p>
    <w:p>
      <w:pPr>
        <w:ind w:left="1760" w:right="60" w:hanging="873"/>
        <w:spacing w:after="0" w:line="251" w:lineRule="auto"/>
        <w:rPr>
          <w:rFonts w:ascii="Arial" w:cs="Arial" w:eastAsia="Arial" w:hAnsi="Arial"/>
          <w:sz w:val="21"/>
          <w:szCs w:val="21"/>
          <w:color w:val="010000"/>
        </w:rPr>
      </w:pPr>
      <w:r>
        <w:rPr>
          <w:rFonts w:ascii="Arial" w:cs="Arial" w:eastAsia="Arial" w:hAnsi="Arial"/>
          <w:sz w:val="21"/>
          <w:szCs w:val="21"/>
          <w:color w:val="010000"/>
        </w:rPr>
        <w:t>2.1</w:t>
      </w:r>
      <w:r>
        <w:rPr>
          <w:rFonts w:ascii="Arial" w:cs="Arial" w:eastAsia="Arial" w:hAnsi="Arial"/>
          <w:sz w:val="20"/>
          <w:szCs w:val="20"/>
          <w:color w:val="auto"/>
        </w:rPr>
        <w:t>I hereby assign and transfer to Kodak all of my right, title and interest in and to all Rights that are made or conceived by me, alone or with others: (i) during my employment by Kodak, that are within or arise out of any general field of the Kodak Business in which I have been employed or have worked during my employment by Kodak; and (ii) during my employment by Kodak and within the two (2) years following the termination of my employment from Kodak, that (a) arise out of any work I perform or information I received regarding the Kodak Business which I received while employed by Kodak; or (b) arise from work that Kodak authorizes me to perform for or on behalf of any person or entity affiliated with Kodak.</w:t>
      </w:r>
    </w:p>
    <w:p>
      <w:pPr>
        <w:spacing w:after="0" w:line="167" w:lineRule="exact"/>
        <w:rPr>
          <w:rFonts w:ascii="Arial" w:cs="Arial" w:eastAsia="Arial" w:hAnsi="Arial"/>
          <w:sz w:val="21"/>
          <w:szCs w:val="21"/>
          <w:color w:val="010000"/>
        </w:rPr>
      </w:pPr>
    </w:p>
    <w:p>
      <w:pPr>
        <w:ind w:left="1760" w:right="80" w:hanging="873"/>
        <w:spacing w:after="0" w:line="245" w:lineRule="auto"/>
        <w:rPr>
          <w:rFonts w:ascii="Arial" w:cs="Arial" w:eastAsia="Arial" w:hAnsi="Arial"/>
          <w:sz w:val="21"/>
          <w:szCs w:val="21"/>
          <w:color w:val="010000"/>
        </w:rPr>
      </w:pPr>
      <w:r>
        <w:rPr>
          <w:rFonts w:ascii="Arial" w:cs="Arial" w:eastAsia="Arial" w:hAnsi="Arial"/>
          <w:sz w:val="21"/>
          <w:szCs w:val="21"/>
          <w:color w:val="010000"/>
        </w:rPr>
        <w:t>2.2</w:t>
      </w:r>
      <w:r>
        <w:rPr>
          <w:rFonts w:ascii="Arial" w:cs="Arial" w:eastAsia="Arial" w:hAnsi="Arial"/>
          <w:sz w:val="21"/>
          <w:szCs w:val="21"/>
          <w:color w:val="auto"/>
        </w:rPr>
        <w:t>While employed in California, no employee will be required to make an assignment of any invention to the extent prohibited by California Labor Code §2870(a) (a copy of which will be made available to any employee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574040</wp:posOffset>
            </wp:positionV>
            <wp:extent cx="729297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40"/>
          </w:cols>
          <w:pgMar w:left="240" w:top="535" w:right="319" w:bottom="1440" w:gutter="0" w:footer="0" w:header="0"/>
        </w:sectPr>
      </w:pPr>
    </w:p>
    <w:bookmarkStart w:id="137" w:name="page138"/>
    <w:bookmarkEnd w:id="137"/>
    <w:p>
      <w:pPr>
        <w:ind w:left="1756" w:hanging="872"/>
        <w:spacing w:after="0" w:line="254" w:lineRule="auto"/>
        <w:tabs>
          <w:tab w:leader="none" w:pos="1735" w:val="left"/>
        </w:tabs>
        <w:rPr>
          <w:sz w:val="20"/>
          <w:szCs w:val="20"/>
          <w:color w:val="auto"/>
        </w:rPr>
      </w:pPr>
      <w:r>
        <w:rPr>
          <w:rFonts w:ascii="Arial" w:cs="Arial" w:eastAsia="Arial" w:hAnsi="Arial"/>
          <w:sz w:val="21"/>
          <w:szCs w:val="21"/>
          <w:color w:val="010000"/>
        </w:rPr>
        <w:t>2.3</w:t>
      </w:r>
      <w:r>
        <w:rPr>
          <w:sz w:val="20"/>
          <w:szCs w:val="20"/>
          <w:color w:val="auto"/>
        </w:rPr>
        <w:tab/>
      </w:r>
      <w:r>
        <w:rPr>
          <w:rFonts w:ascii="Arial" w:cs="Arial" w:eastAsia="Arial" w:hAnsi="Arial"/>
          <w:sz w:val="20"/>
          <w:szCs w:val="20"/>
          <w:color w:val="auto"/>
        </w:rPr>
        <w:t>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165" w:lineRule="exact"/>
        <w:rPr>
          <w:sz w:val="20"/>
          <w:szCs w:val="20"/>
          <w:color w:val="auto"/>
        </w:rPr>
      </w:pPr>
    </w:p>
    <w:p>
      <w:pPr>
        <w:ind w:left="876" w:hanging="876"/>
        <w:spacing w:after="0"/>
        <w:tabs>
          <w:tab w:leader="none" w:pos="876"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Improper Competition</w:t>
      </w:r>
    </w:p>
    <w:p>
      <w:pPr>
        <w:spacing w:after="0" w:line="201" w:lineRule="exact"/>
        <w:rPr>
          <w:rFonts w:ascii="Arial" w:cs="Arial" w:eastAsia="Arial" w:hAnsi="Arial"/>
          <w:sz w:val="21"/>
          <w:szCs w:val="21"/>
          <w:color w:val="010000"/>
        </w:rPr>
      </w:pPr>
    </w:p>
    <w:p>
      <w:pPr>
        <w:ind w:left="1756" w:right="100" w:hanging="873"/>
        <w:spacing w:after="0" w:line="241" w:lineRule="auto"/>
        <w:rPr>
          <w:rFonts w:ascii="Arial" w:cs="Arial" w:eastAsia="Arial" w:hAnsi="Arial"/>
          <w:sz w:val="21"/>
          <w:szCs w:val="21"/>
          <w:color w:val="010000"/>
        </w:rPr>
      </w:pPr>
      <w:r>
        <w:rPr>
          <w:rFonts w:ascii="Arial" w:cs="Arial" w:eastAsia="Arial" w:hAnsi="Arial"/>
          <w:sz w:val="21"/>
          <w:szCs w:val="21"/>
          <w:color w:val="010000"/>
        </w:rPr>
        <w:t>3.1</w:t>
      </w:r>
      <w:r>
        <w:rPr>
          <w:rFonts w:ascii="Arial" w:cs="Arial" w:eastAsia="Arial" w:hAnsi="Arial"/>
          <w:sz w:val="21"/>
          <w:szCs w:val="21"/>
          <w:color w:val="auto"/>
        </w:rPr>
        <w:t>The restrictions contained in this section 3 will apply during my employment by Kodak and continue after the termination of my employment for any reason (except if I am involuntarily terminated without Cause unrelated to my breach or threatened breach of my obligations in this Agreement) for a period equal to twelve (12) months (the “Post Employment Period”).</w:t>
      </w:r>
    </w:p>
    <w:p>
      <w:pPr>
        <w:spacing w:after="0" w:line="177" w:lineRule="exact"/>
        <w:rPr>
          <w:rFonts w:ascii="Arial" w:cs="Arial" w:eastAsia="Arial" w:hAnsi="Arial"/>
          <w:sz w:val="21"/>
          <w:szCs w:val="21"/>
          <w:color w:val="010000"/>
        </w:rPr>
      </w:pPr>
    </w:p>
    <w:p>
      <w:pPr>
        <w:ind w:left="1756" w:right="100" w:hanging="873"/>
        <w:spacing w:after="0" w:line="245" w:lineRule="auto"/>
        <w:rPr>
          <w:rFonts w:ascii="Arial" w:cs="Arial" w:eastAsia="Arial" w:hAnsi="Arial"/>
          <w:sz w:val="21"/>
          <w:szCs w:val="21"/>
          <w:color w:val="010000"/>
        </w:rPr>
      </w:pPr>
      <w:r>
        <w:rPr>
          <w:rFonts w:ascii="Arial" w:cs="Arial" w:eastAsia="Arial" w:hAnsi="Arial"/>
          <w:sz w:val="21"/>
          <w:szCs w:val="21"/>
          <w:color w:val="010000"/>
        </w:rPr>
        <w:t>3.2</w:t>
      </w:r>
      <w:r>
        <w:rPr>
          <w:rFonts w:ascii="Arial" w:cs="Arial" w:eastAsia="Arial" w:hAnsi="Arial"/>
          <w:sz w:val="21"/>
          <w:szCs w:val="21"/>
          <w:color w:val="auto"/>
        </w:rPr>
        <w:t>During the Post Employment Period, I will, prior to accepting employment with a Competing Business (as defined in section 3.3), inform that Competing Business of the existence of this Agreement and provide a copy to that Competing Business.</w:t>
      </w:r>
    </w:p>
    <w:p>
      <w:pPr>
        <w:spacing w:after="0" w:line="172" w:lineRule="exact"/>
        <w:rPr>
          <w:rFonts w:ascii="Arial" w:cs="Arial" w:eastAsia="Arial" w:hAnsi="Arial"/>
          <w:sz w:val="21"/>
          <w:szCs w:val="21"/>
          <w:color w:val="010000"/>
        </w:rPr>
      </w:pPr>
    </w:p>
    <w:p>
      <w:pPr>
        <w:ind w:left="1756" w:right="140" w:hanging="873"/>
        <w:spacing w:after="0" w:line="257" w:lineRule="auto"/>
        <w:rPr>
          <w:rFonts w:ascii="Arial" w:cs="Arial" w:eastAsia="Arial" w:hAnsi="Arial"/>
          <w:sz w:val="21"/>
          <w:szCs w:val="21"/>
          <w:color w:val="010000"/>
        </w:rPr>
      </w:pPr>
      <w:r>
        <w:rPr>
          <w:rFonts w:ascii="Arial" w:cs="Arial" w:eastAsia="Arial" w:hAnsi="Arial"/>
          <w:sz w:val="21"/>
          <w:szCs w:val="21"/>
          <w:color w:val="010000"/>
        </w:rPr>
        <w:t>3.3</w:t>
      </w:r>
      <w:r>
        <w:rPr>
          <w:rFonts w:ascii="Arial" w:cs="Arial" w:eastAsia="Arial" w:hAnsi="Arial"/>
          <w:sz w:val="21"/>
          <w:szCs w:val="21"/>
          <w:color w:val="auto"/>
        </w:rPr>
        <w:t>During the Post-Employment Period, the restrictions of section 3.3 will apply only to my work or activities within the relevant geographic area(s) or with the accounts, as defined in this section.</w:t>
      </w:r>
    </w:p>
    <w:p>
      <w:pPr>
        <w:spacing w:after="0" w:line="161" w:lineRule="exact"/>
        <w:rPr>
          <w:sz w:val="20"/>
          <w:szCs w:val="20"/>
          <w:color w:val="auto"/>
        </w:rPr>
      </w:pPr>
    </w:p>
    <w:p>
      <w:pPr>
        <w:ind w:left="2616" w:right="220" w:hanging="872"/>
        <w:spacing w:after="0" w:line="238" w:lineRule="auto"/>
        <w:tabs>
          <w:tab w:leader="none" w:pos="2595" w:val="left"/>
        </w:tabs>
        <w:rPr>
          <w:sz w:val="20"/>
          <w:szCs w:val="20"/>
          <w:color w:val="auto"/>
        </w:rPr>
      </w:pPr>
      <w:r>
        <w:rPr>
          <w:rFonts w:ascii="Arial" w:cs="Arial" w:eastAsia="Arial" w:hAnsi="Arial"/>
          <w:sz w:val="21"/>
          <w:szCs w:val="21"/>
          <w:color w:val="010000"/>
        </w:rPr>
        <w:t>3.3.1</w:t>
      </w:r>
      <w:r>
        <w:rPr>
          <w:sz w:val="20"/>
          <w:szCs w:val="20"/>
          <w:color w:val="auto"/>
        </w:rPr>
        <w:tab/>
      </w:r>
      <w:r>
        <w:rPr>
          <w:rFonts w:ascii="Arial" w:cs="Arial" w:eastAsia="Arial" w:hAnsi="Arial"/>
          <w:sz w:val="21"/>
          <w:szCs w:val="21"/>
          <w:color w:val="auto"/>
        </w:rPr>
        <w:t>If I was employed by Kodak in a sales or service job immediately prior to the termination of my employment, and if my responsibilities were confined to specific territories, accounts, or regions, then the restrictions will apply to: (a) any and all sales or service territories, or regions in which I worked within the two (2) years prior to termination of my employment and, (b) the then existing accounts and prospective accounts of Kodak with which I worked within the two (2) years immediately preceding termination of my employment with Kodak.</w:t>
      </w:r>
    </w:p>
    <w:p>
      <w:pPr>
        <w:spacing w:after="0" w:line="180" w:lineRule="exact"/>
        <w:rPr>
          <w:sz w:val="20"/>
          <w:szCs w:val="20"/>
          <w:color w:val="auto"/>
        </w:rPr>
      </w:pPr>
    </w:p>
    <w:p>
      <w:pPr>
        <w:ind w:left="2616" w:right="20" w:hanging="872"/>
        <w:spacing w:after="0" w:line="238" w:lineRule="auto"/>
        <w:tabs>
          <w:tab w:leader="none" w:pos="2595" w:val="left"/>
        </w:tabs>
        <w:rPr>
          <w:sz w:val="20"/>
          <w:szCs w:val="20"/>
          <w:color w:val="auto"/>
        </w:rPr>
      </w:pPr>
      <w:r>
        <w:rPr>
          <w:rFonts w:ascii="Arial" w:cs="Arial" w:eastAsia="Arial" w:hAnsi="Arial"/>
          <w:sz w:val="21"/>
          <w:szCs w:val="21"/>
          <w:color w:val="010000"/>
        </w:rPr>
        <w:t>3.3.2</w:t>
      </w:r>
      <w:r>
        <w:rPr>
          <w:sz w:val="20"/>
          <w:szCs w:val="20"/>
          <w:color w:val="auto"/>
        </w:rPr>
        <w:tab/>
      </w:r>
      <w:r>
        <w:rPr>
          <w:rFonts w:ascii="Arial" w:cs="Arial" w:eastAsia="Arial" w:hAnsi="Arial"/>
          <w:sz w:val="21"/>
          <w:szCs w:val="21"/>
          <w:color w:val="auto"/>
        </w:rPr>
        <w:t>If, immediately prior to the termination of my Kodak employment: (a) I was employed by Kodak in a sales or service job and my responsibilities were not confined to specific territories, accounts or regions, or (b) if I was employed by Kodak in any other capacity, then the relevant geographic area(s) will consist of the United States and any other country to which my responsibilities extended, unless a narrower geographic area would be sufficient to protect from disclosure the Kodak Confidential Information of which I have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578485</wp:posOffset>
            </wp:positionV>
            <wp:extent cx="729297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16"/>
          </w:cols>
          <w:pgMar w:left="244" w:top="535" w:right="239" w:bottom="1440" w:gutter="0" w:footer="0" w:header="0"/>
        </w:sectPr>
      </w:pPr>
    </w:p>
    <w:bookmarkStart w:id="138" w:name="page139"/>
    <w:bookmarkEnd w:id="138"/>
    <w:p>
      <w:pPr>
        <w:ind w:left="2636" w:right="500"/>
        <w:spacing w:after="0" w:line="241" w:lineRule="auto"/>
        <w:rPr>
          <w:sz w:val="20"/>
          <w:szCs w:val="20"/>
          <w:color w:val="auto"/>
        </w:rPr>
      </w:pPr>
      <w:r>
        <w:rPr>
          <w:rFonts w:ascii="Arial" w:cs="Arial" w:eastAsia="Arial" w:hAnsi="Arial"/>
          <w:sz w:val="21"/>
          <w:szCs w:val="21"/>
          <w:color w:val="auto"/>
        </w:rPr>
        <w:t>I understand and agree that the foregoing geographic restrictions are necessary in light of the international scope of the Kodak Business and the business of Kodak’s competitors, and that the disclosure or use anywhere of Kodak Confidential Information to or for the benefit of a Competing Business would irreparably harm Kodak.</w:t>
      </w:r>
    </w:p>
    <w:p>
      <w:pPr>
        <w:spacing w:after="0" w:line="177" w:lineRule="exact"/>
        <w:rPr>
          <w:sz w:val="20"/>
          <w:szCs w:val="20"/>
          <w:color w:val="auto"/>
        </w:rPr>
      </w:pPr>
    </w:p>
    <w:p>
      <w:pPr>
        <w:ind w:left="2616" w:right="180" w:hanging="872"/>
        <w:spacing w:after="0" w:line="257" w:lineRule="auto"/>
        <w:tabs>
          <w:tab w:leader="none" w:pos="2595" w:val="left"/>
        </w:tabs>
        <w:rPr>
          <w:sz w:val="20"/>
          <w:szCs w:val="20"/>
          <w:color w:val="auto"/>
        </w:rPr>
      </w:pPr>
      <w:r>
        <w:rPr>
          <w:rFonts w:ascii="Arial" w:cs="Arial" w:eastAsia="Arial" w:hAnsi="Arial"/>
          <w:sz w:val="21"/>
          <w:szCs w:val="21"/>
          <w:color w:val="010000"/>
        </w:rPr>
        <w:t>3.3.3</w:t>
      </w:r>
      <w:r>
        <w:rPr>
          <w:sz w:val="20"/>
          <w:szCs w:val="20"/>
          <w:color w:val="auto"/>
        </w:rPr>
        <w:tab/>
      </w:r>
      <w:r>
        <w:rPr>
          <w:rFonts w:ascii="Arial" w:cs="Arial" w:eastAsia="Arial" w:hAnsi="Arial"/>
          <w:sz w:val="21"/>
          <w:szCs w:val="21"/>
          <w:color w:val="auto"/>
        </w:rPr>
        <w:t>I understand that this section 3 will not be effective at any time during which I am employed by Kodak in the State of California.</w:t>
      </w:r>
    </w:p>
    <w:p>
      <w:pPr>
        <w:spacing w:after="0" w:line="174" w:lineRule="exact"/>
        <w:rPr>
          <w:sz w:val="20"/>
          <w:szCs w:val="20"/>
          <w:color w:val="auto"/>
        </w:rPr>
      </w:pPr>
    </w:p>
    <w:p>
      <w:pPr>
        <w:ind w:left="876" w:hanging="876"/>
        <w:spacing w:after="0"/>
        <w:tabs>
          <w:tab w:leader="none" w:pos="876"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Non-solicitation</w:t>
      </w:r>
    </w:p>
    <w:p>
      <w:pPr>
        <w:spacing w:after="0" w:line="201" w:lineRule="exact"/>
        <w:rPr>
          <w:rFonts w:ascii="Arial" w:cs="Arial" w:eastAsia="Arial" w:hAnsi="Arial"/>
          <w:sz w:val="21"/>
          <w:szCs w:val="21"/>
          <w:color w:val="010000"/>
        </w:rPr>
      </w:pPr>
    </w:p>
    <w:p>
      <w:pPr>
        <w:ind w:left="876"/>
        <w:spacing w:after="0" w:line="265" w:lineRule="auto"/>
        <w:rPr>
          <w:rFonts w:ascii="Arial" w:cs="Arial" w:eastAsia="Arial" w:hAnsi="Arial"/>
          <w:sz w:val="21"/>
          <w:szCs w:val="21"/>
          <w:color w:val="010000"/>
        </w:rPr>
      </w:pPr>
      <w:r>
        <w:rPr>
          <w:rFonts w:ascii="Arial" w:cs="Arial" w:eastAsia="Arial" w:hAnsi="Arial"/>
          <w:sz w:val="19"/>
          <w:szCs w:val="19"/>
          <w:color w:val="auto"/>
        </w:rPr>
        <w:t>In order to protect Kodak’s trade secrets, 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(6) months immediately preceding such employment(iv) solicit, entice, call upon or contact in any way, for the purpose or with the effect of diverting or taking away or attempting to divert or take away, any of Kodak’s customers or suppliers and suppliers to do business with a Competing Business.</w:t>
      </w:r>
    </w:p>
    <w:p>
      <w:pPr>
        <w:spacing w:after="0" w:line="155" w:lineRule="exact"/>
        <w:rPr>
          <w:rFonts w:ascii="Arial" w:cs="Arial" w:eastAsia="Arial" w:hAnsi="Arial"/>
          <w:sz w:val="21"/>
          <w:szCs w:val="21"/>
          <w:color w:val="010000"/>
        </w:rPr>
      </w:pPr>
    </w:p>
    <w:p>
      <w:pPr>
        <w:ind w:left="876" w:hanging="876"/>
        <w:spacing w:after="0"/>
        <w:tabs>
          <w:tab w:leader="none" w:pos="876"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Return of Property</w:t>
      </w:r>
    </w:p>
    <w:p>
      <w:pPr>
        <w:spacing w:after="0" w:line="201" w:lineRule="exact"/>
        <w:rPr>
          <w:rFonts w:ascii="Arial" w:cs="Arial" w:eastAsia="Arial" w:hAnsi="Arial"/>
          <w:sz w:val="21"/>
          <w:szCs w:val="21"/>
          <w:color w:val="010000"/>
        </w:rPr>
      </w:pPr>
    </w:p>
    <w:p>
      <w:pPr>
        <w:ind w:left="876" w:right="20"/>
        <w:spacing w:after="0" w:line="265" w:lineRule="auto"/>
        <w:rPr>
          <w:rFonts w:ascii="Arial" w:cs="Arial" w:eastAsia="Arial" w:hAnsi="Arial"/>
          <w:sz w:val="21"/>
          <w:szCs w:val="21"/>
          <w:color w:val="010000"/>
        </w:rPr>
      </w:pPr>
      <w:r>
        <w:rPr>
          <w:rFonts w:ascii="Arial" w:cs="Arial" w:eastAsia="Arial" w:hAnsi="Arial"/>
          <w:sz w:val="19"/>
          <w:szCs w:val="19"/>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personal devices (including, but not limited to, cellular phones, smartphones, tablets, laptops, or the like), Kodak credit cards, automobiles, computer equipment, hardware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155" w:lineRule="exact"/>
        <w:rPr>
          <w:rFonts w:ascii="Arial" w:cs="Arial" w:eastAsia="Arial" w:hAnsi="Arial"/>
          <w:sz w:val="21"/>
          <w:szCs w:val="21"/>
          <w:color w:val="010000"/>
        </w:rPr>
      </w:pPr>
    </w:p>
    <w:p>
      <w:pPr>
        <w:ind w:left="876" w:hanging="876"/>
        <w:spacing w:after="0"/>
        <w:tabs>
          <w:tab w:leader="none" w:pos="876"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At-Will Employment</w:t>
      </w:r>
    </w:p>
    <w:p>
      <w:pPr>
        <w:spacing w:after="0" w:line="201" w:lineRule="exact"/>
        <w:rPr>
          <w:rFonts w:ascii="Arial" w:cs="Arial" w:eastAsia="Arial" w:hAnsi="Arial"/>
          <w:sz w:val="21"/>
          <w:szCs w:val="21"/>
          <w:color w:val="010000"/>
        </w:rPr>
      </w:pPr>
    </w:p>
    <w:p>
      <w:pPr>
        <w:ind w:left="876" w:right="20"/>
        <w:spacing w:after="0" w:line="270" w:lineRule="auto"/>
        <w:rPr>
          <w:rFonts w:ascii="Arial" w:cs="Arial" w:eastAsia="Arial" w:hAnsi="Arial"/>
          <w:sz w:val="21"/>
          <w:szCs w:val="21"/>
          <w:color w:val="010000"/>
        </w:rPr>
      </w:pPr>
      <w:r>
        <w:rPr>
          <w:rFonts w:ascii="Arial" w:cs="Arial" w:eastAsia="Arial" w:hAnsi="Arial"/>
          <w:sz w:val="19"/>
          <w:szCs w:val="19"/>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 (3) specifically acknowledges that it is intended to amend this Agreement; and (4) is signed by a Kodak corporate officer and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429260</wp:posOffset>
            </wp:positionV>
            <wp:extent cx="729297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96"/>
          </w:cols>
          <w:pgMar w:left="244" w:top="535" w:right="259" w:bottom="1440" w:gutter="0" w:footer="0" w:header="0"/>
        </w:sectPr>
      </w:pPr>
    </w:p>
    <w:bookmarkStart w:id="139" w:name="page140"/>
    <w:bookmarkEnd w:id="139"/>
    <w:p>
      <w:pPr>
        <w:ind w:left="876" w:hanging="876"/>
        <w:spacing w:after="0"/>
        <w:tabs>
          <w:tab w:leader="none" w:pos="876" w:val="left"/>
        </w:tabs>
        <w:numPr>
          <w:ilvl w:val="0"/>
          <w:numId w:val="86"/>
        </w:numPr>
        <w:rPr>
          <w:rFonts w:ascii="Arial" w:cs="Arial" w:eastAsia="Arial" w:hAnsi="Arial"/>
          <w:sz w:val="21"/>
          <w:szCs w:val="21"/>
          <w:color w:val="010000"/>
        </w:rPr>
      </w:pPr>
      <w:r>
        <w:rPr>
          <w:rFonts w:ascii="Arial" w:cs="Arial" w:eastAsia="Arial" w:hAnsi="Arial"/>
          <w:sz w:val="21"/>
          <w:szCs w:val="21"/>
          <w:color w:val="auto"/>
        </w:rPr>
        <w:t>Business Conduct</w:t>
      </w:r>
    </w:p>
    <w:p>
      <w:pPr>
        <w:spacing w:after="0" w:line="201" w:lineRule="exact"/>
        <w:rPr>
          <w:rFonts w:ascii="Arial" w:cs="Arial" w:eastAsia="Arial" w:hAnsi="Arial"/>
          <w:sz w:val="21"/>
          <w:szCs w:val="21"/>
          <w:color w:val="010000"/>
        </w:rPr>
      </w:pPr>
    </w:p>
    <w:p>
      <w:pPr>
        <w:ind w:left="876" w:right="100"/>
        <w:spacing w:after="0" w:line="306" w:lineRule="auto"/>
        <w:rPr>
          <w:rFonts w:ascii="Arial" w:cs="Arial" w:eastAsia="Arial" w:hAnsi="Arial"/>
          <w:sz w:val="21"/>
          <w:szCs w:val="21"/>
          <w:color w:val="010000"/>
        </w:rPr>
      </w:pPr>
      <w:r>
        <w:rPr>
          <w:rFonts w:ascii="Arial" w:cs="Arial" w:eastAsia="Arial" w:hAnsi="Arial"/>
          <w:sz w:val="18"/>
          <w:szCs w:val="18"/>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120" w:lineRule="exact"/>
        <w:rPr>
          <w:rFonts w:ascii="Arial" w:cs="Arial" w:eastAsia="Arial" w:hAnsi="Arial"/>
          <w:sz w:val="21"/>
          <w:szCs w:val="21"/>
          <w:color w:val="010000"/>
        </w:rPr>
      </w:pPr>
    </w:p>
    <w:p>
      <w:pPr>
        <w:ind w:left="876" w:hanging="876"/>
        <w:spacing w:after="0"/>
        <w:tabs>
          <w:tab w:leader="none" w:pos="876" w:val="left"/>
        </w:tabs>
        <w:numPr>
          <w:ilvl w:val="0"/>
          <w:numId w:val="86"/>
        </w:numPr>
        <w:rPr>
          <w:rFonts w:ascii="Arial" w:cs="Arial" w:eastAsia="Arial" w:hAnsi="Arial"/>
          <w:sz w:val="21"/>
          <w:szCs w:val="21"/>
          <w:color w:val="010000"/>
        </w:rPr>
      </w:pPr>
      <w:r>
        <w:rPr>
          <w:rFonts w:ascii="Arial" w:cs="Arial" w:eastAsia="Arial" w:hAnsi="Arial"/>
          <w:sz w:val="21"/>
          <w:szCs w:val="21"/>
          <w:color w:val="auto"/>
        </w:rPr>
        <w:t>Miscellaneous.</w:t>
      </w:r>
    </w:p>
    <w:p>
      <w:pPr>
        <w:spacing w:after="0" w:line="201" w:lineRule="exact"/>
        <w:rPr>
          <w:rFonts w:ascii="Arial" w:cs="Arial" w:eastAsia="Arial" w:hAnsi="Arial"/>
          <w:sz w:val="21"/>
          <w:szCs w:val="21"/>
          <w:color w:val="010000"/>
        </w:rPr>
      </w:pPr>
    </w:p>
    <w:p>
      <w:pPr>
        <w:ind w:left="1756" w:right="120" w:hanging="873"/>
        <w:spacing w:after="0" w:line="275" w:lineRule="auto"/>
        <w:rPr>
          <w:rFonts w:ascii="Arial" w:cs="Arial" w:eastAsia="Arial" w:hAnsi="Arial"/>
          <w:sz w:val="21"/>
          <w:szCs w:val="21"/>
          <w:color w:val="010000"/>
        </w:rPr>
      </w:pPr>
      <w:r>
        <w:rPr>
          <w:rFonts w:ascii="Arial" w:cs="Arial" w:eastAsia="Arial" w:hAnsi="Arial"/>
          <w:sz w:val="21"/>
          <w:szCs w:val="21"/>
          <w:color w:val="010000"/>
        </w:rPr>
        <w:t>8.1</w:t>
      </w:r>
      <w:r>
        <w:rPr>
          <w:rFonts w:ascii="Arial" w:cs="Arial" w:eastAsia="Arial" w:hAnsi="Arial"/>
          <w:sz w:val="19"/>
          <w:szCs w:val="19"/>
          <w:color w:val="auto"/>
        </w:rPr>
        <w:t>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145" w:lineRule="exact"/>
        <w:rPr>
          <w:rFonts w:ascii="Arial" w:cs="Arial" w:eastAsia="Arial" w:hAnsi="Arial"/>
          <w:sz w:val="21"/>
          <w:szCs w:val="21"/>
          <w:color w:val="010000"/>
        </w:rPr>
      </w:pPr>
    </w:p>
    <w:p>
      <w:pPr>
        <w:ind w:left="1756" w:right="40" w:hanging="873"/>
        <w:spacing w:after="0" w:line="239" w:lineRule="auto"/>
        <w:rPr>
          <w:rFonts w:ascii="Arial" w:cs="Arial" w:eastAsia="Arial" w:hAnsi="Arial"/>
          <w:sz w:val="21"/>
          <w:szCs w:val="21"/>
          <w:color w:val="010000"/>
        </w:rPr>
      </w:pPr>
      <w:r>
        <w:rPr>
          <w:rFonts w:ascii="Arial" w:cs="Arial" w:eastAsia="Arial" w:hAnsi="Arial"/>
          <w:sz w:val="21"/>
          <w:szCs w:val="21"/>
          <w:color w:val="010000"/>
        </w:rPr>
        <w:t>8.2</w:t>
      </w:r>
      <w:r>
        <w:rPr>
          <w:rFonts w:ascii="Arial" w:cs="Arial" w:eastAsia="Arial" w:hAnsi="Arial"/>
          <w:sz w:val="21"/>
          <w:szCs w:val="21"/>
          <w:color w:val="auto"/>
        </w:rPr>
        <w:t>This Agreement replaces any and all previous agreements relating to the same or similar matters that I may have entered into with Kodak with respect to my present or any future period of employment by 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179" w:lineRule="exact"/>
        <w:rPr>
          <w:rFonts w:ascii="Arial" w:cs="Arial" w:eastAsia="Arial" w:hAnsi="Arial"/>
          <w:sz w:val="21"/>
          <w:szCs w:val="21"/>
          <w:color w:val="010000"/>
        </w:rPr>
      </w:pPr>
    </w:p>
    <w:p>
      <w:pPr>
        <w:ind w:left="1756" w:right="40" w:hanging="873"/>
        <w:spacing w:after="0" w:line="270" w:lineRule="auto"/>
        <w:rPr>
          <w:rFonts w:ascii="Arial" w:cs="Arial" w:eastAsia="Arial" w:hAnsi="Arial"/>
          <w:sz w:val="21"/>
          <w:szCs w:val="21"/>
          <w:color w:val="010000"/>
        </w:rPr>
      </w:pPr>
      <w:r>
        <w:rPr>
          <w:rFonts w:ascii="Arial" w:cs="Arial" w:eastAsia="Arial" w:hAnsi="Arial"/>
          <w:sz w:val="21"/>
          <w:szCs w:val="21"/>
          <w:color w:val="010000"/>
        </w:rPr>
        <w:t>8.3</w:t>
      </w:r>
      <w:r>
        <w:rPr>
          <w:rFonts w:ascii="Arial" w:cs="Arial" w:eastAsia="Arial" w:hAnsi="Arial"/>
          <w:sz w:val="19"/>
          <w:szCs w:val="19"/>
          <w:color w:val="auto"/>
        </w:rPr>
        <w:t>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spacing w:after="0" w:line="152" w:lineRule="exact"/>
        <w:rPr>
          <w:rFonts w:ascii="Arial" w:cs="Arial" w:eastAsia="Arial" w:hAnsi="Arial"/>
          <w:sz w:val="21"/>
          <w:szCs w:val="21"/>
          <w:color w:val="010000"/>
        </w:rPr>
      </w:pPr>
    </w:p>
    <w:p>
      <w:pPr>
        <w:ind w:left="1756" w:hanging="873"/>
        <w:spacing w:after="0" w:line="239" w:lineRule="auto"/>
        <w:rPr>
          <w:rFonts w:ascii="Arial" w:cs="Arial" w:eastAsia="Arial" w:hAnsi="Arial"/>
          <w:sz w:val="21"/>
          <w:szCs w:val="21"/>
          <w:color w:val="010000"/>
        </w:rPr>
      </w:pPr>
      <w:r>
        <w:rPr>
          <w:rFonts w:ascii="Arial" w:cs="Arial" w:eastAsia="Arial" w:hAnsi="Arial"/>
          <w:sz w:val="21"/>
          <w:szCs w:val="21"/>
          <w:color w:val="010000"/>
        </w:rPr>
        <w:t>8.4</w:t>
      </w:r>
      <w:r>
        <w:rPr>
          <w:rFonts w:ascii="Arial" w:cs="Arial" w:eastAsia="Arial" w:hAnsi="Arial"/>
          <w:sz w:val="21"/>
          <w:szCs w:val="21"/>
          <w:color w:val="auto"/>
        </w:rPr>
        <w:t>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spacing w:after="0" w:line="179" w:lineRule="exact"/>
        <w:rPr>
          <w:rFonts w:ascii="Arial" w:cs="Arial" w:eastAsia="Arial" w:hAnsi="Arial"/>
          <w:sz w:val="21"/>
          <w:szCs w:val="21"/>
          <w:color w:val="010000"/>
        </w:rPr>
      </w:pPr>
    </w:p>
    <w:p>
      <w:pPr>
        <w:ind w:left="1756" w:right="160" w:hanging="873"/>
        <w:spacing w:after="0" w:line="257" w:lineRule="auto"/>
        <w:rPr>
          <w:rFonts w:ascii="Arial" w:cs="Arial" w:eastAsia="Arial" w:hAnsi="Arial"/>
          <w:sz w:val="21"/>
          <w:szCs w:val="21"/>
          <w:color w:val="010000"/>
        </w:rPr>
      </w:pPr>
      <w:r>
        <w:rPr>
          <w:rFonts w:ascii="Arial" w:cs="Arial" w:eastAsia="Arial" w:hAnsi="Arial"/>
          <w:sz w:val="21"/>
          <w:szCs w:val="21"/>
          <w:color w:val="010000"/>
        </w:rPr>
        <w:t>8.5</w:t>
      </w:r>
      <w:r>
        <w:rPr>
          <w:rFonts w:ascii="Arial" w:cs="Arial" w:eastAsia="Arial" w:hAnsi="Arial"/>
          <w:sz w:val="21"/>
          <w:szCs w:val="21"/>
          <w:color w:val="auto"/>
        </w:rPr>
        <w:t>All titles or headings in this agreement are for convenience only and shall not affect the meaning of any provision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566420</wp:posOffset>
            </wp:positionV>
            <wp:extent cx="729297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96"/>
          </w:cols>
          <w:pgMar w:left="244" w:top="535" w:right="259" w:bottom="1440" w:gutter="0" w:footer="0" w:header="0"/>
        </w:sectPr>
      </w:pPr>
    </w:p>
    <w:bookmarkStart w:id="140" w:name="page141"/>
    <w:bookmarkEnd w:id="140"/>
    <w:p>
      <w:pPr>
        <w:ind w:left="560" w:hanging="872"/>
        <w:spacing w:after="0" w:line="236" w:lineRule="auto"/>
        <w:tabs>
          <w:tab w:leader="none" w:pos="540" w:val="left"/>
        </w:tabs>
        <w:rPr>
          <w:sz w:val="20"/>
          <w:szCs w:val="20"/>
          <w:color w:val="auto"/>
        </w:rPr>
      </w:pPr>
      <w:r>
        <w:rPr>
          <w:rFonts w:ascii="Arial" w:cs="Arial" w:eastAsia="Arial" w:hAnsi="Arial"/>
          <w:sz w:val="21"/>
          <w:szCs w:val="21"/>
          <w:color w:val="010000"/>
        </w:rPr>
        <w:t>8.6</w:t>
      </w:r>
      <w:r>
        <w:rPr>
          <w:sz w:val="20"/>
          <w:szCs w:val="20"/>
          <w:color w:val="auto"/>
        </w:rPr>
        <w:tab/>
      </w:r>
      <w:r>
        <w:rPr>
          <w:rFonts w:ascii="Arial" w:cs="Arial" w:eastAsia="Arial" w:hAnsi="Arial"/>
          <w:sz w:val="21"/>
          <w:szCs w:val="21"/>
          <w:color w:val="auto"/>
        </w:rPr>
        <w:t>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Arial" w:cs="Arial" w:eastAsia="Arial" w:hAnsi="Arial"/>
          <w:sz w:val="21"/>
          <w:szCs w:val="21"/>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460375</wp:posOffset>
            </wp:positionV>
            <wp:extent cx="729297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100"/>
          </w:cols>
          <w:pgMar w:left="1440" w:top="535" w:right="359" w:bottom="1440" w:gutter="0" w:footer="0" w:header="0"/>
        </w:sectPr>
      </w:pPr>
    </w:p>
    <w:bookmarkStart w:id="141" w:name="page142"/>
    <w:bookmarkEnd w:id="141"/>
    <w:p>
      <w:pPr>
        <w:ind w:left="4080"/>
        <w:spacing w:after="0"/>
        <w:rPr>
          <w:sz w:val="20"/>
          <w:szCs w:val="20"/>
          <w:color w:val="auto"/>
        </w:rPr>
      </w:pPr>
      <w:r>
        <w:rPr>
          <w:rFonts w:ascii="Arial" w:cs="Arial" w:eastAsia="Arial" w:hAnsi="Arial"/>
          <w:sz w:val="21"/>
          <w:szCs w:val="21"/>
          <w:b w:val="1"/>
          <w:bCs w:val="1"/>
          <w:color w:val="auto"/>
        </w:rPr>
        <w:t>Dated February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9525</wp:posOffset>
            </wp:positionV>
            <wp:extent cx="27317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Arial" w:cs="Arial" w:eastAsia="Arial" w:hAnsi="Arial"/>
          <w:sz w:val="21"/>
          <w:szCs w:val="21"/>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900"/>
        <w:spacing w:after="0"/>
        <w:rPr>
          <w:sz w:val="20"/>
          <w:szCs w:val="20"/>
          <w:color w:val="auto"/>
        </w:rPr>
      </w:pPr>
      <w:r>
        <w:rPr>
          <w:rFonts w:ascii="Arial" w:cs="Arial" w:eastAsia="Arial" w:hAnsi="Arial"/>
          <w:sz w:val="21"/>
          <w:szCs w:val="21"/>
          <w:color w:val="auto"/>
        </w:rPr>
        <w:t>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9525</wp:posOffset>
            </wp:positionV>
            <wp:extent cx="27317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4" w:lineRule="exact"/>
        <w:rPr>
          <w:sz w:val="20"/>
          <w:szCs w:val="20"/>
          <w:color w:val="auto"/>
        </w:rPr>
      </w:pPr>
    </w:p>
    <w:p>
      <w:pPr>
        <w:jc w:val="center"/>
        <w:ind w:left="4900"/>
        <w:spacing w:after="0"/>
        <w:rPr>
          <w:sz w:val="20"/>
          <w:szCs w:val="20"/>
          <w:color w:val="auto"/>
        </w:rPr>
      </w:pPr>
      <w:r>
        <w:rPr>
          <w:rFonts w:ascii="Arial" w:cs="Arial" w:eastAsia="Arial" w:hAnsi="Arial"/>
          <w:sz w:val="19"/>
          <w:szCs w:val="19"/>
          <w:color w:val="auto"/>
        </w:rPr>
        <w:t>Employee Name (Print or Type)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Employee’s Agreement]</w:t>
      </w:r>
    </w:p>
    <w:p>
      <w:pPr>
        <w:sectPr>
          <w:pgSz w:w="11900" w:h="16838" w:orient="portrait"/>
          <w:cols w:equalWidth="0" w:num="1">
            <w:col w:w="9019"/>
          </w:cols>
          <w:pgMar w:left="1440" w:top="529"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Exhibit (10.24)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EASTMAN KODAK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Award Agreement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“Award Agreement” evidences an award of Nonqualified Stock Options (the “</w:t>
      </w:r>
      <w:r>
        <w:rPr>
          <w:rFonts w:ascii="Arial" w:cs="Arial" w:eastAsia="Arial" w:hAnsi="Arial"/>
          <w:sz w:val="19"/>
          <w:szCs w:val="19"/>
          <w:u w:val="single" w:color="auto"/>
          <w:color w:val="auto"/>
        </w:rPr>
        <w:t>Options</w:t>
      </w:r>
      <w:r>
        <w:rPr>
          <w:rFonts w:ascii="Arial" w:cs="Arial" w:eastAsia="Arial" w:hAnsi="Arial"/>
          <w:sz w:val="19"/>
          <w:szCs w:val="19"/>
          <w:color w:val="auto"/>
        </w:rPr>
        <w:t>”) by the Company under the Eastman Kodak Company 2013 Omnibus Incentive Plan, as amended effective May 22, 2018 and as it may be further amended (the “</w:t>
      </w:r>
      <w:r>
        <w:rPr>
          <w:rFonts w:ascii="Arial" w:cs="Arial" w:eastAsia="Arial" w:hAnsi="Arial"/>
          <w:sz w:val="19"/>
          <w:szCs w:val="19"/>
          <w:u w:val="single" w:color="auto"/>
          <w:color w:val="auto"/>
        </w:rPr>
        <w:t>Plan</w:t>
      </w:r>
      <w:r>
        <w:rPr>
          <w:rFonts w:ascii="Arial" w:cs="Arial" w:eastAsia="Arial" w:hAnsi="Arial"/>
          <w:sz w:val="19"/>
          <w:szCs w:val="19"/>
          <w:color w:val="auto"/>
        </w:rPr>
        <w:t>”), as indicated below. The Options are subject to all other terms set forth in the Plan and this Award Agreement. Capitalized terms not defined in this Award Agreement have the meanings given to them in the Plan.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620" w:type="dxa"/>
            <w:vAlign w:val="bottom"/>
          </w:tcPr>
          <w:p>
            <w:pPr>
              <w:spacing w:after="0"/>
              <w:rPr>
                <w:sz w:val="20"/>
                <w:szCs w:val="20"/>
                <w:color w:val="auto"/>
              </w:rPr>
            </w:pPr>
            <w:r>
              <w:rPr>
                <w:rFonts w:ascii="Arial" w:cs="Arial" w:eastAsia="Arial" w:hAnsi="Arial"/>
                <w:sz w:val="19"/>
                <w:szCs w:val="19"/>
                <w:b w:val="1"/>
                <w:bCs w:val="1"/>
                <w:color w:val="auto"/>
              </w:rPr>
              <w:t>Name of Grantee:</w:t>
            </w:r>
          </w:p>
        </w:tc>
        <w:tc>
          <w:tcPr>
            <w:tcW w:w="48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9"/>
                <w:szCs w:val="19"/>
                <w:color w:val="auto"/>
              </w:rPr>
              <w:t>James V. Continenza</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9"/>
                <w:szCs w:val="19"/>
                <w:b w:val="1"/>
                <w:bCs w:val="1"/>
                <w:color w:val="auto"/>
              </w:rPr>
              <w:t>Grant Date:</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20" w:type="dxa"/>
            <w:vAlign w:val="bottom"/>
            <w:vMerge w:val="continue"/>
          </w:tcPr>
          <w:p>
            <w:pPr>
              <w:spacing w:after="0"/>
              <w:rPr>
                <w:sz w:val="24"/>
                <w:szCs w:val="24"/>
                <w:color w:val="auto"/>
              </w:rPr>
            </w:pPr>
          </w:p>
        </w:tc>
        <w:tc>
          <w:tcPr>
            <w:tcW w:w="4080" w:type="dxa"/>
            <w:vAlign w:val="bottom"/>
            <w:gridSpan w:val="8"/>
          </w:tcPr>
          <w:p>
            <w:pPr>
              <w:spacing w:after="0"/>
              <w:rPr>
                <w:sz w:val="20"/>
                <w:szCs w:val="20"/>
                <w:color w:val="auto"/>
              </w:rPr>
            </w:pPr>
            <w:r>
              <w:rPr>
                <w:rFonts w:ascii="Arial" w:cs="Arial" w:eastAsia="Arial" w:hAnsi="Arial"/>
                <w:sz w:val="19"/>
                <w:szCs w:val="19"/>
                <w:color w:val="auto"/>
              </w:rPr>
              <w:t>February 20, 2019</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100" w:type="dxa"/>
            <w:vAlign w:val="bottom"/>
            <w:gridSpan w:val="2"/>
          </w:tcPr>
          <w:p>
            <w:pPr>
              <w:spacing w:after="0"/>
              <w:rPr>
                <w:sz w:val="20"/>
                <w:szCs w:val="20"/>
                <w:color w:val="auto"/>
              </w:rPr>
            </w:pPr>
            <w:r>
              <w:rPr>
                <w:rFonts w:ascii="Arial" w:cs="Arial" w:eastAsia="Arial" w:hAnsi="Arial"/>
                <w:sz w:val="19"/>
                <w:szCs w:val="19"/>
                <w:b w:val="1"/>
                <w:bCs w:val="1"/>
                <w:color w:val="auto"/>
              </w:rPr>
              <w:t>Number of Options:</w:t>
            </w:r>
          </w:p>
        </w:tc>
        <w:tc>
          <w:tcPr>
            <w:tcW w:w="180" w:type="dxa"/>
            <w:vAlign w:val="bottom"/>
          </w:tcPr>
          <w:p>
            <w:pPr>
              <w:spacing w:after="0"/>
              <w:rPr>
                <w:sz w:val="24"/>
                <w:szCs w:val="24"/>
                <w:color w:val="auto"/>
              </w:rPr>
            </w:pPr>
          </w:p>
        </w:tc>
        <w:tc>
          <w:tcPr>
            <w:tcW w:w="3420" w:type="dxa"/>
            <w:vAlign w:val="bottom"/>
            <w:gridSpan w:val="6"/>
          </w:tcPr>
          <w:p>
            <w:pPr>
              <w:spacing w:after="0"/>
              <w:rPr>
                <w:sz w:val="20"/>
                <w:szCs w:val="20"/>
                <w:color w:val="auto"/>
              </w:rPr>
            </w:pPr>
            <w:r>
              <w:rPr>
                <w:rFonts w:ascii="Arial" w:cs="Arial" w:eastAsia="Arial" w:hAnsi="Arial"/>
                <w:sz w:val="19"/>
                <w:szCs w:val="19"/>
                <w:color w:val="auto"/>
              </w:rPr>
              <w:t>1,150,000 with an Option Price of $3.03</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tcPr>
          <w:p>
            <w:pPr>
              <w:spacing w:after="0"/>
              <w:rPr>
                <w:sz w:val="20"/>
                <w:szCs w:val="20"/>
                <w:color w:val="auto"/>
              </w:rPr>
            </w:pPr>
            <w:r>
              <w:rPr>
                <w:rFonts w:ascii="Arial" w:cs="Arial" w:eastAsia="Arial" w:hAnsi="Arial"/>
                <w:sz w:val="19"/>
                <w:szCs w:val="19"/>
                <w:b w:val="1"/>
                <w:bCs w:val="1"/>
                <w:color w:val="auto"/>
                <w:w w:val="97"/>
              </w:rPr>
              <w:t>Vesting Schedule: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20" w:type="dxa"/>
            <w:vAlign w:val="bottom"/>
            <w:tcBorders>
              <w:left w:val="single" w:sz="8" w:color="auto"/>
            </w:tcBorders>
            <w:shd w:val="clear" w:color="auto" w:fill="C6D9F1"/>
          </w:tcPr>
          <w:p>
            <w:pPr>
              <w:spacing w:after="0"/>
              <w:rPr>
                <w:sz w:val="20"/>
                <w:szCs w:val="20"/>
                <w:color w:val="auto"/>
              </w:rPr>
            </w:pPr>
          </w:p>
        </w:tc>
        <w:tc>
          <w:tcPr>
            <w:tcW w:w="480" w:type="dxa"/>
            <w:vAlign w:val="bottom"/>
            <w:shd w:val="clear" w:color="auto" w:fill="C6D9F1"/>
          </w:tcPr>
          <w:p>
            <w:pPr>
              <w:spacing w:after="0"/>
              <w:rPr>
                <w:sz w:val="20"/>
                <w:szCs w:val="20"/>
                <w:color w:val="auto"/>
              </w:rPr>
            </w:pPr>
          </w:p>
        </w:tc>
        <w:tc>
          <w:tcPr>
            <w:tcW w:w="180" w:type="dxa"/>
            <w:vAlign w:val="bottom"/>
            <w:shd w:val="clear" w:color="auto" w:fill="C6D9F1"/>
          </w:tcPr>
          <w:p>
            <w:pPr>
              <w:spacing w:after="0"/>
              <w:rPr>
                <w:sz w:val="20"/>
                <w:szCs w:val="20"/>
                <w:color w:val="auto"/>
              </w:rPr>
            </w:pPr>
          </w:p>
        </w:tc>
        <w:tc>
          <w:tcPr>
            <w:tcW w:w="3420" w:type="dxa"/>
            <w:vAlign w:val="bottom"/>
            <w:tcBorders>
              <w:right w:val="single" w:sz="8" w:color="auto"/>
            </w:tcBorders>
            <w:gridSpan w:val="6"/>
            <w:shd w:val="clear" w:color="auto" w:fill="C6D9F1"/>
          </w:tcPr>
          <w:p>
            <w:pPr>
              <w:ind w:left="60"/>
              <w:spacing w:after="0"/>
              <w:rPr>
                <w:sz w:val="20"/>
                <w:szCs w:val="20"/>
                <w:color w:val="auto"/>
              </w:rPr>
            </w:pPr>
            <w:r>
              <w:rPr>
                <w:rFonts w:ascii="Arial" w:cs="Arial" w:eastAsia="Arial" w:hAnsi="Arial"/>
                <w:sz w:val="19"/>
                <w:szCs w:val="19"/>
                <w:b w:val="1"/>
                <w:bCs w:val="1"/>
                <w:color w:val="auto"/>
              </w:rPr>
              <w:t>Vesting Date</w:t>
            </w:r>
          </w:p>
        </w:tc>
        <w:tc>
          <w:tcPr>
            <w:tcW w:w="5740" w:type="dxa"/>
            <w:vAlign w:val="bottom"/>
            <w:tcBorders>
              <w:right w:val="single" w:sz="8" w:color="auto"/>
            </w:tcBorders>
            <w:shd w:val="clear" w:color="auto" w:fill="C6D9F1"/>
          </w:tcPr>
          <w:p>
            <w:pPr>
              <w:ind w:left="2080"/>
              <w:spacing w:after="0"/>
              <w:rPr>
                <w:sz w:val="20"/>
                <w:szCs w:val="20"/>
                <w:color w:val="auto"/>
              </w:rPr>
            </w:pPr>
            <w:r>
              <w:rPr>
                <w:rFonts w:ascii="Arial" w:cs="Arial" w:eastAsia="Arial" w:hAnsi="Arial"/>
                <w:sz w:val="19"/>
                <w:szCs w:val="19"/>
                <w:b w:val="1"/>
                <w:bCs w:val="1"/>
                <w:color w:val="auto"/>
              </w:rPr>
              <w:t>Percentage Vesting</w:t>
            </w:r>
          </w:p>
        </w:tc>
        <w:tc>
          <w:tcPr>
            <w:tcW w:w="0" w:type="dxa"/>
            <w:vAlign w:val="bottom"/>
          </w:tcPr>
          <w:p>
            <w:pPr>
              <w:spacing w:after="0"/>
              <w:rPr>
                <w:sz w:val="1"/>
                <w:szCs w:val="1"/>
                <w:color w:val="auto"/>
              </w:rPr>
            </w:pPr>
          </w:p>
        </w:tc>
      </w:tr>
      <w:tr>
        <w:trPr>
          <w:trHeight w:val="143"/>
        </w:trPr>
        <w:tc>
          <w:tcPr>
            <w:tcW w:w="1620" w:type="dxa"/>
            <w:vAlign w:val="bottom"/>
            <w:tcBorders>
              <w:left w:val="single" w:sz="8" w:color="auto"/>
              <w:bottom w:val="single" w:sz="8" w:color="auto"/>
            </w:tcBorders>
            <w:shd w:val="clear" w:color="auto" w:fill="C6D9F1"/>
          </w:tcPr>
          <w:p>
            <w:pPr>
              <w:spacing w:after="0"/>
              <w:rPr>
                <w:sz w:val="12"/>
                <w:szCs w:val="12"/>
                <w:color w:val="auto"/>
              </w:rPr>
            </w:pPr>
          </w:p>
        </w:tc>
        <w:tc>
          <w:tcPr>
            <w:tcW w:w="480" w:type="dxa"/>
            <w:vAlign w:val="bottom"/>
            <w:tcBorders>
              <w:bottom w:val="single" w:sz="8" w:color="auto"/>
            </w:tcBorders>
            <w:shd w:val="clear" w:color="auto" w:fill="C6D9F1"/>
          </w:tcPr>
          <w:p>
            <w:pPr>
              <w:spacing w:after="0"/>
              <w:rPr>
                <w:sz w:val="12"/>
                <w:szCs w:val="12"/>
                <w:color w:val="auto"/>
              </w:rPr>
            </w:pPr>
          </w:p>
        </w:tc>
        <w:tc>
          <w:tcPr>
            <w:tcW w:w="180" w:type="dxa"/>
            <w:vAlign w:val="bottom"/>
            <w:tcBorders>
              <w:bottom w:val="single" w:sz="8" w:color="auto"/>
            </w:tcBorders>
            <w:shd w:val="clear" w:color="auto" w:fill="C6D9F1"/>
          </w:tcPr>
          <w:p>
            <w:pPr>
              <w:spacing w:after="0"/>
              <w:rPr>
                <w:sz w:val="12"/>
                <w:szCs w:val="12"/>
                <w:color w:val="auto"/>
              </w:rPr>
            </w:pPr>
          </w:p>
        </w:tc>
        <w:tc>
          <w:tcPr>
            <w:tcW w:w="740" w:type="dxa"/>
            <w:vAlign w:val="bottom"/>
            <w:tcBorders>
              <w:bottom w:val="single" w:sz="8" w:color="auto"/>
            </w:tcBorders>
            <w:shd w:val="clear" w:color="auto" w:fill="C6D9F1"/>
          </w:tcPr>
          <w:p>
            <w:pPr>
              <w:spacing w:after="0"/>
              <w:rPr>
                <w:sz w:val="12"/>
                <w:szCs w:val="12"/>
                <w:color w:val="auto"/>
              </w:rPr>
            </w:pPr>
          </w:p>
        </w:tc>
        <w:tc>
          <w:tcPr>
            <w:tcW w:w="20" w:type="dxa"/>
            <w:vAlign w:val="bottom"/>
            <w:tcBorders>
              <w:bottom w:val="single" w:sz="8" w:color="auto"/>
            </w:tcBorders>
            <w:shd w:val="clear" w:color="auto" w:fill="C6D9F1"/>
          </w:tcPr>
          <w:p>
            <w:pPr>
              <w:spacing w:after="0"/>
              <w:rPr>
                <w:sz w:val="12"/>
                <w:szCs w:val="12"/>
                <w:color w:val="auto"/>
              </w:rPr>
            </w:pPr>
          </w:p>
        </w:tc>
        <w:tc>
          <w:tcPr>
            <w:tcW w:w="640" w:type="dxa"/>
            <w:vAlign w:val="bottom"/>
            <w:tcBorders>
              <w:bottom w:val="single" w:sz="8" w:color="auto"/>
            </w:tcBorders>
            <w:shd w:val="clear" w:color="auto" w:fill="C6D9F1"/>
          </w:tcPr>
          <w:p>
            <w:pPr>
              <w:spacing w:after="0"/>
              <w:rPr>
                <w:sz w:val="12"/>
                <w:szCs w:val="12"/>
                <w:color w:val="auto"/>
              </w:rPr>
            </w:pPr>
          </w:p>
        </w:tc>
        <w:tc>
          <w:tcPr>
            <w:tcW w:w="1340" w:type="dxa"/>
            <w:vAlign w:val="bottom"/>
            <w:tcBorders>
              <w:bottom w:val="single" w:sz="8" w:color="auto"/>
            </w:tcBorders>
            <w:shd w:val="clear" w:color="auto" w:fill="C6D9F1"/>
          </w:tcPr>
          <w:p>
            <w:pPr>
              <w:spacing w:after="0"/>
              <w:rPr>
                <w:sz w:val="12"/>
                <w:szCs w:val="12"/>
                <w:color w:val="auto"/>
              </w:rPr>
            </w:pPr>
          </w:p>
        </w:tc>
        <w:tc>
          <w:tcPr>
            <w:tcW w:w="340" w:type="dxa"/>
            <w:vAlign w:val="bottom"/>
            <w:tcBorders>
              <w:bottom w:val="single" w:sz="8" w:color="auto"/>
            </w:tcBorders>
            <w:shd w:val="clear" w:color="auto" w:fill="C6D9F1"/>
          </w:tcPr>
          <w:p>
            <w:pPr>
              <w:spacing w:after="0"/>
              <w:rPr>
                <w:sz w:val="12"/>
                <w:szCs w:val="12"/>
                <w:color w:val="auto"/>
              </w:rPr>
            </w:pPr>
          </w:p>
        </w:tc>
        <w:tc>
          <w:tcPr>
            <w:tcW w:w="340" w:type="dxa"/>
            <w:vAlign w:val="bottom"/>
            <w:tcBorders>
              <w:bottom w:val="single" w:sz="8" w:color="auto"/>
              <w:right w:val="single" w:sz="8" w:color="auto"/>
            </w:tcBorders>
            <w:shd w:val="clear" w:color="auto" w:fill="C6D9F1"/>
          </w:tcPr>
          <w:p>
            <w:pPr>
              <w:spacing w:after="0"/>
              <w:rPr>
                <w:sz w:val="12"/>
                <w:szCs w:val="12"/>
                <w:color w:val="auto"/>
              </w:rPr>
            </w:pPr>
          </w:p>
        </w:tc>
        <w:tc>
          <w:tcPr>
            <w:tcW w:w="5740" w:type="dxa"/>
            <w:vAlign w:val="bottom"/>
            <w:tcBorders>
              <w:bottom w:val="single" w:sz="8" w:color="auto"/>
              <w:right w:val="single" w:sz="8" w:color="auto"/>
            </w:tcBorders>
            <w:shd w:val="clear" w:color="auto" w:fill="C6D9F1"/>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May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August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w w:val="94"/>
              </w:rPr>
              <w:t>November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2020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Vesting Schedule for the Options awarded hereunder is set forth above under “Vesting Schedule.” The Options will only vest if the Grantee is continuously employed by the Company or any of its Affiliates from the Grant Date through the applicable Vesting Date, and except as otherwise provided by this Award Agreement or determined by the Committee, any unvested Options will be forfeited upon any termination of employment.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Notwithstanding the prior sentence, if the Grantee has an employment agreement with the Company that provides for continued or accelerated vesting upon certain qualifying terminations, the terms and conditions in that employment agreement will control.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3" w:name="page144"/>
    <w:bookmarkEnd w:id="143"/>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anything in this Award Agreement, the Plan, or in the Grantee’s employment agreement with the Company to the contrary, upon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consummation of a Change of Control, any outstanding Options that have not become vested pursuant to the foregoing Vesting Schedule shall</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immediately become vested; provided that the Grantee remains continuously employed by the Company through and including the consummation of</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such Change of Control.</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Upon termination of employment, vested Options shall remain exercisable until they expire as set forth below under “Expiration Date.”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Exercise:</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aggregate Option Price for the Shares as to which an Option is exercised shall be paid to the Company in full at the time of exercise at the election of the Grantee:</w:t>
      </w:r>
    </w:p>
    <w:p>
      <w:pPr>
        <w:spacing w:after="0" w:line="162" w:lineRule="exact"/>
        <w:rPr>
          <w:sz w:val="20"/>
          <w:szCs w:val="20"/>
          <w:color w:val="auto"/>
        </w:rPr>
      </w:pPr>
    </w:p>
    <w:p>
      <w:pPr>
        <w:ind w:left="1760" w:hanging="882"/>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cash or its equivalent (e.g., by cashier’s check);</w:t>
      </w:r>
    </w:p>
    <w:p>
      <w:pPr>
        <w:spacing w:after="0" w:line="211" w:lineRule="exact"/>
        <w:rPr>
          <w:rFonts w:ascii="Arial" w:cs="Arial" w:eastAsia="Arial" w:hAnsi="Arial"/>
          <w:sz w:val="19"/>
          <w:szCs w:val="19"/>
          <w:color w:val="auto"/>
        </w:rPr>
      </w:pPr>
    </w:p>
    <w:p>
      <w:pPr>
        <w:jc w:val="both"/>
        <w:ind w:left="1760" w:hanging="882"/>
        <w:spacing w:after="0" w:line="256" w:lineRule="auto"/>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Arial" w:cs="Arial" w:eastAsia="Arial" w:hAnsi="Arial"/>
          <w:sz w:val="19"/>
          <w:szCs w:val="19"/>
          <w:color w:val="auto"/>
        </w:rPr>
      </w:pPr>
    </w:p>
    <w:p>
      <w:pPr>
        <w:ind w:left="1760" w:hanging="882"/>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combination of the foregoing; or</w:t>
      </w:r>
    </w:p>
    <w:p>
      <w:pPr>
        <w:spacing w:after="0" w:line="211" w:lineRule="exact"/>
        <w:rPr>
          <w:rFonts w:ascii="Arial" w:cs="Arial" w:eastAsia="Arial" w:hAnsi="Arial"/>
          <w:sz w:val="19"/>
          <w:szCs w:val="19"/>
          <w:color w:val="auto"/>
        </w:rPr>
      </w:pPr>
    </w:p>
    <w:p>
      <w:pPr>
        <w:ind w:left="1760" w:hanging="882"/>
        <w:spacing w:after="0" w:line="269" w:lineRule="auto"/>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consideration received by the Company under a cashless exercise program (whether through a broker or otherwise) implemented by the Company in connection with the Plan.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Expiration Date: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Withholding:</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Pursuant to Section 16.4 of the Plan, the Company shall have the power and the right to deduct or withhold (or cause to be deducted or withheld) from any amount deliverable under the Options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Options.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Subject to the Company’s automatic withholding right set out above, the Grantee may elect to satisfy the withholding requirement, in whole or in part:</w:t>
      </w:r>
    </w:p>
    <w:p>
      <w:pPr>
        <w:spacing w:after="0" w:line="162" w:lineRule="exact"/>
        <w:rPr>
          <w:sz w:val="20"/>
          <w:szCs w:val="20"/>
          <w:color w:val="auto"/>
        </w:rPr>
      </w:pPr>
    </w:p>
    <w:p>
      <w:pPr>
        <w:ind w:left="1760" w:hanging="882"/>
        <w:spacing w:after="0"/>
        <w:tabs>
          <w:tab w:leader="none" w:pos="17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by having the Company withhold Shares; or</w:t>
      </w:r>
    </w:p>
    <w:p>
      <w:pPr>
        <w:spacing w:after="0" w:line="211" w:lineRule="exact"/>
        <w:rPr>
          <w:rFonts w:ascii="Arial" w:cs="Arial" w:eastAsia="Arial" w:hAnsi="Arial"/>
          <w:sz w:val="19"/>
          <w:szCs w:val="19"/>
          <w:color w:val="auto"/>
        </w:rPr>
      </w:pPr>
    </w:p>
    <w:p>
      <w:pPr>
        <w:ind w:left="1760" w:hanging="882"/>
        <w:spacing w:after="0"/>
        <w:tabs>
          <w:tab w:leader="none" w:pos="17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through an independent broker-dealer arrangement to sell a sufficient number of Shares;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 each case, having a Fair Market Value on the date the tax is to be determined equal to the minimum tax required to be withheld.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Grantee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Grantee will not have any of the rights of a shareholder with respect to the Shares underlying or covered by the Options, whether or not vested, until such Shares are actually issued and delivered to the Grantee.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Control:</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Transferability:</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provided by the Plan, the Options are not in any manner subject to alteration, anticipation, sale, transfer, assignment, pledge or encumbrance.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 Right to Continued Employment:</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Grantee’s receipt of the Options does not give the Grantee a right to remain in the employment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Amendment:</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Options (either at the time of vesting or exercise, or otherwise) will not be includible as compensation or earnings for purposes of any benefit or compensation plan offered by the Company or its Affiliates.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4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The Option is subject to the Plan and any interpretations by the Committee under the Plan, which are hereby incorporated into this Award Agreement by reference and made a part hereof. In the event of any conflict between this Award Agreement and the Plan, the terms of the Plan shall control.</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Award Agreement, together with the Plan and the employment agreement between the Company and the Grantee, contains the entire agreement between the Grantee and the Company with respect to the subject matter of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Options, the Grantee agrees to be subject to the terms and conditions of the Plan and this Award Agreement.</w:t>
      </w:r>
    </w:p>
    <w:p>
      <w:pPr>
        <w:spacing w:after="0" w:line="212" w:lineRule="exact"/>
        <w:rPr>
          <w:sz w:val="20"/>
          <w:szCs w:val="20"/>
          <w:color w:val="auto"/>
        </w:rPr>
      </w:pPr>
    </w:p>
    <w:p>
      <w:pPr>
        <w:ind w:left="5880" w:hanging="718"/>
        <w:spacing w:after="0"/>
        <w:tabs>
          <w:tab w:leader="none" w:pos="58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left="5660"/>
        <w:spacing w:after="0"/>
        <w:rPr>
          <w:rFonts w:ascii="Arial" w:cs="Arial" w:eastAsia="Arial" w:hAnsi="Arial"/>
          <w:sz w:val="19"/>
          <w:szCs w:val="19"/>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6" w:name="page147"/>
    <w:bookmarkEnd w:id="146"/>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EASTMAN KODAK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Award Agreement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“Award Agreement” evidences an award of Nonqualified Stock Options (the “</w:t>
      </w:r>
      <w:r>
        <w:rPr>
          <w:rFonts w:ascii="Arial" w:cs="Arial" w:eastAsia="Arial" w:hAnsi="Arial"/>
          <w:sz w:val="19"/>
          <w:szCs w:val="19"/>
          <w:u w:val="single" w:color="auto"/>
          <w:color w:val="auto"/>
        </w:rPr>
        <w:t>Options</w:t>
      </w:r>
      <w:r>
        <w:rPr>
          <w:rFonts w:ascii="Arial" w:cs="Arial" w:eastAsia="Arial" w:hAnsi="Arial"/>
          <w:sz w:val="19"/>
          <w:szCs w:val="19"/>
          <w:color w:val="auto"/>
        </w:rPr>
        <w:t>”) by the Company under the Eastman Kodak Company 2013 Omnibus Incentive Plan, as amended effective May 22, 2018 and as it may be further amended (the “</w:t>
      </w:r>
      <w:r>
        <w:rPr>
          <w:rFonts w:ascii="Arial" w:cs="Arial" w:eastAsia="Arial" w:hAnsi="Arial"/>
          <w:sz w:val="19"/>
          <w:szCs w:val="19"/>
          <w:u w:val="single" w:color="auto"/>
          <w:color w:val="auto"/>
        </w:rPr>
        <w:t>Plan</w:t>
      </w:r>
      <w:r>
        <w:rPr>
          <w:rFonts w:ascii="Arial" w:cs="Arial" w:eastAsia="Arial" w:hAnsi="Arial"/>
          <w:sz w:val="19"/>
          <w:szCs w:val="19"/>
          <w:color w:val="auto"/>
        </w:rPr>
        <w:t>”), as indicated below. The Options are subject to all other terms set forth in the Plan and this Award Agreement. Capitalized terms not defined in this Award Agreement have the meanings given to them in the Plan.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620" w:type="dxa"/>
            <w:vAlign w:val="bottom"/>
          </w:tcPr>
          <w:p>
            <w:pPr>
              <w:spacing w:after="0"/>
              <w:rPr>
                <w:sz w:val="20"/>
                <w:szCs w:val="20"/>
                <w:color w:val="auto"/>
              </w:rPr>
            </w:pPr>
            <w:r>
              <w:rPr>
                <w:rFonts w:ascii="Arial" w:cs="Arial" w:eastAsia="Arial" w:hAnsi="Arial"/>
                <w:sz w:val="19"/>
                <w:szCs w:val="19"/>
                <w:b w:val="1"/>
                <w:bCs w:val="1"/>
                <w:color w:val="auto"/>
              </w:rPr>
              <w:t>Name of Grantee:</w:t>
            </w:r>
          </w:p>
        </w:tc>
        <w:tc>
          <w:tcPr>
            <w:tcW w:w="48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9"/>
                <w:szCs w:val="19"/>
                <w:color w:val="auto"/>
              </w:rPr>
              <w:t>James V. Continenza</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9"/>
                <w:szCs w:val="19"/>
                <w:b w:val="1"/>
                <w:bCs w:val="1"/>
                <w:color w:val="auto"/>
              </w:rPr>
              <w:t>Grant Date:</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20" w:type="dxa"/>
            <w:vAlign w:val="bottom"/>
            <w:vMerge w:val="continue"/>
          </w:tcPr>
          <w:p>
            <w:pPr>
              <w:spacing w:after="0"/>
              <w:rPr>
                <w:sz w:val="24"/>
                <w:szCs w:val="24"/>
                <w:color w:val="auto"/>
              </w:rPr>
            </w:pPr>
          </w:p>
        </w:tc>
        <w:tc>
          <w:tcPr>
            <w:tcW w:w="4080" w:type="dxa"/>
            <w:vAlign w:val="bottom"/>
            <w:gridSpan w:val="8"/>
          </w:tcPr>
          <w:p>
            <w:pPr>
              <w:spacing w:after="0"/>
              <w:rPr>
                <w:sz w:val="20"/>
                <w:szCs w:val="20"/>
                <w:color w:val="auto"/>
              </w:rPr>
            </w:pPr>
            <w:r>
              <w:rPr>
                <w:rFonts w:ascii="Arial" w:cs="Arial" w:eastAsia="Arial" w:hAnsi="Arial"/>
                <w:sz w:val="19"/>
                <w:szCs w:val="19"/>
                <w:color w:val="auto"/>
              </w:rPr>
              <w:t>February 20, 2019</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100" w:type="dxa"/>
            <w:vAlign w:val="bottom"/>
            <w:gridSpan w:val="2"/>
          </w:tcPr>
          <w:p>
            <w:pPr>
              <w:spacing w:after="0"/>
              <w:rPr>
                <w:sz w:val="20"/>
                <w:szCs w:val="20"/>
                <w:color w:val="auto"/>
              </w:rPr>
            </w:pPr>
            <w:r>
              <w:rPr>
                <w:rFonts w:ascii="Arial" w:cs="Arial" w:eastAsia="Arial" w:hAnsi="Arial"/>
                <w:sz w:val="19"/>
                <w:szCs w:val="19"/>
                <w:b w:val="1"/>
                <w:bCs w:val="1"/>
                <w:color w:val="auto"/>
              </w:rPr>
              <w:t>Number of Options:</w:t>
            </w:r>
          </w:p>
        </w:tc>
        <w:tc>
          <w:tcPr>
            <w:tcW w:w="180" w:type="dxa"/>
            <w:vAlign w:val="bottom"/>
          </w:tcPr>
          <w:p>
            <w:pPr>
              <w:spacing w:after="0"/>
              <w:rPr>
                <w:sz w:val="24"/>
                <w:szCs w:val="24"/>
                <w:color w:val="auto"/>
              </w:rPr>
            </w:pPr>
          </w:p>
        </w:tc>
        <w:tc>
          <w:tcPr>
            <w:tcW w:w="3420" w:type="dxa"/>
            <w:vAlign w:val="bottom"/>
            <w:gridSpan w:val="6"/>
          </w:tcPr>
          <w:p>
            <w:pPr>
              <w:spacing w:after="0"/>
              <w:rPr>
                <w:sz w:val="20"/>
                <w:szCs w:val="20"/>
                <w:color w:val="auto"/>
              </w:rPr>
            </w:pPr>
            <w:r>
              <w:rPr>
                <w:rFonts w:ascii="Arial" w:cs="Arial" w:eastAsia="Arial" w:hAnsi="Arial"/>
                <w:sz w:val="19"/>
                <w:szCs w:val="19"/>
                <w:color w:val="auto"/>
              </w:rPr>
              <w:t>350,000 with an Option Price of $4.53</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tcPr>
          <w:p>
            <w:pPr>
              <w:spacing w:after="0"/>
              <w:rPr>
                <w:sz w:val="20"/>
                <w:szCs w:val="20"/>
                <w:color w:val="auto"/>
              </w:rPr>
            </w:pPr>
            <w:r>
              <w:rPr>
                <w:rFonts w:ascii="Arial" w:cs="Arial" w:eastAsia="Arial" w:hAnsi="Arial"/>
                <w:sz w:val="19"/>
                <w:szCs w:val="19"/>
                <w:b w:val="1"/>
                <w:bCs w:val="1"/>
                <w:color w:val="auto"/>
                <w:w w:val="97"/>
              </w:rPr>
              <w:t>Vesting Schedule: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20" w:type="dxa"/>
            <w:vAlign w:val="bottom"/>
            <w:tcBorders>
              <w:left w:val="single" w:sz="8" w:color="auto"/>
            </w:tcBorders>
            <w:shd w:val="clear" w:color="auto" w:fill="C6D9F1"/>
          </w:tcPr>
          <w:p>
            <w:pPr>
              <w:spacing w:after="0"/>
              <w:rPr>
                <w:sz w:val="20"/>
                <w:szCs w:val="20"/>
                <w:color w:val="auto"/>
              </w:rPr>
            </w:pPr>
          </w:p>
        </w:tc>
        <w:tc>
          <w:tcPr>
            <w:tcW w:w="480" w:type="dxa"/>
            <w:vAlign w:val="bottom"/>
            <w:shd w:val="clear" w:color="auto" w:fill="C6D9F1"/>
          </w:tcPr>
          <w:p>
            <w:pPr>
              <w:spacing w:after="0"/>
              <w:rPr>
                <w:sz w:val="20"/>
                <w:szCs w:val="20"/>
                <w:color w:val="auto"/>
              </w:rPr>
            </w:pPr>
          </w:p>
        </w:tc>
        <w:tc>
          <w:tcPr>
            <w:tcW w:w="180" w:type="dxa"/>
            <w:vAlign w:val="bottom"/>
            <w:shd w:val="clear" w:color="auto" w:fill="C6D9F1"/>
          </w:tcPr>
          <w:p>
            <w:pPr>
              <w:spacing w:after="0"/>
              <w:rPr>
                <w:sz w:val="20"/>
                <w:szCs w:val="20"/>
                <w:color w:val="auto"/>
              </w:rPr>
            </w:pPr>
          </w:p>
        </w:tc>
        <w:tc>
          <w:tcPr>
            <w:tcW w:w="3420" w:type="dxa"/>
            <w:vAlign w:val="bottom"/>
            <w:tcBorders>
              <w:right w:val="single" w:sz="8" w:color="auto"/>
            </w:tcBorders>
            <w:gridSpan w:val="6"/>
            <w:shd w:val="clear" w:color="auto" w:fill="C6D9F1"/>
          </w:tcPr>
          <w:p>
            <w:pPr>
              <w:ind w:left="60"/>
              <w:spacing w:after="0"/>
              <w:rPr>
                <w:sz w:val="20"/>
                <w:szCs w:val="20"/>
                <w:color w:val="auto"/>
              </w:rPr>
            </w:pPr>
            <w:r>
              <w:rPr>
                <w:rFonts w:ascii="Arial" w:cs="Arial" w:eastAsia="Arial" w:hAnsi="Arial"/>
                <w:sz w:val="19"/>
                <w:szCs w:val="19"/>
                <w:b w:val="1"/>
                <w:bCs w:val="1"/>
                <w:color w:val="auto"/>
              </w:rPr>
              <w:t>Vesting Date</w:t>
            </w:r>
          </w:p>
        </w:tc>
        <w:tc>
          <w:tcPr>
            <w:tcW w:w="5740" w:type="dxa"/>
            <w:vAlign w:val="bottom"/>
            <w:tcBorders>
              <w:right w:val="single" w:sz="8" w:color="auto"/>
            </w:tcBorders>
            <w:shd w:val="clear" w:color="auto" w:fill="C6D9F1"/>
          </w:tcPr>
          <w:p>
            <w:pPr>
              <w:ind w:left="2080"/>
              <w:spacing w:after="0"/>
              <w:rPr>
                <w:sz w:val="20"/>
                <w:szCs w:val="20"/>
                <w:color w:val="auto"/>
              </w:rPr>
            </w:pPr>
            <w:r>
              <w:rPr>
                <w:rFonts w:ascii="Arial" w:cs="Arial" w:eastAsia="Arial" w:hAnsi="Arial"/>
                <w:sz w:val="19"/>
                <w:szCs w:val="19"/>
                <w:b w:val="1"/>
                <w:bCs w:val="1"/>
                <w:color w:val="auto"/>
              </w:rPr>
              <w:t>Percentage Vesting</w:t>
            </w:r>
          </w:p>
        </w:tc>
        <w:tc>
          <w:tcPr>
            <w:tcW w:w="0" w:type="dxa"/>
            <w:vAlign w:val="bottom"/>
          </w:tcPr>
          <w:p>
            <w:pPr>
              <w:spacing w:after="0"/>
              <w:rPr>
                <w:sz w:val="1"/>
                <w:szCs w:val="1"/>
                <w:color w:val="auto"/>
              </w:rPr>
            </w:pPr>
          </w:p>
        </w:tc>
      </w:tr>
      <w:tr>
        <w:trPr>
          <w:trHeight w:val="143"/>
        </w:trPr>
        <w:tc>
          <w:tcPr>
            <w:tcW w:w="1620" w:type="dxa"/>
            <w:vAlign w:val="bottom"/>
            <w:tcBorders>
              <w:left w:val="single" w:sz="8" w:color="auto"/>
              <w:bottom w:val="single" w:sz="8" w:color="auto"/>
            </w:tcBorders>
            <w:shd w:val="clear" w:color="auto" w:fill="C6D9F1"/>
          </w:tcPr>
          <w:p>
            <w:pPr>
              <w:spacing w:after="0"/>
              <w:rPr>
                <w:sz w:val="12"/>
                <w:szCs w:val="12"/>
                <w:color w:val="auto"/>
              </w:rPr>
            </w:pPr>
          </w:p>
        </w:tc>
        <w:tc>
          <w:tcPr>
            <w:tcW w:w="480" w:type="dxa"/>
            <w:vAlign w:val="bottom"/>
            <w:tcBorders>
              <w:bottom w:val="single" w:sz="8" w:color="auto"/>
            </w:tcBorders>
            <w:shd w:val="clear" w:color="auto" w:fill="C6D9F1"/>
          </w:tcPr>
          <w:p>
            <w:pPr>
              <w:spacing w:after="0"/>
              <w:rPr>
                <w:sz w:val="12"/>
                <w:szCs w:val="12"/>
                <w:color w:val="auto"/>
              </w:rPr>
            </w:pPr>
          </w:p>
        </w:tc>
        <w:tc>
          <w:tcPr>
            <w:tcW w:w="180" w:type="dxa"/>
            <w:vAlign w:val="bottom"/>
            <w:tcBorders>
              <w:bottom w:val="single" w:sz="8" w:color="auto"/>
            </w:tcBorders>
            <w:shd w:val="clear" w:color="auto" w:fill="C6D9F1"/>
          </w:tcPr>
          <w:p>
            <w:pPr>
              <w:spacing w:after="0"/>
              <w:rPr>
                <w:sz w:val="12"/>
                <w:szCs w:val="12"/>
                <w:color w:val="auto"/>
              </w:rPr>
            </w:pPr>
          </w:p>
        </w:tc>
        <w:tc>
          <w:tcPr>
            <w:tcW w:w="620" w:type="dxa"/>
            <w:vAlign w:val="bottom"/>
            <w:tcBorders>
              <w:bottom w:val="single" w:sz="8" w:color="auto"/>
            </w:tcBorders>
            <w:shd w:val="clear" w:color="auto" w:fill="C6D9F1"/>
          </w:tcPr>
          <w:p>
            <w:pPr>
              <w:spacing w:after="0"/>
              <w:rPr>
                <w:sz w:val="12"/>
                <w:szCs w:val="12"/>
                <w:color w:val="auto"/>
              </w:rPr>
            </w:pPr>
          </w:p>
        </w:tc>
        <w:tc>
          <w:tcPr>
            <w:tcW w:w="120" w:type="dxa"/>
            <w:vAlign w:val="bottom"/>
            <w:tcBorders>
              <w:bottom w:val="single" w:sz="8" w:color="auto"/>
            </w:tcBorders>
            <w:shd w:val="clear" w:color="auto" w:fill="C6D9F1"/>
          </w:tcPr>
          <w:p>
            <w:pPr>
              <w:spacing w:after="0"/>
              <w:rPr>
                <w:sz w:val="12"/>
                <w:szCs w:val="12"/>
                <w:color w:val="auto"/>
              </w:rPr>
            </w:pPr>
          </w:p>
        </w:tc>
        <w:tc>
          <w:tcPr>
            <w:tcW w:w="660" w:type="dxa"/>
            <w:vAlign w:val="bottom"/>
            <w:tcBorders>
              <w:bottom w:val="single" w:sz="8" w:color="auto"/>
            </w:tcBorders>
            <w:shd w:val="clear" w:color="auto" w:fill="C6D9F1"/>
          </w:tcPr>
          <w:p>
            <w:pPr>
              <w:spacing w:after="0"/>
              <w:rPr>
                <w:sz w:val="12"/>
                <w:szCs w:val="12"/>
                <w:color w:val="auto"/>
              </w:rPr>
            </w:pPr>
          </w:p>
        </w:tc>
        <w:tc>
          <w:tcPr>
            <w:tcW w:w="1200" w:type="dxa"/>
            <w:vAlign w:val="bottom"/>
            <w:tcBorders>
              <w:bottom w:val="single" w:sz="8" w:color="auto"/>
            </w:tcBorders>
            <w:shd w:val="clear" w:color="auto" w:fill="C6D9F1"/>
          </w:tcPr>
          <w:p>
            <w:pPr>
              <w:spacing w:after="0"/>
              <w:rPr>
                <w:sz w:val="12"/>
                <w:szCs w:val="12"/>
                <w:color w:val="auto"/>
              </w:rPr>
            </w:pPr>
          </w:p>
        </w:tc>
        <w:tc>
          <w:tcPr>
            <w:tcW w:w="340" w:type="dxa"/>
            <w:vAlign w:val="bottom"/>
            <w:tcBorders>
              <w:bottom w:val="single" w:sz="8" w:color="auto"/>
            </w:tcBorders>
            <w:shd w:val="clear" w:color="auto" w:fill="C6D9F1"/>
          </w:tcPr>
          <w:p>
            <w:pPr>
              <w:spacing w:after="0"/>
              <w:rPr>
                <w:sz w:val="12"/>
                <w:szCs w:val="12"/>
                <w:color w:val="auto"/>
              </w:rPr>
            </w:pPr>
          </w:p>
        </w:tc>
        <w:tc>
          <w:tcPr>
            <w:tcW w:w="480" w:type="dxa"/>
            <w:vAlign w:val="bottom"/>
            <w:tcBorders>
              <w:bottom w:val="single" w:sz="8" w:color="auto"/>
              <w:right w:val="single" w:sz="8" w:color="auto"/>
            </w:tcBorders>
            <w:shd w:val="clear" w:color="auto" w:fill="C6D9F1"/>
          </w:tcPr>
          <w:p>
            <w:pPr>
              <w:spacing w:after="0"/>
              <w:rPr>
                <w:sz w:val="12"/>
                <w:szCs w:val="12"/>
                <w:color w:val="auto"/>
              </w:rPr>
            </w:pPr>
          </w:p>
        </w:tc>
        <w:tc>
          <w:tcPr>
            <w:tcW w:w="5740" w:type="dxa"/>
            <w:vAlign w:val="bottom"/>
            <w:tcBorders>
              <w:bottom w:val="single" w:sz="8" w:color="auto"/>
              <w:right w:val="single" w:sz="8" w:color="auto"/>
            </w:tcBorders>
            <w:shd w:val="clear" w:color="auto" w:fill="C6D9F1"/>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May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August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w w:val="94"/>
              </w:rPr>
              <w:t>November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2020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Vesting Schedule for the Options awarded hereunder is set forth above under “Vesting Schedule.” The Options will only vest if the Grantee is continuously employed by the Company or any of its Affiliates from the Grant Date through the applicable Vesting Date, and except as otherwise provided by this Award Agreement or determined by the Committee, any unvested Options will be forfeited upon any termination of employment.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Notwithstanding the prior sentence, if the Grantee has an employment agreement with the Company that provides for continued or accelerated vesting upon certain qualifying terminations, the terms and conditions in that employment agreement will control.</w:t>
      </w:r>
    </w:p>
    <w:p>
      <w:pPr>
        <w:spacing w:after="0" w:line="16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Notwithstanding anything in this Award Agreement, the Plan, or in the Grantee’s employment agreement with the Company to the contrary, upon the consummation of a Change of Control, any outstanding Options that have not become vested pursuant to the foregoing Vesting Schedule shall immediately become vested; provided that the Grantee remains continuously employed by the Company through and including the consummation of such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Upon termination of employment, vested Options shall remain exercisable until they expire as set forth below under “Expiration 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Exercise:</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aggregate Option Price for the Shares as to which an Option is exercised shall be paid to the Company in full at the time of exercise at the election of the Grantee:</w:t>
      </w:r>
    </w:p>
    <w:p>
      <w:pPr>
        <w:spacing w:after="0" w:line="162" w:lineRule="exact"/>
        <w:rPr>
          <w:sz w:val="20"/>
          <w:szCs w:val="20"/>
          <w:color w:val="auto"/>
        </w:rPr>
      </w:pPr>
    </w:p>
    <w:p>
      <w:pPr>
        <w:ind w:left="1760" w:hanging="882"/>
        <w:spacing w:after="0"/>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cash or its equivalent (e.g., by cashier’s check);</w:t>
      </w:r>
    </w:p>
    <w:p>
      <w:pPr>
        <w:spacing w:after="0" w:line="211" w:lineRule="exact"/>
        <w:rPr>
          <w:rFonts w:ascii="Arial" w:cs="Arial" w:eastAsia="Arial" w:hAnsi="Arial"/>
          <w:sz w:val="19"/>
          <w:szCs w:val="19"/>
          <w:color w:val="auto"/>
        </w:rPr>
      </w:pPr>
    </w:p>
    <w:p>
      <w:pPr>
        <w:jc w:val="both"/>
        <w:ind w:left="1760" w:hanging="882"/>
        <w:spacing w:after="0" w:line="256" w:lineRule="auto"/>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Arial" w:cs="Arial" w:eastAsia="Arial" w:hAnsi="Arial"/>
          <w:sz w:val="19"/>
          <w:szCs w:val="19"/>
          <w:color w:val="auto"/>
        </w:rPr>
      </w:pPr>
    </w:p>
    <w:p>
      <w:pPr>
        <w:ind w:left="1760" w:hanging="882"/>
        <w:spacing w:after="0"/>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combination of the foregoing; or</w:t>
      </w:r>
    </w:p>
    <w:p>
      <w:pPr>
        <w:spacing w:after="0" w:line="211" w:lineRule="exact"/>
        <w:rPr>
          <w:rFonts w:ascii="Arial" w:cs="Arial" w:eastAsia="Arial" w:hAnsi="Arial"/>
          <w:sz w:val="19"/>
          <w:szCs w:val="19"/>
          <w:color w:val="auto"/>
        </w:rPr>
      </w:pPr>
    </w:p>
    <w:p>
      <w:pPr>
        <w:ind w:left="1760" w:hanging="882"/>
        <w:spacing w:after="0" w:line="269" w:lineRule="auto"/>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consideration received by the Company under a cashless exercise program (whether through a broker or otherwise) implemented by the Company in connection with the Plan.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Expiration Date: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Withholding:</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Pursuant to Section 16.4 of the Plan, the Company shall have the power and the right to deduct or withhold (or cause to be deducted or withheld) from any amount deliverable under the Options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Options.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8" w:name="page149"/>
    <w:bookmarkEnd w:id="148"/>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Company’s automatic withholding right set out above, the Grantee may elect to satisfy the withholding requirement, in whole or in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part:</w:t>
      </w:r>
    </w:p>
    <w:p>
      <w:pPr>
        <w:spacing w:after="0" w:line="196" w:lineRule="exact"/>
        <w:rPr>
          <w:sz w:val="20"/>
          <w:szCs w:val="20"/>
          <w:color w:val="auto"/>
        </w:rPr>
      </w:pPr>
    </w:p>
    <w:p>
      <w:pPr>
        <w:ind w:left="1760" w:hanging="882"/>
        <w:spacing w:after="0"/>
        <w:tabs>
          <w:tab w:leader="none" w:pos="17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by having the Company withhold Shares; or</w:t>
      </w:r>
    </w:p>
    <w:p>
      <w:pPr>
        <w:spacing w:after="0" w:line="211" w:lineRule="exact"/>
        <w:rPr>
          <w:rFonts w:ascii="Arial" w:cs="Arial" w:eastAsia="Arial" w:hAnsi="Arial"/>
          <w:sz w:val="19"/>
          <w:szCs w:val="19"/>
          <w:color w:val="auto"/>
        </w:rPr>
      </w:pPr>
    </w:p>
    <w:p>
      <w:pPr>
        <w:ind w:left="1760" w:hanging="882"/>
        <w:spacing w:after="0"/>
        <w:tabs>
          <w:tab w:leader="none" w:pos="17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through an independent broker-dealer arrangement to sell a sufficient number of Shares;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 each case, having a Fair Market Value on the date the tax is to be determined equal to the minimum tax required to be withheld.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Grantee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Grantee will not have any of the rights of a shareholder with respect to the Shares underlying or covered by the Options, whether or not vested, until such Shares are actually issued and delivered to the Grantee.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Control:</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Transferability:</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provided by the Plan, the Options are not in any manner subject to alteration, anticipation, sale, transfer, assignment, pledge or encumbrance.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 Right to Continued Employment:</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Grantee’s receipt of the Options does not give the Grantee a right to remain in the employment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Amendment:</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9"/>
          <w:szCs w:val="19"/>
          <w:i w:val="1"/>
          <w:iCs w:val="1"/>
          <w:color w:val="auto"/>
        </w:rPr>
        <w:t>Execution Copy</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Options (either at the time of vesting or exercise, or otherwise) will not be includible as compensation or earnings for purposes of any benefit or compensation plan offered by the Company or its Affiliates.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4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The Option is subject to the Plan and any interpretations by the Committee under the Plan, which are hereby incorporated into this Award Agreement by reference and made a part hereof. In the event of any conflict between this Award Agreement and the Plan, the terms of the Plan shall control.</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Award Agreement, together with the Plan and the employment agreement between the Company and the Grantee, contains the entire agreement between the Grantee and the Company with respect to the subject matter of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Options, the Grantee agrees to be subject to the terms and conditions of the Plan and this Award Agreement.</w:t>
      </w:r>
    </w:p>
    <w:p>
      <w:pPr>
        <w:spacing w:after="0" w:line="212" w:lineRule="exact"/>
        <w:rPr>
          <w:sz w:val="20"/>
          <w:szCs w:val="20"/>
          <w:color w:val="auto"/>
        </w:rPr>
      </w:pPr>
    </w:p>
    <w:p>
      <w:pPr>
        <w:ind w:left="5880" w:hanging="718"/>
        <w:spacing w:after="0"/>
        <w:tabs>
          <w:tab w:leader="none" w:pos="58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left="5660"/>
        <w:spacing w:after="0"/>
        <w:rPr>
          <w:rFonts w:ascii="Arial" w:cs="Arial" w:eastAsia="Arial" w:hAnsi="Arial"/>
          <w:sz w:val="19"/>
          <w:szCs w:val="19"/>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0" w:name="page151"/>
    <w:bookmarkEnd w:id="150"/>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EASTMAN KODAK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Award Agreement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“Award Agreement” evidences an award of Nonqualified Stock Options (the “</w:t>
      </w:r>
      <w:r>
        <w:rPr>
          <w:rFonts w:ascii="Arial" w:cs="Arial" w:eastAsia="Arial" w:hAnsi="Arial"/>
          <w:sz w:val="19"/>
          <w:szCs w:val="19"/>
          <w:u w:val="single" w:color="auto"/>
          <w:color w:val="auto"/>
        </w:rPr>
        <w:t>Options</w:t>
      </w:r>
      <w:r>
        <w:rPr>
          <w:rFonts w:ascii="Arial" w:cs="Arial" w:eastAsia="Arial" w:hAnsi="Arial"/>
          <w:sz w:val="19"/>
          <w:szCs w:val="19"/>
          <w:color w:val="auto"/>
        </w:rPr>
        <w:t>”) by the Company under the Eastman Kodak Company 2013 Omnibus Incentive Plan, as amended effective May 22, 2018 and as it may be further amended (the “</w:t>
      </w:r>
      <w:r>
        <w:rPr>
          <w:rFonts w:ascii="Arial" w:cs="Arial" w:eastAsia="Arial" w:hAnsi="Arial"/>
          <w:sz w:val="19"/>
          <w:szCs w:val="19"/>
          <w:u w:val="single" w:color="auto"/>
          <w:color w:val="auto"/>
        </w:rPr>
        <w:t>Plan</w:t>
      </w:r>
      <w:r>
        <w:rPr>
          <w:rFonts w:ascii="Arial" w:cs="Arial" w:eastAsia="Arial" w:hAnsi="Arial"/>
          <w:sz w:val="19"/>
          <w:szCs w:val="19"/>
          <w:color w:val="auto"/>
        </w:rPr>
        <w:t>”), as indicated below. The Options are subject to all other terms set forth in the Plan and this Award Agreement. Capitalized terms not defined in this Award Agreement have the meanings given to them in the Plan.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620" w:type="dxa"/>
            <w:vAlign w:val="bottom"/>
          </w:tcPr>
          <w:p>
            <w:pPr>
              <w:spacing w:after="0"/>
              <w:rPr>
                <w:sz w:val="20"/>
                <w:szCs w:val="20"/>
                <w:color w:val="auto"/>
              </w:rPr>
            </w:pPr>
            <w:r>
              <w:rPr>
                <w:rFonts w:ascii="Arial" w:cs="Arial" w:eastAsia="Arial" w:hAnsi="Arial"/>
                <w:sz w:val="19"/>
                <w:szCs w:val="19"/>
                <w:b w:val="1"/>
                <w:bCs w:val="1"/>
                <w:color w:val="auto"/>
              </w:rPr>
              <w:t>Name of Grantee:</w:t>
            </w:r>
          </w:p>
        </w:tc>
        <w:tc>
          <w:tcPr>
            <w:tcW w:w="48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9"/>
                <w:szCs w:val="19"/>
                <w:color w:val="auto"/>
              </w:rPr>
              <w:t>James V. Continenza</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9"/>
                <w:szCs w:val="19"/>
                <w:b w:val="1"/>
                <w:bCs w:val="1"/>
                <w:color w:val="auto"/>
              </w:rPr>
              <w:t>Grant Date:</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20" w:type="dxa"/>
            <w:vAlign w:val="bottom"/>
            <w:vMerge w:val="continue"/>
          </w:tcPr>
          <w:p>
            <w:pPr>
              <w:spacing w:after="0"/>
              <w:rPr>
                <w:sz w:val="24"/>
                <w:szCs w:val="24"/>
                <w:color w:val="auto"/>
              </w:rPr>
            </w:pPr>
          </w:p>
        </w:tc>
        <w:tc>
          <w:tcPr>
            <w:tcW w:w="4080" w:type="dxa"/>
            <w:vAlign w:val="bottom"/>
            <w:gridSpan w:val="8"/>
          </w:tcPr>
          <w:p>
            <w:pPr>
              <w:spacing w:after="0"/>
              <w:rPr>
                <w:sz w:val="20"/>
                <w:szCs w:val="20"/>
                <w:color w:val="auto"/>
              </w:rPr>
            </w:pPr>
            <w:r>
              <w:rPr>
                <w:rFonts w:ascii="Arial" w:cs="Arial" w:eastAsia="Arial" w:hAnsi="Arial"/>
                <w:sz w:val="19"/>
                <w:szCs w:val="19"/>
                <w:color w:val="auto"/>
              </w:rPr>
              <w:t>February 20, 2019</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100" w:type="dxa"/>
            <w:vAlign w:val="bottom"/>
            <w:gridSpan w:val="2"/>
          </w:tcPr>
          <w:p>
            <w:pPr>
              <w:spacing w:after="0"/>
              <w:rPr>
                <w:sz w:val="20"/>
                <w:szCs w:val="20"/>
                <w:color w:val="auto"/>
              </w:rPr>
            </w:pPr>
            <w:r>
              <w:rPr>
                <w:rFonts w:ascii="Arial" w:cs="Arial" w:eastAsia="Arial" w:hAnsi="Arial"/>
                <w:sz w:val="19"/>
                <w:szCs w:val="19"/>
                <w:b w:val="1"/>
                <w:bCs w:val="1"/>
                <w:color w:val="auto"/>
              </w:rPr>
              <w:t>Number of Options:</w:t>
            </w:r>
          </w:p>
        </w:tc>
        <w:tc>
          <w:tcPr>
            <w:tcW w:w="180" w:type="dxa"/>
            <w:vAlign w:val="bottom"/>
          </w:tcPr>
          <w:p>
            <w:pPr>
              <w:spacing w:after="0"/>
              <w:rPr>
                <w:sz w:val="24"/>
                <w:szCs w:val="24"/>
                <w:color w:val="auto"/>
              </w:rPr>
            </w:pPr>
          </w:p>
        </w:tc>
        <w:tc>
          <w:tcPr>
            <w:tcW w:w="3420" w:type="dxa"/>
            <w:vAlign w:val="bottom"/>
            <w:gridSpan w:val="6"/>
          </w:tcPr>
          <w:p>
            <w:pPr>
              <w:spacing w:after="0"/>
              <w:rPr>
                <w:sz w:val="20"/>
                <w:szCs w:val="20"/>
                <w:color w:val="auto"/>
              </w:rPr>
            </w:pPr>
            <w:r>
              <w:rPr>
                <w:rFonts w:ascii="Arial" w:cs="Arial" w:eastAsia="Arial" w:hAnsi="Arial"/>
                <w:sz w:val="19"/>
                <w:szCs w:val="19"/>
                <w:color w:val="auto"/>
              </w:rPr>
              <w:t>350,000 with an Option Price of $6.03</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tcPr>
          <w:p>
            <w:pPr>
              <w:spacing w:after="0"/>
              <w:rPr>
                <w:sz w:val="20"/>
                <w:szCs w:val="20"/>
                <w:color w:val="auto"/>
              </w:rPr>
            </w:pPr>
            <w:r>
              <w:rPr>
                <w:rFonts w:ascii="Arial" w:cs="Arial" w:eastAsia="Arial" w:hAnsi="Arial"/>
                <w:sz w:val="19"/>
                <w:szCs w:val="19"/>
                <w:b w:val="1"/>
                <w:bCs w:val="1"/>
                <w:color w:val="auto"/>
                <w:w w:val="97"/>
              </w:rPr>
              <w:t>Vesting Schedule: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20" w:type="dxa"/>
            <w:vAlign w:val="bottom"/>
            <w:tcBorders>
              <w:left w:val="single" w:sz="8" w:color="auto"/>
            </w:tcBorders>
            <w:shd w:val="clear" w:color="auto" w:fill="C6D9F1"/>
          </w:tcPr>
          <w:p>
            <w:pPr>
              <w:spacing w:after="0"/>
              <w:rPr>
                <w:sz w:val="20"/>
                <w:szCs w:val="20"/>
                <w:color w:val="auto"/>
              </w:rPr>
            </w:pPr>
          </w:p>
        </w:tc>
        <w:tc>
          <w:tcPr>
            <w:tcW w:w="480" w:type="dxa"/>
            <w:vAlign w:val="bottom"/>
            <w:shd w:val="clear" w:color="auto" w:fill="C6D9F1"/>
          </w:tcPr>
          <w:p>
            <w:pPr>
              <w:spacing w:after="0"/>
              <w:rPr>
                <w:sz w:val="20"/>
                <w:szCs w:val="20"/>
                <w:color w:val="auto"/>
              </w:rPr>
            </w:pPr>
          </w:p>
        </w:tc>
        <w:tc>
          <w:tcPr>
            <w:tcW w:w="180" w:type="dxa"/>
            <w:vAlign w:val="bottom"/>
            <w:shd w:val="clear" w:color="auto" w:fill="C6D9F1"/>
          </w:tcPr>
          <w:p>
            <w:pPr>
              <w:spacing w:after="0"/>
              <w:rPr>
                <w:sz w:val="20"/>
                <w:szCs w:val="20"/>
                <w:color w:val="auto"/>
              </w:rPr>
            </w:pPr>
          </w:p>
        </w:tc>
        <w:tc>
          <w:tcPr>
            <w:tcW w:w="3420" w:type="dxa"/>
            <w:vAlign w:val="bottom"/>
            <w:tcBorders>
              <w:right w:val="single" w:sz="8" w:color="auto"/>
            </w:tcBorders>
            <w:gridSpan w:val="6"/>
            <w:shd w:val="clear" w:color="auto" w:fill="C6D9F1"/>
          </w:tcPr>
          <w:p>
            <w:pPr>
              <w:ind w:left="60"/>
              <w:spacing w:after="0"/>
              <w:rPr>
                <w:sz w:val="20"/>
                <w:szCs w:val="20"/>
                <w:color w:val="auto"/>
              </w:rPr>
            </w:pPr>
            <w:r>
              <w:rPr>
                <w:rFonts w:ascii="Arial" w:cs="Arial" w:eastAsia="Arial" w:hAnsi="Arial"/>
                <w:sz w:val="19"/>
                <w:szCs w:val="19"/>
                <w:b w:val="1"/>
                <w:bCs w:val="1"/>
                <w:color w:val="auto"/>
              </w:rPr>
              <w:t>Vesting Date</w:t>
            </w:r>
          </w:p>
        </w:tc>
        <w:tc>
          <w:tcPr>
            <w:tcW w:w="5740" w:type="dxa"/>
            <w:vAlign w:val="bottom"/>
            <w:tcBorders>
              <w:right w:val="single" w:sz="8" w:color="auto"/>
            </w:tcBorders>
            <w:shd w:val="clear" w:color="auto" w:fill="C6D9F1"/>
          </w:tcPr>
          <w:p>
            <w:pPr>
              <w:ind w:left="2080"/>
              <w:spacing w:after="0"/>
              <w:rPr>
                <w:sz w:val="20"/>
                <w:szCs w:val="20"/>
                <w:color w:val="auto"/>
              </w:rPr>
            </w:pPr>
            <w:r>
              <w:rPr>
                <w:rFonts w:ascii="Arial" w:cs="Arial" w:eastAsia="Arial" w:hAnsi="Arial"/>
                <w:sz w:val="19"/>
                <w:szCs w:val="19"/>
                <w:b w:val="1"/>
                <w:bCs w:val="1"/>
                <w:color w:val="auto"/>
              </w:rPr>
              <w:t>Percentage Vesting</w:t>
            </w:r>
          </w:p>
        </w:tc>
        <w:tc>
          <w:tcPr>
            <w:tcW w:w="0" w:type="dxa"/>
            <w:vAlign w:val="bottom"/>
          </w:tcPr>
          <w:p>
            <w:pPr>
              <w:spacing w:after="0"/>
              <w:rPr>
                <w:sz w:val="1"/>
                <w:szCs w:val="1"/>
                <w:color w:val="auto"/>
              </w:rPr>
            </w:pPr>
          </w:p>
        </w:tc>
      </w:tr>
      <w:tr>
        <w:trPr>
          <w:trHeight w:val="143"/>
        </w:trPr>
        <w:tc>
          <w:tcPr>
            <w:tcW w:w="1620" w:type="dxa"/>
            <w:vAlign w:val="bottom"/>
            <w:tcBorders>
              <w:left w:val="single" w:sz="8" w:color="auto"/>
              <w:bottom w:val="single" w:sz="8" w:color="auto"/>
            </w:tcBorders>
            <w:shd w:val="clear" w:color="auto" w:fill="C6D9F1"/>
          </w:tcPr>
          <w:p>
            <w:pPr>
              <w:spacing w:after="0"/>
              <w:rPr>
                <w:sz w:val="12"/>
                <w:szCs w:val="12"/>
                <w:color w:val="auto"/>
              </w:rPr>
            </w:pPr>
          </w:p>
        </w:tc>
        <w:tc>
          <w:tcPr>
            <w:tcW w:w="480" w:type="dxa"/>
            <w:vAlign w:val="bottom"/>
            <w:tcBorders>
              <w:bottom w:val="single" w:sz="8" w:color="auto"/>
            </w:tcBorders>
            <w:shd w:val="clear" w:color="auto" w:fill="C6D9F1"/>
          </w:tcPr>
          <w:p>
            <w:pPr>
              <w:spacing w:after="0"/>
              <w:rPr>
                <w:sz w:val="12"/>
                <w:szCs w:val="12"/>
                <w:color w:val="auto"/>
              </w:rPr>
            </w:pPr>
          </w:p>
        </w:tc>
        <w:tc>
          <w:tcPr>
            <w:tcW w:w="180" w:type="dxa"/>
            <w:vAlign w:val="bottom"/>
            <w:tcBorders>
              <w:bottom w:val="single" w:sz="8" w:color="auto"/>
            </w:tcBorders>
            <w:shd w:val="clear" w:color="auto" w:fill="C6D9F1"/>
          </w:tcPr>
          <w:p>
            <w:pPr>
              <w:spacing w:after="0"/>
              <w:rPr>
                <w:sz w:val="12"/>
                <w:szCs w:val="12"/>
                <w:color w:val="auto"/>
              </w:rPr>
            </w:pPr>
          </w:p>
        </w:tc>
        <w:tc>
          <w:tcPr>
            <w:tcW w:w="620" w:type="dxa"/>
            <w:vAlign w:val="bottom"/>
            <w:tcBorders>
              <w:bottom w:val="single" w:sz="8" w:color="auto"/>
            </w:tcBorders>
            <w:shd w:val="clear" w:color="auto" w:fill="C6D9F1"/>
          </w:tcPr>
          <w:p>
            <w:pPr>
              <w:spacing w:after="0"/>
              <w:rPr>
                <w:sz w:val="12"/>
                <w:szCs w:val="12"/>
                <w:color w:val="auto"/>
              </w:rPr>
            </w:pPr>
          </w:p>
        </w:tc>
        <w:tc>
          <w:tcPr>
            <w:tcW w:w="120" w:type="dxa"/>
            <w:vAlign w:val="bottom"/>
            <w:tcBorders>
              <w:bottom w:val="single" w:sz="8" w:color="auto"/>
            </w:tcBorders>
            <w:shd w:val="clear" w:color="auto" w:fill="C6D9F1"/>
          </w:tcPr>
          <w:p>
            <w:pPr>
              <w:spacing w:after="0"/>
              <w:rPr>
                <w:sz w:val="12"/>
                <w:szCs w:val="12"/>
                <w:color w:val="auto"/>
              </w:rPr>
            </w:pPr>
          </w:p>
        </w:tc>
        <w:tc>
          <w:tcPr>
            <w:tcW w:w="660" w:type="dxa"/>
            <w:vAlign w:val="bottom"/>
            <w:tcBorders>
              <w:bottom w:val="single" w:sz="8" w:color="auto"/>
            </w:tcBorders>
            <w:shd w:val="clear" w:color="auto" w:fill="C6D9F1"/>
          </w:tcPr>
          <w:p>
            <w:pPr>
              <w:spacing w:after="0"/>
              <w:rPr>
                <w:sz w:val="12"/>
                <w:szCs w:val="12"/>
                <w:color w:val="auto"/>
              </w:rPr>
            </w:pPr>
          </w:p>
        </w:tc>
        <w:tc>
          <w:tcPr>
            <w:tcW w:w="1200" w:type="dxa"/>
            <w:vAlign w:val="bottom"/>
            <w:tcBorders>
              <w:bottom w:val="single" w:sz="8" w:color="auto"/>
            </w:tcBorders>
            <w:shd w:val="clear" w:color="auto" w:fill="C6D9F1"/>
          </w:tcPr>
          <w:p>
            <w:pPr>
              <w:spacing w:after="0"/>
              <w:rPr>
                <w:sz w:val="12"/>
                <w:szCs w:val="12"/>
                <w:color w:val="auto"/>
              </w:rPr>
            </w:pPr>
          </w:p>
        </w:tc>
        <w:tc>
          <w:tcPr>
            <w:tcW w:w="340" w:type="dxa"/>
            <w:vAlign w:val="bottom"/>
            <w:tcBorders>
              <w:bottom w:val="single" w:sz="8" w:color="auto"/>
            </w:tcBorders>
            <w:shd w:val="clear" w:color="auto" w:fill="C6D9F1"/>
          </w:tcPr>
          <w:p>
            <w:pPr>
              <w:spacing w:after="0"/>
              <w:rPr>
                <w:sz w:val="12"/>
                <w:szCs w:val="12"/>
                <w:color w:val="auto"/>
              </w:rPr>
            </w:pPr>
          </w:p>
        </w:tc>
        <w:tc>
          <w:tcPr>
            <w:tcW w:w="480" w:type="dxa"/>
            <w:vAlign w:val="bottom"/>
            <w:tcBorders>
              <w:bottom w:val="single" w:sz="8" w:color="auto"/>
              <w:right w:val="single" w:sz="8" w:color="auto"/>
            </w:tcBorders>
            <w:shd w:val="clear" w:color="auto" w:fill="C6D9F1"/>
          </w:tcPr>
          <w:p>
            <w:pPr>
              <w:spacing w:after="0"/>
              <w:rPr>
                <w:sz w:val="12"/>
                <w:szCs w:val="12"/>
                <w:color w:val="auto"/>
              </w:rPr>
            </w:pPr>
          </w:p>
        </w:tc>
        <w:tc>
          <w:tcPr>
            <w:tcW w:w="5740" w:type="dxa"/>
            <w:vAlign w:val="bottom"/>
            <w:tcBorders>
              <w:bottom w:val="single" w:sz="8" w:color="auto"/>
              <w:right w:val="single" w:sz="8" w:color="auto"/>
            </w:tcBorders>
            <w:shd w:val="clear" w:color="auto" w:fill="C6D9F1"/>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May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August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w w:val="94"/>
              </w:rPr>
              <w:t>November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2020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Vesting Schedule for the Options awarded hereunder is set forth above under “Vesting Schedule.” The Options will only vest if the Grantee is continuously employed by the Company or any of its Affiliates from the Grant Date through the applicable Vesting Date, and except as otherwise provided by this Award Agreement or determined by the Committee, any unvested Options will be forfeited upon any termination of employment.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Notwithstanding the prior sentence, if the Grantee has an employment agreement with the Company that provides for continued or accelerated vesting upon certain qualifying terminations, the terms and conditions in that employment agreement will control.</w:t>
      </w:r>
    </w:p>
    <w:p>
      <w:pPr>
        <w:spacing w:after="0" w:line="16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Notwithstanding anything in this Award Agreement, the Plan, or in the Grantee’s employment agreement with the Company to the contrary, upon the consummation of a Change of Control, any outstanding Options that have not become vested pursuant to the foregoing Vesting Schedule shall immediately become vested; provided that the Grantee remains continuously employed by the Company through and including the consummation of such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Upon termination of employment, vested Options shall remain exercisable until they expire as set forth below under “Expiration 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Exercise:</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aggregate Option Price for the Shares as to which an Option is exercised shall be paid to the Company in full at the time of exercise at the election of the Grantee:</w:t>
      </w:r>
    </w:p>
    <w:p>
      <w:pPr>
        <w:spacing w:after="0" w:line="162" w:lineRule="exact"/>
        <w:rPr>
          <w:sz w:val="20"/>
          <w:szCs w:val="20"/>
          <w:color w:val="auto"/>
        </w:rPr>
      </w:pPr>
    </w:p>
    <w:p>
      <w:pPr>
        <w:ind w:left="1760" w:hanging="882"/>
        <w:spacing w:after="0"/>
        <w:tabs>
          <w:tab w:leader="none" w:pos="17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cash or its equivalent (e.g., by cashier’s check);</w:t>
      </w:r>
    </w:p>
    <w:p>
      <w:pPr>
        <w:spacing w:after="0" w:line="211" w:lineRule="exact"/>
        <w:rPr>
          <w:rFonts w:ascii="Arial" w:cs="Arial" w:eastAsia="Arial" w:hAnsi="Arial"/>
          <w:sz w:val="19"/>
          <w:szCs w:val="19"/>
          <w:color w:val="auto"/>
        </w:rPr>
      </w:pPr>
    </w:p>
    <w:p>
      <w:pPr>
        <w:jc w:val="both"/>
        <w:ind w:left="1760" w:hanging="882"/>
        <w:spacing w:after="0" w:line="256" w:lineRule="auto"/>
        <w:tabs>
          <w:tab w:leader="none" w:pos="17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Arial" w:cs="Arial" w:eastAsia="Arial" w:hAnsi="Arial"/>
          <w:sz w:val="19"/>
          <w:szCs w:val="19"/>
          <w:color w:val="auto"/>
        </w:rPr>
      </w:pPr>
    </w:p>
    <w:p>
      <w:pPr>
        <w:ind w:left="1760" w:hanging="882"/>
        <w:spacing w:after="0"/>
        <w:tabs>
          <w:tab w:leader="none" w:pos="17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combination of the foregoing; or</w:t>
      </w:r>
    </w:p>
    <w:p>
      <w:pPr>
        <w:spacing w:after="0" w:line="211" w:lineRule="exact"/>
        <w:rPr>
          <w:rFonts w:ascii="Arial" w:cs="Arial" w:eastAsia="Arial" w:hAnsi="Arial"/>
          <w:sz w:val="19"/>
          <w:szCs w:val="19"/>
          <w:color w:val="auto"/>
        </w:rPr>
      </w:pPr>
    </w:p>
    <w:p>
      <w:pPr>
        <w:ind w:left="1760" w:hanging="882"/>
        <w:spacing w:after="0" w:line="269" w:lineRule="auto"/>
        <w:tabs>
          <w:tab w:leader="none" w:pos="17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consideration received by the Company under a cashless exercise program (whether through a broker or otherwise) implemented by the Company in connection with the Plan.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Expiration Date: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Withholding:</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Pursuant to Section 16.4 of the Plan, the Company shall have the power and the right to deduct or withhold (or cause to be deducted or withheld) from any amount deliverable under the Options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Options.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Company’s automatic withholding right set out above, the Grantee may elect to satisfy the withholding requirement, in whole or in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part:</w:t>
      </w:r>
    </w:p>
    <w:p>
      <w:pPr>
        <w:spacing w:after="0" w:line="196" w:lineRule="exact"/>
        <w:rPr>
          <w:sz w:val="20"/>
          <w:szCs w:val="20"/>
          <w:color w:val="auto"/>
        </w:rPr>
      </w:pPr>
    </w:p>
    <w:p>
      <w:pPr>
        <w:ind w:left="1760" w:hanging="882"/>
        <w:spacing w:after="0"/>
        <w:tabs>
          <w:tab w:leader="none" w:pos="17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by having the Company withhold Shares; or</w:t>
      </w:r>
    </w:p>
    <w:p>
      <w:pPr>
        <w:spacing w:after="0" w:line="211" w:lineRule="exact"/>
        <w:rPr>
          <w:rFonts w:ascii="Arial" w:cs="Arial" w:eastAsia="Arial" w:hAnsi="Arial"/>
          <w:sz w:val="19"/>
          <w:szCs w:val="19"/>
          <w:color w:val="auto"/>
        </w:rPr>
      </w:pPr>
    </w:p>
    <w:p>
      <w:pPr>
        <w:ind w:left="1760" w:hanging="882"/>
        <w:spacing w:after="0"/>
        <w:tabs>
          <w:tab w:leader="none" w:pos="17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through an independent broker-dealer arrangement to sell a sufficient number of Shares;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 each case, having a Fair Market Value on the date the tax is to be determined equal to the minimum tax required to be withheld.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Grantee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Grantee will not have any of the rights of a shareholder with respect to the Shares underlying or covered by the Options, whether or not vested, until such Shares are actually issued and delivered to the Grantee.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Control:</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Transferability:</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provided by the Plan, the Options are not in any manner subject to alteration, anticipation, sale, transfer, assignment, pledge or encumbrance.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 Right to Continued Employment:</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Grantee’s receipt of the Options does not give the Grantee a right to remain in the employment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Amendment:</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i w:val="1"/>
          <w:iCs w:val="1"/>
          <w:color w:val="auto"/>
        </w:rPr>
        <w:t>Execution Copy</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Options (either at the time of vesting or exercise, or otherwise) will not be includible as compensation or earnings for purposes of any benefit or compensation plan offered by the Company or its Affiliates.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4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The Option is subject to the Plan and any interpretations by the Committee under the Plan, which are hereby incorporated into this Award Agreement by reference and made a part hereof. In the event of any conflict between this Award Agreement and the Plan, the terms of the Plan shall control.</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Award Agreement, together with the Plan and the employment agreement between the Company and the Grantee, contains the entire agreement between the Grantee and the Company with respect to the subject matter of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Options, the Grantee agrees to be subject to the terms and conditions of the Plan and this Award Agreement.</w:t>
      </w:r>
    </w:p>
    <w:p>
      <w:pPr>
        <w:spacing w:after="0" w:line="212" w:lineRule="exact"/>
        <w:rPr>
          <w:sz w:val="20"/>
          <w:szCs w:val="20"/>
          <w:color w:val="auto"/>
        </w:rPr>
      </w:pPr>
    </w:p>
    <w:p>
      <w:pPr>
        <w:ind w:left="5880" w:hanging="718"/>
        <w:spacing w:after="0"/>
        <w:tabs>
          <w:tab w:leader="none" w:pos="58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3" w:lineRule="exact"/>
        <w:rPr>
          <w:rFonts w:ascii="Arial" w:cs="Arial" w:eastAsia="Arial" w:hAnsi="Arial"/>
          <w:sz w:val="19"/>
          <w:szCs w:val="19"/>
          <w:color w:val="auto"/>
        </w:rPr>
      </w:pPr>
    </w:p>
    <w:p>
      <w:pPr>
        <w:ind w:left="5620"/>
        <w:spacing w:after="0"/>
        <w:rPr>
          <w:rFonts w:ascii="Arial" w:cs="Arial" w:eastAsia="Arial" w:hAnsi="Arial"/>
          <w:sz w:val="19"/>
          <w:szCs w:val="19"/>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4" w:name="page155"/>
    <w:bookmarkEnd w:id="154"/>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EASTMAN KODAK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Award Agreement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“Award Agreement” evidences an award of Nonqualified Stock Options (the “</w:t>
      </w:r>
      <w:r>
        <w:rPr>
          <w:rFonts w:ascii="Arial" w:cs="Arial" w:eastAsia="Arial" w:hAnsi="Arial"/>
          <w:sz w:val="19"/>
          <w:szCs w:val="19"/>
          <w:u w:val="single" w:color="auto"/>
          <w:color w:val="auto"/>
        </w:rPr>
        <w:t>Options</w:t>
      </w:r>
      <w:r>
        <w:rPr>
          <w:rFonts w:ascii="Arial" w:cs="Arial" w:eastAsia="Arial" w:hAnsi="Arial"/>
          <w:sz w:val="19"/>
          <w:szCs w:val="19"/>
          <w:color w:val="auto"/>
        </w:rPr>
        <w:t>”) by the Company under the Eastman Kodak Company 2013 Omnibus Incentive Plan, as amended effective May 22, 2018 and as it may be further amended (the “</w:t>
      </w:r>
      <w:r>
        <w:rPr>
          <w:rFonts w:ascii="Arial" w:cs="Arial" w:eastAsia="Arial" w:hAnsi="Arial"/>
          <w:sz w:val="19"/>
          <w:szCs w:val="19"/>
          <w:u w:val="single" w:color="auto"/>
          <w:color w:val="auto"/>
        </w:rPr>
        <w:t>Plan</w:t>
      </w:r>
      <w:r>
        <w:rPr>
          <w:rFonts w:ascii="Arial" w:cs="Arial" w:eastAsia="Arial" w:hAnsi="Arial"/>
          <w:sz w:val="19"/>
          <w:szCs w:val="19"/>
          <w:color w:val="auto"/>
        </w:rPr>
        <w:t>”), as indicated below. The Options are subject to all other terms set forth in the Plan and this Award Agreement. Capitalized terms not defined in this Award Agreement have the meanings given to them in the Plan.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620" w:type="dxa"/>
            <w:vAlign w:val="bottom"/>
          </w:tcPr>
          <w:p>
            <w:pPr>
              <w:spacing w:after="0"/>
              <w:rPr>
                <w:sz w:val="20"/>
                <w:szCs w:val="20"/>
                <w:color w:val="auto"/>
              </w:rPr>
            </w:pPr>
            <w:r>
              <w:rPr>
                <w:rFonts w:ascii="Arial" w:cs="Arial" w:eastAsia="Arial" w:hAnsi="Arial"/>
                <w:sz w:val="19"/>
                <w:szCs w:val="19"/>
                <w:b w:val="1"/>
                <w:bCs w:val="1"/>
                <w:color w:val="auto"/>
              </w:rPr>
              <w:t>Name of Grantee:</w:t>
            </w:r>
          </w:p>
        </w:tc>
        <w:tc>
          <w:tcPr>
            <w:tcW w:w="48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9"/>
                <w:szCs w:val="19"/>
                <w:color w:val="auto"/>
              </w:rPr>
              <w:t>James V. Continenza</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9"/>
                <w:szCs w:val="19"/>
                <w:b w:val="1"/>
                <w:bCs w:val="1"/>
                <w:color w:val="auto"/>
              </w:rPr>
              <w:t>Grant Date:</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20" w:type="dxa"/>
            <w:vAlign w:val="bottom"/>
            <w:vMerge w:val="continue"/>
          </w:tcPr>
          <w:p>
            <w:pPr>
              <w:spacing w:after="0"/>
              <w:rPr>
                <w:sz w:val="24"/>
                <w:szCs w:val="24"/>
                <w:color w:val="auto"/>
              </w:rPr>
            </w:pPr>
          </w:p>
        </w:tc>
        <w:tc>
          <w:tcPr>
            <w:tcW w:w="4080" w:type="dxa"/>
            <w:vAlign w:val="bottom"/>
            <w:gridSpan w:val="8"/>
          </w:tcPr>
          <w:p>
            <w:pPr>
              <w:spacing w:after="0"/>
              <w:rPr>
                <w:sz w:val="20"/>
                <w:szCs w:val="20"/>
                <w:color w:val="auto"/>
              </w:rPr>
            </w:pPr>
            <w:r>
              <w:rPr>
                <w:rFonts w:ascii="Arial" w:cs="Arial" w:eastAsia="Arial" w:hAnsi="Arial"/>
                <w:sz w:val="19"/>
                <w:szCs w:val="19"/>
                <w:color w:val="auto"/>
              </w:rPr>
              <w:t>February 20, 2019</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100" w:type="dxa"/>
            <w:vAlign w:val="bottom"/>
            <w:gridSpan w:val="2"/>
          </w:tcPr>
          <w:p>
            <w:pPr>
              <w:spacing w:after="0"/>
              <w:rPr>
                <w:sz w:val="20"/>
                <w:szCs w:val="20"/>
                <w:color w:val="auto"/>
              </w:rPr>
            </w:pPr>
            <w:r>
              <w:rPr>
                <w:rFonts w:ascii="Arial" w:cs="Arial" w:eastAsia="Arial" w:hAnsi="Arial"/>
                <w:sz w:val="19"/>
                <w:szCs w:val="19"/>
                <w:b w:val="1"/>
                <w:bCs w:val="1"/>
                <w:color w:val="auto"/>
              </w:rPr>
              <w:t>Number of Options:</w:t>
            </w:r>
          </w:p>
        </w:tc>
        <w:tc>
          <w:tcPr>
            <w:tcW w:w="180" w:type="dxa"/>
            <w:vAlign w:val="bottom"/>
          </w:tcPr>
          <w:p>
            <w:pPr>
              <w:spacing w:after="0"/>
              <w:rPr>
                <w:sz w:val="24"/>
                <w:szCs w:val="24"/>
                <w:color w:val="auto"/>
              </w:rPr>
            </w:pPr>
          </w:p>
        </w:tc>
        <w:tc>
          <w:tcPr>
            <w:tcW w:w="3420" w:type="dxa"/>
            <w:vAlign w:val="bottom"/>
            <w:gridSpan w:val="6"/>
          </w:tcPr>
          <w:p>
            <w:pPr>
              <w:spacing w:after="0"/>
              <w:rPr>
                <w:sz w:val="20"/>
                <w:szCs w:val="20"/>
                <w:color w:val="auto"/>
              </w:rPr>
            </w:pPr>
            <w:r>
              <w:rPr>
                <w:rFonts w:ascii="Arial" w:cs="Arial" w:eastAsia="Arial" w:hAnsi="Arial"/>
                <w:sz w:val="19"/>
                <w:szCs w:val="19"/>
                <w:color w:val="auto"/>
              </w:rPr>
              <w:t>200,000 with an Option Price of $12.00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tcPr>
          <w:p>
            <w:pPr>
              <w:spacing w:after="0"/>
              <w:rPr>
                <w:sz w:val="20"/>
                <w:szCs w:val="20"/>
                <w:color w:val="auto"/>
              </w:rPr>
            </w:pPr>
            <w:r>
              <w:rPr>
                <w:rFonts w:ascii="Arial" w:cs="Arial" w:eastAsia="Arial" w:hAnsi="Arial"/>
                <w:sz w:val="19"/>
                <w:szCs w:val="19"/>
                <w:b w:val="1"/>
                <w:bCs w:val="1"/>
                <w:color w:val="auto"/>
                <w:w w:val="97"/>
              </w:rPr>
              <w:t>Vesting Schedule: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20" w:type="dxa"/>
            <w:vAlign w:val="bottom"/>
            <w:tcBorders>
              <w:left w:val="single" w:sz="8" w:color="auto"/>
            </w:tcBorders>
            <w:shd w:val="clear" w:color="auto" w:fill="C6D9F1"/>
          </w:tcPr>
          <w:p>
            <w:pPr>
              <w:spacing w:after="0"/>
              <w:rPr>
                <w:sz w:val="20"/>
                <w:szCs w:val="20"/>
                <w:color w:val="auto"/>
              </w:rPr>
            </w:pPr>
          </w:p>
        </w:tc>
        <w:tc>
          <w:tcPr>
            <w:tcW w:w="480" w:type="dxa"/>
            <w:vAlign w:val="bottom"/>
            <w:shd w:val="clear" w:color="auto" w:fill="C6D9F1"/>
          </w:tcPr>
          <w:p>
            <w:pPr>
              <w:spacing w:after="0"/>
              <w:rPr>
                <w:sz w:val="20"/>
                <w:szCs w:val="20"/>
                <w:color w:val="auto"/>
              </w:rPr>
            </w:pPr>
          </w:p>
        </w:tc>
        <w:tc>
          <w:tcPr>
            <w:tcW w:w="180" w:type="dxa"/>
            <w:vAlign w:val="bottom"/>
            <w:shd w:val="clear" w:color="auto" w:fill="C6D9F1"/>
          </w:tcPr>
          <w:p>
            <w:pPr>
              <w:spacing w:after="0"/>
              <w:rPr>
                <w:sz w:val="20"/>
                <w:szCs w:val="20"/>
                <w:color w:val="auto"/>
              </w:rPr>
            </w:pPr>
          </w:p>
        </w:tc>
        <w:tc>
          <w:tcPr>
            <w:tcW w:w="3420" w:type="dxa"/>
            <w:vAlign w:val="bottom"/>
            <w:tcBorders>
              <w:right w:val="single" w:sz="8" w:color="auto"/>
            </w:tcBorders>
            <w:gridSpan w:val="6"/>
            <w:shd w:val="clear" w:color="auto" w:fill="C6D9F1"/>
          </w:tcPr>
          <w:p>
            <w:pPr>
              <w:ind w:left="60"/>
              <w:spacing w:after="0"/>
              <w:rPr>
                <w:sz w:val="20"/>
                <w:szCs w:val="20"/>
                <w:color w:val="auto"/>
              </w:rPr>
            </w:pPr>
            <w:r>
              <w:rPr>
                <w:rFonts w:ascii="Arial" w:cs="Arial" w:eastAsia="Arial" w:hAnsi="Arial"/>
                <w:sz w:val="19"/>
                <w:szCs w:val="19"/>
                <w:b w:val="1"/>
                <w:bCs w:val="1"/>
                <w:color w:val="auto"/>
              </w:rPr>
              <w:t>Vesting Date</w:t>
            </w:r>
          </w:p>
        </w:tc>
        <w:tc>
          <w:tcPr>
            <w:tcW w:w="5740" w:type="dxa"/>
            <w:vAlign w:val="bottom"/>
            <w:tcBorders>
              <w:right w:val="single" w:sz="8" w:color="auto"/>
            </w:tcBorders>
            <w:shd w:val="clear" w:color="auto" w:fill="C6D9F1"/>
          </w:tcPr>
          <w:p>
            <w:pPr>
              <w:ind w:left="2080"/>
              <w:spacing w:after="0"/>
              <w:rPr>
                <w:sz w:val="20"/>
                <w:szCs w:val="20"/>
                <w:color w:val="auto"/>
              </w:rPr>
            </w:pPr>
            <w:r>
              <w:rPr>
                <w:rFonts w:ascii="Arial" w:cs="Arial" w:eastAsia="Arial" w:hAnsi="Arial"/>
                <w:sz w:val="19"/>
                <w:szCs w:val="19"/>
                <w:b w:val="1"/>
                <w:bCs w:val="1"/>
                <w:color w:val="auto"/>
              </w:rPr>
              <w:t>Percentage Vesting</w:t>
            </w:r>
          </w:p>
        </w:tc>
        <w:tc>
          <w:tcPr>
            <w:tcW w:w="0" w:type="dxa"/>
            <w:vAlign w:val="bottom"/>
          </w:tcPr>
          <w:p>
            <w:pPr>
              <w:spacing w:after="0"/>
              <w:rPr>
                <w:sz w:val="1"/>
                <w:szCs w:val="1"/>
                <w:color w:val="auto"/>
              </w:rPr>
            </w:pPr>
          </w:p>
        </w:tc>
      </w:tr>
      <w:tr>
        <w:trPr>
          <w:trHeight w:val="143"/>
        </w:trPr>
        <w:tc>
          <w:tcPr>
            <w:tcW w:w="1620" w:type="dxa"/>
            <w:vAlign w:val="bottom"/>
            <w:tcBorders>
              <w:left w:val="single" w:sz="8" w:color="auto"/>
              <w:bottom w:val="single" w:sz="8" w:color="auto"/>
            </w:tcBorders>
            <w:shd w:val="clear" w:color="auto" w:fill="C6D9F1"/>
          </w:tcPr>
          <w:p>
            <w:pPr>
              <w:spacing w:after="0"/>
              <w:rPr>
                <w:sz w:val="12"/>
                <w:szCs w:val="12"/>
                <w:color w:val="auto"/>
              </w:rPr>
            </w:pPr>
          </w:p>
        </w:tc>
        <w:tc>
          <w:tcPr>
            <w:tcW w:w="480" w:type="dxa"/>
            <w:vAlign w:val="bottom"/>
            <w:tcBorders>
              <w:bottom w:val="single" w:sz="8" w:color="auto"/>
            </w:tcBorders>
            <w:shd w:val="clear" w:color="auto" w:fill="C6D9F1"/>
          </w:tcPr>
          <w:p>
            <w:pPr>
              <w:spacing w:after="0"/>
              <w:rPr>
                <w:sz w:val="12"/>
                <w:szCs w:val="12"/>
                <w:color w:val="auto"/>
              </w:rPr>
            </w:pPr>
          </w:p>
        </w:tc>
        <w:tc>
          <w:tcPr>
            <w:tcW w:w="180" w:type="dxa"/>
            <w:vAlign w:val="bottom"/>
            <w:tcBorders>
              <w:bottom w:val="single" w:sz="8" w:color="auto"/>
            </w:tcBorders>
            <w:shd w:val="clear" w:color="auto" w:fill="C6D9F1"/>
          </w:tcPr>
          <w:p>
            <w:pPr>
              <w:spacing w:after="0"/>
              <w:rPr>
                <w:sz w:val="12"/>
                <w:szCs w:val="12"/>
                <w:color w:val="auto"/>
              </w:rPr>
            </w:pPr>
          </w:p>
        </w:tc>
        <w:tc>
          <w:tcPr>
            <w:tcW w:w="620" w:type="dxa"/>
            <w:vAlign w:val="bottom"/>
            <w:tcBorders>
              <w:bottom w:val="single" w:sz="8" w:color="auto"/>
            </w:tcBorders>
            <w:shd w:val="clear" w:color="auto" w:fill="C6D9F1"/>
          </w:tcPr>
          <w:p>
            <w:pPr>
              <w:spacing w:after="0"/>
              <w:rPr>
                <w:sz w:val="12"/>
                <w:szCs w:val="12"/>
                <w:color w:val="auto"/>
              </w:rPr>
            </w:pPr>
          </w:p>
        </w:tc>
        <w:tc>
          <w:tcPr>
            <w:tcW w:w="120" w:type="dxa"/>
            <w:vAlign w:val="bottom"/>
            <w:tcBorders>
              <w:bottom w:val="single" w:sz="8" w:color="auto"/>
            </w:tcBorders>
            <w:shd w:val="clear" w:color="auto" w:fill="C6D9F1"/>
          </w:tcPr>
          <w:p>
            <w:pPr>
              <w:spacing w:after="0"/>
              <w:rPr>
                <w:sz w:val="12"/>
                <w:szCs w:val="12"/>
                <w:color w:val="auto"/>
              </w:rPr>
            </w:pPr>
          </w:p>
        </w:tc>
        <w:tc>
          <w:tcPr>
            <w:tcW w:w="660" w:type="dxa"/>
            <w:vAlign w:val="bottom"/>
            <w:tcBorders>
              <w:bottom w:val="single" w:sz="8" w:color="auto"/>
            </w:tcBorders>
            <w:shd w:val="clear" w:color="auto" w:fill="C6D9F1"/>
          </w:tcPr>
          <w:p>
            <w:pPr>
              <w:spacing w:after="0"/>
              <w:rPr>
                <w:sz w:val="12"/>
                <w:szCs w:val="12"/>
                <w:color w:val="auto"/>
              </w:rPr>
            </w:pPr>
          </w:p>
        </w:tc>
        <w:tc>
          <w:tcPr>
            <w:tcW w:w="1200" w:type="dxa"/>
            <w:vAlign w:val="bottom"/>
            <w:tcBorders>
              <w:bottom w:val="single" w:sz="8" w:color="auto"/>
            </w:tcBorders>
            <w:shd w:val="clear" w:color="auto" w:fill="C6D9F1"/>
          </w:tcPr>
          <w:p>
            <w:pPr>
              <w:spacing w:after="0"/>
              <w:rPr>
                <w:sz w:val="12"/>
                <w:szCs w:val="12"/>
                <w:color w:val="auto"/>
              </w:rPr>
            </w:pPr>
          </w:p>
        </w:tc>
        <w:tc>
          <w:tcPr>
            <w:tcW w:w="440" w:type="dxa"/>
            <w:vAlign w:val="bottom"/>
            <w:tcBorders>
              <w:bottom w:val="single" w:sz="8" w:color="auto"/>
            </w:tcBorders>
            <w:shd w:val="clear" w:color="auto" w:fill="C6D9F1"/>
          </w:tcPr>
          <w:p>
            <w:pPr>
              <w:spacing w:after="0"/>
              <w:rPr>
                <w:sz w:val="12"/>
                <w:szCs w:val="12"/>
                <w:color w:val="auto"/>
              </w:rPr>
            </w:pPr>
          </w:p>
        </w:tc>
        <w:tc>
          <w:tcPr>
            <w:tcW w:w="380" w:type="dxa"/>
            <w:vAlign w:val="bottom"/>
            <w:tcBorders>
              <w:bottom w:val="single" w:sz="8" w:color="auto"/>
              <w:right w:val="single" w:sz="8" w:color="auto"/>
            </w:tcBorders>
            <w:shd w:val="clear" w:color="auto" w:fill="C6D9F1"/>
          </w:tcPr>
          <w:p>
            <w:pPr>
              <w:spacing w:after="0"/>
              <w:rPr>
                <w:sz w:val="12"/>
                <w:szCs w:val="12"/>
                <w:color w:val="auto"/>
              </w:rPr>
            </w:pPr>
          </w:p>
        </w:tc>
        <w:tc>
          <w:tcPr>
            <w:tcW w:w="5740" w:type="dxa"/>
            <w:vAlign w:val="bottom"/>
            <w:tcBorders>
              <w:bottom w:val="single" w:sz="8" w:color="auto"/>
              <w:right w:val="single" w:sz="8" w:color="auto"/>
            </w:tcBorders>
            <w:shd w:val="clear" w:color="auto" w:fill="C6D9F1"/>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May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August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w w:val="94"/>
              </w:rPr>
              <w:t>November 20, 2019</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February 20, 2020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Vesting Schedule for the Options awarded hereunder is set forth above under “Vesting Schedule.” The Options will only vest if the Grantee is continuously employed by the Company or any of its Affiliates from the Grant Date through the applicable Vesting Date, and except as otherwise provided by this Award Agreement or determined by the Committee, any unvested Options will be forfeited upon any termination of employment.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Notwithstanding the prior sentence, if the Grantee has an employment agreement with the Company that provides for continued or accelerated vesting upon certain qualifying terminations, the terms and conditions in that employment agreement will control.</w:t>
      </w:r>
    </w:p>
    <w:p>
      <w:pPr>
        <w:spacing w:after="0" w:line="16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Notwithstanding anything in this Award Agreement, the Plan, or in the Grantee’s employment agreement with the Company to the contrary, upon the consummation of a Change of Control, any outstanding Options that have not become vested pursuant to the foregoing Vesting Schedule shall immediately become vested; provided that the Grantee remains continuously employed by the Company through and including the consummation of such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Upon termination of employment, vested Options shall remain exercisable until they expire as set forth below under “Expiration 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Exercise:</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aggregate Option Price for the Shares as to which an Option is exercised shall be paid to the Company in full at the time of exercise at the election of the Grantee:</w:t>
      </w:r>
    </w:p>
    <w:p>
      <w:pPr>
        <w:spacing w:after="0" w:line="162" w:lineRule="exact"/>
        <w:rPr>
          <w:sz w:val="20"/>
          <w:szCs w:val="20"/>
          <w:color w:val="auto"/>
        </w:rPr>
      </w:pPr>
    </w:p>
    <w:p>
      <w:pPr>
        <w:ind w:left="1760" w:hanging="882"/>
        <w:spacing w:after="0"/>
        <w:tabs>
          <w:tab w:leader="none" w:pos="17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cash or its equivalent (e.g., by cashier’s check);</w:t>
      </w:r>
    </w:p>
    <w:p>
      <w:pPr>
        <w:spacing w:after="0" w:line="211" w:lineRule="exact"/>
        <w:rPr>
          <w:rFonts w:ascii="Arial" w:cs="Arial" w:eastAsia="Arial" w:hAnsi="Arial"/>
          <w:sz w:val="19"/>
          <w:szCs w:val="19"/>
          <w:color w:val="auto"/>
        </w:rPr>
      </w:pPr>
    </w:p>
    <w:p>
      <w:pPr>
        <w:jc w:val="both"/>
        <w:ind w:left="1760" w:hanging="882"/>
        <w:spacing w:after="0" w:line="256" w:lineRule="auto"/>
        <w:tabs>
          <w:tab w:leader="none" w:pos="17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74" w:lineRule="exact"/>
        <w:rPr>
          <w:rFonts w:ascii="Arial" w:cs="Arial" w:eastAsia="Arial" w:hAnsi="Arial"/>
          <w:sz w:val="19"/>
          <w:szCs w:val="19"/>
          <w:color w:val="auto"/>
        </w:rPr>
      </w:pPr>
    </w:p>
    <w:p>
      <w:pPr>
        <w:ind w:left="1760" w:hanging="882"/>
        <w:spacing w:after="0"/>
        <w:tabs>
          <w:tab w:leader="none" w:pos="17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combination of the foregoing; or</w:t>
      </w:r>
    </w:p>
    <w:p>
      <w:pPr>
        <w:spacing w:after="0" w:line="211" w:lineRule="exact"/>
        <w:rPr>
          <w:rFonts w:ascii="Arial" w:cs="Arial" w:eastAsia="Arial" w:hAnsi="Arial"/>
          <w:sz w:val="19"/>
          <w:szCs w:val="19"/>
          <w:color w:val="auto"/>
        </w:rPr>
      </w:pPr>
    </w:p>
    <w:p>
      <w:pPr>
        <w:ind w:left="1760" w:hanging="882"/>
        <w:spacing w:after="0" w:line="269" w:lineRule="auto"/>
        <w:tabs>
          <w:tab w:leader="none" w:pos="17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consideration received by the Company under a cashless exercise program (whether through a broker or otherwise) implemented by the Company in connection with the Plan.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Under no circumstances will fractional Shares be issued; if the Grantee elects to pay the Option Price for the Shares using Shares already owned by him, or Shares to be received from his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Expiration Date: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Withholding:</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Pursuant to Section 16.4 of the Plan, the Company shall have the power and the right to deduct or withhold (or cause to be deducted or withheld) from any amount deliverable under the Options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Options.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6" w:name="page157"/>
    <w:bookmarkEnd w:id="156"/>
    <w:p>
      <w:pPr>
        <w:ind w:left="10200"/>
        <w:spacing w:after="0"/>
        <w:rPr>
          <w:sz w:val="20"/>
          <w:szCs w:val="20"/>
          <w:color w:val="auto"/>
        </w:rPr>
      </w:pPr>
      <w:r>
        <w:rPr>
          <w:rFonts w:ascii="Arial" w:cs="Arial" w:eastAsia="Arial" w:hAnsi="Arial"/>
          <w:sz w:val="17"/>
          <w:szCs w:val="17"/>
          <w:i w:val="1"/>
          <w:iCs w:val="1"/>
          <w:color w:val="auto"/>
        </w:rPr>
        <w:t>Execution Copy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Company’s automatic withholding right set out above, the Grantee may elect to satisfy the withholding requirement, in whole or in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part:</w:t>
      </w:r>
    </w:p>
    <w:p>
      <w:pPr>
        <w:spacing w:after="0" w:line="196" w:lineRule="exact"/>
        <w:rPr>
          <w:sz w:val="20"/>
          <w:szCs w:val="20"/>
          <w:color w:val="auto"/>
        </w:rPr>
      </w:pPr>
    </w:p>
    <w:p>
      <w:pPr>
        <w:ind w:left="1760" w:hanging="882"/>
        <w:spacing w:after="0"/>
        <w:tabs>
          <w:tab w:leader="none" w:pos="17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by having the Company withhold Shares; or</w:t>
      </w:r>
    </w:p>
    <w:p>
      <w:pPr>
        <w:spacing w:after="0" w:line="211" w:lineRule="exact"/>
        <w:rPr>
          <w:rFonts w:ascii="Arial" w:cs="Arial" w:eastAsia="Arial" w:hAnsi="Arial"/>
          <w:sz w:val="19"/>
          <w:szCs w:val="19"/>
          <w:color w:val="auto"/>
        </w:rPr>
      </w:pPr>
    </w:p>
    <w:p>
      <w:pPr>
        <w:ind w:left="1760" w:hanging="882"/>
        <w:spacing w:after="0"/>
        <w:tabs>
          <w:tab w:leader="none" w:pos="17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through an independent broker-dealer arrangement to sell a sufficient number of Shares;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 each case, having a Fair Market Value on the date the tax is to be determined equal to the minimum tax required to be withheld.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Grantee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Grantee will not have any of the rights of a shareholder with respect to the Shares underlying or covered by the Options, whether or not vested, until such Shares are actually issued and delivered to the Grantee.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Control:</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Upon the occurrence of a Change of Control, the Committee may, but shall not be required, to make one or more of the adjustments set forth in Section 14.2 of the Plan to the Options if and to the extent that the Options are outstanding at the time of the Change of Control.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Transferability:</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provided by the Plan, the Options are not in any manner subject to alteration, anticipation, sale, transfer, assignment, pledge or encumbrance.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 Right to Continued Employment:</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Grantee’s receipt of the Options does not give the Grantee a right to remain in the employment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By accepting the Options, the Grantee agrees that any data, including the Grantee’s personal data, may be exchanged among the Company and its Affiliates to the extent the Company determines necessary or advisable to administer the Plan and the Options, as well as with any third-party engaged by the Company to administer the Plan and the Options granted under the Plan.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Amendment:</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729297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Options described in this Award Agreement are intended to be exempt from Section 409A under the stock rights exemption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Options in any capacity, including, but not limited to, the Company and its directors, officers, agents and employees makes any representation, commitment, or guarantee that any tax treatment will be applicable with respect to the Options or payments made under this Award Agreement, or that such tax treatment will apply to or be available to the Grantee.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Options (either at the time of vesting or exercise, or otherwise) will not be includible as compensation or earnings for purposes of any benefit or compensation plan offered by the Company or its Affiliates.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Options.</w:t>
      </w:r>
    </w:p>
    <w:p>
      <w:pPr>
        <w:spacing w:after="0" w:line="14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The Option is subject to the Plan and any interpretations by the Committee under the Plan, which are hereby incorporated into this Award Agreement by reference and made a part hereof. In the event of any conflict between this Award Agreement and the Plan, the terms of the Plan shall control.</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Award Agreement, together with the Plan and the employment agreement between the Company and the Grantee, contains the entire agreement between the Grantee and the Company with respect to the subject matter of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Options, the Grantee agrees to be subject to the terms and conditions of the Plan and this Award Agreement.</w:t>
      </w:r>
    </w:p>
    <w:p>
      <w:pPr>
        <w:spacing w:after="0" w:line="212" w:lineRule="exact"/>
        <w:rPr>
          <w:sz w:val="20"/>
          <w:szCs w:val="20"/>
          <w:color w:val="auto"/>
        </w:rPr>
      </w:pPr>
    </w:p>
    <w:p>
      <w:pPr>
        <w:ind w:left="5880" w:hanging="718"/>
        <w:spacing w:after="0"/>
        <w:tabs>
          <w:tab w:leader="none" w:pos="58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20"/>
          </w:cols>
          <w:pgMar w:left="240" w:top="122" w:right="239" w:bottom="1440" w:gutter="0" w:footer="0" w:header="0"/>
        </w:sectPr>
      </w:pPr>
    </w:p>
    <w:bookmarkStart w:id="158" w:name="page159"/>
    <w:bookmarkEnd w:id="158"/>
    <w:p>
      <w:pPr>
        <w:ind w:left="10540"/>
        <w:spacing w:after="0"/>
        <w:rPr>
          <w:sz w:val="20"/>
          <w:szCs w:val="20"/>
          <w:color w:val="auto"/>
        </w:rPr>
      </w:pPr>
      <w:r>
        <w:rPr>
          <w:rFonts w:ascii="Arial" w:cs="Arial" w:eastAsia="Arial" w:hAnsi="Arial"/>
          <w:sz w:val="17"/>
          <w:szCs w:val="17"/>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312660" cy="6812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312660" cy="681291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Eastman Kodak Company and Subsidiary Companies</w:t>
      </w:r>
    </w:p>
    <w:p>
      <w:pPr>
        <w:spacing w:after="0" w:line="326"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Subsidiaries of the Registrant as of December 31, 2018 are listed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Borders>
              <w:top w:val="single" w:sz="8" w:color="auto"/>
              <w:bottom w:val="single" w:sz="8" w:color="auto"/>
            </w:tcBorders>
          </w:tcPr>
          <w:p>
            <w:pPr>
              <w:spacing w:after="0"/>
              <w:rPr>
                <w:sz w:val="20"/>
                <w:szCs w:val="20"/>
                <w:color w:val="auto"/>
              </w:rPr>
            </w:pPr>
          </w:p>
        </w:tc>
        <w:tc>
          <w:tcPr>
            <w:tcW w:w="3640" w:type="dxa"/>
            <w:vAlign w:val="bottom"/>
            <w:tcBorders>
              <w:top w:val="single" w:sz="8" w:color="auto"/>
              <w:bottom w:val="single" w:sz="8" w:color="auto"/>
              <w:right w:val="single" w:sz="8" w:color="auto"/>
            </w:tcBorders>
          </w:tcPr>
          <w:p>
            <w:pPr>
              <w:spacing w:after="0"/>
              <w:rPr>
                <w:sz w:val="20"/>
                <w:szCs w:val="20"/>
                <w:color w:val="auto"/>
              </w:rPr>
            </w:pPr>
          </w:p>
        </w:tc>
        <w:tc>
          <w:tcPr>
            <w:tcW w:w="25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r>
      <w:tr>
        <w:trPr>
          <w:trHeight w:val="221"/>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1680382 Ontario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Ontario, Canada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Eastman Kodak Holdings B.V.</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Netherlands</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Eastman Kodak International Capital Company, Inc.</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Eastman Kodak Sarl</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Switzerland</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Far East Development Ltd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FPC Inc.</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California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Horsell Graphic Industries Ltd.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France</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(Australasia) Pty. Ltd.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Australia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(China) Company Limited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(China) Graphic Communications Company Ltd.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(China) Investment Company Limited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(China)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Hong Kong</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(Malaysia) Sdn. Bhd.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Malaysia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(Near East), Inc.</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New York</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(Shanghai) International Trading Co. Ltd.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(Singapore) Pte.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Singapore</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(Thailand) Limited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Thailand</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(Wuxi) Company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(Xiamen) Digital Imaging Products Company</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A/S</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Denmark</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Americas, Ltd.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New York</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Argentina S.A.I.C.</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Argentina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8"/>
              </w:rPr>
              <w:t>Kodak Brasileira Comércio de Produtos para Imagem e Serviços Ltda.</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Brazil</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Canada ULC</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British Columbia, Canada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Chilena S.A.F.</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Chile</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de Colombia, SAS</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Columbia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de Mexico S.A. de C.V.</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Mexico</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Electronic Products (Shanghai) Company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Film Lab Atlanta, Inc.</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Delaware</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GmbH</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Austria</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GmbH</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Graphic Communications EAD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Germany</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Graphic Communications GmbH</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Graphic Communications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Holding GmbH</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IL Ltd.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Israel</w:t>
            </w:r>
          </w:p>
        </w:tc>
      </w:tr>
      <w:tr>
        <w:trPr>
          <w:trHeight w:val="22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India Private Limited</w:t>
            </w:r>
          </w:p>
        </w:tc>
        <w:tc>
          <w:tcPr>
            <w:tcW w:w="3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India</w:t>
            </w:r>
          </w:p>
        </w:tc>
      </w:tr>
      <w:tr>
        <w:trPr>
          <w:trHeight w:val="228"/>
        </w:trPr>
        <w:tc>
          <w:tcPr>
            <w:tcW w:w="526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International Finance Limited</w:t>
            </w:r>
          </w:p>
        </w:tc>
        <w:tc>
          <w:tcPr>
            <w:tcW w:w="36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398"/>
        </w:trPr>
        <w:tc>
          <w:tcPr>
            <w:tcW w:w="5260" w:type="dxa"/>
            <w:vAlign w:val="bottom"/>
          </w:tcPr>
          <w:p>
            <w:pPr>
              <w:spacing w:after="0"/>
              <w:rPr>
                <w:sz w:val="24"/>
                <w:szCs w:val="24"/>
                <w:color w:val="auto"/>
              </w:rPr>
            </w:pPr>
          </w:p>
        </w:tc>
        <w:tc>
          <w:tcPr>
            <w:tcW w:w="3640" w:type="dxa"/>
            <w:vAlign w:val="bottom"/>
          </w:tcPr>
          <w:p>
            <w:pPr>
              <w:jc w:val="right"/>
              <w:ind w:right="2982"/>
              <w:spacing w:after="0"/>
              <w:rPr>
                <w:sz w:val="20"/>
                <w:szCs w:val="20"/>
                <w:color w:val="auto"/>
              </w:rPr>
            </w:pPr>
            <w:r>
              <w:rPr>
                <w:rFonts w:ascii="Arial" w:cs="Arial" w:eastAsia="Arial" w:hAnsi="Arial"/>
                <w:sz w:val="16"/>
                <w:szCs w:val="16"/>
                <w:color w:val="auto"/>
              </w:rPr>
              <w:t>- 1 -</w:t>
            </w: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52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41"/>
        </w:trPr>
        <w:tc>
          <w:tcPr>
            <w:tcW w:w="46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Japan Ltd.</w:t>
            </w:r>
          </w:p>
        </w:tc>
        <w:tc>
          <w:tcPr>
            <w:tcW w:w="4240" w:type="dxa"/>
            <w:vAlign w:val="bottom"/>
            <w:tcBorders>
              <w:top w:val="single" w:sz="8" w:color="auto"/>
              <w:bottom w:val="single" w:sz="8" w:color="auto"/>
              <w:right w:val="single" w:sz="8" w:color="auto"/>
            </w:tcBorders>
          </w:tcPr>
          <w:p>
            <w:pPr>
              <w:spacing w:after="0"/>
              <w:rPr>
                <w:sz w:val="20"/>
                <w:szCs w:val="20"/>
                <w:color w:val="auto"/>
              </w:rPr>
            </w:pPr>
          </w:p>
        </w:tc>
        <w:tc>
          <w:tcPr>
            <w:tcW w:w="2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Japan</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Korea Limited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South Korea</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LB Tech, LLC</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Limited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Mexicana S.A.de C.V.</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Mexico</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Nederland B.V.</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Netherlands</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New Zealand Limited</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New Zealand</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Nordic AB</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Sweden</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OOO</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Russia</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Oy</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Finland</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PE Tech, LLC</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Philippines, Ltd.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New York</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Polska Sp.zo.o</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Poland</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Polychrome Graphics (Maderia) Servicos Ltd.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Barbados</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Polychrome Graphics Company Ltd.</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Barbados</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Polychrome Graphics Cono Sur SA</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Uruguay</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Polychrome Graphics Export SAFI</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Uruguay</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Realty, Inc.</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New York</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SA/NV</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Belgium</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Societa per Azioni</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Italy</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Societe Anonyme</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Switzerland</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Unterstützungsgesellschaft GmbH</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Germany</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Sociedad Anonima</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Spain</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Kodakit (Singapore) Pte. Ltd.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Singapore</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Kodakit Inc.</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Kodakit SAS</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France</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Kodakit UK Limited</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United Kingdom</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KP Services (Jersey) Limited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Jersey, Channel Islands</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KPG Finance (Barbados) SRL</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Barbados</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KPSH P Co1 Limited</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Jersey, Channel Islands</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KPSH P Co2 Limited</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Jersey, Channel Islands</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Laboratories Kodak S.A.S.</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France</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Laser-Pacific Media Corporation</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NPEC Inc.</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California</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Qualex Inc.</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28"/>
        </w:trPr>
        <w:tc>
          <w:tcPr>
            <w:tcW w:w="466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RPB Marketing Company</w:t>
            </w:r>
          </w:p>
        </w:tc>
        <w:tc>
          <w:tcPr>
            <w:tcW w:w="4240" w:type="dxa"/>
            <w:vAlign w:val="bottom"/>
            <w:tcBorders>
              <w:bottom w:val="single" w:sz="8" w:color="auto"/>
              <w:right w:val="single" w:sz="8" w:color="auto"/>
            </w:tcBorders>
            <w:shd w:val="clear" w:color="auto" w:fill="D9E2F3"/>
          </w:tcPr>
          <w:p>
            <w:pPr>
              <w:spacing w:after="0"/>
              <w:rPr>
                <w:sz w:val="19"/>
                <w:szCs w:val="19"/>
                <w:color w:val="auto"/>
              </w:rPr>
            </w:pPr>
          </w:p>
        </w:tc>
        <w:tc>
          <w:tcPr>
            <w:tcW w:w="262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Japan</w:t>
            </w:r>
          </w:p>
        </w:tc>
      </w:tr>
      <w:tr>
        <w:trPr>
          <w:trHeight w:val="228"/>
        </w:trPr>
        <w:tc>
          <w:tcPr>
            <w:tcW w:w="4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Yamanashi RPB Supply Co.</w:t>
            </w:r>
          </w:p>
        </w:tc>
        <w:tc>
          <w:tcPr>
            <w:tcW w:w="42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Japan</w:t>
            </w:r>
          </w:p>
        </w:tc>
      </w:tr>
      <w:tr>
        <w:trPr>
          <w:trHeight w:val="606"/>
        </w:trPr>
        <w:tc>
          <w:tcPr>
            <w:tcW w:w="4660" w:type="dxa"/>
            <w:vAlign w:val="bottom"/>
          </w:tcPr>
          <w:p>
            <w:pPr>
              <w:spacing w:after="0"/>
              <w:rPr>
                <w:sz w:val="24"/>
                <w:szCs w:val="24"/>
                <w:color w:val="auto"/>
              </w:rPr>
            </w:pPr>
          </w:p>
        </w:tc>
        <w:tc>
          <w:tcPr>
            <w:tcW w:w="4240" w:type="dxa"/>
            <w:vAlign w:val="bottom"/>
          </w:tcPr>
          <w:p>
            <w:pPr>
              <w:jc w:val="right"/>
              <w:ind w:right="2982"/>
              <w:spacing w:after="0"/>
              <w:rPr>
                <w:sz w:val="20"/>
                <w:szCs w:val="20"/>
                <w:color w:val="auto"/>
              </w:rPr>
            </w:pPr>
            <w:r>
              <w:rPr>
                <w:rFonts w:ascii="Arial" w:cs="Arial" w:eastAsia="Arial" w:hAnsi="Arial"/>
                <w:sz w:val="16"/>
                <w:szCs w:val="16"/>
                <w:color w:val="auto"/>
              </w:rPr>
              <w:t>- 2 -</w:t>
            </w:r>
          </w:p>
        </w:tc>
        <w:tc>
          <w:tcPr>
            <w:tcW w:w="2620" w:type="dxa"/>
            <w:vAlign w:val="bottom"/>
          </w:tcPr>
          <w:p>
            <w:pPr>
              <w:spacing w:after="0"/>
              <w:rPr>
                <w:sz w:val="24"/>
                <w:szCs w:val="24"/>
                <w:color w:val="auto"/>
              </w:rPr>
            </w:pPr>
          </w:p>
        </w:tc>
      </w:tr>
    </w:tbl>
    <w:p>
      <w:pPr>
        <w:sectPr>
          <w:pgSz w:w="11900" w:h="16838" w:orient="portrait"/>
          <w:cols w:equalWidth="0" w:num="1">
            <w:col w:w="11520"/>
          </w:cols>
          <w:pgMar w:left="240" w:top="120" w:right="1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u w:val="single" w:color="auto"/>
          <w:color w:val="auto"/>
        </w:rPr>
        <w:t>Exhibit (23)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ind w:right="240"/>
        <w:spacing w:after="0" w:line="213"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333-190957 and 333-225437) and Form S-3 (Nos. 333-213029 and 333-216006) of Eastman Kodak Company of our report dated April 1, 2019 relating to the financial statements, financial statement schedule and the effectiveness of internal control over financial reporting of Eastman Kodak Company,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1, 2019</w:t>
      </w:r>
    </w:p>
    <w:p>
      <w:pPr>
        <w:sectPr>
          <w:pgSz w:w="11900" w:h="16838" w:orient="portrait"/>
          <w:cols w:equalWidth="0" w:num="1">
            <w:col w:w="11420"/>
          </w:cols>
          <w:pgMar w:left="240" w:top="12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James V. Continenza, certify that:</w:t>
      </w:r>
    </w:p>
    <w:p>
      <w:pPr>
        <w:spacing w:after="0" w:line="222" w:lineRule="exact"/>
        <w:rPr>
          <w:sz w:val="20"/>
          <w:szCs w:val="20"/>
          <w:color w:val="auto"/>
        </w:rPr>
      </w:pPr>
    </w:p>
    <w:p>
      <w:pPr>
        <w:ind w:left="460" w:hanging="456"/>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have reviewed this Form 10-K;</w:t>
      </w:r>
    </w:p>
    <w:p>
      <w:pPr>
        <w:spacing w:after="0" w:line="221" w:lineRule="exact"/>
        <w:rPr>
          <w:rFonts w:ascii="Arial" w:cs="Arial" w:eastAsia="Arial" w:hAnsi="Arial"/>
          <w:sz w:val="17"/>
          <w:szCs w:val="17"/>
          <w:color w:val="auto"/>
        </w:rPr>
      </w:pPr>
    </w:p>
    <w:p>
      <w:pPr>
        <w:ind w:left="460" w:right="80" w:hanging="456"/>
        <w:spacing w:after="0" w:line="320"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right="160" w:hanging="456"/>
        <w:spacing w:after="0" w:line="287"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460" w:right="40" w:hanging="456"/>
        <w:spacing w:after="0" w:line="271"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480" w:right="40" w:hanging="10"/>
        <w:spacing w:after="0" w:line="271" w:lineRule="auto"/>
        <w:tabs>
          <w:tab w:leader="none" w:pos="702"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480" w:right="180" w:hanging="10"/>
        <w:spacing w:after="0" w:line="271" w:lineRule="auto"/>
        <w:tabs>
          <w:tab w:leader="none" w:pos="712"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480" w:right="240" w:hanging="10"/>
        <w:spacing w:after="0" w:line="287" w:lineRule="auto"/>
        <w:tabs>
          <w:tab w:leader="none" w:pos="702"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480" w:right="480" w:hanging="10"/>
        <w:spacing w:after="0" w:line="271" w:lineRule="auto"/>
        <w:tabs>
          <w:tab w:leader="none" w:pos="712" w:val="left"/>
        </w:tabs>
        <w:numPr>
          <w:ilvl w:val="1"/>
          <w:numId w:val="9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60" w:right="760" w:hanging="456"/>
        <w:spacing w:after="0" w:line="320"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480" w:right="160" w:hanging="10"/>
        <w:spacing w:after="0" w:line="287" w:lineRule="auto"/>
        <w:tabs>
          <w:tab w:leader="none" w:pos="692"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480" w:right="400" w:hanging="10"/>
        <w:spacing w:after="0" w:line="287" w:lineRule="auto"/>
        <w:tabs>
          <w:tab w:leader="none" w:pos="702"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V. Continenza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James V. Continenza</w:t>
      </w:r>
    </w:p>
    <w:p>
      <w:pPr>
        <w:spacing w:after="0" w:line="13"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April 1, 2019</w:t>
      </w:r>
    </w:p>
    <w:p>
      <w:pPr>
        <w:sectPr>
          <w:pgSz w:w="11900" w:h="16838" w:orient="portrait"/>
          <w:cols w:equalWidth="0" w:num="1">
            <w:col w:w="11420"/>
          </w:cols>
          <w:pgMar w:left="240" w:top="12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b w:val="1"/>
          <w:bCs w:val="1"/>
          <w:color w:val="auto"/>
        </w:rPr>
        <w:t>Exhibit (31.2)</w:t>
      </w:r>
    </w:p>
    <w:p>
      <w:pPr>
        <w:spacing w:after="0" w:line="31"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David E. Bullwinkle, certify that:</w:t>
      </w:r>
    </w:p>
    <w:p>
      <w:pPr>
        <w:spacing w:after="0" w:line="222" w:lineRule="exact"/>
        <w:rPr>
          <w:sz w:val="20"/>
          <w:szCs w:val="20"/>
          <w:color w:val="auto"/>
        </w:rPr>
      </w:pPr>
    </w:p>
    <w:p>
      <w:pPr>
        <w:ind w:left="380" w:hanging="378"/>
        <w:spacing w:after="0"/>
        <w:tabs>
          <w:tab w:leader="none" w:pos="3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have reviewed this Form 10-K;</w:t>
      </w:r>
    </w:p>
    <w:p>
      <w:pPr>
        <w:spacing w:after="0" w:line="221" w:lineRule="exact"/>
        <w:rPr>
          <w:rFonts w:ascii="Arial" w:cs="Arial" w:eastAsia="Arial" w:hAnsi="Arial"/>
          <w:sz w:val="17"/>
          <w:szCs w:val="17"/>
          <w:color w:val="auto"/>
        </w:rPr>
      </w:pPr>
    </w:p>
    <w:p>
      <w:pPr>
        <w:jc w:val="both"/>
        <w:ind w:left="380" w:right="100" w:hanging="378"/>
        <w:spacing w:after="0" w:line="271" w:lineRule="auto"/>
        <w:tabs>
          <w:tab w:leader="none" w:pos="3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380" w:right="60" w:hanging="378"/>
        <w:spacing w:after="0" w:line="320" w:lineRule="auto"/>
        <w:tabs>
          <w:tab w:leader="none" w:pos="3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6"/>
          <w:szCs w:val="16"/>
          <w:color w:val="auto"/>
        </w:rPr>
      </w:pPr>
    </w:p>
    <w:p>
      <w:pPr>
        <w:ind w:left="380" w:right="80" w:hanging="378"/>
        <w:spacing w:after="0" w:line="271" w:lineRule="auto"/>
        <w:tabs>
          <w:tab w:leader="none" w:pos="3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380" w:right="120" w:firstLine="6"/>
        <w:spacing w:after="0" w:line="271" w:lineRule="auto"/>
        <w:tabs>
          <w:tab w:leader="none" w:pos="60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380" w:right="40" w:firstLine="6"/>
        <w:spacing w:after="0" w:line="271" w:lineRule="auto"/>
        <w:tabs>
          <w:tab w:leader="none" w:pos="61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380" w:right="620" w:firstLine="6"/>
        <w:spacing w:after="0" w:line="357" w:lineRule="auto"/>
        <w:tabs>
          <w:tab w:leader="none" w:pos="602"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380" w:right="60" w:firstLine="6"/>
        <w:spacing w:after="0" w:line="271" w:lineRule="auto"/>
        <w:tabs>
          <w:tab w:leader="none" w:pos="61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80" w:hanging="378"/>
        <w:spacing w:after="0" w:line="320" w:lineRule="auto"/>
        <w:tabs>
          <w:tab w:leader="none" w:pos="3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480" w:right="740" w:firstLine="1"/>
        <w:spacing w:after="0" w:line="320" w:lineRule="auto"/>
        <w:tabs>
          <w:tab w:leader="none" w:pos="692" w:val="left"/>
        </w:tabs>
        <w:numPr>
          <w:ilvl w:val="2"/>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6"/>
          <w:szCs w:val="16"/>
          <w:color w:val="auto"/>
        </w:rPr>
      </w:pPr>
    </w:p>
    <w:p>
      <w:pPr>
        <w:ind w:left="480" w:right="440" w:firstLine="1"/>
        <w:spacing w:after="0" w:line="287" w:lineRule="auto"/>
        <w:tabs>
          <w:tab w:leader="none" w:pos="702" w:val="left"/>
        </w:tabs>
        <w:numPr>
          <w:ilvl w:val="2"/>
          <w:numId w:val="10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E. Bullwinkle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David E. Bullwinkle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Date: April 1, 2019</w:t>
      </w:r>
    </w:p>
    <w:p>
      <w:pPr>
        <w:sectPr>
          <w:pgSz w:w="11900" w:h="16838" w:orient="portrait"/>
          <w:cols w:equalWidth="0" w:num="1">
            <w:col w:w="10580"/>
          </w:cols>
          <w:pgMar w:left="620" w:top="121" w:right="6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auto"/>
        </w:rPr>
        <w:t>Exhibit (32.1)</w:t>
      </w:r>
    </w:p>
    <w:p>
      <w:pPr>
        <w:spacing w:after="0" w:line="31"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CERTIFICATION PURSUANT TO</w:t>
      </w:r>
    </w:p>
    <w:p>
      <w:pPr>
        <w:spacing w:after="0" w:line="13"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18"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2018 as filed with the Securities and Exchange Commission on the date hereof (the "Report"), I, James V. Continenza, Executive Chairman of the Company, certify, pursuant to 18 U.S.C. Section 1350, as adopted pursuant to Section 906 of the Sarbanes-Oxley Act of 2002, that to the best of my knowledge:</w:t>
      </w:r>
    </w:p>
    <w:p>
      <w:pPr>
        <w:spacing w:after="0" w:line="154" w:lineRule="exact"/>
        <w:rPr>
          <w:sz w:val="20"/>
          <w:szCs w:val="20"/>
          <w:color w:val="auto"/>
        </w:rPr>
      </w:pPr>
    </w:p>
    <w:p>
      <w:pPr>
        <w:ind w:left="480" w:hanging="238"/>
        <w:spacing w:after="0"/>
        <w:tabs>
          <w:tab w:leader="none" w:pos="4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1" w:lineRule="exact"/>
        <w:rPr>
          <w:rFonts w:ascii="Arial" w:cs="Arial" w:eastAsia="Arial" w:hAnsi="Arial"/>
          <w:sz w:val="17"/>
          <w:szCs w:val="17"/>
          <w:color w:val="auto"/>
        </w:rPr>
      </w:pPr>
    </w:p>
    <w:p>
      <w:pPr>
        <w:ind w:left="480" w:hanging="238"/>
        <w:spacing w:after="0"/>
        <w:tabs>
          <w:tab w:leader="none" w:pos="4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V. Continenza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James V. Continenza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April 1, 2019</w:t>
      </w:r>
    </w:p>
    <w:p>
      <w:pPr>
        <w:sectPr>
          <w:pgSz w:w="11900" w:h="16838" w:orient="portrait"/>
          <w:cols w:equalWidth="0" w:num="1">
            <w:col w:w="10840"/>
          </w:cols>
          <w:pgMar w:left="240" w:top="330" w:right="8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Exhibit (32.2)</w:t>
      </w:r>
    </w:p>
    <w:p>
      <w:pPr>
        <w:spacing w:after="0" w:line="31"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CERTIFICATION PURSUANT TO</w:t>
      </w:r>
    </w:p>
    <w:p>
      <w:pPr>
        <w:spacing w:after="0" w:line="13"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1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2018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54" w:lineRule="exact"/>
        <w:rPr>
          <w:sz w:val="20"/>
          <w:szCs w:val="20"/>
          <w:color w:val="auto"/>
        </w:rPr>
      </w:pPr>
    </w:p>
    <w:p>
      <w:pPr>
        <w:ind w:left="580" w:hanging="219"/>
        <w:spacing w:after="0"/>
        <w:tabs>
          <w:tab w:leader="none" w:pos="5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1" w:lineRule="exact"/>
        <w:rPr>
          <w:rFonts w:ascii="Arial" w:cs="Arial" w:eastAsia="Arial" w:hAnsi="Arial"/>
          <w:sz w:val="17"/>
          <w:szCs w:val="17"/>
          <w:color w:val="auto"/>
        </w:rPr>
      </w:pPr>
    </w:p>
    <w:p>
      <w:pPr>
        <w:ind w:left="580" w:hanging="219"/>
        <w:spacing w:after="0"/>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560"/>
        <w:spacing w:after="0"/>
        <w:rPr>
          <w:sz w:val="20"/>
          <w:szCs w:val="20"/>
          <w:color w:val="auto"/>
        </w:rPr>
      </w:pPr>
      <w:r>
        <w:rPr>
          <w:rFonts w:ascii="Arial" w:cs="Arial" w:eastAsia="Arial" w:hAnsi="Arial"/>
          <w:sz w:val="17"/>
          <w:szCs w:val="17"/>
          <w:u w:val="single" w:color="auto"/>
          <w:color w:val="auto"/>
        </w:rPr>
        <w:t>/s/David E. Bullwinkle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David E. Bullwinkle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Date: April 1, 2019</w:t>
      </w:r>
    </w:p>
    <w:sectPr>
      <w:pgSz w:w="11900" w:h="16838" w:orient="portrait"/>
      <w:cols w:equalWidth="0" w:num="1">
        <w:col w:w="10840"/>
      </w:cols>
      <w:pgMar w:left="240" w:top="33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lvl w:ilvl="1">
      <w:lvlJc w:val="left"/>
      <w:lvlText w:val="•"/>
      <w:numFmt w:val="bullet"/>
      <w:start w:val="1"/>
    </w:lvl>
  </w:abstractNum>
  <w:abstractNum w:abstractNumId="3">
    <w:nsid w:val="70C6A529"/>
    <w:multiLevelType w:val="hybridMultilevel"/>
    <w:lvl w:ilvl="0">
      <w:lvlJc w:val="left"/>
      <w:lvlText w:val="•"/>
      <w:numFmt w:val="bullet"/>
      <w:start w:val="1"/>
    </w:lvl>
    <w:lvl w:ilvl="1">
      <w:lvlJc w:val="left"/>
      <w:lvlText w:val="•"/>
      <w:numFmt w:val="bullet"/>
      <w:start w:val="1"/>
    </w:lvl>
  </w:abstractNum>
  <w:abstractNum w:abstractNumId="4">
    <w:nsid w:val="520EEDD1"/>
    <w:multiLevelType w:val="hybridMultilevel"/>
    <w:lvl w:ilvl="0">
      <w:lvlJc w:val="left"/>
      <w:lvlText w:val="•"/>
      <w:numFmt w:val="bullet"/>
      <w:start w:val="1"/>
    </w:lvl>
    <w:lvl w:ilvl="1">
      <w:lvlJc w:val="left"/>
      <w:lvlText w:val="•"/>
      <w:numFmt w:val="bullet"/>
      <w:start w:val="1"/>
    </w:lvl>
  </w:abstractNum>
  <w:abstractNum w:abstractNumId="5">
    <w:nsid w:val="374A3FE6"/>
    <w:multiLevelType w:val="hybridMultilevel"/>
    <w:lvl w:ilvl="0">
      <w:lvlJc w:val="left"/>
      <w:lvlText w:val="•"/>
      <w:numFmt w:val="bullet"/>
      <w:start w:val="1"/>
    </w:lvl>
    <w:lvl w:ilvl="1">
      <w:lvlJc w:val="left"/>
      <w:lvlText w:val="•"/>
      <w:numFmt w:val="bullet"/>
      <w:start w:val="1"/>
    </w:lvl>
  </w:abstractNum>
  <w:abstractNum w:abstractNumId="6">
    <w:nsid w:val="4F4EF005"/>
    <w:multiLevelType w:val="hybridMultilevel"/>
    <w:lvl w:ilvl="0">
      <w:lvlJc w:val="left"/>
      <w:lvlText w:val="•"/>
      <w:numFmt w:val="bullet"/>
      <w:start w:val="1"/>
    </w:lvl>
    <w:lvl w:ilvl="1">
      <w:lvlJc w:val="left"/>
      <w:lvlText w:val="•"/>
      <w:numFmt w:val="bullet"/>
      <w:start w:val="1"/>
    </w:lvl>
  </w:abstractNum>
  <w:abstractNum w:abstractNumId="7">
    <w:nsid w:val="23F9C13C"/>
    <w:multiLevelType w:val="hybridMultilevel"/>
    <w:lvl w:ilvl="0">
      <w:lvlJc w:val="left"/>
      <w:lvlText w:val="•"/>
      <w:numFmt w:val="bullet"/>
      <w:start w:val="1"/>
    </w:lvl>
    <w:lvl w:ilvl="1">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1)"/>
      <w:numFmt w:val="decimal"/>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lvl w:ilvl="1">
      <w:lvlJc w:val="left"/>
      <w:lvlText w:val="•"/>
      <w:numFmt w:val="bullet"/>
      <w:start w:val="1"/>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lowerRoman"/>
      <w:start w:val="3"/>
    </w:lvl>
  </w:abstractNum>
  <w:abstractNum w:abstractNumId="28">
    <w:nsid w:val="25A70BF7"/>
    <w:multiLevelType w:val="hybridMultilevel"/>
    <w:lvl w:ilvl="0">
      <w:lvlJc w:val="left"/>
      <w:lvlText w:val="(%1)"/>
      <w:numFmt w:val="lowerRoman"/>
      <w:start w:val="2"/>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2"/>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3"/>
    </w:lvl>
    <w:lvl w:ilvl="1">
      <w:lvlJc w:val="left"/>
      <w:lvlText w:val="(%2)"/>
      <w:numFmt w:val="lowerLetter"/>
      <w:start w:val="1"/>
    </w:lvl>
  </w:abstractNum>
  <w:abstractNum w:abstractNumId="45">
    <w:nsid w:val="5DC79EA8"/>
    <w:multiLevelType w:val="hybridMultilevel"/>
    <w:lvl w:ilvl="0">
      <w:lvlJc w:val="left"/>
      <w:lvlText w:val="%1"/>
      <w:numFmt w:val="decimal"/>
      <w:start w:val="1"/>
    </w:lvl>
    <w:lvl w:ilvl="1">
      <w:lvlJc w:val="left"/>
      <w:lvlText w:val="(%2)"/>
      <w:numFmt w:val="lowerLetter"/>
      <w:start w:val="2"/>
    </w:lvl>
  </w:abstractNum>
  <w:abstractNum w:abstractNumId="46">
    <w:nsid w:val="540A471C"/>
    <w:multiLevelType w:val="hybridMultilevel"/>
    <w:lvl w:ilvl="0">
      <w:lvlJc w:val="left"/>
      <w:lvlText w:val="%1."/>
      <w:numFmt w:val="decimal"/>
      <w:start w:val="4"/>
    </w:lvl>
    <w:lvl w:ilvl="1">
      <w:lvlJc w:val="left"/>
      <w:lvlText w:val="%2"/>
      <w:numFmt w:val="lowerLetter"/>
      <w:start w:val="1"/>
    </w:lvl>
  </w:abstractNum>
  <w:abstractNum w:abstractNumId="47">
    <w:nsid w:val="7BD3EE7B"/>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48">
    <w:nsid w:val="51D9C564"/>
    <w:multiLevelType w:val="hybridMultilevel"/>
    <w:lvl w:ilvl="0">
      <w:lvlJc w:val="left"/>
      <w:lvlText w:val="%1"/>
      <w:numFmt w:val="lowerLetter"/>
      <w:start w:val="1"/>
    </w:lvl>
    <w:lvl w:ilvl="1">
      <w:lvlJc w:val="left"/>
      <w:lvlText w:val="%2."/>
      <w:numFmt w:val="decimal"/>
      <w:start w:val="8"/>
    </w:lvl>
  </w:abstractNum>
  <w:abstractNum w:abstractNumId="49">
    <w:nsid w:val="613EFDC5"/>
    <w:multiLevelType w:val="hybridMultilevel"/>
    <w:lvl w:ilvl="0">
      <w:lvlJc w:val="left"/>
      <w:lvlText w:val="(%1)"/>
      <w:numFmt w:val="lowerLetter"/>
      <w:start w:val="1"/>
    </w:lvl>
    <w:lvl w:ilvl="1">
      <w:lvlJc w:val="left"/>
      <w:lvlText w:val="%2"/>
      <w:numFmt w:val="decimal"/>
      <w:start w:val="1"/>
    </w:lvl>
  </w:abstractNum>
  <w:abstractNum w:abstractNumId="50">
    <w:nsid w:val="BF72B14"/>
    <w:multiLevelType w:val="hybridMultilevel"/>
    <w:lvl w:ilvl="0">
      <w:lvlJc w:val="left"/>
      <w:lvlText w:val="(%1)"/>
      <w:numFmt w:val="lowerLetter"/>
      <w:start w:val="4"/>
    </w:lvl>
    <w:lvl w:ilvl="1">
      <w:lvlJc w:val="left"/>
      <w:lvlText w:val="%2."/>
      <w:numFmt w:val="decimal"/>
      <w:start w:val="10"/>
    </w:lvl>
  </w:abstractNum>
  <w:abstractNum w:abstractNumId="51">
    <w:nsid w:val="11447B73"/>
    <w:multiLevelType w:val="hybridMultilevel"/>
    <w:lvl w:ilvl="0">
      <w:lvlJc w:val="left"/>
      <w:lvlText w:val="%1."/>
      <w:numFmt w:val="decimal"/>
      <w:start w:val="12"/>
    </w:lvl>
  </w:abstractNum>
  <w:abstractNum w:abstractNumId="52">
    <w:nsid w:val="42963E5A"/>
    <w:multiLevelType w:val="hybridMultilevel"/>
    <w:lvl w:ilvl="0">
      <w:lvlJc w:val="left"/>
      <w:lvlText w:val="%1."/>
      <w:numFmt w:val="decimal"/>
      <w:start w:val="14"/>
    </w:lvl>
  </w:abstractNum>
  <w:abstractNum w:abstractNumId="53">
    <w:nsid w:val="A0382C5"/>
    <w:multiLevelType w:val="hybridMultilevel"/>
    <w:lvl w:ilvl="0">
      <w:lvlJc w:val="left"/>
      <w:lvlText w:val="%1."/>
      <w:numFmt w:val="decimal"/>
      <w:start w:val="20"/>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2"/>
    </w:lvl>
  </w:abstractNum>
  <w:abstractNum w:abstractNumId="56">
    <w:nsid w:val="3B0FD379"/>
    <w:multiLevelType w:val="hybridMultilevel"/>
    <w:lvl w:ilvl="0">
      <w:lvlJc w:val="left"/>
      <w:lvlText w:val="%1."/>
      <w:numFmt w:val="decimal"/>
      <w:start w:val="3"/>
    </w:lvl>
    <w:lvl w:ilvl="1">
      <w:lvlJc w:val="left"/>
      <w:lvlText w:val="(%2)"/>
      <w:numFmt w:val="lowerLetter"/>
      <w:start w:val="1"/>
    </w:lvl>
  </w:abstractNum>
  <w:abstractNum w:abstractNumId="57">
    <w:nsid w:val="68EB2F63"/>
    <w:multiLevelType w:val="hybridMultilevel"/>
    <w:lvl w:ilvl="0">
      <w:lvlJc w:val="left"/>
      <w:lvlText w:val="%1"/>
      <w:numFmt w:val="decimal"/>
      <w:start w:val="1"/>
    </w:lvl>
    <w:lvl w:ilvl="1">
      <w:lvlJc w:val="left"/>
      <w:lvlText w:val="(%2)"/>
      <w:numFmt w:val="lowerLetter"/>
      <w:start w:val="4"/>
    </w:lvl>
  </w:abstractNum>
  <w:abstractNum w:abstractNumId="58">
    <w:nsid w:val="4962813B"/>
    <w:multiLevelType w:val="hybridMultilevel"/>
    <w:lvl w:ilvl="0">
      <w:lvlJc w:val="left"/>
      <w:lvlText w:val="%1."/>
      <w:numFmt w:val="decimal"/>
      <w:start w:val="4"/>
    </w:lvl>
    <w:lvl w:ilvl="1">
      <w:lvlJc w:val="left"/>
      <w:lvlText w:val="(%2)"/>
      <w:numFmt w:val="lowerLetter"/>
      <w:start w:val="1"/>
    </w:lvl>
  </w:abstractNum>
  <w:abstractNum w:abstractNumId="59">
    <w:nsid w:val="60B6DF70"/>
    <w:multiLevelType w:val="hybridMultilevel"/>
    <w:lvl w:ilvl="0">
      <w:lvlJc w:val="left"/>
      <w:lvlText w:val="%1"/>
      <w:numFmt w:val="decimal"/>
      <w:start w:val="1"/>
    </w:lvl>
    <w:lvl w:ilvl="1">
      <w:lvlJc w:val="left"/>
      <w:lvlText w:val="(%2)"/>
      <w:numFmt w:val="lowerLetter"/>
      <w:start w:val="2"/>
    </w:lvl>
  </w:abstractNum>
  <w:abstractNum w:abstractNumId="60">
    <w:nsid w:val="6A5EE64"/>
    <w:multiLevelType w:val="hybridMultilevel"/>
    <w:lvl w:ilvl="0">
      <w:lvlJc w:val="left"/>
      <w:lvlText w:val="%1."/>
      <w:numFmt w:val="decimal"/>
      <w:start w:val="5"/>
    </w:lvl>
    <w:lvl w:ilvl="1">
      <w:lvlJc w:val="left"/>
      <w:lvlText w:val="(%2)"/>
      <w:numFmt w:val="lowerLetter"/>
      <w:start w:val="1"/>
    </w:lvl>
  </w:abstractNum>
  <w:abstractNum w:abstractNumId="61">
    <w:nsid w:val="14330624"/>
    <w:multiLevelType w:val="hybridMultilevel"/>
    <w:lvl w:ilvl="0">
      <w:lvlJc w:val="left"/>
      <w:lvlText w:val="%1"/>
      <w:numFmt w:val="decimal"/>
      <w:start w:val="1"/>
    </w:lvl>
    <w:lvl w:ilvl="1">
      <w:lvlJc w:val="left"/>
      <w:lvlText w:val="(%2)"/>
      <w:numFmt w:val="lowerLetter"/>
      <w:start w:val="4"/>
    </w:lvl>
  </w:abstractNum>
  <w:abstractNum w:abstractNumId="62">
    <w:nsid w:val="7FFFCA11"/>
    <w:multiLevelType w:val="hybridMultilevel"/>
    <w:lvl w:ilvl="0">
      <w:lvlJc w:val="left"/>
      <w:lvlText w:val="%1."/>
      <w:numFmt w:val="decimal"/>
      <w:start w:val="6"/>
    </w:lvl>
    <w:lvl w:ilvl="1">
      <w:lvlJc w:val="left"/>
      <w:lvlText w:val="(%2)"/>
      <w:numFmt w:val="lowerLetter"/>
      <w:start w:val="1"/>
    </w:lvl>
  </w:abstractNum>
  <w:abstractNum w:abstractNumId="63">
    <w:nsid w:val="1A27709E"/>
    <w:multiLevelType w:val="hybridMultilevel"/>
    <w:lvl w:ilvl="0">
      <w:lvlJc w:val="left"/>
      <w:lvlText w:val="(%1)"/>
      <w:numFmt w:val="lowerLetter"/>
      <w:start w:val="2"/>
    </w:lvl>
    <w:lvl w:ilvl="1">
      <w:lvlJc w:val="left"/>
      <w:lvlText w:val="%2."/>
      <w:numFmt w:val="decimal"/>
      <w:start w:val="1"/>
    </w:lvl>
  </w:abstractNum>
  <w:abstractNum w:abstractNumId="64">
    <w:nsid w:val="71EA1109"/>
    <w:multiLevelType w:val="hybridMultilevel"/>
    <w:lvl w:ilvl="0">
      <w:lvlJc w:val="left"/>
      <w:lvlText w:val="%1"/>
      <w:numFmt w:val="lowerLetter"/>
      <w:start w:val="1"/>
    </w:lvl>
    <w:lvl w:ilvl="1">
      <w:lvlJc w:val="left"/>
      <w:lvlText w:val="%2."/>
      <w:numFmt w:val="decimal"/>
      <w:start w:val="2"/>
    </w:lvl>
  </w:abstractNum>
  <w:abstractNum w:abstractNumId="65">
    <w:nsid w:val="100F59DC"/>
    <w:multiLevelType w:val="hybridMultilevel"/>
    <w:lvl w:ilvl="0">
      <w:lvlJc w:val="left"/>
      <w:lvlText w:val="(%1)"/>
      <w:numFmt w:val="lowerLetter"/>
      <w:start w:val="4"/>
    </w:lvl>
    <w:lvl w:ilvl="1">
      <w:lvlJc w:val="left"/>
      <w:lvlText w:val="%2."/>
      <w:numFmt w:val="decimal"/>
      <w:start w:val="1"/>
    </w:lvl>
  </w:abstractNum>
  <w:abstractNum w:abstractNumId="66">
    <w:nsid w:val="7FB7E0AA"/>
    <w:multiLevelType w:val="hybridMultilevel"/>
    <w:lvl w:ilvl="0">
      <w:lvlJc w:val="left"/>
      <w:lvlText w:val="(%1)"/>
      <w:numFmt w:val="lowerLetter"/>
      <w:start w:val="5"/>
    </w:lvl>
  </w:abstractNum>
  <w:abstractNum w:abstractNumId="67">
    <w:nsid w:val="6EB5BD4"/>
    <w:multiLevelType w:val="hybridMultilevel"/>
    <w:lvl w:ilvl="0">
      <w:lvlJc w:val="left"/>
      <w:lvlText w:val="(%1)"/>
      <w:numFmt w:val="lowerLetter"/>
      <w:start w:val="10"/>
    </w:lvl>
  </w:abstractNum>
  <w:abstractNum w:abstractNumId="68">
    <w:nsid w:val="6F6DD9AC"/>
    <w:multiLevelType w:val="hybridMultilevel"/>
    <w:lvl w:ilvl="0">
      <w:lvlJc w:val="left"/>
      <w:lvlText w:val="(%1)"/>
      <w:numFmt w:val="lowerLetter"/>
      <w:start w:val="11"/>
    </w:lvl>
  </w:abstractNum>
  <w:abstractNum w:abstractNumId="69">
    <w:nsid w:val="94211F2"/>
    <w:multiLevelType w:val="hybridMultilevel"/>
    <w:lvl w:ilvl="0">
      <w:lvlJc w:val="left"/>
      <w:lvlText w:val="%1"/>
      <w:numFmt w:val="decimal"/>
      <w:start w:val="1"/>
    </w:lvl>
    <w:lvl w:ilvl="1">
      <w:lvlJc w:val="left"/>
      <w:lvlText w:val="(%2)"/>
      <w:numFmt w:val="upperLetter"/>
      <w:start w:val="3"/>
    </w:lvl>
  </w:abstractNum>
  <w:abstractNum w:abstractNumId="70">
    <w:nsid w:val="885E1B"/>
    <w:multiLevelType w:val="hybridMultilevel"/>
    <w:lvl w:ilvl="0">
      <w:lvlJc w:val="left"/>
      <w:lvlText w:val="%1."/>
      <w:numFmt w:val="decimal"/>
      <w:start w:val="7"/>
    </w:lvl>
    <w:lvl w:ilvl="1">
      <w:lvlJc w:val="left"/>
      <w:lvlText w:val="%2"/>
      <w:numFmt w:val="upperLetter"/>
      <w:start w:val="1"/>
    </w:lvl>
  </w:abstractNum>
  <w:abstractNum w:abstractNumId="71">
    <w:nsid w:val="7627211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72">
    <w:nsid w:val="4C04A8AF"/>
    <w:multiLevelType w:val="hybridMultilevel"/>
    <w:lvl w:ilvl="0">
      <w:lvlJc w:val="left"/>
      <w:lvlText w:val="%1"/>
      <w:numFmt w:val="lowerLetter"/>
      <w:start w:val="1"/>
    </w:lvl>
    <w:lvl w:ilvl="1">
      <w:lvlJc w:val="left"/>
      <w:lvlText w:val="%2."/>
      <w:numFmt w:val="decimal"/>
      <w:start w:val="1"/>
    </w:lvl>
  </w:abstractNum>
  <w:abstractNum w:abstractNumId="73">
    <w:nsid w:val="1716703B"/>
    <w:multiLevelType w:val="hybridMultilevel"/>
    <w:lvl w:ilvl="0">
      <w:lvlJc w:val="left"/>
      <w:lvlText w:val="(%1)"/>
      <w:numFmt w:val="lowerLetter"/>
      <w:start w:val="3"/>
    </w:lvl>
    <w:lvl w:ilvl="1">
      <w:lvlJc w:val="left"/>
      <w:lvlText w:val="%2"/>
      <w:numFmt w:val="decimal"/>
      <w:start w:val="1"/>
    </w:lvl>
  </w:abstractNum>
  <w:abstractNum w:abstractNumId="74">
    <w:nsid w:val="14E17E33"/>
    <w:multiLevelType w:val="hybridMultilevel"/>
    <w:lvl w:ilvl="0">
      <w:lvlJc w:val="left"/>
      <w:lvlText w:val="(%1)"/>
      <w:numFmt w:val="lowerLetter"/>
      <w:start w:val="5"/>
    </w:lvl>
  </w:abstractNum>
  <w:abstractNum w:abstractNumId="75">
    <w:nsid w:val="3222E7CD"/>
    <w:multiLevelType w:val="hybridMultilevel"/>
    <w:lvl w:ilvl="0">
      <w:lvlJc w:val="left"/>
      <w:lvlText w:val="%1"/>
      <w:numFmt w:val="decimal"/>
      <w:start w:val="1"/>
    </w:lvl>
    <w:lvl w:ilvl="1">
      <w:lvlJc w:val="left"/>
      <w:lvlText w:val="(%2)"/>
      <w:numFmt w:val="lowerLetter"/>
      <w:start w:val="8"/>
    </w:lvl>
  </w:abstractNum>
  <w:abstractNum w:abstractNumId="76">
    <w:nsid w:val="74DE0EE3"/>
    <w:multiLevelType w:val="hybridMultilevel"/>
    <w:lvl w:ilvl="0">
      <w:lvlJc w:val="left"/>
      <w:lvlText w:val="%1."/>
      <w:numFmt w:val="decimal"/>
      <w:start w:val="9"/>
    </w:lvl>
    <w:lvl w:ilvl="1">
      <w:lvlJc w:val="left"/>
      <w:lvlText w:val="%2"/>
      <w:numFmt w:val="lowerLetter"/>
      <w:start w:val="1"/>
    </w:lvl>
  </w:abstractNum>
  <w:abstractNum w:abstractNumId="77">
    <w:nsid w:val="68EBC550"/>
    <w:multiLevelType w:val="hybridMultilevel"/>
    <w:lvl w:ilvl="0">
      <w:lvlJc w:val="left"/>
      <w:lvlText w:val="%1."/>
      <w:numFmt w:val="decimal"/>
      <w:start w:val="10"/>
    </w:lvl>
    <w:lvl w:ilvl="1">
      <w:lvlJc w:val="left"/>
      <w:lvlText w:val="(%2)"/>
      <w:numFmt w:val="lowerLetter"/>
      <w:start w:val="1"/>
    </w:lvl>
  </w:abstractNum>
  <w:abstractNum w:abstractNumId="78">
    <w:nsid w:val="2DF6D648"/>
    <w:multiLevelType w:val="hybridMultilevel"/>
    <w:lvl w:ilvl="0">
      <w:lvlJc w:val="left"/>
      <w:lvlText w:val="%1."/>
      <w:numFmt w:val="decimal"/>
      <w:start w:val="11"/>
    </w:lvl>
    <w:lvl w:ilvl="1">
      <w:lvlJc w:val="left"/>
      <w:lvlText w:val="(%2)"/>
      <w:numFmt w:val="lowerLetter"/>
      <w:start w:val="1"/>
    </w:lvl>
  </w:abstractNum>
  <w:abstractNum w:abstractNumId="79">
    <w:nsid w:val="46B7D447"/>
    <w:multiLevelType w:val="hybridMultilevel"/>
    <w:lvl w:ilvl="0">
      <w:lvlJc w:val="left"/>
      <w:lvlText w:val="(%1)"/>
      <w:numFmt w:val="lowerLetter"/>
      <w:start w:val="5"/>
    </w:lvl>
  </w:abstractNum>
  <w:abstractNum w:abstractNumId="80">
    <w:nsid w:val="4A2AC315"/>
    <w:multiLevelType w:val="hybridMultilevel"/>
    <w:lvl w:ilvl="0">
      <w:lvlJc w:val="left"/>
      <w:lvlText w:val="(%1)"/>
      <w:numFmt w:val="lowerRoman"/>
      <w:start w:val="1"/>
    </w:lvl>
  </w:abstractNum>
  <w:abstractNum w:abstractNumId="81">
    <w:nsid w:val="39EE015C"/>
    <w:multiLevelType w:val="hybridMultilevel"/>
    <w:lvl w:ilvl="0">
      <w:lvlJc w:val="left"/>
      <w:lvlText w:val="1"/>
      <w:numFmt w:val="bullet"/>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3"/>
    </w:lvl>
  </w:abstractNum>
  <w:abstractNum w:abstractNumId="84">
    <w:nsid w:val="43F18422"/>
    <w:multiLevelType w:val="hybridMultilevel"/>
    <w:lvl w:ilvl="0">
      <w:lvlJc w:val="left"/>
      <w:lvlText w:val="%1."/>
      <w:numFmt w:val="decimal"/>
      <w:start w:val="4"/>
    </w:lvl>
  </w:abstractNum>
  <w:abstractNum w:abstractNumId="85">
    <w:nsid w:val="60EF0119"/>
    <w:multiLevelType w:val="hybridMultilevel"/>
    <w:lvl w:ilvl="0">
      <w:lvlJc w:val="left"/>
      <w:lvlText w:val="%1."/>
      <w:numFmt w:val="decimal"/>
      <w:start w:val="7"/>
    </w:lvl>
  </w:abstractNum>
  <w:abstractNum w:abstractNumId="86">
    <w:nsid w:val="26F324BA"/>
    <w:multiLevelType w:val="hybridMultilevel"/>
    <w:lvl w:ilvl="0">
      <w:lvlJc w:val="left"/>
      <w:lvlText w:val="(%1)"/>
      <w:numFmt w:val="lowerRoman"/>
      <w:start w:val="1"/>
    </w:lvl>
  </w:abstractNum>
  <w:abstractNum w:abstractNumId="87">
    <w:nsid w:val="7F01579B"/>
    <w:multiLevelType w:val="hybridMultilevel"/>
    <w:lvl w:ilvl="0">
      <w:lvlJc w:val="left"/>
      <w:lvlText w:val="(%1)"/>
      <w:numFmt w:val="lowerRoman"/>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1)"/>
      <w:numFmt w:val="lowerRoman"/>
      <w:start w:val="1"/>
    </w:lvl>
  </w:abstractNum>
  <w:abstractNum w:abstractNumId="90">
    <w:nsid w:val="5FB8370B"/>
    <w:multiLevelType w:val="hybridMultilevel"/>
    <w:lvl w:ilvl="0">
      <w:lvlJc w:val="left"/>
      <w:lvlText w:val="(%1)"/>
      <w:numFmt w:val="lowerRoman"/>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1)"/>
      <w:numFmt w:val="lowerRoman"/>
      <w:start w:val="1"/>
    </w:lvl>
  </w:abstractNum>
  <w:abstractNum w:abstractNumId="93">
    <w:nsid w:val="5FB8011C"/>
    <w:multiLevelType w:val="hybridMultilevel"/>
    <w:lvl w:ilvl="0">
      <w:lvlJc w:val="left"/>
      <w:lvlText w:val="(%1)"/>
      <w:numFmt w:val="lowerRoman"/>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1)"/>
      <w:numFmt w:val="lowerRoman"/>
      <w:start w:val="1"/>
    </w:lvl>
  </w:abstractNum>
  <w:abstractNum w:abstractNumId="96">
    <w:nsid w:val="6FC75AF8"/>
    <w:multiLevelType w:val="hybridMultilevel"/>
    <w:lvl w:ilvl="0">
      <w:lvlJc w:val="left"/>
      <w:lvlText w:val="(%1)"/>
      <w:numFmt w:val="lowerRoman"/>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126" Type="http://schemas.openxmlformats.org/officeDocument/2006/relationships/hyperlink" Target="http://www.sec.gov/Archives/edgar/data/31235/000119312518324635/d600171dex21.htm" TargetMode="External"/><Relationship Id="rId127" Type="http://schemas.openxmlformats.org/officeDocument/2006/relationships/hyperlink" Target="http://www.sec.gov/Archives/edgar/data/31235/000119312518324635/d600171dex22.htm" TargetMode="External"/><Relationship Id="rId128" Type="http://schemas.openxmlformats.org/officeDocument/2006/relationships/hyperlink" Target="http://www.sec.gov/Archives/edgar/data/31235/000119312513354928/d591063dex41.htm" TargetMode="External"/><Relationship Id="rId129" Type="http://schemas.openxmlformats.org/officeDocument/2006/relationships/hyperlink" Target="http://www.sec.gov/Archives/edgar/data/31235/000156459016029358/kodk-ex31_26.htm" TargetMode="External"/><Relationship Id="rId130" Type="http://schemas.openxmlformats.org/officeDocument/2006/relationships/hyperlink" Target="http://www.sec.gov/Archives/edgar/data/31235/000156459017011692/kodk-ex31_6.htm" TargetMode="External"/><Relationship Id="rId131" Type="http://schemas.openxmlformats.org/officeDocument/2006/relationships/hyperlink" Target="http://www.sec.gov/Archives/edgar/data/31235/000119312513355253/d591061dex41.htm" TargetMode="External"/><Relationship Id="rId132" Type="http://schemas.openxmlformats.org/officeDocument/2006/relationships/hyperlink" Target="http://www.sec.gov/Archives/edgar/data/31235/000119312513355253/d591061dex42.htm" TargetMode="External"/><Relationship Id="rId133" Type="http://schemas.openxmlformats.org/officeDocument/2006/relationships/hyperlink" Target="http://www.sec.gov/Archives/edgar/data/31235/000156459016029358/kodk-ex41_27.htm" TargetMode="External"/><Relationship Id="rId134" Type="http://schemas.openxmlformats.org/officeDocument/2006/relationships/hyperlink" Target="http://www.sec.gov/Archives/edgar/data/31235/000119312517159882/d329572dex46.htm" TargetMode="External"/><Relationship Id="rId135" Type="http://schemas.openxmlformats.org/officeDocument/2006/relationships/hyperlink" Target="http://www.sec.gov/Archives/edgar/data/31235/000119312513354928/d591063dex44.htm" TargetMode="External"/><Relationship Id="rId136" Type="http://schemas.openxmlformats.org/officeDocument/2006/relationships/hyperlink" Target="http://www.sec.gov/Archives/edgar/data/31235/000156459018014313/kodk-ex991_7.htm" TargetMode="External"/><Relationship Id="rId137" Type="http://schemas.openxmlformats.org/officeDocument/2006/relationships/hyperlink" Target="http://www.sec.gov/Archives/edgar/data/31235/000119312513438254/d613176dex102.htm" TargetMode="External"/><Relationship Id="rId138" Type="http://schemas.openxmlformats.org/officeDocument/2006/relationships/hyperlink" Target="http://www.sec.gov/Archives/edgar/data/31235/000119312514106388/d693724dex103.htm" TargetMode="External"/><Relationship Id="rId139" Type="http://schemas.openxmlformats.org/officeDocument/2006/relationships/hyperlink" Target="http://www.sec.gov/Archives/edgar/data/31235/000003123515000004/exhibit101.htm" TargetMode="External"/><Relationship Id="rId142" Type="http://schemas.openxmlformats.org/officeDocument/2006/relationships/hyperlink" Target="http://www.sec.gov/Archives/edgar/data/31235/000156459017003570/kodk-ex105_294.htm" TargetMode="External"/><Relationship Id="rId143" Type="http://schemas.openxmlformats.org/officeDocument/2006/relationships/hyperlink" Target="http://www.sec.gov/Archives/edgar/data/31235/000156459017003570/kodk-ex106_295.htm" TargetMode="External"/><Relationship Id="rId144" Type="http://schemas.openxmlformats.org/officeDocument/2006/relationships/hyperlink" Target="http://www.sec.gov/Archives/edgar/data/31235/000156459017016962/kodk-ex102_16.htm" TargetMode="External"/><Relationship Id="rId145" Type="http://schemas.openxmlformats.org/officeDocument/2006/relationships/hyperlink" Target="http://www.sec.gov/Archives/edgar/data/31235/000156459018021055/kodk-ex102_14.htm" TargetMode="External"/><Relationship Id="rId146" Type="http://schemas.openxmlformats.org/officeDocument/2006/relationships/hyperlink" Target="http://www.sec.gov/Archives/edgar/data/31235/000156459017016962/kodk-ex103_17.htm" TargetMode="External"/><Relationship Id="rId147" Type="http://schemas.openxmlformats.org/officeDocument/2006/relationships/hyperlink" Target="http://www.sec.gov/Archives/edgar/data/31235/000119312514106388/d693724dex1023.htm" TargetMode="External"/><Relationship Id="rId148" Type="http://schemas.openxmlformats.org/officeDocument/2006/relationships/hyperlink" Target="http://www.sec.gov/Archives/edgar/data/31235/000119312516505191/d151522dex1025.htm" TargetMode="External"/><Relationship Id="rId149" Type="http://schemas.openxmlformats.org/officeDocument/2006/relationships/hyperlink" Target="http://www.sec.gov/Archives/edgar/data/31235/000003123514000005/ekcexcelplan_q1201410q.htm" TargetMode="External"/><Relationship Id="rId150" Type="http://schemas.openxmlformats.org/officeDocument/2006/relationships/hyperlink" Target="http://www.sec.gov/Archives/edgar/data/31235/000156459017009865/kodk-ex102_72.htm" TargetMode="External"/><Relationship Id="rId151" Type="http://schemas.openxmlformats.org/officeDocument/2006/relationships/hyperlink" Target="http://www.sec.gov/Archives/edgar/data/31235/000156459018021055/kodk-ex101_13.htm" TargetMode="External"/><Relationship Id="rId152" Type="http://schemas.openxmlformats.org/officeDocument/2006/relationships/hyperlink" Target="http://www.sec.gov/Archives/edgar/data/31235/000003123514000005/ekcceoemploymentagreement.htm" TargetMode="External"/><Relationship Id="rId153" Type="http://schemas.openxmlformats.org/officeDocument/2006/relationships/hyperlink" Target="http://www.sec.gov/Archives/edgar/data/31235/000003123516000018/exhibit105.htm" TargetMode="External"/><Relationship Id="rId154" Type="http://schemas.openxmlformats.org/officeDocument/2006/relationships/hyperlink" Target="http://www.sec.gov/Archives/edgar/data/31235/000156459017009865/kodk-ex101_71.htm" TargetMode="External"/><Relationship Id="rId155" Type="http://schemas.openxmlformats.org/officeDocument/2006/relationships/hyperlink" Target="http://www.sec.gov/Archives/edgar/data/31235/000156459017003570/kodk-ex1017_298.htm" TargetMode="External"/><Relationship Id="rId158" Type="http://schemas.openxmlformats.org/officeDocument/2006/relationships/hyperlink" Target="http://www.sec.gov/Archives/edgar/data/31235/000119312514106388/d693724dex1016.htm" TargetMode="External"/><Relationship Id="rId159" Type="http://schemas.openxmlformats.org/officeDocument/2006/relationships/hyperlink" Target="http://www.sec.gov/Archives/edgar/data/31235/000003123516000018/exhibit104.htm" TargetMode="External"/><Relationship Id="rId160" Type="http://schemas.openxmlformats.org/officeDocument/2006/relationships/hyperlink" Target="http://www.sec.gov/Archives/edgar/data/31235/000156459018023894/kodk-8k_20181003.htm" TargetMode="External"/><Relationship Id="rId161" Type="http://schemas.openxmlformats.org/officeDocument/2006/relationships/hyperlink" Target="http://www.sec.gov/Archives/edgar/data/31235/000156459016023703/kodk-ex103_328.htm" TargetMode="External"/><Relationship Id="rId162" Type="http://schemas.openxmlformats.org/officeDocument/2006/relationships/hyperlink" Target="http://www.sec.gov/Archives/edgar/data/31235/000156459018030348/kodk-8k_20181126.htm" TargetMode="External"/><Relationship Id="rId163" Type="http://schemas.openxmlformats.org/officeDocument/2006/relationships/hyperlink" Target="http://www.sec.gov/Archives/edgar/data/31235/000156459018007844/kodk-8k_20180409.htm" TargetMode="External"/><Relationship Id="rId164" Type="http://schemas.openxmlformats.org/officeDocument/2006/relationships/hyperlink" Target="http://www.sec.gov/Archives/edgar/data/31235/000156459018005857/kodk-ex1026_125.htm" TargetMode="External"/><Relationship Id="rId165" Type="http://schemas.openxmlformats.org/officeDocument/2006/relationships/hyperlink" Target="http://www.sec.gov/Archives/edgar/data/31235/000119312513438254/d613176dex105.htm" TargetMode="External"/><Relationship Id="rId166" Type="http://schemas.openxmlformats.org/officeDocument/2006/relationships/hyperlink" Target="http://www.sec.gov/Archives/edgar/data/31235/000119312513438254/d613176dex106.htm" TargetMode="External"/><Relationship Id="rId167" Type="http://schemas.openxmlformats.org/officeDocument/2006/relationships/hyperlink" Target="http://www.sec.gov/Archives/edgar/data/31235/000119312513438254/d613176dex107.htm" TargetMode="External"/><Relationship Id="rId168" Type="http://schemas.openxmlformats.org/officeDocument/2006/relationships/hyperlink" Target="http://www.sec.gov/Archives/edgar/data/31235/000156459016023703/kodk-ex101_273.htm" TargetMode="External"/><Relationship Id="rId169" Type="http://schemas.openxmlformats.org/officeDocument/2006/relationships/hyperlink" Target="http://www.sec.gov/Archives/edgar/data/31235/000156459016023703/kodk-ex102_272.htm" TargetMode="External"/><Relationship Id="rId172" Type="http://schemas.openxmlformats.org/officeDocument/2006/relationships/hyperlink" Target="http://www.sec.gov/Archives/edgar/data/31235/000119312516761021/d487651dex101.htm" TargetMode="External"/><Relationship Id="rId173" Type="http://schemas.openxmlformats.org/officeDocument/2006/relationships/hyperlink" Target="http://www.sec.gov/Archives/edgar/data/31235/000119312513438254/d613176dex1010.htm" TargetMode="External"/><Relationship Id="rId174" Type="http://schemas.openxmlformats.org/officeDocument/2006/relationships/hyperlink" Target="http://www.sec.gov/Archives/edgar/data/31235/000003123513000039/d566762dex101.htm" TargetMode="External"/><Relationship Id="rId175" Type="http://schemas.openxmlformats.org/officeDocument/2006/relationships/hyperlink" Target="http://www.sec.gov/Archives/edgar/data/31235/000119312513438254/d613176dex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2019-12-28T14:19:39Z</dcterms:created>
  <dcterms:modified xsi:type="dcterms:W3CDTF">2019-12-28T14:19:39Z</dcterms:modified>
</cp:coreProperties>
</file>