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17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3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18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14, 2025</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EASTMAN KODAK COMPANY</w:t>
      </w:r>
    </w:p>
    <w:p>
      <w:pPr>
        <w:spacing w:after="0" w:line="6" w:lineRule="exact"/>
        <w:rPr>
          <w:sz w:val="24"/>
          <w:szCs w:val="24"/>
          <w:color w:val="auto"/>
        </w:rPr>
      </w:pPr>
    </w:p>
    <w:tbl>
      <w:tblPr>
        <w:tblLayout w:type="fixed"/>
        <w:tblInd w:w="300" w:type="dxa"/>
        <w:tblCellMar>
          <w:top w:w="0" w:type="dxa"/>
          <w:left w:w="0" w:type="dxa"/>
          <w:bottom w:w="0" w:type="dxa"/>
          <w:right w:w="0" w:type="dxa"/>
        </w:tblCellMar>
      </w:tblPr>
      <w:tr>
        <w:trPr>
          <w:trHeight w:val="233"/>
        </w:trPr>
        <w:tc>
          <w:tcPr>
            <w:tcW w:w="3280" w:type="dxa"/>
            <w:vAlign w:val="bottom"/>
          </w:tcPr>
          <w:p>
            <w:pPr>
              <w:spacing w:after="0"/>
              <w:rPr>
                <w:sz w:val="20"/>
                <w:szCs w:val="20"/>
                <w:color w:val="auto"/>
              </w:rPr>
            </w:pPr>
          </w:p>
        </w:tc>
        <w:tc>
          <w:tcPr>
            <w:tcW w:w="45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NEW JERSEY</w:t>
            </w:r>
          </w:p>
        </w:tc>
        <w:tc>
          <w:tcPr>
            <w:tcW w:w="45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6"/>
              </w:rPr>
              <w:t>1-87</w:t>
            </w:r>
          </w:p>
        </w:tc>
        <w:tc>
          <w:tcPr>
            <w:tcW w:w="1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16-0417150</w:t>
            </w:r>
          </w:p>
        </w:tc>
        <w:tc>
          <w:tcPr>
            <w:tcW w:w="0" w:type="dxa"/>
            <w:vAlign w:val="bottom"/>
          </w:tcPr>
          <w:p>
            <w:pPr>
              <w:spacing w:after="0"/>
              <w:rPr>
                <w:sz w:val="1"/>
                <w:szCs w:val="1"/>
                <w:color w:val="auto"/>
              </w:rPr>
            </w:pPr>
          </w:p>
        </w:tc>
      </w:tr>
      <w:tr>
        <w:trPr>
          <w:trHeight w:val="216"/>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5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(Commission File Number)</w:t>
            </w:r>
          </w:p>
        </w:tc>
        <w:tc>
          <w:tcPr>
            <w:tcW w:w="1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454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343 State Street</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454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80" w:type="dxa"/>
            <w:vAlign w:val="bottom"/>
          </w:tcPr>
          <w:p>
            <w:pPr>
              <w:spacing w:after="0"/>
              <w:rPr>
                <w:sz w:val="19"/>
                <w:szCs w:val="19"/>
                <w:color w:val="auto"/>
              </w:rPr>
            </w:pPr>
          </w:p>
        </w:tc>
        <w:tc>
          <w:tcPr>
            <w:tcW w:w="45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Rochester, NY 14650</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45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(Address of principal executive offices with zip code)</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80" w:type="dxa"/>
            <w:vAlign w:val="bottom"/>
          </w:tcPr>
          <w:p>
            <w:pPr>
              <w:spacing w:after="0"/>
              <w:rPr>
                <w:sz w:val="24"/>
                <w:szCs w:val="24"/>
                <w:color w:val="auto"/>
              </w:rPr>
            </w:pPr>
          </w:p>
        </w:tc>
        <w:tc>
          <w:tcPr>
            <w:tcW w:w="45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(800) 356-3259</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45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40" w:hanging="723"/>
        <w:spacing w:after="0"/>
        <w:tabs>
          <w:tab w:leader="none" w:pos="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 w:lineRule="exact"/>
        <w:rPr>
          <w:rFonts w:ascii="Wingdings" w:cs="Wingdings" w:eastAsia="Wingdings" w:hAnsi="Wingdings"/>
          <w:sz w:val="18"/>
          <w:szCs w:val="18"/>
          <w:b w:val="1"/>
          <w:bCs w:val="1"/>
          <w:color w:val="auto"/>
        </w:rPr>
      </w:pPr>
    </w:p>
    <w:p>
      <w:pPr>
        <w:ind w:left="940" w:hanging="723"/>
        <w:spacing w:after="0"/>
        <w:tabs>
          <w:tab w:leader="none" w:pos="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Wingdings" w:cs="Wingdings" w:eastAsia="Wingdings" w:hAnsi="Wingdings"/>
          <w:sz w:val="18"/>
          <w:szCs w:val="18"/>
          <w:b w:val="1"/>
          <w:bCs w:val="1"/>
          <w:color w:val="auto"/>
        </w:rPr>
      </w:pPr>
    </w:p>
    <w:p>
      <w:pPr>
        <w:ind w:left="940" w:hanging="723"/>
        <w:spacing w:after="0"/>
        <w:tabs>
          <w:tab w:leader="none" w:pos="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Wingdings" w:cs="Wingdings" w:eastAsia="Wingdings" w:hAnsi="Wingdings"/>
          <w:sz w:val="18"/>
          <w:szCs w:val="18"/>
          <w:b w:val="1"/>
          <w:bCs w:val="1"/>
          <w:color w:val="auto"/>
        </w:rPr>
      </w:pPr>
    </w:p>
    <w:p>
      <w:pPr>
        <w:ind w:left="940" w:hanging="723"/>
        <w:spacing w:after="0"/>
        <w:tabs>
          <w:tab w:leader="none" w:pos="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391"/>
        </w:trPr>
        <w:tc>
          <w:tcPr>
            <w:tcW w:w="1180" w:type="dxa"/>
            <w:vAlign w:val="bottom"/>
          </w:tcPr>
          <w:p>
            <w:pPr>
              <w:spacing w:after="0"/>
              <w:rPr>
                <w:sz w:val="24"/>
                <w:szCs w:val="24"/>
                <w:color w:val="auto"/>
              </w:rPr>
            </w:pPr>
          </w:p>
        </w:tc>
        <w:tc>
          <w:tcPr>
            <w:tcW w:w="3420" w:type="dxa"/>
            <w:vAlign w:val="bottom"/>
            <w:gridSpan w:val="2"/>
          </w:tcPr>
          <w:p>
            <w:pPr>
              <w:jc w:val="center"/>
              <w:ind w:right="2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6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313"/>
        </w:trPr>
        <w:tc>
          <w:tcPr>
            <w:tcW w:w="46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Common stock, par value</w:t>
            </w:r>
          </w:p>
        </w:tc>
        <w:tc>
          <w:tcPr>
            <w:tcW w:w="286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9"/>
              </w:rPr>
              <w:t>KODK</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1180" w:type="dxa"/>
            <w:vAlign w:val="bottom"/>
          </w:tcPr>
          <w:p>
            <w:pPr>
              <w:spacing w:after="0"/>
              <w:rPr>
                <w:sz w:val="20"/>
                <w:szCs w:val="20"/>
                <w:color w:val="auto"/>
              </w:rPr>
            </w:pPr>
          </w:p>
        </w:tc>
        <w:tc>
          <w:tcPr>
            <w:tcW w:w="3420" w:type="dxa"/>
            <w:vAlign w:val="bottom"/>
            <w:gridSpan w:val="2"/>
          </w:tcPr>
          <w:p>
            <w:pPr>
              <w:jc w:val="center"/>
              <w:ind w:right="2120"/>
              <w:spacing w:after="0"/>
              <w:rPr>
                <w:sz w:val="20"/>
                <w:szCs w:val="20"/>
                <w:color w:val="auto"/>
              </w:rPr>
            </w:pPr>
            <w:r>
              <w:rPr>
                <w:rFonts w:ascii="Times New Roman" w:cs="Times New Roman" w:eastAsia="Times New Roman" w:hAnsi="Times New Roman"/>
                <w:sz w:val="18"/>
                <w:szCs w:val="18"/>
                <w:color w:val="auto"/>
                <w:w w:val="99"/>
              </w:rPr>
              <w:t>$0.01 per share</w:t>
            </w:r>
          </w:p>
        </w:tc>
        <w:tc>
          <w:tcPr>
            <w:tcW w:w="1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0" w:type="dxa"/>
            <w:vAlign w:val="bottom"/>
          </w:tcPr>
          <w:p>
            <w:pPr>
              <w:spacing w:after="0"/>
              <w:rPr>
                <w:sz w:val="20"/>
                <w:szCs w:val="20"/>
                <w:color w:val="auto"/>
              </w:rPr>
            </w:pPr>
          </w:p>
        </w:tc>
      </w:tr>
    </w:tbl>
    <w:p>
      <w:pPr>
        <w:spacing w:after="0" w:line="144"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w:t>
      </w:r>
    </w:p>
    <w:p>
      <w:pPr>
        <w:spacing w:after="0" w:line="1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 w:name="page2"/>
    <w:bookmarkEnd w:id="1"/>
    <w:p>
      <w:pPr>
        <w:spacing w:after="0" w:line="13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January 21, 2025, the Board of Directors of Eastman Kodak Company (the “Company”) approved the termination of the Kodak Retirement Income Plan (“KRIP”), effective March 31, 2025, and no further benefits were accrued under KRIP following this date.</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October 14, 2025, the Company and State Street Global Advisors Trust Company, as independent fiduciary of KRIP, entered into a Commitment Agreement (the “Agreement”) with Metropolitan Tower Life Insurance Company (the “Insurer”) under which the Company will purchase a nonparticipating single premium group annuity contract (the “Annuity Contract”) from the Insurer to facilitate the transfer to the Insurer of approximately $1.8 billion of pension obligations. The Annuity Contract will be funded directly by the assets of KRIP, and the Company does not expect to make any cash contributions related to this transaction.</w:t>
      </w:r>
    </w:p>
    <w:p>
      <w:pPr>
        <w:spacing w:after="0" w:line="1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Agreement contains closing conditions customary for a transaction of this nature. Assuming all closing conditions are satisfied, the transaction is expected to close on October 21, 2025 (the “Closing Date”) and will cover approximately 27,000 KRIP participants and beneficiaries (the “Transferred Participants”). Subject to certain conditions set forth in the Agreement, the Insurer will assume the obligation for retirement benefits of each Transferred Participant upon the Closing Date and all Transferred Participants will continue to receive their benefit payments from the current trustee until early 2026, at which time the Insurer will assume full responsibility for administrative and customer service support, including distribution of payments to the Transferred Participants.</w:t>
      </w:r>
    </w:p>
    <w:p>
      <w:pPr>
        <w:spacing w:after="0" w:line="15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Approximately 3,600 active and deferred vested participants elected to receive a lump-sum distribution of their vested retirement benefits in lieu of an annuity. On October 1, 2025, the Company settled approximately $76 million of pension obligations through lump-sum payments to deferred vested participants. The Company expects to settle approximately $157 million of pension obligations through lump-sum payments to active participants on or about November 1, 2025. Following the final lump sum payments, KRIP will transfer any remaining liabilities for any missing participants and the appropriate level of assets to the Pension Benefit Guaranty Corporation (“PBGC”) missing program, which is expected to occur in November 2025.</w:t>
      </w:r>
    </w:p>
    <w:p>
      <w:pPr>
        <w:spacing w:after="0" w:line="14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lump-sum payments to KRIP participants and payment to the PBGC have been and will be funded directly from KRIP’s assets. Upon completion of the annuity transaction, the lump-sum payments to active participants and transfer of any remaining liabilities for any missing participants to the PBGC, all pension obligations under KRIP will be fully settled. The Company expects KRIP to distribute surplus assets to the Company and the Kodak Cash Balance Plan in December 2025.</w:t>
      </w:r>
    </w:p>
    <w:p>
      <w:pPr>
        <w:spacing w:after="0" w:line="200" w:lineRule="exact"/>
        <w:rPr>
          <w:sz w:val="20"/>
          <w:szCs w:val="20"/>
          <w:color w:val="auto"/>
        </w:rPr>
      </w:pPr>
    </w:p>
    <w:p>
      <w:pPr>
        <w:spacing w:after="0" w:line="313"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4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2" w:name="page3"/>
    <w:bookmarkEnd w:id="2"/>
    <w:p>
      <w:pPr>
        <w:ind w:left="50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 /s/ 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-7620</wp:posOffset>
            </wp:positionV>
            <wp:extent cx="1177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 David E. Bullwinkle</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Title: Chief Financial Officer and Senior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16, 2025</w:t>
      </w: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413" w:right="1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2025-10-16T15:22:29Z</dcterms:created>
  <dcterms:modified xsi:type="dcterms:W3CDTF">2025-10-16T15:22:29Z</dcterms:modified>
</cp:coreProperties>
</file>