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18"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________________</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8-K</w:t>
      </w:r>
    </w:p>
    <w:p>
      <w:pPr>
        <w:spacing w:after="0" w:line="38"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________________</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Report (Date of earliest event reported): May 12, 2021</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EASTMAN KODAK COMPANY</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00"/>
          </w:cols>
          <w:pgMar w:left="320" w:top="215" w:right="379" w:bottom="1440" w:gutter="0" w:footer="0" w:header="0"/>
        </w:sectPr>
      </w:pPr>
    </w:p>
    <w:p>
      <w:pPr>
        <w:spacing w:after="0" w:line="205"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NEW JERSEY</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380"/>
        <w:spacing w:after="0"/>
        <w:rPr>
          <w:sz w:val="20"/>
          <w:szCs w:val="20"/>
          <w:color w:val="auto"/>
        </w:rPr>
      </w:pPr>
      <w:r>
        <w:rPr>
          <w:rFonts w:ascii="Arial" w:cs="Arial" w:eastAsia="Arial" w:hAnsi="Arial"/>
          <w:sz w:val="18"/>
          <w:szCs w:val="18"/>
          <w:b w:val="1"/>
          <w:bCs w:val="1"/>
          <w:color w:val="auto"/>
        </w:rPr>
        <w:t>1-87</w:t>
      </w:r>
    </w:p>
    <w:p>
      <w:pPr>
        <w:spacing w:after="0" w:line="27" w:lineRule="exact"/>
        <w:rPr>
          <w:sz w:val="24"/>
          <w:szCs w:val="24"/>
          <w:color w:val="auto"/>
        </w:rPr>
      </w:pPr>
    </w:p>
    <w:p>
      <w:pPr>
        <w:jc w:val="center"/>
        <w:ind w:right="13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16-0417150</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3900" w:space="720"/>
            <w:col w:w="3380" w:space="720"/>
            <w:col w:w="2480"/>
          </w:cols>
          <w:pgMar w:left="320" w:top="215" w:right="379" w:bottom="1440" w:gutter="0" w:footer="0" w:header="0"/>
          <w:type w:val="continuous"/>
        </w:sectPr>
      </w:pP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343 State Street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Rochester, NY 14650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(Address of principal executive offices with zip code)</w:t>
      </w:r>
    </w:p>
    <w:p>
      <w:pPr>
        <w:spacing w:after="0" w:line="23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(585) 724-4000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00"/>
          </w:cols>
          <w:pgMar w:left="320" w:top="215" w:right="379" w:bottom="1440" w:gutter="0" w:footer="0" w:header="0"/>
          <w:type w:val="continuous"/>
        </w:sectPr>
      </w:pPr>
    </w:p>
    <w:p>
      <w:pPr>
        <w:spacing w:after="0" w:line="25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9" w:lineRule="exact"/>
        <w:rPr>
          <w:sz w:val="24"/>
          <w:szCs w:val="24"/>
          <w:color w:val="auto"/>
        </w:rPr>
      </w:pPr>
    </w:p>
    <w:p>
      <w:pPr>
        <w:ind w:left="720" w:hanging="712"/>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720" w:hanging="712"/>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720" w:hanging="712"/>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720" w:hanging="712"/>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9"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23" w:lineRule="exact"/>
        <w:rPr>
          <w:sz w:val="24"/>
          <w:szCs w:val="24"/>
          <w:color w:val="auto"/>
        </w:rPr>
      </w:pPr>
    </w:p>
    <w:tbl>
      <w:tblPr>
        <w:tblLayout w:type="fixed"/>
        <w:tblInd w:w="340" w:type="dxa"/>
        <w:tblCellMar>
          <w:top w:w="0" w:type="dxa"/>
          <w:left w:w="0" w:type="dxa"/>
          <w:bottom w:w="0" w:type="dxa"/>
          <w:right w:w="0" w:type="dxa"/>
        </w:tblCellMar>
      </w:tblPr>
      <w:tr>
        <w:trPr>
          <w:trHeight w:val="207"/>
        </w:trPr>
        <w:tc>
          <w:tcPr>
            <w:tcW w:w="86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42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1500" w:type="dxa"/>
            <w:vAlign w:val="bottom"/>
          </w:tcPr>
          <w:p>
            <w:pPr>
              <w:spacing w:after="0"/>
              <w:rPr>
                <w:sz w:val="18"/>
                <w:szCs w:val="18"/>
                <w:color w:val="auto"/>
              </w:rPr>
            </w:pPr>
          </w:p>
        </w:tc>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7"/>
        </w:trPr>
        <w:tc>
          <w:tcPr>
            <w:tcW w:w="4580" w:type="dxa"/>
            <w:vAlign w:val="bottom"/>
            <w:gridSpan w:val="3"/>
          </w:tcPr>
          <w:p>
            <w:pPr>
              <w:jc w:val="center"/>
              <w:ind w:right="1580"/>
              <w:spacing w:after="0"/>
              <w:rPr>
                <w:sz w:val="20"/>
                <w:szCs w:val="20"/>
                <w:color w:val="auto"/>
              </w:rPr>
            </w:pPr>
            <w:r>
              <w:rPr>
                <w:rFonts w:ascii="Arial" w:cs="Arial" w:eastAsia="Arial" w:hAnsi="Arial"/>
                <w:sz w:val="18"/>
                <w:szCs w:val="18"/>
                <w:color w:val="auto"/>
                <w:w w:val="89"/>
              </w:rPr>
              <w:t>Common stock, par value $0.01 per share</w:t>
            </w:r>
          </w:p>
        </w:tc>
        <w:tc>
          <w:tcPr>
            <w:tcW w:w="2860" w:type="dxa"/>
            <w:vAlign w:val="bottom"/>
            <w:gridSpan w:val="2"/>
          </w:tcPr>
          <w:p>
            <w:pPr>
              <w:jc w:val="center"/>
              <w:ind w:right="1500"/>
              <w:spacing w:after="0"/>
              <w:rPr>
                <w:sz w:val="20"/>
                <w:szCs w:val="20"/>
                <w:color w:val="auto"/>
              </w:rPr>
            </w:pPr>
            <w:r>
              <w:rPr>
                <w:rFonts w:ascii="Arial" w:cs="Arial" w:eastAsia="Arial" w:hAnsi="Arial"/>
                <w:sz w:val="18"/>
                <w:szCs w:val="18"/>
                <w:color w:val="auto"/>
              </w:rPr>
              <w:t>KODK</w:t>
            </w: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22" w:lineRule="exact"/>
        <w:rPr>
          <w:sz w:val="24"/>
          <w:szCs w:val="24"/>
          <w:color w:val="auto"/>
        </w:rPr>
      </w:pPr>
    </w:p>
    <w:p>
      <w:pPr>
        <w:ind w:right="340"/>
        <w:spacing w:after="0" w:line="328"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05"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Emerging growth company. </w:t>
      </w:r>
      <w:r>
        <w:rPr>
          <w:rFonts w:ascii="MS PGothic" w:cs="MS PGothic" w:eastAsia="MS PGothic" w:hAnsi="MS PGothic"/>
          <w:sz w:val="22"/>
          <w:szCs w:val="22"/>
          <w:color w:val="auto"/>
        </w:rPr>
        <w:t>☐</w:t>
      </w:r>
    </w:p>
    <w:p>
      <w:pPr>
        <w:spacing w:after="0" w:line="273" w:lineRule="exact"/>
        <w:rPr>
          <w:sz w:val="24"/>
          <w:szCs w:val="24"/>
          <w:color w:val="auto"/>
        </w:rPr>
      </w:pPr>
    </w:p>
    <w:p>
      <w:pPr>
        <w:ind w:right="10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122"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15" w:right="37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49" w:lineRule="exact"/>
        <w:rPr>
          <w:sz w:val="20"/>
          <w:szCs w:val="20"/>
          <w:color w:val="auto"/>
        </w:rPr>
      </w:pPr>
    </w:p>
    <w:p>
      <w:pPr>
        <w:ind w:right="300"/>
        <w:spacing w:after="0" w:line="250" w:lineRule="auto"/>
        <w:rPr>
          <w:sz w:val="20"/>
          <w:szCs w:val="20"/>
          <w:color w:val="auto"/>
        </w:rPr>
      </w:pPr>
      <w:r>
        <w:rPr>
          <w:rFonts w:ascii="Arial" w:cs="Arial" w:eastAsia="Arial" w:hAnsi="Arial"/>
          <w:sz w:val="22"/>
          <w:szCs w:val="22"/>
          <w:color w:val="auto"/>
        </w:rPr>
        <w:t>On May 12, 2021, Eastman Kodak Company (the "Company") issued a press release describing its first quarter 2021 financial results. A copy of the press release is furnished as Exhibit (99.l) to this report.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Within the Company's press release, reference is made to the following non-GAAP financial measures:</w:t>
      </w:r>
    </w:p>
    <w:p>
      <w:pPr>
        <w:spacing w:after="0" w:line="233" w:lineRule="exact"/>
        <w:rPr>
          <w:sz w:val="20"/>
          <w:szCs w:val="20"/>
          <w:color w:val="auto"/>
        </w:rPr>
      </w:pPr>
    </w:p>
    <w:p>
      <w:pPr>
        <w:ind w:left="400" w:hanging="230"/>
        <w:spacing w:after="0"/>
        <w:tabs>
          <w:tab w:leader="none" w:pos="400" w:val="left"/>
        </w:tabs>
        <w:numPr>
          <w:ilvl w:val="0"/>
          <w:numId w:val="2"/>
        </w:numPr>
        <w:rPr>
          <w:rFonts w:ascii="Arial" w:cs="Arial" w:eastAsia="Arial" w:hAnsi="Arial"/>
          <w:sz w:val="22"/>
          <w:szCs w:val="22"/>
          <w:color w:val="auto"/>
        </w:rPr>
      </w:pPr>
      <w:r>
        <w:rPr>
          <w:rFonts w:ascii="Arial" w:cs="Arial" w:eastAsia="Arial" w:hAnsi="Arial"/>
          <w:sz w:val="22"/>
          <w:szCs w:val="22"/>
          <w:color w:val="auto"/>
        </w:rPr>
        <w:t>Operational EBITDA; and</w:t>
      </w:r>
    </w:p>
    <w:p>
      <w:pPr>
        <w:spacing w:after="0" w:line="8" w:lineRule="exact"/>
        <w:rPr>
          <w:rFonts w:ascii="Arial" w:cs="Arial" w:eastAsia="Arial" w:hAnsi="Arial"/>
          <w:sz w:val="22"/>
          <w:szCs w:val="22"/>
          <w:color w:val="auto"/>
        </w:rPr>
      </w:pPr>
    </w:p>
    <w:p>
      <w:pPr>
        <w:ind w:left="400" w:hanging="230"/>
        <w:spacing w:after="0"/>
        <w:tabs>
          <w:tab w:leader="none" w:pos="40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Revenues and Operational EBITDA on a constant currency basis.</w:t>
      </w:r>
    </w:p>
    <w:p>
      <w:pPr>
        <w:spacing w:after="0" w:line="215"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The Company believes that these non-GAAP financial measures represent important internal measures of performance as used by the Company's management. Accordingly, they are provided with the belief that this information will assist in properly assessing the underlying performance of the Company. In addition, the Company's management believes that the presentation of the non-GAAP financial measures allows the user of the information to assess the Company's financial results on a more comparable basis. Whenever such information is presented, the Company has complied with the provisions of the rules under Regulation G and Item 2.02 of Form 8-K.</w:t>
      </w:r>
    </w:p>
    <w:p>
      <w:pPr>
        <w:spacing w:after="0" w:line="200" w:lineRule="exact"/>
        <w:rPr>
          <w:sz w:val="20"/>
          <w:szCs w:val="20"/>
          <w:color w:val="auto"/>
        </w:rPr>
      </w:pPr>
    </w:p>
    <w:p>
      <w:pPr>
        <w:spacing w:after="0" w:line="25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hyperlink w:anchor="page4">
        <w:r>
          <w:rPr>
            <w:rFonts w:ascii="Arial" w:cs="Arial" w:eastAsia="Arial" w:hAnsi="Arial"/>
            <w:sz w:val="18"/>
            <w:szCs w:val="18"/>
            <w:u w:val="single" w:color="auto"/>
            <w:color w:val="0000EE"/>
          </w:rPr>
          <w:t>99.1</w:t>
        </w:r>
      </w:hyperlink>
      <w:r>
        <w:rPr>
          <w:rFonts w:ascii="Arial" w:cs="Arial" w:eastAsia="Arial" w:hAnsi="Arial"/>
          <w:sz w:val="18"/>
          <w:szCs w:val="18"/>
          <w:color w:val="auto"/>
        </w:rPr>
        <w:t xml:space="preserve">)  </w:t>
      </w:r>
      <w:hyperlink w:anchor="page4">
        <w:r>
          <w:rPr>
            <w:rFonts w:ascii="Arial" w:cs="Arial" w:eastAsia="Arial" w:hAnsi="Arial"/>
            <w:sz w:val="18"/>
            <w:szCs w:val="18"/>
            <w:u w:val="single" w:color="auto"/>
            <w:color w:val="0000EE"/>
          </w:rPr>
          <w:t>Press release issued on May 12, 2021, regarding the Company's first quarter 2021 financial results furnished with this document.</w:t>
        </w:r>
      </w:hyperlink>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ind w:left="340"/>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5"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Richard T. Michaels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Richard T. Michaels</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Accounting Officer and Corporate Controller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Accounting Officer and 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Date: </w:t>
      </w:r>
      <w:r>
        <w:rPr>
          <w:rFonts w:ascii="Arial" w:cs="Arial" w:eastAsia="Arial" w:hAnsi="Arial"/>
          <w:sz w:val="22"/>
          <w:szCs w:val="22"/>
          <w:color w:val="auto"/>
        </w:rPr>
        <w:t>May 12, 2021</w:t>
      </w: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160"/>
          </w:cols>
          <w:pgMar w:left="320" w:top="111"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Kodak Reports First-Quarter 2021 Financial Results</w:t>
      </w:r>
    </w:p>
    <w:p>
      <w:pPr>
        <w:spacing w:after="0" w:line="324"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ROCHESTER, N.Y.--(BUSINESS WIRE)--May 12, 2021--Eastman Kodak Company (NYSE: KODK) today reported financial results for the first quarter 2021, including consolidated revenues of $265 million and an increase in cash from a series of financial transactions previously announced.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First-quarter 2021 highlights include:</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Consolidated revenues of $265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7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7945"/>
                    </a:xfrm>
                    <a:prstGeom prst="rect">
                      <a:avLst/>
                    </a:prstGeom>
                    <a:noFill/>
                  </pic:spPr>
                </pic:pic>
              </a:graphicData>
            </a:graphic>
          </wp:anchor>
        </w:drawing>
      </w:r>
    </w:p>
    <w:p>
      <w:pPr>
        <w:ind w:left="540"/>
        <w:spacing w:after="0" w:line="238" w:lineRule="auto"/>
        <w:rPr>
          <w:sz w:val="20"/>
          <w:szCs w:val="20"/>
          <w:color w:val="auto"/>
        </w:rPr>
      </w:pPr>
      <w:r>
        <w:rPr>
          <w:rFonts w:ascii="Arial" w:cs="Arial" w:eastAsia="Arial" w:hAnsi="Arial"/>
          <w:sz w:val="22"/>
          <w:szCs w:val="22"/>
          <w:color w:val="auto"/>
        </w:rPr>
        <w:t>GAAP net income of $6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The Company ended the quarter with a cash balance of $401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8"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color w:val="auto"/>
        </w:rPr>
        <w:t>“The steps we have taken in the last two years — strengthening our balance sheet, establishing a customer-first approach and continuing to invest in innovation — have created the foundation for growth,” said Jim Continenza, Kodak’s Executive Chairman and CEO. “We will continue to execute on those strategies to create long-term value for our shareholders and our employees.”</w:t>
      </w:r>
    </w:p>
    <w:p>
      <w:pPr>
        <w:spacing w:after="0" w:line="134" w:lineRule="exact"/>
        <w:rPr>
          <w:sz w:val="20"/>
          <w:szCs w:val="20"/>
          <w:color w:val="auto"/>
        </w:rPr>
      </w:pPr>
    </w:p>
    <w:p>
      <w:pPr>
        <w:ind w:right="160"/>
        <w:spacing w:after="0" w:line="246" w:lineRule="auto"/>
        <w:rPr>
          <w:sz w:val="20"/>
          <w:szCs w:val="20"/>
          <w:color w:val="auto"/>
        </w:rPr>
      </w:pPr>
      <w:r>
        <w:rPr>
          <w:rFonts w:ascii="Arial" w:cs="Arial" w:eastAsia="Arial" w:hAnsi="Arial"/>
          <w:sz w:val="21"/>
          <w:szCs w:val="21"/>
          <w:color w:val="auto"/>
        </w:rPr>
        <w:t>For the quarter ended March 31, 2021, revenues declined by only $2 million compared with the same period in 2020. Kodak ended the quarter with a cash balance of $401 million, up from the December 31, 2020 cash balance of $196 million. GAAP net income was $6 million for the quarter ended March 31, 2021, compared with a net loss of $111 million in the prior-year quarter. The prior year quarter net loss includes expense of $167 million related to the increase in deferred tax valuation allowances for locations outside the U.S. and income of $53 million related to the change in fair value of embedded derivatives in the Series A Preferred Stock and Convertible Notes. Operational EBITDA was $3 million for the quarter ended March 31, 2021, compared with negative $8 million in the first quarter 2020.</w:t>
      </w:r>
    </w:p>
    <w:p>
      <w:pPr>
        <w:spacing w:after="0" w:line="184" w:lineRule="exact"/>
        <w:rPr>
          <w:sz w:val="20"/>
          <w:szCs w:val="20"/>
          <w:color w:val="auto"/>
        </w:rPr>
      </w:pPr>
    </w:p>
    <w:p>
      <w:pPr>
        <w:ind w:right="140"/>
        <w:spacing w:after="0" w:line="282" w:lineRule="auto"/>
        <w:rPr>
          <w:sz w:val="20"/>
          <w:szCs w:val="20"/>
          <w:color w:val="auto"/>
        </w:rPr>
      </w:pPr>
      <w:r>
        <w:rPr>
          <w:rFonts w:ascii="Arial" w:cs="Arial" w:eastAsia="Arial" w:hAnsi="Arial"/>
          <w:sz w:val="19"/>
          <w:szCs w:val="19"/>
          <w:color w:val="auto"/>
        </w:rPr>
        <w:t>“We continued to see improved cash performance during the first quarter, including an improvement in working capital and an increase in our cash balance through several financing transactions that closed during the quarter,” said David Bullwinkle, Kodak’s CFO. “During the first quarter we returned to growth in our key product areas, including SONORA Process Free Plates volume and PROSPER annuities which were up 8 and 12 percent respectively compared with the first quarter of 2020. We will continue to evaluate strategies for investing the capital raised through financing activities to generate additional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Revenue and Operational EBITDA by Reportable Segment Q1 2021 vs. Q1 2020</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r>
              <w:rPr>
                <w:rFonts w:ascii="Arial" w:cs="Arial" w:eastAsia="Arial" w:hAnsi="Arial"/>
                <w:sz w:val="18"/>
                <w:szCs w:val="18"/>
                <w:b w:val="1"/>
                <w:bCs w:val="1"/>
                <w:color w:val="auto"/>
              </w:rPr>
              <w:t>($ millions)</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52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b w:val="1"/>
                <w:bCs w:val="1"/>
                <w:color w:val="auto"/>
                <w:w w:val="99"/>
              </w:rPr>
              <w:t>Traditional</w:t>
            </w:r>
          </w:p>
        </w:tc>
        <w:tc>
          <w:tcPr>
            <w:tcW w:w="60" w:type="dxa"/>
            <w:vAlign w:val="bottom"/>
          </w:tcPr>
          <w:p>
            <w:pPr>
              <w:spacing w:after="0"/>
              <w:rPr>
                <w:sz w:val="18"/>
                <w:szCs w:val="18"/>
                <w:color w:val="auto"/>
              </w:rPr>
            </w:pPr>
          </w:p>
        </w:tc>
        <w:tc>
          <w:tcPr>
            <w:tcW w:w="80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b w:val="1"/>
                <w:bCs w:val="1"/>
                <w:color w:val="auto"/>
              </w:rPr>
              <w:t>Digital</w:t>
            </w:r>
          </w:p>
        </w:tc>
        <w:tc>
          <w:tcPr>
            <w:tcW w:w="8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Advanced</w:t>
            </w:r>
          </w:p>
        </w:tc>
        <w:tc>
          <w:tcPr>
            <w:tcW w:w="6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Q1 2021 Actuals</w:t>
            </w:r>
          </w:p>
        </w:tc>
        <w:tc>
          <w:tcPr>
            <w:tcW w:w="60" w:type="dxa"/>
            <w:vAlign w:val="bottom"/>
          </w:tcPr>
          <w:p>
            <w:pPr>
              <w:spacing w:after="0"/>
              <w:rPr>
                <w:sz w:val="9"/>
                <w:szCs w:val="9"/>
                <w:color w:val="auto"/>
              </w:rPr>
            </w:pPr>
          </w:p>
        </w:tc>
        <w:tc>
          <w:tcPr>
            <w:tcW w:w="1060" w:type="dxa"/>
            <w:vAlign w:val="bottom"/>
            <w:gridSpan w:val="2"/>
            <w:vMerge w:val="continue"/>
            <w:shd w:val="clear" w:color="auto" w:fill="CCEEFF"/>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2"/>
            <w:vMerge w:val="continue"/>
            <w:shd w:val="clear" w:color="auto" w:fill="CCEEFF"/>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vMerge w:val="restart"/>
            <w:shd w:val="clear" w:color="auto" w:fill="CCEEFF"/>
          </w:tcPr>
          <w:p>
            <w:pPr>
              <w:ind w:left="60"/>
              <w:spacing w:after="0"/>
              <w:rPr>
                <w:sz w:val="20"/>
                <w:szCs w:val="20"/>
                <w:color w:val="auto"/>
              </w:rPr>
            </w:pPr>
            <w:r>
              <w:rPr>
                <w:rFonts w:ascii="Arial" w:cs="Arial" w:eastAsia="Arial" w:hAnsi="Arial"/>
                <w:sz w:val="18"/>
                <w:szCs w:val="18"/>
                <w:b w:val="1"/>
                <w:bCs w:val="1"/>
                <w:color w:val="auto"/>
                <w:w w:val="97"/>
              </w:rPr>
              <w:t>Materials &amp;</w:t>
            </w:r>
          </w:p>
        </w:tc>
        <w:tc>
          <w:tcPr>
            <w:tcW w:w="60" w:type="dxa"/>
            <w:vAlign w:val="bottom"/>
          </w:tcPr>
          <w:p>
            <w:pPr>
              <w:spacing w:after="0"/>
              <w:rPr>
                <w:sz w:val="9"/>
                <w:szCs w:val="9"/>
                <w:color w:val="auto"/>
              </w:rPr>
            </w:pP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Brand</w:t>
            </w:r>
          </w:p>
        </w:tc>
        <w:tc>
          <w:tcPr>
            <w:tcW w:w="80" w:type="dxa"/>
            <w:vAlign w:val="bottom"/>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80"/>
        </w:trPr>
        <w:tc>
          <w:tcPr>
            <w:tcW w:w="5260" w:type="dxa"/>
            <w:vAlign w:val="bottom"/>
            <w:vMerge w:val="continue"/>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90"/>
              <w:spacing w:after="0" w:line="181" w:lineRule="exact"/>
              <w:rPr>
                <w:sz w:val="20"/>
                <w:szCs w:val="20"/>
                <w:color w:val="auto"/>
              </w:rPr>
            </w:pPr>
            <w:r>
              <w:rPr>
                <w:rFonts w:ascii="Arial" w:cs="Arial" w:eastAsia="Arial" w:hAnsi="Arial"/>
                <w:sz w:val="18"/>
                <w:szCs w:val="18"/>
                <w:b w:val="1"/>
                <w:bCs w:val="1"/>
                <w:color w:val="auto"/>
                <w:w w:val="91"/>
              </w:rPr>
              <w:t>Printing</w:t>
            </w:r>
          </w:p>
        </w:tc>
        <w:tc>
          <w:tcPr>
            <w:tcW w:w="60" w:type="dxa"/>
            <w:vAlign w:val="bottom"/>
          </w:tcPr>
          <w:p>
            <w:pPr>
              <w:spacing w:after="0"/>
              <w:rPr>
                <w:sz w:val="15"/>
                <w:szCs w:val="15"/>
                <w:color w:val="auto"/>
              </w:rPr>
            </w:pPr>
          </w:p>
        </w:tc>
        <w:tc>
          <w:tcPr>
            <w:tcW w:w="800" w:type="dxa"/>
            <w:vAlign w:val="bottom"/>
            <w:gridSpan w:val="2"/>
            <w:shd w:val="clear" w:color="auto" w:fill="CCEEFF"/>
          </w:tcPr>
          <w:p>
            <w:pPr>
              <w:ind w:left="120"/>
              <w:spacing w:after="0" w:line="181" w:lineRule="exact"/>
              <w:rPr>
                <w:sz w:val="20"/>
                <w:szCs w:val="20"/>
                <w:color w:val="auto"/>
              </w:rPr>
            </w:pPr>
            <w:r>
              <w:rPr>
                <w:rFonts w:ascii="Arial" w:cs="Arial" w:eastAsia="Arial" w:hAnsi="Arial"/>
                <w:sz w:val="18"/>
                <w:szCs w:val="18"/>
                <w:b w:val="1"/>
                <w:bCs w:val="1"/>
                <w:color w:val="auto"/>
                <w:w w:val="96"/>
              </w:rPr>
              <w:t>Printing</w:t>
            </w:r>
          </w:p>
        </w:tc>
        <w:tc>
          <w:tcPr>
            <w:tcW w:w="80" w:type="dxa"/>
            <w:vAlign w:val="bottom"/>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6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b w:val="1"/>
                <w:bCs w:val="1"/>
                <w:color w:val="auto"/>
                <w:w w:val="95"/>
              </w:rPr>
              <w:t>Chemicals</w:t>
            </w:r>
          </w:p>
        </w:tc>
        <w:tc>
          <w:tcPr>
            <w:tcW w:w="60" w:type="dxa"/>
            <w:vAlign w:val="bottom"/>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26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60" w:type="dxa"/>
            <w:vAlign w:val="bottom"/>
          </w:tcPr>
          <w:p>
            <w:pPr>
              <w:spacing w:after="0"/>
              <w:rPr>
                <w:sz w:val="20"/>
                <w:szCs w:val="20"/>
                <w:color w:val="auto"/>
              </w:rPr>
            </w:pPr>
          </w:p>
        </w:tc>
        <w:tc>
          <w:tcPr>
            <w:tcW w:w="240" w:type="dxa"/>
            <w:vAlign w:val="bottom"/>
          </w:tcPr>
          <w:p>
            <w:pPr>
              <w:ind w:left="14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ind w:right="90"/>
              <w:spacing w:after="0"/>
              <w:rPr>
                <w:sz w:val="20"/>
                <w:szCs w:val="20"/>
                <w:color w:val="auto"/>
              </w:rPr>
            </w:pPr>
            <w:r>
              <w:rPr>
                <w:rFonts w:ascii="Arial" w:cs="Arial" w:eastAsia="Arial" w:hAnsi="Arial"/>
                <w:sz w:val="18"/>
                <w:szCs w:val="18"/>
                <w:b w:val="1"/>
                <w:bCs w:val="1"/>
                <w:color w:val="auto"/>
              </w:rPr>
              <w:t>148</w:t>
            </w:r>
          </w:p>
        </w:tc>
        <w:tc>
          <w:tcPr>
            <w:tcW w:w="60" w:type="dxa"/>
            <w:vAlign w:val="bottom"/>
          </w:tcPr>
          <w:p>
            <w:pPr>
              <w:spacing w:after="0"/>
              <w:rPr>
                <w:sz w:val="20"/>
                <w:szCs w:val="20"/>
                <w:color w:val="auto"/>
              </w:rPr>
            </w:pPr>
          </w:p>
        </w:tc>
        <w:tc>
          <w:tcPr>
            <w:tcW w:w="34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ind w:right="70"/>
              <w:spacing w:after="0"/>
              <w:rPr>
                <w:sz w:val="20"/>
                <w:szCs w:val="20"/>
                <w:color w:val="auto"/>
              </w:rPr>
            </w:pPr>
            <w:r>
              <w:rPr>
                <w:rFonts w:ascii="Arial" w:cs="Arial" w:eastAsia="Arial" w:hAnsi="Arial"/>
                <w:sz w:val="18"/>
                <w:szCs w:val="18"/>
                <w:b w:val="1"/>
                <w:bCs w:val="1"/>
                <w:color w:val="auto"/>
              </w:rPr>
              <w:t>64</w:t>
            </w:r>
          </w:p>
        </w:tc>
        <w:tc>
          <w:tcPr>
            <w:tcW w:w="80" w:type="dxa"/>
            <w:vAlign w:val="bottom"/>
          </w:tcPr>
          <w:p>
            <w:pPr>
              <w:spacing w:after="0"/>
              <w:rPr>
                <w:sz w:val="20"/>
                <w:szCs w:val="20"/>
                <w:color w:val="auto"/>
              </w:rPr>
            </w:pPr>
          </w:p>
        </w:tc>
        <w:tc>
          <w:tcPr>
            <w:tcW w:w="140" w:type="dxa"/>
            <w:vAlign w:val="bottom"/>
          </w:tcPr>
          <w:p>
            <w:pPr>
              <w:ind w:left="60"/>
              <w:spacing w:after="0"/>
              <w:rPr>
                <w:sz w:val="20"/>
                <w:szCs w:val="20"/>
                <w:color w:val="auto"/>
              </w:rPr>
            </w:pPr>
            <w:r>
              <w:rPr>
                <w:rFonts w:ascii="Arial" w:cs="Arial" w:eastAsia="Arial" w:hAnsi="Arial"/>
                <w:sz w:val="15"/>
                <w:szCs w:val="15"/>
                <w:b w:val="1"/>
                <w:bCs w:val="1"/>
                <w:color w:val="auto"/>
                <w:w w:val="71"/>
              </w:rPr>
              <w:t>$</w:t>
            </w: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rPr>
              <w:t>46</w:t>
            </w:r>
          </w:p>
        </w:tc>
        <w:tc>
          <w:tcPr>
            <w:tcW w:w="60" w:type="dxa"/>
            <w:vAlign w:val="bottom"/>
          </w:tcPr>
          <w:p>
            <w:pPr>
              <w:spacing w:after="0"/>
              <w:rPr>
                <w:sz w:val="20"/>
                <w:szCs w:val="20"/>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20"/>
                <w:szCs w:val="20"/>
                <w:color w:val="auto"/>
              </w:rPr>
            </w:pPr>
          </w:p>
        </w:tc>
        <w:tc>
          <w:tcPr>
            <w:tcW w:w="5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7"/>
              </w:rPr>
              <w:t>$ 261</w:t>
            </w:r>
          </w:p>
        </w:tc>
        <w:tc>
          <w:tcPr>
            <w:tcW w:w="0" w:type="dxa"/>
            <w:vAlign w:val="bottom"/>
          </w:tcPr>
          <w:p>
            <w:pPr>
              <w:spacing w:after="0"/>
              <w:rPr>
                <w:sz w:val="1"/>
                <w:szCs w:val="1"/>
                <w:color w:val="auto"/>
              </w:rPr>
            </w:pPr>
          </w:p>
        </w:tc>
      </w:tr>
      <w:tr>
        <w:trPr>
          <w:trHeight w:val="238"/>
        </w:trPr>
        <w:tc>
          <w:tcPr>
            <w:tcW w:w="5260" w:type="dxa"/>
            <w:vAlign w:val="bottom"/>
          </w:tcPr>
          <w:p>
            <w:pPr>
              <w:spacing w:after="0"/>
              <w:rPr>
                <w:sz w:val="20"/>
                <w:szCs w:val="20"/>
                <w:color w:val="auto"/>
              </w:rPr>
            </w:pPr>
            <w:r>
              <w:rPr>
                <w:rFonts w:ascii="Arial" w:cs="Arial" w:eastAsia="Arial" w:hAnsi="Arial"/>
                <w:sz w:val="18"/>
                <w:szCs w:val="18"/>
                <w:b w:val="1"/>
                <w:bCs w:val="1"/>
                <w:color w:val="auto"/>
              </w:rPr>
              <w:t>Operational EBITDA *</w:t>
            </w:r>
          </w:p>
        </w:tc>
        <w:tc>
          <w:tcPr>
            <w:tcW w:w="300" w:type="dxa"/>
            <w:vAlign w:val="bottom"/>
            <w:gridSpan w:val="2"/>
          </w:tcPr>
          <w:p>
            <w:pPr>
              <w:ind w:left="20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ind w:right="90"/>
              <w:spacing w:after="0"/>
              <w:rPr>
                <w:sz w:val="20"/>
                <w:szCs w:val="20"/>
                <w:color w:val="auto"/>
              </w:rPr>
            </w:pPr>
            <w:r>
              <w:rPr>
                <w:rFonts w:ascii="Arial" w:cs="Arial" w:eastAsia="Arial" w:hAnsi="Arial"/>
                <w:sz w:val="18"/>
                <w:szCs w:val="18"/>
                <w:b w:val="1"/>
                <w:bCs w:val="1"/>
                <w:color w:val="auto"/>
              </w:rPr>
              <w:t>5</w:t>
            </w:r>
          </w:p>
        </w:tc>
        <w:tc>
          <w:tcPr>
            <w:tcW w:w="40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tcPr>
          <w:p>
            <w:pPr>
              <w:ind w:left="140"/>
              <w:spacing w:after="0"/>
              <w:rPr>
                <w:sz w:val="20"/>
                <w:szCs w:val="20"/>
                <w:color w:val="auto"/>
              </w:rPr>
            </w:pPr>
            <w:r>
              <w:rPr>
                <w:rFonts w:ascii="Arial" w:cs="Arial" w:eastAsia="Arial" w:hAnsi="Arial"/>
                <w:sz w:val="15"/>
                <w:szCs w:val="15"/>
                <w:b w:val="1"/>
                <w:bCs w:val="1"/>
                <w:color w:val="auto"/>
                <w:w w:val="71"/>
              </w:rPr>
              <w:t>$</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(4)</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ind w:right="3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57"/>
        </w:trPr>
        <w:tc>
          <w:tcPr>
            <w:tcW w:w="5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52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b w:val="1"/>
                <w:bCs w:val="1"/>
                <w:color w:val="auto"/>
                <w:w w:val="99"/>
              </w:rPr>
              <w:t>Traditional</w:t>
            </w:r>
          </w:p>
        </w:tc>
        <w:tc>
          <w:tcPr>
            <w:tcW w:w="60" w:type="dxa"/>
            <w:vAlign w:val="bottom"/>
          </w:tcPr>
          <w:p>
            <w:pPr>
              <w:spacing w:after="0"/>
              <w:rPr>
                <w:sz w:val="18"/>
                <w:szCs w:val="18"/>
                <w:color w:val="auto"/>
              </w:rPr>
            </w:pPr>
          </w:p>
        </w:tc>
        <w:tc>
          <w:tcPr>
            <w:tcW w:w="80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b w:val="1"/>
                <w:bCs w:val="1"/>
                <w:color w:val="auto"/>
              </w:rPr>
              <w:t>Digital</w:t>
            </w:r>
          </w:p>
        </w:tc>
        <w:tc>
          <w:tcPr>
            <w:tcW w:w="8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Advanced</w:t>
            </w:r>
          </w:p>
        </w:tc>
        <w:tc>
          <w:tcPr>
            <w:tcW w:w="6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Q1 2020 Actuals</w:t>
            </w:r>
          </w:p>
        </w:tc>
        <w:tc>
          <w:tcPr>
            <w:tcW w:w="60" w:type="dxa"/>
            <w:vAlign w:val="bottom"/>
          </w:tcPr>
          <w:p>
            <w:pPr>
              <w:spacing w:after="0"/>
              <w:rPr>
                <w:sz w:val="9"/>
                <w:szCs w:val="9"/>
                <w:color w:val="auto"/>
              </w:rPr>
            </w:pPr>
          </w:p>
        </w:tc>
        <w:tc>
          <w:tcPr>
            <w:tcW w:w="1060" w:type="dxa"/>
            <w:vAlign w:val="bottom"/>
            <w:gridSpan w:val="2"/>
            <w:vMerge w:val="continue"/>
            <w:shd w:val="clear" w:color="auto" w:fill="CCEEFF"/>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2"/>
            <w:vMerge w:val="continue"/>
            <w:shd w:val="clear" w:color="auto" w:fill="CCEEFF"/>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vMerge w:val="restart"/>
            <w:shd w:val="clear" w:color="auto" w:fill="CCEEFF"/>
          </w:tcPr>
          <w:p>
            <w:pPr>
              <w:ind w:left="60"/>
              <w:spacing w:after="0"/>
              <w:rPr>
                <w:sz w:val="20"/>
                <w:szCs w:val="20"/>
                <w:color w:val="auto"/>
              </w:rPr>
            </w:pPr>
            <w:r>
              <w:rPr>
                <w:rFonts w:ascii="Arial" w:cs="Arial" w:eastAsia="Arial" w:hAnsi="Arial"/>
                <w:sz w:val="18"/>
                <w:szCs w:val="18"/>
                <w:b w:val="1"/>
                <w:bCs w:val="1"/>
                <w:color w:val="auto"/>
                <w:w w:val="97"/>
              </w:rPr>
              <w:t>Materials &amp;</w:t>
            </w:r>
          </w:p>
        </w:tc>
        <w:tc>
          <w:tcPr>
            <w:tcW w:w="60" w:type="dxa"/>
            <w:vAlign w:val="bottom"/>
          </w:tcPr>
          <w:p>
            <w:pPr>
              <w:spacing w:after="0"/>
              <w:rPr>
                <w:sz w:val="9"/>
                <w:szCs w:val="9"/>
                <w:color w:val="auto"/>
              </w:rPr>
            </w:pP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Brand</w:t>
            </w:r>
          </w:p>
        </w:tc>
        <w:tc>
          <w:tcPr>
            <w:tcW w:w="80" w:type="dxa"/>
            <w:vAlign w:val="bottom"/>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80"/>
        </w:trPr>
        <w:tc>
          <w:tcPr>
            <w:tcW w:w="5260" w:type="dxa"/>
            <w:vAlign w:val="bottom"/>
            <w:vMerge w:val="continue"/>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90"/>
              <w:spacing w:after="0" w:line="181" w:lineRule="exact"/>
              <w:rPr>
                <w:sz w:val="20"/>
                <w:szCs w:val="20"/>
                <w:color w:val="auto"/>
              </w:rPr>
            </w:pPr>
            <w:r>
              <w:rPr>
                <w:rFonts w:ascii="Arial" w:cs="Arial" w:eastAsia="Arial" w:hAnsi="Arial"/>
                <w:sz w:val="18"/>
                <w:szCs w:val="18"/>
                <w:b w:val="1"/>
                <w:bCs w:val="1"/>
                <w:color w:val="auto"/>
                <w:w w:val="91"/>
              </w:rPr>
              <w:t>Printing</w:t>
            </w:r>
          </w:p>
        </w:tc>
        <w:tc>
          <w:tcPr>
            <w:tcW w:w="60" w:type="dxa"/>
            <w:vAlign w:val="bottom"/>
          </w:tcPr>
          <w:p>
            <w:pPr>
              <w:spacing w:after="0"/>
              <w:rPr>
                <w:sz w:val="15"/>
                <w:szCs w:val="15"/>
                <w:color w:val="auto"/>
              </w:rPr>
            </w:pPr>
          </w:p>
        </w:tc>
        <w:tc>
          <w:tcPr>
            <w:tcW w:w="800" w:type="dxa"/>
            <w:vAlign w:val="bottom"/>
            <w:gridSpan w:val="2"/>
            <w:shd w:val="clear" w:color="auto" w:fill="CCEEFF"/>
          </w:tcPr>
          <w:p>
            <w:pPr>
              <w:ind w:left="120"/>
              <w:spacing w:after="0" w:line="181" w:lineRule="exact"/>
              <w:rPr>
                <w:sz w:val="20"/>
                <w:szCs w:val="20"/>
                <w:color w:val="auto"/>
              </w:rPr>
            </w:pPr>
            <w:r>
              <w:rPr>
                <w:rFonts w:ascii="Arial" w:cs="Arial" w:eastAsia="Arial" w:hAnsi="Arial"/>
                <w:sz w:val="18"/>
                <w:szCs w:val="18"/>
                <w:b w:val="1"/>
                <w:bCs w:val="1"/>
                <w:color w:val="auto"/>
                <w:w w:val="96"/>
              </w:rPr>
              <w:t>Printing</w:t>
            </w:r>
          </w:p>
        </w:tc>
        <w:tc>
          <w:tcPr>
            <w:tcW w:w="80" w:type="dxa"/>
            <w:vAlign w:val="bottom"/>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6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b w:val="1"/>
                <w:bCs w:val="1"/>
                <w:color w:val="auto"/>
                <w:w w:val="95"/>
              </w:rPr>
              <w:t>Chemicals</w:t>
            </w:r>
          </w:p>
        </w:tc>
        <w:tc>
          <w:tcPr>
            <w:tcW w:w="60" w:type="dxa"/>
            <w:vAlign w:val="bottom"/>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26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60" w:type="dxa"/>
            <w:vAlign w:val="bottom"/>
          </w:tcPr>
          <w:p>
            <w:pPr>
              <w:spacing w:after="0"/>
              <w:rPr>
                <w:sz w:val="20"/>
                <w:szCs w:val="20"/>
                <w:color w:val="auto"/>
              </w:rPr>
            </w:pPr>
          </w:p>
        </w:tc>
        <w:tc>
          <w:tcPr>
            <w:tcW w:w="240" w:type="dxa"/>
            <w:vAlign w:val="bottom"/>
          </w:tcPr>
          <w:p>
            <w:pPr>
              <w:ind w:left="14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ind w:right="90"/>
              <w:spacing w:after="0"/>
              <w:rPr>
                <w:sz w:val="20"/>
                <w:szCs w:val="20"/>
                <w:color w:val="auto"/>
              </w:rPr>
            </w:pPr>
            <w:r>
              <w:rPr>
                <w:rFonts w:ascii="Arial" w:cs="Arial" w:eastAsia="Arial" w:hAnsi="Arial"/>
                <w:sz w:val="18"/>
                <w:szCs w:val="18"/>
                <w:b w:val="1"/>
                <w:bCs w:val="1"/>
                <w:color w:val="auto"/>
              </w:rPr>
              <w:t>154</w:t>
            </w:r>
          </w:p>
        </w:tc>
        <w:tc>
          <w:tcPr>
            <w:tcW w:w="60" w:type="dxa"/>
            <w:vAlign w:val="bottom"/>
          </w:tcPr>
          <w:p>
            <w:pPr>
              <w:spacing w:after="0"/>
              <w:rPr>
                <w:sz w:val="20"/>
                <w:szCs w:val="20"/>
                <w:color w:val="auto"/>
              </w:rPr>
            </w:pPr>
          </w:p>
        </w:tc>
        <w:tc>
          <w:tcPr>
            <w:tcW w:w="34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ind w:right="70"/>
              <w:spacing w:after="0"/>
              <w:rPr>
                <w:sz w:val="20"/>
                <w:szCs w:val="20"/>
                <w:color w:val="auto"/>
              </w:rPr>
            </w:pPr>
            <w:r>
              <w:rPr>
                <w:rFonts w:ascii="Arial" w:cs="Arial" w:eastAsia="Arial" w:hAnsi="Arial"/>
                <w:sz w:val="18"/>
                <w:szCs w:val="18"/>
                <w:b w:val="1"/>
                <w:bCs w:val="1"/>
                <w:color w:val="auto"/>
              </w:rPr>
              <w:t>65</w:t>
            </w:r>
          </w:p>
        </w:tc>
        <w:tc>
          <w:tcPr>
            <w:tcW w:w="80" w:type="dxa"/>
            <w:vAlign w:val="bottom"/>
          </w:tcPr>
          <w:p>
            <w:pPr>
              <w:spacing w:after="0"/>
              <w:rPr>
                <w:sz w:val="20"/>
                <w:szCs w:val="20"/>
                <w:color w:val="auto"/>
              </w:rPr>
            </w:pPr>
          </w:p>
        </w:tc>
        <w:tc>
          <w:tcPr>
            <w:tcW w:w="140" w:type="dxa"/>
            <w:vAlign w:val="bottom"/>
          </w:tcPr>
          <w:p>
            <w:pPr>
              <w:ind w:left="60"/>
              <w:spacing w:after="0"/>
              <w:rPr>
                <w:sz w:val="20"/>
                <w:szCs w:val="20"/>
                <w:color w:val="auto"/>
              </w:rPr>
            </w:pPr>
            <w:r>
              <w:rPr>
                <w:rFonts w:ascii="Arial" w:cs="Arial" w:eastAsia="Arial" w:hAnsi="Arial"/>
                <w:sz w:val="15"/>
                <w:szCs w:val="15"/>
                <w:b w:val="1"/>
                <w:bCs w:val="1"/>
                <w:color w:val="auto"/>
                <w:w w:val="71"/>
              </w:rPr>
              <w:t>$</w:t>
            </w: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rPr>
              <w:t>42</w:t>
            </w:r>
          </w:p>
        </w:tc>
        <w:tc>
          <w:tcPr>
            <w:tcW w:w="60" w:type="dxa"/>
            <w:vAlign w:val="bottom"/>
          </w:tcPr>
          <w:p>
            <w:pPr>
              <w:spacing w:after="0"/>
              <w:rPr>
                <w:sz w:val="20"/>
                <w:szCs w:val="20"/>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20"/>
                <w:szCs w:val="20"/>
                <w:color w:val="auto"/>
              </w:rPr>
            </w:pPr>
          </w:p>
        </w:tc>
        <w:tc>
          <w:tcPr>
            <w:tcW w:w="5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7"/>
              </w:rPr>
              <w:t>$ 264</w:t>
            </w:r>
          </w:p>
        </w:tc>
        <w:tc>
          <w:tcPr>
            <w:tcW w:w="0" w:type="dxa"/>
            <w:vAlign w:val="bottom"/>
          </w:tcPr>
          <w:p>
            <w:pPr>
              <w:spacing w:after="0"/>
              <w:rPr>
                <w:sz w:val="1"/>
                <w:szCs w:val="1"/>
                <w:color w:val="auto"/>
              </w:rPr>
            </w:pPr>
          </w:p>
        </w:tc>
      </w:tr>
      <w:tr>
        <w:trPr>
          <w:trHeight w:val="238"/>
        </w:trPr>
        <w:tc>
          <w:tcPr>
            <w:tcW w:w="5260" w:type="dxa"/>
            <w:vAlign w:val="bottom"/>
          </w:tcPr>
          <w:p>
            <w:pPr>
              <w:spacing w:after="0"/>
              <w:rPr>
                <w:sz w:val="20"/>
                <w:szCs w:val="20"/>
                <w:color w:val="auto"/>
              </w:rPr>
            </w:pPr>
            <w:r>
              <w:rPr>
                <w:rFonts w:ascii="Arial" w:cs="Arial" w:eastAsia="Arial" w:hAnsi="Arial"/>
                <w:sz w:val="18"/>
                <w:szCs w:val="18"/>
                <w:b w:val="1"/>
                <w:bCs w:val="1"/>
                <w:color w:val="auto"/>
              </w:rPr>
              <w:t>Operational EBITDA *</w:t>
            </w:r>
          </w:p>
        </w:tc>
        <w:tc>
          <w:tcPr>
            <w:tcW w:w="300" w:type="dxa"/>
            <w:vAlign w:val="bottom"/>
            <w:gridSpan w:val="2"/>
          </w:tcPr>
          <w:p>
            <w:pPr>
              <w:ind w:left="20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ind w:right="90"/>
              <w:spacing w:after="0"/>
              <w:rPr>
                <w:sz w:val="20"/>
                <w:szCs w:val="20"/>
                <w:color w:val="auto"/>
              </w:rPr>
            </w:pPr>
            <w:r>
              <w:rPr>
                <w:rFonts w:ascii="Arial" w:cs="Arial" w:eastAsia="Arial" w:hAnsi="Arial"/>
                <w:sz w:val="18"/>
                <w:szCs w:val="18"/>
                <w:b w:val="1"/>
                <w:bCs w:val="1"/>
                <w:color w:val="auto"/>
              </w:rPr>
              <w:t>1</w:t>
            </w:r>
          </w:p>
        </w:tc>
        <w:tc>
          <w:tcPr>
            <w:tcW w:w="40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ind w:right="10"/>
              <w:spacing w:after="0"/>
              <w:rPr>
                <w:sz w:val="20"/>
                <w:szCs w:val="20"/>
                <w:color w:val="auto"/>
              </w:rPr>
            </w:pPr>
            <w:r>
              <w:rPr>
                <w:rFonts w:ascii="Arial" w:cs="Arial" w:eastAsia="Arial" w:hAnsi="Arial"/>
                <w:sz w:val="18"/>
                <w:szCs w:val="18"/>
                <w:b w:val="1"/>
                <w:bCs w:val="1"/>
                <w:color w:val="auto"/>
              </w:rPr>
              <w:t>(2)</w:t>
            </w:r>
          </w:p>
        </w:tc>
        <w:tc>
          <w:tcPr>
            <w:tcW w:w="220" w:type="dxa"/>
            <w:vAlign w:val="bottom"/>
            <w:gridSpan w:val="2"/>
          </w:tcPr>
          <w:p>
            <w:pPr>
              <w:ind w:left="140"/>
              <w:spacing w:after="0"/>
              <w:rPr>
                <w:sz w:val="20"/>
                <w:szCs w:val="20"/>
                <w:color w:val="auto"/>
              </w:rPr>
            </w:pPr>
            <w:r>
              <w:rPr>
                <w:rFonts w:ascii="Arial" w:cs="Arial" w:eastAsia="Arial" w:hAnsi="Arial"/>
                <w:sz w:val="15"/>
                <w:szCs w:val="15"/>
                <w:b w:val="1"/>
                <w:bCs w:val="1"/>
                <w:color w:val="auto"/>
                <w:w w:val="71"/>
              </w:rPr>
              <w:t>$</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(9)</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57"/>
        </w:trPr>
        <w:tc>
          <w:tcPr>
            <w:tcW w:w="5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5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Q1 2021 vs. Q1 2020 Actuals</w:t>
            </w:r>
          </w:p>
        </w:tc>
        <w:tc>
          <w:tcPr>
            <w:tcW w:w="60" w:type="dxa"/>
            <w:vAlign w:val="bottom"/>
          </w:tcPr>
          <w:p>
            <w:pPr>
              <w:spacing w:after="0"/>
              <w:rPr>
                <w:sz w:val="18"/>
                <w:szCs w:val="18"/>
                <w:color w:val="auto"/>
              </w:rPr>
            </w:pPr>
          </w:p>
        </w:tc>
        <w:tc>
          <w:tcPr>
            <w:tcW w:w="106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b w:val="1"/>
                <w:bCs w:val="1"/>
                <w:color w:val="auto"/>
                <w:w w:val="99"/>
              </w:rPr>
              <w:t>Traditional</w:t>
            </w:r>
          </w:p>
        </w:tc>
        <w:tc>
          <w:tcPr>
            <w:tcW w:w="60" w:type="dxa"/>
            <w:vAlign w:val="bottom"/>
          </w:tcPr>
          <w:p>
            <w:pPr>
              <w:spacing w:after="0"/>
              <w:rPr>
                <w:sz w:val="18"/>
                <w:szCs w:val="18"/>
                <w:color w:val="auto"/>
              </w:rPr>
            </w:pPr>
          </w:p>
        </w:tc>
        <w:tc>
          <w:tcPr>
            <w:tcW w:w="80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b w:val="1"/>
                <w:bCs w:val="1"/>
                <w:color w:val="auto"/>
              </w:rPr>
              <w:t>Digital</w:t>
            </w:r>
          </w:p>
        </w:tc>
        <w:tc>
          <w:tcPr>
            <w:tcW w:w="8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Advanced</w:t>
            </w:r>
          </w:p>
        </w:tc>
        <w:tc>
          <w:tcPr>
            <w:tcW w:w="6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260" w:type="dxa"/>
            <w:vAlign w:val="bottom"/>
            <w:vMerge w:val="continue"/>
            <w:shd w:val="clear" w:color="auto" w:fill="CCEEFF"/>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gridSpan w:val="2"/>
            <w:vMerge w:val="continue"/>
            <w:shd w:val="clear" w:color="auto" w:fill="CCEEFF"/>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2"/>
            <w:vMerge w:val="continue"/>
            <w:shd w:val="clear" w:color="auto" w:fill="CCEEFF"/>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vMerge w:val="restart"/>
            <w:shd w:val="clear" w:color="auto" w:fill="CCEEFF"/>
          </w:tcPr>
          <w:p>
            <w:pPr>
              <w:ind w:left="60"/>
              <w:spacing w:after="0"/>
              <w:rPr>
                <w:sz w:val="20"/>
                <w:szCs w:val="20"/>
                <w:color w:val="auto"/>
              </w:rPr>
            </w:pPr>
            <w:r>
              <w:rPr>
                <w:rFonts w:ascii="Arial" w:cs="Arial" w:eastAsia="Arial" w:hAnsi="Arial"/>
                <w:sz w:val="18"/>
                <w:szCs w:val="18"/>
                <w:b w:val="1"/>
                <w:bCs w:val="1"/>
                <w:color w:val="auto"/>
                <w:w w:val="97"/>
              </w:rPr>
              <w:t>Materials &amp;</w:t>
            </w:r>
          </w:p>
        </w:tc>
        <w:tc>
          <w:tcPr>
            <w:tcW w:w="60" w:type="dxa"/>
            <w:vAlign w:val="bottom"/>
          </w:tcPr>
          <w:p>
            <w:pPr>
              <w:spacing w:after="0"/>
              <w:rPr>
                <w:sz w:val="9"/>
                <w:szCs w:val="9"/>
                <w:color w:val="auto"/>
              </w:rPr>
            </w:pP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Brand</w:t>
            </w:r>
          </w:p>
        </w:tc>
        <w:tc>
          <w:tcPr>
            <w:tcW w:w="80" w:type="dxa"/>
            <w:vAlign w:val="bottom"/>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80"/>
        </w:trPr>
        <w:tc>
          <w:tcPr>
            <w:tcW w:w="5260" w:type="dxa"/>
            <w:vAlign w:val="bottom"/>
            <w:shd w:val="clear" w:color="auto" w:fill="CCEEFF"/>
          </w:tcPr>
          <w:p>
            <w:pPr>
              <w:jc w:val="center"/>
              <w:spacing w:after="0" w:line="181" w:lineRule="exact"/>
              <w:rPr>
                <w:sz w:val="20"/>
                <w:szCs w:val="20"/>
                <w:color w:val="auto"/>
              </w:rPr>
            </w:pPr>
            <w:r>
              <w:rPr>
                <w:rFonts w:ascii="Arial" w:cs="Arial" w:eastAsia="Arial" w:hAnsi="Arial"/>
                <w:sz w:val="18"/>
                <w:szCs w:val="18"/>
                <w:b w:val="1"/>
                <w:bCs w:val="1"/>
                <w:color w:val="auto"/>
                <w:w w:val="97"/>
              </w:rPr>
              <w:t>B/(W)</w:t>
            </w:r>
          </w:p>
        </w:tc>
        <w:tc>
          <w:tcPr>
            <w:tcW w:w="60" w:type="dxa"/>
            <w:vAlign w:val="bottom"/>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90"/>
              <w:spacing w:after="0" w:line="181" w:lineRule="exact"/>
              <w:rPr>
                <w:sz w:val="20"/>
                <w:szCs w:val="20"/>
                <w:color w:val="auto"/>
              </w:rPr>
            </w:pPr>
            <w:r>
              <w:rPr>
                <w:rFonts w:ascii="Arial" w:cs="Arial" w:eastAsia="Arial" w:hAnsi="Arial"/>
                <w:sz w:val="18"/>
                <w:szCs w:val="18"/>
                <w:b w:val="1"/>
                <w:bCs w:val="1"/>
                <w:color w:val="auto"/>
                <w:w w:val="91"/>
              </w:rPr>
              <w:t>Printing</w:t>
            </w:r>
          </w:p>
        </w:tc>
        <w:tc>
          <w:tcPr>
            <w:tcW w:w="60" w:type="dxa"/>
            <w:vAlign w:val="bottom"/>
          </w:tcPr>
          <w:p>
            <w:pPr>
              <w:spacing w:after="0"/>
              <w:rPr>
                <w:sz w:val="15"/>
                <w:szCs w:val="15"/>
                <w:color w:val="auto"/>
              </w:rPr>
            </w:pPr>
          </w:p>
        </w:tc>
        <w:tc>
          <w:tcPr>
            <w:tcW w:w="800" w:type="dxa"/>
            <w:vAlign w:val="bottom"/>
            <w:gridSpan w:val="2"/>
            <w:shd w:val="clear" w:color="auto" w:fill="CCEEFF"/>
          </w:tcPr>
          <w:p>
            <w:pPr>
              <w:ind w:left="120"/>
              <w:spacing w:after="0" w:line="181" w:lineRule="exact"/>
              <w:rPr>
                <w:sz w:val="20"/>
                <w:szCs w:val="20"/>
                <w:color w:val="auto"/>
              </w:rPr>
            </w:pPr>
            <w:r>
              <w:rPr>
                <w:rFonts w:ascii="Arial" w:cs="Arial" w:eastAsia="Arial" w:hAnsi="Arial"/>
                <w:sz w:val="18"/>
                <w:szCs w:val="18"/>
                <w:b w:val="1"/>
                <w:bCs w:val="1"/>
                <w:color w:val="auto"/>
                <w:w w:val="96"/>
              </w:rPr>
              <w:t>Printing</w:t>
            </w:r>
          </w:p>
        </w:tc>
        <w:tc>
          <w:tcPr>
            <w:tcW w:w="80" w:type="dxa"/>
            <w:vAlign w:val="bottom"/>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6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b w:val="1"/>
                <w:bCs w:val="1"/>
                <w:color w:val="auto"/>
                <w:w w:val="95"/>
              </w:rPr>
              <w:t>Chemicals</w:t>
            </w:r>
          </w:p>
        </w:tc>
        <w:tc>
          <w:tcPr>
            <w:tcW w:w="60" w:type="dxa"/>
            <w:vAlign w:val="bottom"/>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26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60" w:type="dxa"/>
            <w:vAlign w:val="bottom"/>
          </w:tcPr>
          <w:p>
            <w:pPr>
              <w:spacing w:after="0"/>
              <w:rPr>
                <w:sz w:val="20"/>
                <w:szCs w:val="20"/>
                <w:color w:val="auto"/>
              </w:rPr>
            </w:pPr>
          </w:p>
        </w:tc>
        <w:tc>
          <w:tcPr>
            <w:tcW w:w="240" w:type="dxa"/>
            <w:vAlign w:val="bottom"/>
          </w:tcPr>
          <w:p>
            <w:pPr>
              <w:ind w:left="14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(6)</w:t>
            </w:r>
          </w:p>
        </w:tc>
        <w:tc>
          <w:tcPr>
            <w:tcW w:w="60" w:type="dxa"/>
            <w:vAlign w:val="bottom"/>
          </w:tcPr>
          <w:p>
            <w:pPr>
              <w:spacing w:after="0"/>
              <w:rPr>
                <w:sz w:val="20"/>
                <w:szCs w:val="20"/>
                <w:color w:val="auto"/>
              </w:rPr>
            </w:pPr>
          </w:p>
        </w:tc>
        <w:tc>
          <w:tcPr>
            <w:tcW w:w="34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ind w:right="1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20"/>
                <w:szCs w:val="20"/>
                <w:color w:val="auto"/>
              </w:rPr>
            </w:pPr>
          </w:p>
        </w:tc>
        <w:tc>
          <w:tcPr>
            <w:tcW w:w="140" w:type="dxa"/>
            <w:vAlign w:val="bottom"/>
          </w:tcPr>
          <w:p>
            <w:pPr>
              <w:ind w:left="60"/>
              <w:spacing w:after="0"/>
              <w:rPr>
                <w:sz w:val="20"/>
                <w:szCs w:val="20"/>
                <w:color w:val="auto"/>
              </w:rPr>
            </w:pPr>
            <w:r>
              <w:rPr>
                <w:rFonts w:ascii="Arial" w:cs="Arial" w:eastAsia="Arial" w:hAnsi="Arial"/>
                <w:sz w:val="15"/>
                <w:szCs w:val="15"/>
                <w:b w:val="1"/>
                <w:bCs w:val="1"/>
                <w:color w:val="auto"/>
                <w:w w:val="71"/>
              </w:rPr>
              <w:t>$</w:t>
            </w: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rPr>
              <w:t>4</w:t>
            </w:r>
          </w:p>
        </w:tc>
        <w:tc>
          <w:tcPr>
            <w:tcW w:w="60" w:type="dxa"/>
            <w:vAlign w:val="bottom"/>
          </w:tcPr>
          <w:p>
            <w:pPr>
              <w:spacing w:after="0"/>
              <w:rPr>
                <w:sz w:val="20"/>
                <w:szCs w:val="20"/>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38"/>
        </w:trPr>
        <w:tc>
          <w:tcPr>
            <w:tcW w:w="5260" w:type="dxa"/>
            <w:vAlign w:val="bottom"/>
          </w:tcPr>
          <w:p>
            <w:pPr>
              <w:spacing w:after="0"/>
              <w:rPr>
                <w:sz w:val="20"/>
                <w:szCs w:val="20"/>
                <w:color w:val="auto"/>
              </w:rPr>
            </w:pPr>
            <w:r>
              <w:rPr>
                <w:rFonts w:ascii="Arial" w:cs="Arial" w:eastAsia="Arial" w:hAnsi="Arial"/>
                <w:sz w:val="18"/>
                <w:szCs w:val="18"/>
                <w:b w:val="1"/>
                <w:bCs w:val="1"/>
                <w:color w:val="auto"/>
              </w:rPr>
              <w:t>Operational EBITDA *</w:t>
            </w:r>
          </w:p>
        </w:tc>
        <w:tc>
          <w:tcPr>
            <w:tcW w:w="300" w:type="dxa"/>
            <w:vAlign w:val="bottom"/>
            <w:gridSpan w:val="2"/>
          </w:tcPr>
          <w:p>
            <w:pPr>
              <w:ind w:left="20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ind w:right="90"/>
              <w:spacing w:after="0"/>
              <w:rPr>
                <w:sz w:val="20"/>
                <w:szCs w:val="20"/>
                <w:color w:val="auto"/>
              </w:rPr>
            </w:pPr>
            <w:r>
              <w:rPr>
                <w:rFonts w:ascii="Arial" w:cs="Arial" w:eastAsia="Arial" w:hAnsi="Arial"/>
                <w:sz w:val="18"/>
                <w:szCs w:val="18"/>
                <w:b w:val="1"/>
                <w:bCs w:val="1"/>
                <w:color w:val="auto"/>
              </w:rPr>
              <w:t>4</w:t>
            </w:r>
          </w:p>
        </w:tc>
        <w:tc>
          <w:tcPr>
            <w:tcW w:w="40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ind w:right="70"/>
              <w:spacing w:after="0"/>
              <w:rPr>
                <w:sz w:val="20"/>
                <w:szCs w:val="20"/>
                <w:color w:val="auto"/>
              </w:rPr>
            </w:pPr>
            <w:r>
              <w:rPr>
                <w:rFonts w:ascii="Arial" w:cs="Arial" w:eastAsia="Arial" w:hAnsi="Arial"/>
                <w:sz w:val="18"/>
                <w:szCs w:val="18"/>
                <w:b w:val="1"/>
                <w:bCs w:val="1"/>
                <w:color w:val="auto"/>
              </w:rPr>
              <w:t>2</w:t>
            </w:r>
          </w:p>
        </w:tc>
        <w:tc>
          <w:tcPr>
            <w:tcW w:w="220" w:type="dxa"/>
            <w:vAlign w:val="bottom"/>
            <w:gridSpan w:val="2"/>
          </w:tcPr>
          <w:p>
            <w:pPr>
              <w:ind w:left="140"/>
              <w:spacing w:after="0"/>
              <w:rPr>
                <w:sz w:val="20"/>
                <w:szCs w:val="20"/>
                <w:color w:val="auto"/>
              </w:rPr>
            </w:pPr>
            <w:r>
              <w:rPr>
                <w:rFonts w:ascii="Arial" w:cs="Arial" w:eastAsia="Arial" w:hAnsi="Arial"/>
                <w:sz w:val="15"/>
                <w:szCs w:val="15"/>
                <w:b w:val="1"/>
                <w:bCs w:val="1"/>
                <w:color w:val="auto"/>
                <w:w w:val="71"/>
              </w:rPr>
              <w:t>$</w:t>
            </w: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rPr>
              <w:t>5</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3"/>
          </w:tcPr>
          <w:p>
            <w:pPr>
              <w:jc w:val="right"/>
              <w:spacing w:after="0"/>
              <w:rPr>
                <w:sz w:val="20"/>
                <w:szCs w:val="20"/>
                <w:color w:val="auto"/>
              </w:rPr>
            </w:pPr>
            <w:r>
              <w:rPr>
                <w:rFonts w:ascii="Arial" w:cs="Arial" w:eastAsia="Arial" w:hAnsi="Arial"/>
                <w:sz w:val="18"/>
                <w:szCs w:val="18"/>
                <w:b w:val="1"/>
                <w:bCs w:val="1"/>
                <w:color w:val="auto"/>
              </w:rPr>
              <w:t>- $</w:t>
            </w:r>
          </w:p>
        </w:tc>
        <w:tc>
          <w:tcPr>
            <w:tcW w:w="480" w:type="dxa"/>
            <w:vAlign w:val="bottom"/>
          </w:tcPr>
          <w:p>
            <w:pPr>
              <w:jc w:val="right"/>
              <w:ind w:right="30"/>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56"/>
        </w:trPr>
        <w:tc>
          <w:tcPr>
            <w:tcW w:w="5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5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Q1 2021 Actuals on constant currency ** vs. Q1 2020 Actuals</w:t>
            </w:r>
          </w:p>
        </w:tc>
        <w:tc>
          <w:tcPr>
            <w:tcW w:w="60" w:type="dxa"/>
            <w:vAlign w:val="bottom"/>
          </w:tcPr>
          <w:p>
            <w:pPr>
              <w:spacing w:after="0"/>
              <w:rPr>
                <w:sz w:val="18"/>
                <w:szCs w:val="18"/>
                <w:color w:val="auto"/>
              </w:rPr>
            </w:pPr>
          </w:p>
        </w:tc>
        <w:tc>
          <w:tcPr>
            <w:tcW w:w="106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b w:val="1"/>
                <w:bCs w:val="1"/>
                <w:color w:val="auto"/>
                <w:w w:val="99"/>
              </w:rPr>
              <w:t>Traditional</w:t>
            </w:r>
          </w:p>
        </w:tc>
        <w:tc>
          <w:tcPr>
            <w:tcW w:w="60" w:type="dxa"/>
            <w:vAlign w:val="bottom"/>
          </w:tcPr>
          <w:p>
            <w:pPr>
              <w:spacing w:after="0"/>
              <w:rPr>
                <w:sz w:val="18"/>
                <w:szCs w:val="18"/>
                <w:color w:val="auto"/>
              </w:rPr>
            </w:pPr>
          </w:p>
        </w:tc>
        <w:tc>
          <w:tcPr>
            <w:tcW w:w="80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b w:val="1"/>
                <w:bCs w:val="1"/>
                <w:color w:val="auto"/>
              </w:rPr>
              <w:t>Digital</w:t>
            </w:r>
          </w:p>
        </w:tc>
        <w:tc>
          <w:tcPr>
            <w:tcW w:w="8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Advanced</w:t>
            </w:r>
          </w:p>
        </w:tc>
        <w:tc>
          <w:tcPr>
            <w:tcW w:w="6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260" w:type="dxa"/>
            <w:vAlign w:val="bottom"/>
            <w:vMerge w:val="continue"/>
            <w:shd w:val="clear" w:color="auto" w:fill="CCEEFF"/>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gridSpan w:val="2"/>
            <w:vMerge w:val="continue"/>
            <w:shd w:val="clear" w:color="auto" w:fill="CCEEFF"/>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2"/>
            <w:vMerge w:val="continue"/>
            <w:shd w:val="clear" w:color="auto" w:fill="CCEEFF"/>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vMerge w:val="restart"/>
            <w:shd w:val="clear" w:color="auto" w:fill="CCEEFF"/>
          </w:tcPr>
          <w:p>
            <w:pPr>
              <w:ind w:left="60"/>
              <w:spacing w:after="0"/>
              <w:rPr>
                <w:sz w:val="20"/>
                <w:szCs w:val="20"/>
                <w:color w:val="auto"/>
              </w:rPr>
            </w:pPr>
            <w:r>
              <w:rPr>
                <w:rFonts w:ascii="Arial" w:cs="Arial" w:eastAsia="Arial" w:hAnsi="Arial"/>
                <w:sz w:val="18"/>
                <w:szCs w:val="18"/>
                <w:b w:val="1"/>
                <w:bCs w:val="1"/>
                <w:color w:val="auto"/>
                <w:w w:val="97"/>
              </w:rPr>
              <w:t>Materials &amp;</w:t>
            </w:r>
          </w:p>
        </w:tc>
        <w:tc>
          <w:tcPr>
            <w:tcW w:w="60" w:type="dxa"/>
            <w:vAlign w:val="bottom"/>
          </w:tcPr>
          <w:p>
            <w:pPr>
              <w:spacing w:after="0"/>
              <w:rPr>
                <w:sz w:val="9"/>
                <w:szCs w:val="9"/>
                <w:color w:val="auto"/>
              </w:rPr>
            </w:pP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Brand</w:t>
            </w:r>
          </w:p>
        </w:tc>
        <w:tc>
          <w:tcPr>
            <w:tcW w:w="80" w:type="dxa"/>
            <w:vAlign w:val="bottom"/>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80"/>
        </w:trPr>
        <w:tc>
          <w:tcPr>
            <w:tcW w:w="5260" w:type="dxa"/>
            <w:vAlign w:val="bottom"/>
            <w:shd w:val="clear" w:color="auto" w:fill="CCEEFF"/>
          </w:tcPr>
          <w:p>
            <w:pPr>
              <w:jc w:val="center"/>
              <w:spacing w:after="0" w:line="181" w:lineRule="exact"/>
              <w:rPr>
                <w:sz w:val="20"/>
                <w:szCs w:val="20"/>
                <w:color w:val="auto"/>
              </w:rPr>
            </w:pPr>
            <w:r>
              <w:rPr>
                <w:rFonts w:ascii="Arial" w:cs="Arial" w:eastAsia="Arial" w:hAnsi="Arial"/>
                <w:sz w:val="18"/>
                <w:szCs w:val="18"/>
                <w:b w:val="1"/>
                <w:bCs w:val="1"/>
                <w:color w:val="auto"/>
                <w:w w:val="97"/>
              </w:rPr>
              <w:t>B/(W)</w:t>
            </w:r>
          </w:p>
        </w:tc>
        <w:tc>
          <w:tcPr>
            <w:tcW w:w="60" w:type="dxa"/>
            <w:vAlign w:val="bottom"/>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90"/>
              <w:spacing w:after="0" w:line="181" w:lineRule="exact"/>
              <w:rPr>
                <w:sz w:val="20"/>
                <w:szCs w:val="20"/>
                <w:color w:val="auto"/>
              </w:rPr>
            </w:pPr>
            <w:r>
              <w:rPr>
                <w:rFonts w:ascii="Arial" w:cs="Arial" w:eastAsia="Arial" w:hAnsi="Arial"/>
                <w:sz w:val="18"/>
                <w:szCs w:val="18"/>
                <w:b w:val="1"/>
                <w:bCs w:val="1"/>
                <w:color w:val="auto"/>
                <w:w w:val="91"/>
              </w:rPr>
              <w:t>Printing</w:t>
            </w:r>
          </w:p>
        </w:tc>
        <w:tc>
          <w:tcPr>
            <w:tcW w:w="60" w:type="dxa"/>
            <w:vAlign w:val="bottom"/>
          </w:tcPr>
          <w:p>
            <w:pPr>
              <w:spacing w:after="0"/>
              <w:rPr>
                <w:sz w:val="15"/>
                <w:szCs w:val="15"/>
                <w:color w:val="auto"/>
              </w:rPr>
            </w:pPr>
          </w:p>
        </w:tc>
        <w:tc>
          <w:tcPr>
            <w:tcW w:w="800" w:type="dxa"/>
            <w:vAlign w:val="bottom"/>
            <w:gridSpan w:val="2"/>
            <w:shd w:val="clear" w:color="auto" w:fill="CCEEFF"/>
          </w:tcPr>
          <w:p>
            <w:pPr>
              <w:ind w:left="120"/>
              <w:spacing w:after="0" w:line="181" w:lineRule="exact"/>
              <w:rPr>
                <w:sz w:val="20"/>
                <w:szCs w:val="20"/>
                <w:color w:val="auto"/>
              </w:rPr>
            </w:pPr>
            <w:r>
              <w:rPr>
                <w:rFonts w:ascii="Arial" w:cs="Arial" w:eastAsia="Arial" w:hAnsi="Arial"/>
                <w:sz w:val="18"/>
                <w:szCs w:val="18"/>
                <w:b w:val="1"/>
                <w:bCs w:val="1"/>
                <w:color w:val="auto"/>
                <w:w w:val="96"/>
              </w:rPr>
              <w:t>Printing</w:t>
            </w:r>
          </w:p>
        </w:tc>
        <w:tc>
          <w:tcPr>
            <w:tcW w:w="80" w:type="dxa"/>
            <w:vAlign w:val="bottom"/>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6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b w:val="1"/>
                <w:bCs w:val="1"/>
                <w:color w:val="auto"/>
                <w:w w:val="95"/>
              </w:rPr>
              <w:t>Chemicals</w:t>
            </w:r>
          </w:p>
        </w:tc>
        <w:tc>
          <w:tcPr>
            <w:tcW w:w="60" w:type="dxa"/>
            <w:vAlign w:val="bottom"/>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26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60" w:type="dxa"/>
            <w:vAlign w:val="bottom"/>
          </w:tcPr>
          <w:p>
            <w:pPr>
              <w:spacing w:after="0"/>
              <w:rPr>
                <w:sz w:val="20"/>
                <w:szCs w:val="20"/>
                <w:color w:val="auto"/>
              </w:rPr>
            </w:pPr>
          </w:p>
        </w:tc>
        <w:tc>
          <w:tcPr>
            <w:tcW w:w="240" w:type="dxa"/>
            <w:vAlign w:val="bottom"/>
          </w:tcPr>
          <w:p>
            <w:pPr>
              <w:ind w:left="14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(13)</w:t>
            </w:r>
          </w:p>
        </w:tc>
        <w:tc>
          <w:tcPr>
            <w:tcW w:w="60" w:type="dxa"/>
            <w:vAlign w:val="bottom"/>
          </w:tcPr>
          <w:p>
            <w:pPr>
              <w:spacing w:after="0"/>
              <w:rPr>
                <w:sz w:val="20"/>
                <w:szCs w:val="20"/>
                <w:color w:val="auto"/>
              </w:rPr>
            </w:pPr>
          </w:p>
        </w:tc>
        <w:tc>
          <w:tcPr>
            <w:tcW w:w="34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ind w:right="10"/>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20"/>
                <w:szCs w:val="20"/>
                <w:color w:val="auto"/>
              </w:rPr>
            </w:pPr>
          </w:p>
        </w:tc>
        <w:tc>
          <w:tcPr>
            <w:tcW w:w="140" w:type="dxa"/>
            <w:vAlign w:val="bottom"/>
          </w:tcPr>
          <w:p>
            <w:pPr>
              <w:ind w:left="60"/>
              <w:spacing w:after="0"/>
              <w:rPr>
                <w:sz w:val="20"/>
                <w:szCs w:val="20"/>
                <w:color w:val="auto"/>
              </w:rPr>
            </w:pPr>
            <w:r>
              <w:rPr>
                <w:rFonts w:ascii="Arial" w:cs="Arial" w:eastAsia="Arial" w:hAnsi="Arial"/>
                <w:sz w:val="15"/>
                <w:szCs w:val="15"/>
                <w:b w:val="1"/>
                <w:bCs w:val="1"/>
                <w:color w:val="auto"/>
                <w:w w:val="71"/>
              </w:rPr>
              <w:t>$</w:t>
            </w: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rPr>
              <w:t>4</w:t>
            </w:r>
          </w:p>
        </w:tc>
        <w:tc>
          <w:tcPr>
            <w:tcW w:w="60" w:type="dxa"/>
            <w:vAlign w:val="bottom"/>
          </w:tcPr>
          <w:p>
            <w:pPr>
              <w:spacing w:after="0"/>
              <w:rPr>
                <w:sz w:val="20"/>
                <w:szCs w:val="20"/>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38"/>
        </w:trPr>
        <w:tc>
          <w:tcPr>
            <w:tcW w:w="5260" w:type="dxa"/>
            <w:vAlign w:val="bottom"/>
          </w:tcPr>
          <w:p>
            <w:pPr>
              <w:spacing w:after="0"/>
              <w:rPr>
                <w:sz w:val="20"/>
                <w:szCs w:val="20"/>
                <w:color w:val="auto"/>
              </w:rPr>
            </w:pPr>
            <w:r>
              <w:rPr>
                <w:rFonts w:ascii="Arial" w:cs="Arial" w:eastAsia="Arial" w:hAnsi="Arial"/>
                <w:sz w:val="18"/>
                <w:szCs w:val="18"/>
                <w:b w:val="1"/>
                <w:bCs w:val="1"/>
                <w:color w:val="auto"/>
              </w:rPr>
              <w:t>Operational EBITDA *</w:t>
            </w:r>
          </w:p>
        </w:tc>
        <w:tc>
          <w:tcPr>
            <w:tcW w:w="300" w:type="dxa"/>
            <w:vAlign w:val="bottom"/>
            <w:gridSpan w:val="2"/>
          </w:tcPr>
          <w:p>
            <w:pPr>
              <w:ind w:left="20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ind w:right="90"/>
              <w:spacing w:after="0"/>
              <w:rPr>
                <w:sz w:val="20"/>
                <w:szCs w:val="20"/>
                <w:color w:val="auto"/>
              </w:rPr>
            </w:pPr>
            <w:r>
              <w:rPr>
                <w:rFonts w:ascii="Arial" w:cs="Arial" w:eastAsia="Arial" w:hAnsi="Arial"/>
                <w:sz w:val="18"/>
                <w:szCs w:val="18"/>
                <w:b w:val="1"/>
                <w:bCs w:val="1"/>
                <w:color w:val="auto"/>
              </w:rPr>
              <w:t>5</w:t>
            </w:r>
          </w:p>
        </w:tc>
        <w:tc>
          <w:tcPr>
            <w:tcW w:w="40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ind w:right="70"/>
              <w:spacing w:after="0"/>
              <w:rPr>
                <w:sz w:val="20"/>
                <w:szCs w:val="20"/>
                <w:color w:val="auto"/>
              </w:rPr>
            </w:pPr>
            <w:r>
              <w:rPr>
                <w:rFonts w:ascii="Arial" w:cs="Arial" w:eastAsia="Arial" w:hAnsi="Arial"/>
                <w:sz w:val="18"/>
                <w:szCs w:val="18"/>
                <w:b w:val="1"/>
                <w:bCs w:val="1"/>
                <w:color w:val="auto"/>
              </w:rPr>
              <w:t>1</w:t>
            </w:r>
          </w:p>
        </w:tc>
        <w:tc>
          <w:tcPr>
            <w:tcW w:w="220" w:type="dxa"/>
            <w:vAlign w:val="bottom"/>
            <w:gridSpan w:val="2"/>
          </w:tcPr>
          <w:p>
            <w:pPr>
              <w:ind w:left="140"/>
              <w:spacing w:after="0"/>
              <w:rPr>
                <w:sz w:val="20"/>
                <w:szCs w:val="20"/>
                <w:color w:val="auto"/>
              </w:rPr>
            </w:pPr>
            <w:r>
              <w:rPr>
                <w:rFonts w:ascii="Arial" w:cs="Arial" w:eastAsia="Arial" w:hAnsi="Arial"/>
                <w:sz w:val="15"/>
                <w:szCs w:val="15"/>
                <w:b w:val="1"/>
                <w:bCs w:val="1"/>
                <w:color w:val="auto"/>
                <w:w w:val="71"/>
              </w:rPr>
              <w:t>$</w:t>
            </w: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rPr>
              <w:t>5</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3"/>
          </w:tcPr>
          <w:p>
            <w:pPr>
              <w:jc w:val="right"/>
              <w:spacing w:after="0"/>
              <w:rPr>
                <w:sz w:val="20"/>
                <w:szCs w:val="20"/>
                <w:color w:val="auto"/>
              </w:rPr>
            </w:pPr>
            <w:r>
              <w:rPr>
                <w:rFonts w:ascii="Arial" w:cs="Arial" w:eastAsia="Arial" w:hAnsi="Arial"/>
                <w:sz w:val="18"/>
                <w:szCs w:val="18"/>
                <w:b w:val="1"/>
                <w:bCs w:val="1"/>
                <w:color w:val="auto"/>
              </w:rPr>
              <w:t>- $</w:t>
            </w:r>
          </w:p>
        </w:tc>
        <w:tc>
          <w:tcPr>
            <w:tcW w:w="480" w:type="dxa"/>
            <w:vAlign w:val="bottom"/>
          </w:tcPr>
          <w:p>
            <w:pPr>
              <w:jc w:val="right"/>
              <w:ind w:right="30"/>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120" w:firstLine="8"/>
        <w:spacing w:after="0" w:line="250" w:lineRule="auto"/>
        <w:tabs>
          <w:tab w:leader="none" w:pos="162" w:val="left"/>
        </w:tabs>
        <w:numPr>
          <w:ilvl w:val="0"/>
          <w:numId w:val="4"/>
        </w:numPr>
        <w:rPr>
          <w:rFonts w:ascii="Arial" w:cs="Arial" w:eastAsia="Arial" w:hAnsi="Arial"/>
          <w:sz w:val="22"/>
          <w:szCs w:val="22"/>
          <w:color w:val="auto"/>
        </w:rPr>
      </w:pPr>
      <w:r>
        <w:rPr>
          <w:rFonts w:ascii="Arial" w:cs="Arial" w:eastAsia="Arial" w:hAnsi="Arial"/>
          <w:sz w:val="22"/>
          <w:szCs w:val="22"/>
          <w:color w:val="auto"/>
        </w:rPr>
        <w:t>Total Operational EBITDA is a non-GAAP financial measure. The reconciliation between GAAP and non-GAAP measures is provided in Appendix A of this press release.</w:t>
      </w:r>
    </w:p>
    <w:p>
      <w:pPr>
        <w:spacing w:after="0" w:line="175" w:lineRule="exact"/>
        <w:rPr>
          <w:sz w:val="20"/>
          <w:szCs w:val="20"/>
          <w:color w:val="auto"/>
        </w:rPr>
      </w:pPr>
    </w:p>
    <w:p>
      <w:pPr>
        <w:ind w:firstLine="8"/>
        <w:spacing w:after="0"/>
        <w:tabs>
          <w:tab w:leader="none" w:pos="27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impact of foreign exchange represents the 2021 foreign exchange impact using average foreign exchange rates for the three months ended March 31, 2020, rather than the actual average exchange rates in effect for the three months ended March 31, 2021.</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Eastman Business Park segment is not a reportable segment and is excluded from the table above.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Kodak</w:t>
      </w:r>
    </w:p>
    <w:p>
      <w:pPr>
        <w:spacing w:after="0" w:line="212" w:lineRule="exact"/>
        <w:rPr>
          <w:sz w:val="20"/>
          <w:szCs w:val="20"/>
          <w:color w:val="auto"/>
        </w:rPr>
      </w:pPr>
    </w:p>
    <w:p>
      <w:pPr>
        <w:ind w:right="20"/>
        <w:spacing w:after="0" w:line="248" w:lineRule="auto"/>
        <w:rPr>
          <w:sz w:val="20"/>
          <w:szCs w:val="20"/>
          <w:color w:val="auto"/>
        </w:rPr>
      </w:pPr>
      <w:r>
        <w:rPr>
          <w:rFonts w:ascii="Arial" w:cs="Arial" w:eastAsia="Arial" w:hAnsi="Arial"/>
          <w:sz w:val="21"/>
          <w:szCs w:val="21"/>
          <w:color w:val="auto"/>
        </w:rPr>
        <w:t>Kodak is a global technology company focused on print and advanced materials &amp; chemicals. We provide industry-leading hardware, software, consumables and services primarily to customers in commercial print, packaging, publishing, manufacturing and entertainment. We are committed to environmental stewardship and ongoing leadership in developing sustainable solutions. Our broad portfolio of superior products, responsive support and world-class R&amp;D make Kodak solutions a smart investment for customers looking to improve their profitability and drive growth. For additional information on Kodak, visit us at kodak.com, follow us on Twitter @Kodak, or like us on Facebook at Kodak.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78" w:right="39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212" w:lineRule="exact"/>
        <w:rPr>
          <w:sz w:val="20"/>
          <w:szCs w:val="20"/>
          <w:color w:val="auto"/>
        </w:rPr>
      </w:pPr>
    </w:p>
    <w:p>
      <w:pPr>
        <w:ind w:right="60"/>
        <w:spacing w:after="0" w:line="245" w:lineRule="auto"/>
        <w:rPr>
          <w:sz w:val="20"/>
          <w:szCs w:val="20"/>
          <w:color w:val="auto"/>
        </w:rPr>
      </w:pPr>
      <w:r>
        <w:rPr>
          <w:rFonts w:ascii="Arial" w:cs="Arial" w:eastAsia="Arial" w:hAnsi="Arial"/>
          <w:sz w:val="21"/>
          <w:szCs w:val="21"/>
          <w:color w:val="auto"/>
        </w:rPr>
        <w:t>This press release includes “forward-looking statements” as that term is defined under the Private Securities Litigation Reform Act of 1995. Forward-looking statements include statements concerning Kodak’s plans, objectives, goals, strategies, future events, future revenue or performance, capital expenditures, liquidity, investments, financing needs and business trends and other information that is not historical information. When used in this press release, the words “estimates,” “expects,” “anticipates,” “projects,” “plans,” “intends,” “believes,” “predicts,” “forecasts,” “strategy,” “continues,” “goals,” “targets” or future or conditional verbs, such as “will,” “should,” “could,” or “may,” and similar expressions, as well as statements that do not relate strictly to historical or current facts, are intended to identify forward-looking statements. All forward-looking statements, including management’s examination of historical operating trends and data, are based upon Kodak’s expectations and various assumptions.</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Future events or results may differ from those anticipated or expressed in the forward-looking statements. Important factors that could cause actual events or results to differ materially from the forward-looking statements include, among others, the risks and uncertainties described in more detail in Kodak’s Annual Report on Form 10-K for the year ended December 31, 2020 under the headings “Business,” “Risk Factors,” “Legal Proceedings” and/or “Management’s Discussion and Analysis of Financial Condition and Results of Operations—Liquidity and Capital Resources,” and in other filings Kodak makes with the U.S. Securities and Exchange Commission from time to time, as well as the following: Kodak’s ability to improve and sustain its operating structure, cash flow, profitability and other financial results; Kodak’s ability to achieve cash forecasts, financial projections and projected growth; Kodak’s ability to achieve the financial and operational results contained in its business plans; Kodak’s ability to comply with the covenants in its various credit facilities; Kodak’s ability to fund continued investments, capital needs and restructuring payments and service its debt and Series B Preferred Stock and Series C Preferred Stock; the impact of the global economic environment or medical epidemics such as the COVID-19 pandemic, including the restrictions and other actions implemented to fight the COVID-19 pandemic; the impact of the investigations, litigations and claims arising out of the circumstances surrounding the announcement by the U.S. International Development Finance Corporation in July 2020 of a potential loan to a subsidiary of Kodak to support the launch of a pharmaceutical initiative; the performance by third parties of their obligations to supply products, components or services to Kodak and the ability to address supply chain disruptions and continue to obtain raw materials and components available from single or limited sources of supply, which may be adversely affected by the COVID-19 pandemic; changes in foreign currency exchange rates, commodity prices, interest rates and tariff rates; Kodak’s ability to effectively anticipate technology trends and develop and market new products, solutions and technologies; Kodak’s ability to effectively compete with large, well-financed industry participants; continued sufficient availability of borrowings and letters of credit under Kodak’s asset based credit facility and letter of credit facility, Kodak’s ability to obtain additional financing if and as needed and Kodak’s ability to provide or facilitate financing for its customers; the potential impact of cyber-attacks and other data security incidents that disrupt Kodak’s operations; and Kodak’s ability to effect strategic transactions, such as acquisitions, strategic alliances, divestitures and similar transactions, or to achieve the benefits sought to be achieved from such strategic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 w:name="page7"/>
    <w:bookmarkEnd w:id="6"/>
    <w:p>
      <w:pPr>
        <w:spacing w:after="0" w:line="282" w:lineRule="auto"/>
        <w:rPr>
          <w:sz w:val="20"/>
          <w:szCs w:val="20"/>
          <w:color w:val="auto"/>
        </w:rPr>
      </w:pPr>
      <w:r>
        <w:rPr>
          <w:rFonts w:ascii="Arial" w:cs="Arial" w:eastAsia="Arial" w:hAnsi="Arial"/>
          <w:sz w:val="19"/>
          <w:szCs w:val="19"/>
          <w:color w:val="auto"/>
        </w:rPr>
        <w:t>There may be other factors that may cause Kodak’s actual results to differ materially from the forward-looking statements. All forward-looking statements attributable to Kodak or persons acting on its behalf apply only as of the date of this press release and are expressly qualified in their entirety by the cautionary statements included or referenced in this press release. Kodak undertakes no obligation to update or revise forward-looking statements to reflect events or circumstances that arise after the date made or to reflect the occurrence of unanticipated events, except as required by law.</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APPENDICES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NON-GAAP MEASURES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In this first quarter 2021 financial results news release, reference is made to the following non-GAAP financial measures:</w:t>
      </w:r>
    </w:p>
    <w:p>
      <w:pPr>
        <w:spacing w:after="0" w:line="21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Operational EBITDA;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Revenues and Operational EBITDA on a constant currency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8" w:lineRule="exact"/>
        <w:rPr>
          <w:sz w:val="20"/>
          <w:szCs w:val="20"/>
          <w:color w:val="auto"/>
        </w:rPr>
      </w:pPr>
    </w:p>
    <w:p>
      <w:pPr>
        <w:jc w:val="both"/>
        <w:ind w:right="180"/>
        <w:spacing w:after="0" w:line="238" w:lineRule="auto"/>
        <w:rPr>
          <w:sz w:val="20"/>
          <w:szCs w:val="20"/>
          <w:color w:val="auto"/>
        </w:rPr>
      </w:pPr>
      <w:r>
        <w:rPr>
          <w:rFonts w:ascii="Arial" w:cs="Arial" w:eastAsia="Arial" w:hAnsi="Arial"/>
          <w:sz w:val="22"/>
          <w:szCs w:val="22"/>
          <w:color w:val="auto"/>
        </w:rPr>
        <w:t>Kodak believes that these non-GAAP measures represent important internal measures of performance. Accordingly, where they are provided, it is to give investors the same financial data management uses with the belief that this information will assist the investment community in properly assessing the underlying performance of Kodak, its financial condition, results of operations and cash flow.</w:t>
      </w:r>
    </w:p>
    <w:p>
      <w:pPr>
        <w:spacing w:after="0" w:line="185" w:lineRule="exact"/>
        <w:rPr>
          <w:sz w:val="20"/>
          <w:szCs w:val="20"/>
          <w:color w:val="auto"/>
        </w:rPr>
      </w:pPr>
    </w:p>
    <w:p>
      <w:pPr>
        <w:ind w:right="180"/>
        <w:spacing w:after="0" w:line="236" w:lineRule="auto"/>
        <w:rPr>
          <w:sz w:val="20"/>
          <w:szCs w:val="20"/>
          <w:color w:val="auto"/>
        </w:rPr>
      </w:pPr>
      <w:r>
        <w:rPr>
          <w:rFonts w:ascii="Arial" w:cs="Arial" w:eastAsia="Arial" w:hAnsi="Arial"/>
          <w:sz w:val="22"/>
          <w:szCs w:val="22"/>
          <w:color w:val="auto"/>
        </w:rPr>
        <w:t>Kodak’s segment measure of profit and loss is an adjusted earnings before interest, taxes, depreciation and amortization (“Operational EBITDA”). Operational EBITDA represents the income from continuing operations excluding the provision for income taxes; non-service cost components of pension and OPEB income; depreciation and amortization expense; restructuring costs; stock-based compensation expense; consulting and other costs; idle costs; other operating income, net; interest expense; and other income, net.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The change in revenues and Operational EBITDA on a constant currency basis, as presented in this financial results news release, is calculated by using average foreign exchange rates for the three months ended March 31, 2020, rather than the actual average exchange rates in effect for the three months ended March 31, 2021.</w:t>
      </w:r>
    </w:p>
    <w:p>
      <w:pPr>
        <w:spacing w:after="0" w:line="186" w:lineRule="exact"/>
        <w:rPr>
          <w:sz w:val="20"/>
          <w:szCs w:val="20"/>
          <w:color w:val="auto"/>
        </w:rPr>
      </w:pPr>
    </w:p>
    <w:p>
      <w:pPr>
        <w:ind w:right="240"/>
        <w:spacing w:after="0" w:line="250" w:lineRule="auto"/>
        <w:rPr>
          <w:sz w:val="20"/>
          <w:szCs w:val="20"/>
          <w:color w:val="auto"/>
        </w:rPr>
      </w:pPr>
      <w:r>
        <w:rPr>
          <w:rFonts w:ascii="Arial" w:cs="Arial" w:eastAsia="Arial" w:hAnsi="Arial"/>
          <w:sz w:val="22"/>
          <w:szCs w:val="22"/>
          <w:color w:val="auto"/>
        </w:rPr>
        <w:t>The following table reconciles the most directly comparable GAAP measure of Net Income (Loss) to Operational EBITDA for the three months ended March 31, 2021 and 2020,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Arial" w:cs="Arial" w:eastAsia="Arial" w:hAnsi="Arial"/>
                <w:sz w:val="18"/>
                <w:szCs w:val="18"/>
                <w:b w:val="1"/>
                <w:bCs w:val="1"/>
                <w:color w:val="auto"/>
              </w:rPr>
              <w:t>(in millions)</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50"/>
        </w:trPr>
        <w:tc>
          <w:tcPr>
            <w:tcW w:w="6180" w:type="dxa"/>
            <w:vAlign w:val="bottom"/>
          </w:tcPr>
          <w:p>
            <w:pPr>
              <w:spacing w:after="0"/>
              <w:rPr>
                <w:sz w:val="21"/>
                <w:szCs w:val="21"/>
                <w:color w:val="auto"/>
              </w:rPr>
            </w:pPr>
          </w:p>
        </w:tc>
        <w:tc>
          <w:tcPr>
            <w:tcW w:w="1340" w:type="dxa"/>
            <w:vAlign w:val="bottom"/>
            <w:gridSpan w:val="5"/>
          </w:tcPr>
          <w:p>
            <w:pPr>
              <w:jc w:val="right"/>
              <w:spacing w:after="0"/>
              <w:rPr>
                <w:sz w:val="20"/>
                <w:szCs w:val="20"/>
                <w:color w:val="auto"/>
              </w:rPr>
            </w:pPr>
            <w:r>
              <w:rPr>
                <w:rFonts w:ascii="Arial" w:cs="Arial" w:eastAsia="Arial" w:hAnsi="Arial"/>
                <w:sz w:val="18"/>
                <w:szCs w:val="18"/>
                <w:b w:val="1"/>
                <w:bCs w:val="1"/>
                <w:color w:val="auto"/>
                <w:w w:val="90"/>
              </w:rPr>
              <w:t>Q1 2021 Q1 2020</w:t>
            </w:r>
          </w:p>
        </w:tc>
        <w:tc>
          <w:tcPr>
            <w:tcW w:w="14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7"/>
              </w:rPr>
              <w:t>Change</w:t>
            </w:r>
          </w:p>
        </w:tc>
      </w:tr>
      <w:tr>
        <w:trPr>
          <w:trHeight w:val="234"/>
        </w:trPr>
        <w:tc>
          <w:tcPr>
            <w:tcW w:w="618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w:t>
            </w:r>
          </w:p>
        </w:tc>
        <w:tc>
          <w:tcPr>
            <w:tcW w:w="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(111)</w:t>
            </w:r>
          </w:p>
        </w:tc>
        <w:tc>
          <w:tcPr>
            <w:tcW w:w="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117</w:t>
            </w:r>
          </w:p>
        </w:tc>
      </w:tr>
      <w:tr>
        <w:trPr>
          <w:trHeight w:val="238"/>
        </w:trPr>
        <w:tc>
          <w:tcPr>
            <w:tcW w:w="6180" w:type="dxa"/>
            <w:vAlign w:val="bottom"/>
          </w:tcPr>
          <w:p>
            <w:pPr>
              <w:spacing w:after="0"/>
              <w:rPr>
                <w:sz w:val="20"/>
                <w:szCs w:val="20"/>
                <w:color w:val="auto"/>
              </w:rPr>
            </w:pPr>
            <w:r>
              <w:rPr>
                <w:rFonts w:ascii="Arial" w:cs="Arial" w:eastAsia="Arial" w:hAnsi="Arial"/>
                <w:sz w:val="18"/>
                <w:szCs w:val="18"/>
                <w:color w:val="auto"/>
              </w:rPr>
              <w:t>All other</w:t>
            </w:r>
          </w:p>
        </w:tc>
        <w:tc>
          <w:tcPr>
            <w:tcW w:w="22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61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6180" w:type="dxa"/>
            <w:vAlign w:val="bottom"/>
          </w:tcPr>
          <w:p>
            <w:pPr>
              <w:spacing w:after="0"/>
              <w:rPr>
                <w:sz w:val="20"/>
                <w:szCs w:val="20"/>
                <w:color w:val="auto"/>
              </w:rPr>
            </w:pPr>
            <w:r>
              <w:rPr>
                <w:rFonts w:ascii="Arial" w:cs="Arial" w:eastAsia="Arial" w:hAnsi="Arial"/>
                <w:sz w:val="18"/>
                <w:szCs w:val="18"/>
                <w:color w:val="auto"/>
              </w:rPr>
              <w:t>Restructuring costs and other</w:t>
            </w:r>
          </w:p>
        </w:tc>
        <w:tc>
          <w:tcPr>
            <w:tcW w:w="2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618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2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46"/>
        </w:trPr>
        <w:tc>
          <w:tcPr>
            <w:tcW w:w="6180" w:type="dxa"/>
            <w:vAlign w:val="bottom"/>
          </w:tcPr>
          <w:p>
            <w:pPr>
              <w:spacing w:after="0" w:line="246" w:lineRule="exact"/>
              <w:rPr>
                <w:sz w:val="20"/>
                <w:szCs w:val="20"/>
                <w:color w:val="auto"/>
              </w:rPr>
            </w:pPr>
            <w:r>
              <w:rPr>
                <w:rFonts w:ascii="Arial" w:cs="Arial" w:eastAsia="Arial" w:hAnsi="Arial"/>
                <w:sz w:val="17"/>
                <w:szCs w:val="17"/>
                <w:color w:val="auto"/>
              </w:rPr>
              <w:t xml:space="preserve">Consulting and other costs </w:t>
            </w:r>
            <w:r>
              <w:rPr>
                <w:rFonts w:ascii="Arial" w:cs="Arial" w:eastAsia="Arial" w:hAnsi="Arial"/>
                <w:sz w:val="28"/>
                <w:szCs w:val="28"/>
                <w:color w:val="auto"/>
                <w:vertAlign w:val="superscript"/>
              </w:rPr>
              <w:t>(1)</w:t>
            </w:r>
          </w:p>
        </w:tc>
        <w:tc>
          <w:tcPr>
            <w:tcW w:w="2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6180" w:type="dxa"/>
            <w:vAlign w:val="bottom"/>
          </w:tcPr>
          <w:p>
            <w:pPr>
              <w:spacing w:after="0" w:line="243" w:lineRule="exact"/>
              <w:rPr>
                <w:sz w:val="20"/>
                <w:szCs w:val="20"/>
                <w:color w:val="auto"/>
              </w:rPr>
            </w:pPr>
            <w:r>
              <w:rPr>
                <w:rFonts w:ascii="Arial" w:cs="Arial" w:eastAsia="Arial" w:hAnsi="Arial"/>
                <w:sz w:val="17"/>
                <w:szCs w:val="17"/>
                <w:color w:val="auto"/>
              </w:rPr>
              <w:t xml:space="preserve">Idle costs </w:t>
            </w:r>
            <w:r>
              <w:rPr>
                <w:rFonts w:ascii="Arial" w:cs="Arial" w:eastAsia="Arial" w:hAnsi="Arial"/>
                <w:sz w:val="28"/>
                <w:szCs w:val="28"/>
                <w:color w:val="auto"/>
                <w:vertAlign w:val="superscript"/>
              </w:rPr>
              <w:t>(2)</w:t>
            </w:r>
          </w:p>
        </w:tc>
        <w:tc>
          <w:tcPr>
            <w:tcW w:w="2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53"/>
        </w:trPr>
        <w:tc>
          <w:tcPr>
            <w:tcW w:w="6180" w:type="dxa"/>
            <w:vAlign w:val="bottom"/>
          </w:tcPr>
          <w:p>
            <w:pPr>
              <w:spacing w:after="0" w:line="252" w:lineRule="exact"/>
              <w:rPr>
                <w:sz w:val="20"/>
                <w:szCs w:val="20"/>
                <w:color w:val="auto"/>
              </w:rPr>
            </w:pPr>
            <w:r>
              <w:rPr>
                <w:rFonts w:ascii="Arial" w:cs="Arial" w:eastAsia="Arial" w:hAnsi="Arial"/>
                <w:sz w:val="18"/>
                <w:szCs w:val="18"/>
                <w:color w:val="auto"/>
                <w:w w:val="90"/>
              </w:rPr>
              <w:t xml:space="preserve">Other operating income, net, excluding income from transition services agreement </w:t>
            </w:r>
            <w:r>
              <w:rPr>
                <w:rFonts w:ascii="Arial" w:cs="Arial" w:eastAsia="Arial" w:hAnsi="Arial"/>
                <w:sz w:val="29"/>
                <w:szCs w:val="29"/>
                <w:color w:val="auto"/>
                <w:w w:val="90"/>
                <w:vertAlign w:val="superscript"/>
              </w:rPr>
              <w:t>(3)</w:t>
            </w:r>
          </w:p>
        </w:tc>
        <w:tc>
          <w:tcPr>
            <w:tcW w:w="2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180" w:type="dxa"/>
            <w:vAlign w:val="bottom"/>
          </w:tcPr>
          <w:p>
            <w:pPr>
              <w:spacing w:after="0"/>
              <w:rPr>
                <w:sz w:val="20"/>
                <w:szCs w:val="20"/>
                <w:color w:val="auto"/>
              </w:rPr>
            </w:pPr>
            <w:r>
              <w:rPr>
                <w:rFonts w:ascii="Arial" w:cs="Arial" w:eastAsia="Arial" w:hAnsi="Arial"/>
                <w:sz w:val="18"/>
                <w:szCs w:val="18"/>
                <w:color w:val="auto"/>
              </w:rPr>
              <w:t>Pension income excluding service cost component</w:t>
            </w:r>
          </w:p>
        </w:tc>
        <w:tc>
          <w:tcPr>
            <w:tcW w:w="2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6180" w:type="dxa"/>
            <w:vAlign w:val="bottom"/>
          </w:tcPr>
          <w:p>
            <w:pPr>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57"/>
        </w:trPr>
        <w:tc>
          <w:tcPr>
            <w:tcW w:w="61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r>
      <w:tr>
        <w:trPr>
          <w:trHeight w:val="237"/>
        </w:trPr>
        <w:tc>
          <w:tcPr>
            <w:tcW w:w="6180" w:type="dxa"/>
            <w:vAlign w:val="bottom"/>
          </w:tcPr>
          <w:p>
            <w:pPr>
              <w:spacing w:after="0"/>
              <w:rPr>
                <w:sz w:val="20"/>
                <w:szCs w:val="20"/>
                <w:color w:val="auto"/>
              </w:rPr>
            </w:pPr>
            <w:r>
              <w:rPr>
                <w:rFonts w:ascii="Arial" w:cs="Arial" w:eastAsia="Arial" w:hAnsi="Arial"/>
                <w:sz w:val="18"/>
                <w:szCs w:val="18"/>
                <w:b w:val="1"/>
                <w:bCs w:val="1"/>
                <w:color w:val="auto"/>
              </w:rPr>
              <w:t>Operational EBITDA</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w:t>
            </w:r>
          </w:p>
        </w:tc>
      </w:tr>
      <w:tr>
        <w:trPr>
          <w:trHeight w:val="20"/>
        </w:trPr>
        <w:tc>
          <w:tcPr>
            <w:tcW w:w="6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Footnote Explanations:</w:t>
      </w:r>
    </w:p>
    <w:p>
      <w:pPr>
        <w:spacing w:after="0" w:line="36" w:lineRule="exact"/>
        <w:rPr>
          <w:sz w:val="20"/>
          <w:szCs w:val="20"/>
          <w:color w:val="auto"/>
        </w:rPr>
      </w:pPr>
    </w:p>
    <w:p>
      <w:pPr>
        <w:ind w:left="360" w:right="960" w:hanging="285"/>
        <w:spacing w:after="0" w:line="266"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Consulting and other costs are primarily professional services and internal costs associated with certain corporate strategic initiatives and investigations.</w:t>
      </w:r>
    </w:p>
    <w:p>
      <w:pPr>
        <w:ind w:left="360" w:right="260" w:hanging="285"/>
        <w:spacing w:after="0" w:line="266"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Consists of third-party costs such as security, maintenance, and utilities required to maintain land and buildings in certain locations not used in any Kodak operations and the costs, net of any rental income received, of underutilized portions of certain properties.</w:t>
      </w:r>
    </w:p>
    <w:p>
      <w:pPr>
        <w:ind w:left="360" w:hanging="285"/>
        <w:spacing w:after="0" w:line="259"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$0 million and $2 million of income from the transition services agreement related to the sale of the Flexographic Packaging Business was recognized in the three months ended March 31, 2021 and 2020, respectively. The income was reported in Other operating income, net in the Consolidated Statement of Operations. Other operating income, net is typically excluded from the segment measure. However, the income from the transition services agreement was included in the segment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35" w:right="39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B. FINANCIAL STATEMENTS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r>
              <w:rPr>
                <w:rFonts w:ascii="Arial" w:cs="Arial" w:eastAsia="Arial" w:hAnsi="Arial"/>
                <w:sz w:val="18"/>
                <w:szCs w:val="18"/>
                <w:b w:val="1"/>
                <w:bCs w:val="1"/>
                <w:color w:val="auto"/>
              </w:rPr>
              <w:t>EASTMAN KODAK COMPANY</w:t>
            </w: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3"/>
        </w:trPr>
        <w:tc>
          <w:tcPr>
            <w:tcW w:w="8220" w:type="dxa"/>
            <w:vAlign w:val="bottom"/>
          </w:tcPr>
          <w:p>
            <w:pPr>
              <w:spacing w:after="0"/>
              <w:rPr>
                <w:sz w:val="20"/>
                <w:szCs w:val="20"/>
                <w:color w:val="auto"/>
              </w:rPr>
            </w:pPr>
            <w:r>
              <w:rPr>
                <w:rFonts w:ascii="Arial" w:cs="Arial" w:eastAsia="Arial" w:hAnsi="Arial"/>
                <w:sz w:val="18"/>
                <w:szCs w:val="18"/>
                <w:b w:val="1"/>
                <w:bCs w:val="1"/>
                <w:color w:val="auto"/>
              </w:rPr>
              <w:t>CONSOLIDATED STATEMENT OF OPERATIONS (Unaudited)</w:t>
            </w:r>
          </w:p>
        </w:tc>
        <w:tc>
          <w:tcPr>
            <w:tcW w:w="10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8220" w:type="dxa"/>
            <w:vAlign w:val="bottom"/>
          </w:tcPr>
          <w:p>
            <w:pPr>
              <w:spacing w:after="0"/>
              <w:rPr>
                <w:sz w:val="20"/>
                <w:szCs w:val="20"/>
                <w:color w:val="auto"/>
              </w:rPr>
            </w:pPr>
            <w:r>
              <w:rPr>
                <w:rFonts w:ascii="Arial" w:cs="Arial" w:eastAsia="Arial" w:hAnsi="Arial"/>
                <w:sz w:val="18"/>
                <w:szCs w:val="18"/>
                <w:b w:val="1"/>
                <w:bCs w:val="1"/>
                <w:color w:val="auto"/>
              </w:rPr>
              <w:t>(in millions)</w:t>
            </w:r>
          </w:p>
        </w:tc>
        <w:tc>
          <w:tcPr>
            <w:tcW w:w="10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0"/>
        </w:trPr>
        <w:tc>
          <w:tcPr>
            <w:tcW w:w="8220" w:type="dxa"/>
            <w:vAlign w:val="bottom"/>
          </w:tcPr>
          <w:p>
            <w:pPr>
              <w:spacing w:after="0"/>
              <w:rPr>
                <w:sz w:val="21"/>
                <w:szCs w:val="21"/>
                <w:color w:val="auto"/>
              </w:rPr>
            </w:pPr>
          </w:p>
        </w:tc>
        <w:tc>
          <w:tcPr>
            <w:tcW w:w="302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8"/>
                <w:szCs w:val="18"/>
                <w:b w:val="1"/>
                <w:bCs w:val="1"/>
                <w:color w:val="auto"/>
              </w:rPr>
              <w:t>Three Months Ended March 31,</w:t>
            </w:r>
          </w:p>
        </w:tc>
      </w:tr>
      <w:tr>
        <w:trPr>
          <w:trHeight w:val="237"/>
        </w:trPr>
        <w:tc>
          <w:tcPr>
            <w:tcW w:w="822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36"/>
        </w:trPr>
        <w:tc>
          <w:tcPr>
            <w:tcW w:w="8220" w:type="dxa"/>
            <w:vAlign w:val="bottom"/>
          </w:tcPr>
          <w:p>
            <w:pPr>
              <w:spacing w:after="0"/>
              <w:rPr>
                <w:sz w:val="20"/>
                <w:szCs w:val="20"/>
                <w:color w:val="auto"/>
              </w:rPr>
            </w:pPr>
            <w:r>
              <w:rPr>
                <w:rFonts w:ascii="Arial" w:cs="Arial" w:eastAsia="Arial" w:hAnsi="Arial"/>
                <w:sz w:val="18"/>
                <w:szCs w:val="18"/>
                <w:color w:val="auto"/>
              </w:rPr>
              <w:t>Revenues</w:t>
            </w: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0"/>
        </w:trPr>
        <w:tc>
          <w:tcPr>
            <w:tcW w:w="8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Sales</w:t>
            </w:r>
          </w:p>
        </w:tc>
        <w:tc>
          <w:tcPr>
            <w:tcW w:w="100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r>
      <w:tr>
        <w:trPr>
          <w:trHeight w:val="237"/>
        </w:trPr>
        <w:tc>
          <w:tcPr>
            <w:tcW w:w="8220" w:type="dxa"/>
            <w:vAlign w:val="bottom"/>
          </w:tcPr>
          <w:p>
            <w:pPr>
              <w:ind w:left="280"/>
              <w:spacing w:after="0"/>
              <w:rPr>
                <w:sz w:val="20"/>
                <w:szCs w:val="20"/>
                <w:color w:val="auto"/>
              </w:rPr>
            </w:pPr>
            <w:r>
              <w:rPr>
                <w:rFonts w:ascii="Arial" w:cs="Arial" w:eastAsia="Arial" w:hAnsi="Arial"/>
                <w:sz w:val="18"/>
                <w:szCs w:val="18"/>
                <w:color w:val="auto"/>
              </w:rPr>
              <w:t>Services</w:t>
            </w:r>
          </w:p>
        </w:tc>
        <w:tc>
          <w:tcPr>
            <w:tcW w:w="10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w:t>
            </w:r>
          </w:p>
        </w:tc>
      </w:tr>
      <w:tr>
        <w:trPr>
          <w:trHeight w:val="236"/>
        </w:trPr>
        <w:tc>
          <w:tcPr>
            <w:tcW w:w="8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r>
      <w:tr>
        <w:trPr>
          <w:trHeight w:val="237"/>
        </w:trPr>
        <w:tc>
          <w:tcPr>
            <w:tcW w:w="8220" w:type="dxa"/>
            <w:vAlign w:val="bottom"/>
          </w:tcPr>
          <w:p>
            <w:pPr>
              <w:spacing w:after="0"/>
              <w:rPr>
                <w:sz w:val="20"/>
                <w:szCs w:val="20"/>
                <w:color w:val="auto"/>
              </w:rPr>
            </w:pPr>
            <w:r>
              <w:rPr>
                <w:rFonts w:ascii="Arial" w:cs="Arial" w:eastAsia="Arial" w:hAnsi="Arial"/>
                <w:sz w:val="18"/>
                <w:szCs w:val="18"/>
                <w:color w:val="auto"/>
              </w:rPr>
              <w:t>Cost of revenues</w:t>
            </w: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8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Sales</w:t>
            </w:r>
          </w:p>
        </w:tc>
        <w:tc>
          <w:tcPr>
            <w:tcW w:w="10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r>
      <w:tr>
        <w:trPr>
          <w:trHeight w:val="237"/>
        </w:trPr>
        <w:tc>
          <w:tcPr>
            <w:tcW w:w="8220" w:type="dxa"/>
            <w:vAlign w:val="bottom"/>
          </w:tcPr>
          <w:p>
            <w:pPr>
              <w:ind w:left="280"/>
              <w:spacing w:after="0"/>
              <w:rPr>
                <w:sz w:val="20"/>
                <w:szCs w:val="20"/>
                <w:color w:val="auto"/>
              </w:rPr>
            </w:pPr>
            <w:r>
              <w:rPr>
                <w:rFonts w:ascii="Arial" w:cs="Arial" w:eastAsia="Arial" w:hAnsi="Arial"/>
                <w:sz w:val="18"/>
                <w:szCs w:val="18"/>
                <w:color w:val="auto"/>
              </w:rPr>
              <w:t>Services</w:t>
            </w:r>
          </w:p>
        </w:tc>
        <w:tc>
          <w:tcPr>
            <w:tcW w:w="10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r>
      <w:tr>
        <w:trPr>
          <w:trHeight w:val="237"/>
        </w:trPr>
        <w:tc>
          <w:tcPr>
            <w:tcW w:w="8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100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r>
      <w:tr>
        <w:trPr>
          <w:trHeight w:val="237"/>
        </w:trPr>
        <w:tc>
          <w:tcPr>
            <w:tcW w:w="8220" w:type="dxa"/>
            <w:vAlign w:val="bottom"/>
          </w:tcPr>
          <w:p>
            <w:pPr>
              <w:ind w:left="280"/>
              <w:spacing w:after="0"/>
              <w:rPr>
                <w:sz w:val="20"/>
                <w:szCs w:val="20"/>
                <w:color w:val="auto"/>
              </w:rPr>
            </w:pPr>
            <w:r>
              <w:rPr>
                <w:rFonts w:ascii="Arial" w:cs="Arial" w:eastAsia="Arial" w:hAnsi="Arial"/>
                <w:sz w:val="18"/>
                <w:szCs w:val="18"/>
                <w:color w:val="auto"/>
              </w:rPr>
              <w:t>Gross profit</w:t>
            </w:r>
          </w:p>
        </w:tc>
        <w:tc>
          <w:tcPr>
            <w:tcW w:w="1000" w:type="dxa"/>
            <w:vAlign w:val="bottom"/>
          </w:tcPr>
          <w:p>
            <w:pPr>
              <w:spacing w:after="0"/>
              <w:rPr>
                <w:sz w:val="20"/>
                <w:szCs w:val="20"/>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49"/>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0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37"/>
        </w:trPr>
        <w:tc>
          <w:tcPr>
            <w:tcW w:w="822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1000" w:type="dxa"/>
            <w:vAlign w:val="bottom"/>
          </w:tcPr>
          <w:p>
            <w:pPr>
              <w:spacing w:after="0"/>
              <w:rPr>
                <w:sz w:val="20"/>
                <w:szCs w:val="20"/>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49"/>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costs and other</w:t>
            </w:r>
          </w:p>
        </w:tc>
        <w:tc>
          <w:tcPr>
            <w:tcW w:w="10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37"/>
        </w:trPr>
        <w:tc>
          <w:tcPr>
            <w:tcW w:w="8220" w:type="dxa"/>
            <w:vAlign w:val="bottom"/>
          </w:tcPr>
          <w:p>
            <w:pPr>
              <w:spacing w:after="0"/>
              <w:rPr>
                <w:sz w:val="20"/>
                <w:szCs w:val="20"/>
                <w:color w:val="auto"/>
              </w:rPr>
            </w:pPr>
            <w:r>
              <w:rPr>
                <w:rFonts w:ascii="Arial" w:cs="Arial" w:eastAsia="Arial" w:hAnsi="Arial"/>
                <w:sz w:val="18"/>
                <w:szCs w:val="18"/>
                <w:color w:val="auto"/>
              </w:rPr>
              <w:t>Other operating income, net</w:t>
            </w:r>
          </w:p>
        </w:tc>
        <w:tc>
          <w:tcPr>
            <w:tcW w:w="10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15"/>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w w:val="94"/>
              </w:rPr>
              <w:t>Loss from continuing operations before interest expense, pension income excluding service cost component,</w:t>
            </w: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44"/>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 and income taxes</w:t>
            </w:r>
          </w:p>
        </w:tc>
        <w:tc>
          <w:tcPr>
            <w:tcW w:w="10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7"/>
        </w:trPr>
        <w:tc>
          <w:tcPr>
            <w:tcW w:w="8220" w:type="dxa"/>
            <w:vAlign w:val="bottom"/>
          </w:tcPr>
          <w:p>
            <w:pPr>
              <w:spacing w:after="0"/>
              <w:rPr>
                <w:sz w:val="20"/>
                <w:szCs w:val="20"/>
                <w:color w:val="auto"/>
              </w:rPr>
            </w:pPr>
            <w:r>
              <w:rPr>
                <w:rFonts w:ascii="Arial" w:cs="Arial" w:eastAsia="Arial" w:hAnsi="Arial"/>
                <w:sz w:val="18"/>
                <w:szCs w:val="18"/>
                <w:color w:val="auto"/>
              </w:rPr>
              <w:t>Interest expense</w:t>
            </w:r>
          </w:p>
        </w:tc>
        <w:tc>
          <w:tcPr>
            <w:tcW w:w="1000" w:type="dxa"/>
            <w:vAlign w:val="bottom"/>
          </w:tcPr>
          <w:p>
            <w:pPr>
              <w:spacing w:after="0"/>
              <w:rPr>
                <w:sz w:val="20"/>
                <w:szCs w:val="20"/>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49"/>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Pension income excluding service cost component</w:t>
            </w:r>
          </w:p>
        </w:tc>
        <w:tc>
          <w:tcPr>
            <w:tcW w:w="10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7"/>
        </w:trPr>
        <w:tc>
          <w:tcPr>
            <w:tcW w:w="8220" w:type="dxa"/>
            <w:vAlign w:val="bottom"/>
          </w:tcPr>
          <w:p>
            <w:pPr>
              <w:spacing w:after="0"/>
              <w:rPr>
                <w:sz w:val="20"/>
                <w:szCs w:val="20"/>
                <w:color w:val="auto"/>
              </w:rPr>
            </w:pPr>
            <w:r>
              <w:rPr>
                <w:rFonts w:ascii="Arial" w:cs="Arial" w:eastAsia="Arial" w:hAnsi="Arial"/>
                <w:sz w:val="18"/>
                <w:szCs w:val="18"/>
                <w:color w:val="auto"/>
              </w:rPr>
              <w:t>Other income, net</w:t>
            </w:r>
          </w:p>
        </w:tc>
        <w:tc>
          <w:tcPr>
            <w:tcW w:w="10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Earnings from operations before income taxes</w:t>
            </w:r>
          </w:p>
        </w:tc>
        <w:tc>
          <w:tcPr>
            <w:tcW w:w="10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37"/>
        </w:trPr>
        <w:tc>
          <w:tcPr>
            <w:tcW w:w="82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165</w:t>
            </w:r>
          </w:p>
        </w:tc>
      </w:tr>
      <w:tr>
        <w:trPr>
          <w:trHeight w:val="283"/>
        </w:trPr>
        <w:tc>
          <w:tcPr>
            <w:tcW w:w="8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406"/>
        </w:trPr>
        <w:tc>
          <w:tcPr>
            <w:tcW w:w="8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EASTMAN KODAK COMPANY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FINANCIAL POSITION (Unaudited)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r>
      <w:tr>
        <w:trPr>
          <w:trHeight w:val="250"/>
        </w:trPr>
        <w:tc>
          <w:tcPr>
            <w:tcW w:w="8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43"/>
        </w:trPr>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37"/>
        </w:trPr>
        <w:tc>
          <w:tcPr>
            <w:tcW w:w="82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196</w:t>
            </w:r>
          </w:p>
        </w:tc>
      </w:tr>
      <w:tr>
        <w:trPr>
          <w:trHeight w:val="249"/>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 net of allowances of $9 and $10, respectively</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r>
      <w:tr>
        <w:trPr>
          <w:trHeight w:val="237"/>
        </w:trPr>
        <w:tc>
          <w:tcPr>
            <w:tcW w:w="8220" w:type="dxa"/>
            <w:vAlign w:val="bottom"/>
          </w:tcPr>
          <w:p>
            <w:pPr>
              <w:spacing w:after="0"/>
              <w:rPr>
                <w:sz w:val="20"/>
                <w:szCs w:val="20"/>
                <w:color w:val="auto"/>
              </w:rPr>
            </w:pPr>
            <w:r>
              <w:rPr>
                <w:rFonts w:ascii="Arial" w:cs="Arial" w:eastAsia="Arial" w:hAnsi="Arial"/>
                <w:sz w:val="18"/>
                <w:szCs w:val="18"/>
                <w:color w:val="auto"/>
              </w:rPr>
              <w:t>Inventories, net</w:t>
            </w:r>
          </w:p>
        </w:tc>
        <w:tc>
          <w:tcPr>
            <w:tcW w:w="2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206</w:t>
            </w:r>
          </w:p>
        </w:tc>
      </w:tr>
      <w:tr>
        <w:trPr>
          <w:trHeight w:val="249"/>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37"/>
        </w:trPr>
        <w:tc>
          <w:tcPr>
            <w:tcW w:w="8220" w:type="dxa"/>
            <w:vAlign w:val="bottom"/>
          </w:tcPr>
          <w:p>
            <w:pPr>
              <w:spacing w:after="0"/>
              <w:rPr>
                <w:sz w:val="20"/>
                <w:szCs w:val="20"/>
                <w:color w:val="auto"/>
              </w:rPr>
            </w:pPr>
            <w:r>
              <w:rPr>
                <w:rFonts w:ascii="Arial" w:cs="Arial" w:eastAsia="Arial" w:hAnsi="Arial"/>
                <w:sz w:val="18"/>
                <w:szCs w:val="18"/>
                <w:color w:val="auto"/>
              </w:rPr>
              <w:t>Current assets held for sale</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8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627</w:t>
            </w:r>
          </w:p>
        </w:tc>
      </w:tr>
      <w:tr>
        <w:trPr>
          <w:trHeight w:val="237"/>
        </w:trPr>
        <w:tc>
          <w:tcPr>
            <w:tcW w:w="8220" w:type="dxa"/>
            <w:vAlign w:val="bottom"/>
          </w:tcPr>
          <w:p>
            <w:pPr>
              <w:spacing w:after="0"/>
              <w:rPr>
                <w:sz w:val="20"/>
                <w:szCs w:val="20"/>
                <w:color w:val="auto"/>
              </w:rPr>
            </w:pPr>
            <w:r>
              <w:rPr>
                <w:rFonts w:ascii="Arial" w:cs="Arial" w:eastAsia="Arial" w:hAnsi="Arial"/>
                <w:sz w:val="18"/>
                <w:szCs w:val="18"/>
                <w:color w:val="auto"/>
              </w:rPr>
              <w:t>Property, plant and equipment, net of accumulated depreciation of $431 and $430, respectively</w:t>
            </w:r>
          </w:p>
        </w:tc>
        <w:tc>
          <w:tcPr>
            <w:tcW w:w="2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152</w:t>
            </w:r>
          </w:p>
        </w:tc>
      </w:tr>
      <w:tr>
        <w:trPr>
          <w:trHeight w:val="249"/>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37"/>
        </w:trPr>
        <w:tc>
          <w:tcPr>
            <w:tcW w:w="8220" w:type="dxa"/>
            <w:vAlign w:val="bottom"/>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49"/>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37"/>
        </w:trPr>
        <w:tc>
          <w:tcPr>
            <w:tcW w:w="8220" w:type="dxa"/>
            <w:vAlign w:val="bottom"/>
          </w:tcPr>
          <w:p>
            <w:pPr>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43"/>
        </w:trPr>
        <w:tc>
          <w:tcPr>
            <w:tcW w:w="8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1,489</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1,248</w:t>
            </w:r>
          </w:p>
        </w:tc>
      </w:tr>
      <w:tr>
        <w:trPr>
          <w:trHeight w:val="20"/>
        </w:trPr>
        <w:tc>
          <w:tcPr>
            <w:tcW w:w="8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8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9"/>
        </w:trPr>
        <w:tc>
          <w:tcPr>
            <w:tcW w:w="8220" w:type="dxa"/>
            <w:vAlign w:val="bottom"/>
          </w:tcPr>
          <w:p>
            <w:pPr>
              <w:spacing w:after="0"/>
              <w:rPr>
                <w:sz w:val="20"/>
                <w:szCs w:val="20"/>
                <w:color w:val="auto"/>
              </w:rPr>
            </w:pPr>
            <w:r>
              <w:rPr>
                <w:rFonts w:ascii="Arial" w:cs="Arial" w:eastAsia="Arial" w:hAnsi="Arial"/>
                <w:sz w:val="18"/>
                <w:szCs w:val="18"/>
                <w:b w:val="1"/>
                <w:bCs w:val="1"/>
                <w:color w:val="auto"/>
              </w:rPr>
              <w:t>LIABILITIES, REDEEMABLE CONVERTIBLE PREFERRED STOCK AND EQUITY</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47"/>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trade</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r>
      <w:tr>
        <w:trPr>
          <w:trHeight w:val="237"/>
        </w:trPr>
        <w:tc>
          <w:tcPr>
            <w:tcW w:w="8220" w:type="dxa"/>
            <w:vAlign w:val="bottom"/>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2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49"/>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operating leases</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37"/>
        </w:trPr>
        <w:tc>
          <w:tcPr>
            <w:tcW w:w="822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164</w:t>
            </w:r>
          </w:p>
        </w:tc>
      </w:tr>
      <w:tr>
        <w:trPr>
          <w:trHeight w:val="243"/>
        </w:trPr>
        <w:tc>
          <w:tcPr>
            <w:tcW w:w="8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r>
      <w:tr>
        <w:trPr>
          <w:trHeight w:val="237"/>
        </w:trPr>
        <w:tc>
          <w:tcPr>
            <w:tcW w:w="822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2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49"/>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Pension and other postretirement liabilities</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406</w:t>
            </w:r>
          </w:p>
        </w:tc>
      </w:tr>
      <w:tr>
        <w:trPr>
          <w:trHeight w:val="237"/>
        </w:trPr>
        <w:tc>
          <w:tcPr>
            <w:tcW w:w="8220" w:type="dxa"/>
            <w:vAlign w:val="bottom"/>
          </w:tcPr>
          <w:p>
            <w:pPr>
              <w:spacing w:after="0"/>
              <w:rPr>
                <w:sz w:val="20"/>
                <w:szCs w:val="20"/>
                <w:color w:val="auto"/>
              </w:rPr>
            </w:pPr>
            <w:r>
              <w:rPr>
                <w:rFonts w:ascii="Arial" w:cs="Arial" w:eastAsia="Arial" w:hAnsi="Arial"/>
                <w:sz w:val="18"/>
                <w:szCs w:val="18"/>
                <w:color w:val="auto"/>
              </w:rPr>
              <w:t>Operating leases, net of current portion</w:t>
            </w:r>
          </w:p>
        </w:tc>
        <w:tc>
          <w:tcPr>
            <w:tcW w:w="2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43"/>
        </w:trPr>
        <w:tc>
          <w:tcPr>
            <w:tcW w:w="8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r>
      <w:tr>
        <w:trPr>
          <w:trHeight w:val="236"/>
        </w:trPr>
        <w:tc>
          <w:tcPr>
            <w:tcW w:w="822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1,193</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980</w:t>
            </w:r>
          </w:p>
        </w:tc>
      </w:tr>
      <w:tr>
        <w:trPr>
          <w:trHeight w:val="243"/>
        </w:trPr>
        <w:tc>
          <w:tcPr>
            <w:tcW w:w="8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37"/>
        </w:trPr>
        <w:tc>
          <w:tcPr>
            <w:tcW w:w="8220" w:type="dxa"/>
            <w:vAlign w:val="bottom"/>
          </w:tcPr>
          <w:p>
            <w:pPr>
              <w:spacing w:after="0"/>
              <w:rPr>
                <w:sz w:val="20"/>
                <w:szCs w:val="20"/>
                <w:color w:val="auto"/>
              </w:rPr>
            </w:pPr>
            <w:r>
              <w:rPr>
                <w:rFonts w:ascii="Arial" w:cs="Arial" w:eastAsia="Arial" w:hAnsi="Arial"/>
                <w:sz w:val="18"/>
                <w:szCs w:val="18"/>
                <w:color w:val="auto"/>
              </w:rPr>
              <w:t>Redeemable, convertible preferred stock, no par value, $100 per share liquidation preference</w:t>
            </w:r>
          </w:p>
        </w:tc>
        <w:tc>
          <w:tcPr>
            <w:tcW w:w="2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191</w:t>
            </w:r>
          </w:p>
        </w:tc>
      </w:tr>
      <w:tr>
        <w:trPr>
          <w:trHeight w:val="249"/>
        </w:trPr>
        <w:tc>
          <w:tcPr>
            <w:tcW w:w="8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39"/>
        </w:trPr>
        <w:tc>
          <w:tcPr>
            <w:tcW w:w="82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47"/>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Common stock, $0.01 par value</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22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2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1,152</w:t>
            </w:r>
          </w:p>
        </w:tc>
      </w:tr>
      <w:tr>
        <w:trPr>
          <w:trHeight w:val="249"/>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7"/>
        </w:trPr>
        <w:tc>
          <w:tcPr>
            <w:tcW w:w="8220" w:type="dxa"/>
            <w:vAlign w:val="bottom"/>
          </w:tcPr>
          <w:p>
            <w:pPr>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(620)</w:t>
            </w:r>
          </w:p>
        </w:tc>
      </w:tr>
      <w:tr>
        <w:trPr>
          <w:trHeight w:val="243"/>
        </w:trPr>
        <w:tc>
          <w:tcPr>
            <w:tcW w:w="8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r>
      <w:tr>
        <w:trPr>
          <w:trHeight w:val="237"/>
        </w:trPr>
        <w:tc>
          <w:tcPr>
            <w:tcW w:w="8220" w:type="dxa"/>
            <w:vAlign w:val="bottom"/>
          </w:tcPr>
          <w:p>
            <w:pPr>
              <w:ind w:left="280"/>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w:t>
            </w:r>
          </w:p>
        </w:tc>
      </w:tr>
      <w:tr>
        <w:trPr>
          <w:trHeight w:val="283"/>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LIABILITIES, REDEEMABLE CONVERTIBLE PREFERRED STOCK AND EQUITY</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1,489</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1,248</w:t>
            </w:r>
          </w:p>
        </w:tc>
      </w:tr>
      <w:tr>
        <w:trPr>
          <w:trHeight w:val="406"/>
        </w:trPr>
        <w:tc>
          <w:tcPr>
            <w:tcW w:w="8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3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EASTMAN KODAK COMPANY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 (Unaudited)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72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20"/>
                <w:szCs w:val="20"/>
                <w:color w:val="auto"/>
              </w:rPr>
            </w:pPr>
          </w:p>
        </w:tc>
      </w:tr>
      <w:tr>
        <w:trPr>
          <w:trHeight w:val="250"/>
        </w:trPr>
        <w:tc>
          <w:tcPr>
            <w:tcW w:w="800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8"/>
                <w:szCs w:val="18"/>
                <w:b w:val="1"/>
                <w:bCs w:val="1"/>
                <w:color w:val="auto"/>
              </w:rPr>
              <w:t>March 31,</w:t>
            </w:r>
          </w:p>
        </w:tc>
        <w:tc>
          <w:tcPr>
            <w:tcW w:w="520" w:type="dxa"/>
            <w:vAlign w:val="bottom"/>
            <w:tcBorders>
              <w:bottom w:val="single" w:sz="8" w:color="auto"/>
            </w:tcBorders>
          </w:tcPr>
          <w:p>
            <w:pPr>
              <w:spacing w:after="0"/>
              <w:rPr>
                <w:sz w:val="21"/>
                <w:szCs w:val="21"/>
                <w:color w:val="auto"/>
              </w:rPr>
            </w:pPr>
          </w:p>
        </w:tc>
      </w:tr>
      <w:tr>
        <w:trPr>
          <w:trHeight w:val="239"/>
        </w:trPr>
        <w:tc>
          <w:tcPr>
            <w:tcW w:w="80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2020</w:t>
            </w:r>
          </w:p>
        </w:tc>
        <w:tc>
          <w:tcPr>
            <w:tcW w:w="520" w:type="dxa"/>
            <w:vAlign w:val="bottom"/>
          </w:tcPr>
          <w:p>
            <w:pPr>
              <w:spacing w:after="0"/>
              <w:rPr>
                <w:sz w:val="20"/>
                <w:szCs w:val="20"/>
                <w:color w:val="auto"/>
              </w:rPr>
            </w:pPr>
          </w:p>
        </w:tc>
      </w:tr>
      <w:tr>
        <w:trPr>
          <w:trHeight w:val="241"/>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60" w:type="dxa"/>
            <w:vAlign w:val="bottom"/>
            <w:tcBorders>
              <w:top w:val="single" w:sz="8" w:color="auto"/>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spacing w:after="0"/>
              <w:rPr>
                <w:sz w:val="20"/>
                <w:szCs w:val="20"/>
                <w:color w:val="auto"/>
              </w:rPr>
            </w:pPr>
          </w:p>
        </w:tc>
      </w:tr>
      <w:tr>
        <w:trPr>
          <w:trHeight w:val="237"/>
        </w:trPr>
        <w:tc>
          <w:tcPr>
            <w:tcW w:w="8000" w:type="dxa"/>
            <w:vAlign w:val="bottom"/>
          </w:tcPr>
          <w:p>
            <w:pPr>
              <w:spacing w:after="0"/>
              <w:rPr>
                <w:sz w:val="20"/>
                <w:szCs w:val="20"/>
                <w:color w:val="auto"/>
              </w:rPr>
            </w:pPr>
            <w:r>
              <w:rPr>
                <w:rFonts w:ascii="Arial" w:cs="Arial" w:eastAsia="Arial" w:hAnsi="Arial"/>
                <w:sz w:val="18"/>
                <w:szCs w:val="18"/>
                <w:color w:val="auto"/>
              </w:rPr>
              <w:t>Net income (loss)</w:t>
            </w: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14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4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to net cash used in operating activities:</w:t>
            </w:r>
          </w:p>
        </w:tc>
        <w:tc>
          <w:tcPr>
            <w:tcW w:w="10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r>
      <w:tr>
        <w:trPr>
          <w:trHeight w:val="237"/>
        </w:trPr>
        <w:tc>
          <w:tcPr>
            <w:tcW w:w="800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06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49"/>
        </w:trPr>
        <w:tc>
          <w:tcPr>
            <w:tcW w:w="8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Pension income</w:t>
            </w:r>
          </w:p>
        </w:tc>
        <w:tc>
          <w:tcPr>
            <w:tcW w:w="10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5"/>
        </w:trPr>
        <w:tc>
          <w:tcPr>
            <w:tcW w:w="8000" w:type="dxa"/>
            <w:vAlign w:val="bottom"/>
          </w:tcPr>
          <w:p>
            <w:pPr>
              <w:ind w:left="280"/>
              <w:spacing w:after="0"/>
              <w:rPr>
                <w:sz w:val="20"/>
                <w:szCs w:val="20"/>
                <w:color w:val="auto"/>
              </w:rPr>
            </w:pPr>
            <w:r>
              <w:rPr>
                <w:rFonts w:ascii="Arial" w:cs="Arial" w:eastAsia="Arial" w:hAnsi="Arial"/>
                <w:sz w:val="18"/>
                <w:szCs w:val="18"/>
                <w:color w:val="auto"/>
              </w:rPr>
              <w:t>Change in fair value of embedded derivatives in the Series A, Series B and Series C</w:t>
            </w: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37"/>
        </w:trPr>
        <w:tc>
          <w:tcPr>
            <w:tcW w:w="8000" w:type="dxa"/>
            <w:vAlign w:val="bottom"/>
          </w:tcPr>
          <w:p>
            <w:pPr>
              <w:ind w:left="280"/>
              <w:spacing w:after="0"/>
              <w:rPr>
                <w:sz w:val="20"/>
                <w:szCs w:val="20"/>
                <w:color w:val="auto"/>
              </w:rPr>
            </w:pPr>
            <w:r>
              <w:rPr>
                <w:rFonts w:ascii="Arial" w:cs="Arial" w:eastAsia="Arial" w:hAnsi="Arial"/>
                <w:sz w:val="18"/>
                <w:szCs w:val="18"/>
                <w:color w:val="auto"/>
              </w:rPr>
              <w:t>Preferred Stock and Convertible Notes</w:t>
            </w:r>
          </w:p>
        </w:tc>
        <w:tc>
          <w:tcPr>
            <w:tcW w:w="106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50"/>
        </w:trPr>
        <w:tc>
          <w:tcPr>
            <w:tcW w:w="8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gain on sales of assets</w:t>
            </w:r>
          </w:p>
        </w:tc>
        <w:tc>
          <w:tcPr>
            <w:tcW w:w="106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7"/>
        </w:trPr>
        <w:tc>
          <w:tcPr>
            <w:tcW w:w="8000" w:type="dxa"/>
            <w:vAlign w:val="bottom"/>
          </w:tcPr>
          <w:p>
            <w:pPr>
              <w:ind w:left="280"/>
              <w:spacing w:after="0"/>
              <w:rPr>
                <w:sz w:val="20"/>
                <w:szCs w:val="20"/>
                <w:color w:val="auto"/>
              </w:rPr>
            </w:pPr>
            <w:r>
              <w:rPr>
                <w:rFonts w:ascii="Arial" w:cs="Arial" w:eastAsia="Arial" w:hAnsi="Arial"/>
                <w:sz w:val="18"/>
                <w:szCs w:val="18"/>
                <w:color w:val="auto"/>
              </w:rPr>
              <w:t>Asset impairments</w:t>
            </w:r>
          </w:p>
        </w:tc>
        <w:tc>
          <w:tcPr>
            <w:tcW w:w="106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49"/>
        </w:trPr>
        <w:tc>
          <w:tcPr>
            <w:tcW w:w="8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Stock based compensation</w:t>
            </w:r>
          </w:p>
        </w:tc>
        <w:tc>
          <w:tcPr>
            <w:tcW w:w="106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37"/>
        </w:trPr>
        <w:tc>
          <w:tcPr>
            <w:tcW w:w="8000" w:type="dxa"/>
            <w:vAlign w:val="bottom"/>
          </w:tcPr>
          <w:p>
            <w:pPr>
              <w:ind w:left="280"/>
              <w:spacing w:after="0"/>
              <w:rPr>
                <w:sz w:val="20"/>
                <w:szCs w:val="20"/>
                <w:color w:val="auto"/>
              </w:rPr>
            </w:pPr>
            <w:r>
              <w:rPr>
                <w:rFonts w:ascii="Arial" w:cs="Arial" w:eastAsia="Arial" w:hAnsi="Arial"/>
                <w:sz w:val="18"/>
                <w:szCs w:val="18"/>
                <w:color w:val="auto"/>
              </w:rPr>
              <w:t>Provision for deferred income taxes</w:t>
            </w:r>
          </w:p>
        </w:tc>
        <w:tc>
          <w:tcPr>
            <w:tcW w:w="106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161</w:t>
            </w:r>
          </w:p>
        </w:tc>
      </w:tr>
      <w:tr>
        <w:trPr>
          <w:trHeight w:val="249"/>
        </w:trPr>
        <w:tc>
          <w:tcPr>
            <w:tcW w:w="8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Decrease in trade receivables</w:t>
            </w:r>
          </w:p>
        </w:tc>
        <w:tc>
          <w:tcPr>
            <w:tcW w:w="106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37"/>
        </w:trPr>
        <w:tc>
          <w:tcPr>
            <w:tcW w:w="8000" w:type="dxa"/>
            <w:vAlign w:val="bottom"/>
          </w:tcPr>
          <w:p>
            <w:pPr>
              <w:ind w:left="280"/>
              <w:spacing w:after="0"/>
              <w:rPr>
                <w:sz w:val="20"/>
                <w:szCs w:val="20"/>
                <w:color w:val="auto"/>
              </w:rPr>
            </w:pPr>
            <w:r>
              <w:rPr>
                <w:rFonts w:ascii="Arial" w:cs="Arial" w:eastAsia="Arial" w:hAnsi="Arial"/>
                <w:sz w:val="18"/>
                <w:szCs w:val="18"/>
                <w:color w:val="auto"/>
              </w:rPr>
              <w:t>Increase in inventories</w:t>
            </w: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49"/>
        </w:trPr>
        <w:tc>
          <w:tcPr>
            <w:tcW w:w="8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Increase in trade payables</w:t>
            </w:r>
          </w:p>
        </w:tc>
        <w:tc>
          <w:tcPr>
            <w:tcW w:w="106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37"/>
        </w:trPr>
        <w:tc>
          <w:tcPr>
            <w:tcW w:w="8000" w:type="dxa"/>
            <w:vAlign w:val="bottom"/>
          </w:tcPr>
          <w:p>
            <w:pPr>
              <w:ind w:left="280"/>
              <w:spacing w:after="0"/>
              <w:rPr>
                <w:sz w:val="20"/>
                <w:szCs w:val="20"/>
                <w:color w:val="auto"/>
              </w:rPr>
            </w:pPr>
            <w:r>
              <w:rPr>
                <w:rFonts w:ascii="Arial" w:cs="Arial" w:eastAsia="Arial" w:hAnsi="Arial"/>
                <w:sz w:val="18"/>
                <w:szCs w:val="18"/>
                <w:color w:val="auto"/>
              </w:rPr>
              <w:t>Decrease in liabilities excluding borrowings and trade payables</w:t>
            </w: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items, net</w:t>
            </w:r>
          </w:p>
        </w:tc>
        <w:tc>
          <w:tcPr>
            <w:tcW w:w="10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36"/>
        </w:trPr>
        <w:tc>
          <w:tcPr>
            <w:tcW w:w="8000" w:type="dxa"/>
            <w:vAlign w:val="bottom"/>
          </w:tcPr>
          <w:p>
            <w:pPr>
              <w:ind w:left="540"/>
              <w:spacing w:after="0"/>
              <w:rPr>
                <w:sz w:val="20"/>
                <w:szCs w:val="20"/>
                <w:color w:val="auto"/>
              </w:rPr>
            </w:pPr>
            <w:r>
              <w:rPr>
                <w:rFonts w:ascii="Arial" w:cs="Arial" w:eastAsia="Arial" w:hAnsi="Arial"/>
                <w:sz w:val="18"/>
                <w:szCs w:val="18"/>
                <w:color w:val="auto"/>
              </w:rPr>
              <w:t>Total adjustments</w:t>
            </w:r>
          </w:p>
        </w:tc>
        <w:tc>
          <w:tcPr>
            <w:tcW w:w="10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w:t>
            </w:r>
          </w:p>
        </w:tc>
      </w:tr>
      <w:tr>
        <w:trPr>
          <w:trHeight w:val="236"/>
        </w:trPr>
        <w:tc>
          <w:tcPr>
            <w:tcW w:w="80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cash used in operating activities</w:t>
            </w:r>
          </w:p>
        </w:tc>
        <w:tc>
          <w:tcPr>
            <w:tcW w:w="106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7"/>
        </w:trPr>
        <w:tc>
          <w:tcPr>
            <w:tcW w:w="80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49"/>
        </w:trPr>
        <w:tc>
          <w:tcPr>
            <w:tcW w:w="8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Additions to properties</w:t>
            </w:r>
          </w:p>
        </w:tc>
        <w:tc>
          <w:tcPr>
            <w:tcW w:w="10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8000" w:type="dxa"/>
            <w:vAlign w:val="bottom"/>
          </w:tcPr>
          <w:p>
            <w:pPr>
              <w:ind w:left="280"/>
              <w:spacing w:after="0"/>
              <w:rPr>
                <w:sz w:val="20"/>
                <w:szCs w:val="20"/>
                <w:color w:val="auto"/>
              </w:rPr>
            </w:pPr>
            <w:r>
              <w:rPr>
                <w:rFonts w:ascii="Arial" w:cs="Arial" w:eastAsia="Arial" w:hAnsi="Arial"/>
                <w:sz w:val="18"/>
                <w:szCs w:val="18"/>
                <w:color w:val="auto"/>
              </w:rPr>
              <w:t>Net proceeds from sales of assets/businesses</w:t>
            </w:r>
          </w:p>
        </w:tc>
        <w:tc>
          <w:tcPr>
            <w:tcW w:w="106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proceeds from return on equity investment</w:t>
            </w:r>
          </w:p>
        </w:tc>
        <w:tc>
          <w:tcPr>
            <w:tcW w:w="10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37"/>
        </w:trPr>
        <w:tc>
          <w:tcPr>
            <w:tcW w:w="8000" w:type="dxa"/>
            <w:vAlign w:val="bottom"/>
          </w:tcPr>
          <w:p>
            <w:pPr>
              <w:ind w:left="540"/>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r>
      <w:tr>
        <w:trPr>
          <w:trHeight w:val="237"/>
        </w:trPr>
        <w:tc>
          <w:tcPr>
            <w:tcW w:w="8000" w:type="dxa"/>
            <w:vAlign w:val="bottom"/>
          </w:tcPr>
          <w:p>
            <w:pPr>
              <w:ind w:left="280"/>
              <w:spacing w:after="0"/>
              <w:rPr>
                <w:sz w:val="20"/>
                <w:szCs w:val="20"/>
                <w:color w:val="auto"/>
              </w:rPr>
            </w:pPr>
            <w:r>
              <w:rPr>
                <w:rFonts w:ascii="Arial" w:cs="Arial" w:eastAsia="Arial" w:hAnsi="Arial"/>
                <w:sz w:val="18"/>
                <w:szCs w:val="18"/>
                <w:color w:val="auto"/>
              </w:rPr>
              <w:t>Net proceeds from Term Loan Credit Agreement</w:t>
            </w:r>
          </w:p>
        </w:tc>
        <w:tc>
          <w:tcPr>
            <w:tcW w:w="106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9"/>
        </w:trPr>
        <w:tc>
          <w:tcPr>
            <w:tcW w:w="8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proceeds from Convertible Notes</w:t>
            </w:r>
          </w:p>
        </w:tc>
        <w:tc>
          <w:tcPr>
            <w:tcW w:w="106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000" w:type="dxa"/>
            <w:vAlign w:val="bottom"/>
          </w:tcPr>
          <w:p>
            <w:pPr>
              <w:ind w:left="280"/>
              <w:spacing w:after="0"/>
              <w:rPr>
                <w:sz w:val="20"/>
                <w:szCs w:val="20"/>
                <w:color w:val="auto"/>
              </w:rPr>
            </w:pPr>
            <w:r>
              <w:rPr>
                <w:rFonts w:ascii="Arial" w:cs="Arial" w:eastAsia="Arial" w:hAnsi="Arial"/>
                <w:sz w:val="18"/>
                <w:szCs w:val="18"/>
                <w:color w:val="auto"/>
              </w:rPr>
              <w:t>Net proceeds from Series C Preferred Stock</w:t>
            </w:r>
          </w:p>
        </w:tc>
        <w:tc>
          <w:tcPr>
            <w:tcW w:w="106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9"/>
        </w:trPr>
        <w:tc>
          <w:tcPr>
            <w:tcW w:w="8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Proceeds from sale of common stock</w:t>
            </w:r>
          </w:p>
        </w:tc>
        <w:tc>
          <w:tcPr>
            <w:tcW w:w="106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000" w:type="dxa"/>
            <w:vAlign w:val="bottom"/>
          </w:tcPr>
          <w:p>
            <w:pPr>
              <w:ind w:left="280"/>
              <w:spacing w:after="0"/>
              <w:rPr>
                <w:sz w:val="20"/>
                <w:szCs w:val="20"/>
                <w:color w:val="auto"/>
              </w:rPr>
            </w:pPr>
            <w:r>
              <w:rPr>
                <w:rFonts w:ascii="Arial" w:cs="Arial" w:eastAsia="Arial" w:hAnsi="Arial"/>
                <w:sz w:val="18"/>
                <w:szCs w:val="18"/>
                <w:color w:val="auto"/>
              </w:rPr>
              <w:t>Repurchase of Series A Preferred Stock</w:t>
            </w: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9"/>
        </w:trPr>
        <w:tc>
          <w:tcPr>
            <w:tcW w:w="8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Debt issuance costs</w:t>
            </w:r>
          </w:p>
        </w:tc>
        <w:tc>
          <w:tcPr>
            <w:tcW w:w="10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000" w:type="dxa"/>
            <w:vAlign w:val="bottom"/>
          </w:tcPr>
          <w:p>
            <w:pPr>
              <w:ind w:left="280"/>
              <w:spacing w:after="0"/>
              <w:rPr>
                <w:sz w:val="20"/>
                <w:szCs w:val="20"/>
                <w:color w:val="auto"/>
              </w:rPr>
            </w:pPr>
            <w:r>
              <w:rPr>
                <w:rFonts w:ascii="Arial" w:cs="Arial" w:eastAsia="Arial" w:hAnsi="Arial"/>
                <w:sz w:val="18"/>
                <w:szCs w:val="18"/>
                <w:color w:val="auto"/>
              </w:rPr>
              <w:t>Preferred stock cash dividend payments</w:t>
            </w: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Treasury stock purchases</w:t>
            </w:r>
          </w:p>
        </w:tc>
        <w:tc>
          <w:tcPr>
            <w:tcW w:w="10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6"/>
        </w:trPr>
        <w:tc>
          <w:tcPr>
            <w:tcW w:w="8000" w:type="dxa"/>
            <w:vAlign w:val="bottom"/>
          </w:tcPr>
          <w:p>
            <w:pPr>
              <w:ind w:left="540"/>
              <w:spacing w:after="0"/>
              <w:rPr>
                <w:sz w:val="20"/>
                <w:szCs w:val="20"/>
                <w:color w:val="auto"/>
              </w:rPr>
            </w:pPr>
            <w:r>
              <w:rPr>
                <w:rFonts w:ascii="Arial" w:cs="Arial" w:eastAsia="Arial" w:hAnsi="Arial"/>
                <w:sz w:val="18"/>
                <w:szCs w:val="18"/>
                <w:color w:val="auto"/>
              </w:rPr>
              <w:t>Net cash provided by (used in) financing activities</w:t>
            </w:r>
          </w:p>
        </w:tc>
        <w:tc>
          <w:tcPr>
            <w:tcW w:w="10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06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6"/>
        </w:trPr>
        <w:tc>
          <w:tcPr>
            <w:tcW w:w="800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06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0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r>
      <w:tr>
        <w:trPr>
          <w:trHeight w:val="237"/>
        </w:trPr>
        <w:tc>
          <w:tcPr>
            <w:tcW w:w="8000" w:type="dxa"/>
            <w:vAlign w:val="bottom"/>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477</w:t>
            </w:r>
          </w:p>
        </w:tc>
        <w:tc>
          <w:tcPr>
            <w:tcW w:w="114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241</w:t>
            </w:r>
          </w:p>
        </w:tc>
      </w:tr>
      <w:tr>
        <w:trPr>
          <w:trHeight w:val="20"/>
        </w:trPr>
        <w:tc>
          <w:tcPr>
            <w:tcW w:w="80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Media Contact</w:t>
      </w:r>
      <w:r>
        <w:rPr>
          <w:rFonts w:ascii="Arial" w:cs="Arial" w:eastAsia="Arial" w:hAnsi="Arial"/>
          <w:sz w:val="22"/>
          <w:szCs w:val="22"/>
          <w:b w:val="1"/>
          <w:bCs w:val="1"/>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Kurt Jaeckel, Kodak, +1 585-490-8646, kurt.jaeckel@kodak.com</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Investor Contact</w:t>
      </w:r>
      <w:r>
        <w:rPr>
          <w:rFonts w:ascii="Arial" w:cs="Arial" w:eastAsia="Arial" w:hAnsi="Arial"/>
          <w:sz w:val="22"/>
          <w:szCs w:val="22"/>
          <w:b w:val="1"/>
          <w:bCs w:val="1"/>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Paul Dils, Kodak, +1 585-724-4053, shareholderservices@kodak.com</w:t>
      </w:r>
    </w:p>
    <w:sectPr>
      <w:pgSz w:w="11900" w:h="16838" w:orient="portrait"/>
      <w:cols w:equalWidth="0" w:num="1">
        <w:col w:w="11240"/>
      </w:cols>
      <w:pgMar w:left="320" w:top="1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2021-05-12T15:29:43Z</dcterms:created>
  <dcterms:modified xsi:type="dcterms:W3CDTF">2021-05-12T15:29:43Z</dcterms:modified>
</cp:coreProperties>
</file>