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6005"/>
                    </a:xfrm>
                    <a:prstGeom prst="rect">
                      <a:avLst/>
                    </a:prstGeom>
                    <a:noFill/>
                  </pic:spPr>
                </pic:pic>
              </a:graphicData>
            </a:graphic>
          </wp:anchor>
        </w:drawing>
      </w:r>
    </w:p>
    <w:p>
      <w:pPr>
        <w:spacing w:after="0" w:line="1181" w:lineRule="exact"/>
        <w:rPr>
          <w:sz w:val="24"/>
          <w:szCs w:val="24"/>
          <w:color w:val="auto"/>
        </w:rPr>
      </w:pPr>
    </w:p>
    <w:p>
      <w:pPr>
        <w:sectPr>
          <w:pgSz w:w="11900" w:h="16910"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Katz Philippe 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EASTMAN KODAK CO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KODK</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08/14/2025</w:t>
            </w:r>
          </w:p>
        </w:tc>
        <w:tc>
          <w:tcPr>
            <w:tcW w:w="1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EASTMAN KODAK COMPANY</w:t>
            </w:r>
          </w:p>
        </w:tc>
        <w:tc>
          <w:tcPr>
            <w:tcW w:w="22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343 STATE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10"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ROCHESTER</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14650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910"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80" w:type="dxa"/>
            <w:vAlign w:val="bottom"/>
          </w:tcPr>
          <w:p>
            <w:pPr>
              <w:ind w:left="4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8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10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9"/>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$.01</w:t>
            </w:r>
          </w:p>
        </w:tc>
        <w:tc>
          <w:tcPr>
            <w:tcW w:w="14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0000FF"/>
              </w:rPr>
              <w:t>08/14/2025</w:t>
            </w:r>
          </w:p>
        </w:tc>
        <w:tc>
          <w:tcPr>
            <w:tcW w:w="1080" w:type="dxa"/>
            <w:vAlign w:val="bottom"/>
          </w:tcPr>
          <w:p>
            <w:pPr>
              <w:spacing w:after="0"/>
              <w:rPr>
                <w:sz w:val="22"/>
                <w:szCs w:val="22"/>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right"/>
              <w:ind w:right="4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5.67</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180,026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$.01</w:t>
            </w: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2,522,011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KF Investors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$.01</w:t>
            </w: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1,569,870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Momar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9"/>
              </w:rPr>
              <w:t>Corporation</w:t>
            </w:r>
            <w:r>
              <w:rPr>
                <w:rFonts w:ascii="Times New Roman" w:cs="Times New Roman" w:eastAsia="Times New Roman" w:hAnsi="Times New Roman"/>
                <w:sz w:val="21"/>
                <w:szCs w:val="21"/>
                <w:color w:val="008000"/>
                <w:w w:val="99"/>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United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$.01</w:t>
            </w: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7,598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Commodities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Company</w:t>
            </w:r>
            <w:r>
              <w:rPr>
                <w:rFonts w:ascii="Times New Roman" w:cs="Times New Roman" w:eastAsia="Times New Roman" w:hAnsi="Times New Roman"/>
                <w:sz w:val="21"/>
                <w:szCs w:val="21"/>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$.01</w:t>
            </w: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87,720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Marneu</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Holding</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Company</w:t>
            </w:r>
            <w:r>
              <w:rPr>
                <w:rFonts w:ascii="Times New Roman" w:cs="Times New Roman" w:eastAsia="Times New Roman" w:hAnsi="Times New Roman"/>
                <w:sz w:val="21"/>
                <w:szCs w:val="21"/>
                <w:color w:val="008000"/>
                <w:vertAlign w:val="superscript"/>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$.01</w:t>
            </w: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48,875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111 John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vMerge w:val="continue"/>
          </w:tcPr>
          <w:p>
            <w:pPr>
              <w:spacing w:after="0"/>
              <w:rPr>
                <w:sz w:val="6"/>
                <w:szCs w:val="6"/>
                <w:color w:val="auto"/>
              </w:rPr>
            </w:pPr>
          </w:p>
        </w:tc>
        <w:tc>
          <w:tcPr>
            <w:tcW w:w="14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Realty Corp.</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48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restart"/>
          </w:tcPr>
          <w:p>
            <w:pPr>
              <w:jc w:val="center"/>
              <w:spacing w:after="0" w:line="207" w:lineRule="exact"/>
              <w:rPr>
                <w:sz w:val="20"/>
                <w:szCs w:val="20"/>
                <w:color w:val="auto"/>
              </w:rPr>
            </w:pPr>
            <w:r>
              <w:rPr>
                <w:rFonts w:ascii="Arial" w:cs="Arial" w:eastAsia="Arial" w:hAnsi="Arial"/>
                <w:sz w:val="21"/>
                <w:szCs w:val="21"/>
                <w:color w:val="000000"/>
                <w:w w:val="88"/>
                <w:vertAlign w:val="subscript"/>
              </w:rPr>
              <w:t>$</w:t>
            </w:r>
            <w:r>
              <w:rPr>
                <w:rFonts w:ascii="Times New Roman" w:cs="Times New Roman" w:eastAsia="Times New Roman" w:hAnsi="Times New Roman"/>
                <w:sz w:val="23"/>
                <w:szCs w:val="23"/>
                <w:color w:val="0000FF"/>
                <w:w w:val="88"/>
                <w:vertAlign w:val="subscript"/>
              </w:rPr>
              <w:t>0</w:t>
            </w:r>
            <w:r>
              <w:rPr>
                <w:rFonts w:ascii="Times New Roman" w:cs="Times New Roman" w:eastAsia="Times New Roman" w:hAnsi="Times New Roman"/>
                <w:sz w:val="10"/>
                <w:szCs w:val="10"/>
                <w:color w:val="008000"/>
                <w:w w:val="88"/>
              </w:rPr>
              <w:t>(6)</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16,393</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16,393</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$.01</w:t>
            </w: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jc w:val="center"/>
              <w:spacing w:after="0" w:line="283" w:lineRule="exact"/>
              <w:rPr>
                <w:sz w:val="20"/>
                <w:szCs w:val="20"/>
                <w:color w:val="auto"/>
              </w:rPr>
            </w:pPr>
            <w:r>
              <w:rPr>
                <w:rFonts w:ascii="Arial" w:cs="Arial" w:eastAsia="Arial" w:hAnsi="Arial"/>
                <w:sz w:val="23"/>
                <w:szCs w:val="23"/>
                <w:color w:val="000000"/>
                <w:w w:val="80"/>
                <w:vertAlign w:val="subscript"/>
              </w:rPr>
              <w:t>$</w:t>
            </w:r>
            <w:r>
              <w:rPr>
                <w:rFonts w:ascii="Times New Roman" w:cs="Times New Roman" w:eastAsia="Times New Roman" w:hAnsi="Times New Roman"/>
                <w:sz w:val="25"/>
                <w:szCs w:val="25"/>
                <w:color w:val="0000FF"/>
                <w:w w:val="80"/>
                <w:vertAlign w:val="subscript"/>
              </w:rPr>
              <w:t>0</w:t>
            </w:r>
            <w:r>
              <w:rPr>
                <w:rFonts w:ascii="Times New Roman" w:cs="Times New Roman" w:eastAsia="Times New Roman" w:hAnsi="Times New Roman"/>
                <w:sz w:val="11"/>
                <w:szCs w:val="11"/>
                <w:color w:val="008000"/>
                <w:w w:val="80"/>
              </w:rPr>
              <w:t>(7)</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125,871</w:t>
            </w:r>
          </w:p>
        </w:tc>
        <w:tc>
          <w:tcPr>
            <w:tcW w:w="68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125,871</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6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$.01</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3.03</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05/19/2027</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25,297</w:t>
            </w:r>
          </w:p>
        </w:tc>
        <w:tc>
          <w:tcPr>
            <w:tcW w:w="68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25,297</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6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$.01</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910"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9851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985135"/>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4.53</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05/19/2030</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7,699</w:t>
            </w:r>
          </w:p>
        </w:tc>
        <w:tc>
          <w:tcPr>
            <w:tcW w:w="680" w:type="dxa"/>
            <w:vAlign w:val="bottom"/>
          </w:tcPr>
          <w:p>
            <w:pPr>
              <w:spacing w:after="0"/>
              <w:rPr>
                <w:sz w:val="12"/>
                <w:szCs w:val="12"/>
                <w:color w:val="auto"/>
              </w:rPr>
            </w:pP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7,699</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6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$.01</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6.03</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05/19/2030</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7,699</w:t>
            </w:r>
          </w:p>
        </w:tc>
        <w:tc>
          <w:tcPr>
            <w:tcW w:w="680" w:type="dxa"/>
            <w:vAlign w:val="bottom"/>
          </w:tcPr>
          <w:p>
            <w:pPr>
              <w:spacing w:after="0"/>
              <w:rPr>
                <w:sz w:val="12"/>
                <w:szCs w:val="12"/>
                <w:color w:val="auto"/>
              </w:rPr>
            </w:pP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7,699</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6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$.01</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05/19/2030</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4,400</w:t>
            </w:r>
          </w:p>
        </w:tc>
        <w:tc>
          <w:tcPr>
            <w:tcW w:w="680" w:type="dxa"/>
            <w:vAlign w:val="bottom"/>
          </w:tcPr>
          <w:p>
            <w:pPr>
              <w:spacing w:after="0"/>
              <w:rPr>
                <w:sz w:val="12"/>
                <w:szCs w:val="12"/>
                <w:color w:val="auto"/>
              </w:rPr>
            </w:pP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4,400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6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$.01</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Katz disclaims beneficial ownership of the securities held by KF Investors LLC, an entity of which Mr. Katz is a managing member, except to the extent of his pecuniary interest therein.</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Katz disclaims beneficial ownership of the securities held by Momar Corporation, an entity in which Mr. Katz has an ownership interest, except to the extent of his pecuniary interest therein.</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Katz disclaims beneficial ownership of the securities held by United Equities Commodities Company, an entity of which Mr. Katz is a general partner, except to the extent of his pecuniary interest therein.</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Katz disclaims beneficial ownership of the securities held by Marneu Holding Company, an entity of which Mr. Katz is a partner, except to the extent of his pecuniary interest therein.</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Katz disclaims beneficial ownership of the securities held by 111 John Realty Corp., an entity in which Mr. Katz has an ownership interest, except to the extent of his pecuniary interest therein.</w:t>
      </w:r>
    </w:p>
    <w:p>
      <w:pPr>
        <w:spacing w:after="0" w:line="43" w:lineRule="exact"/>
        <w:rPr>
          <w:rFonts w:ascii="Times New Roman" w:cs="Times New Roman" w:eastAsia="Times New Roman" w:hAnsi="Times New Roman"/>
          <w:sz w:val="13"/>
          <w:szCs w:val="13"/>
          <w:color w:val="008000"/>
        </w:rPr>
      </w:pPr>
    </w:p>
    <w:p>
      <w:pPr>
        <w:ind w:left="20" w:right="120" w:firstLine="2"/>
        <w:spacing w:after="0" w:line="255"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which convert into common stock on a one-for-one basis, vest on the day immediately preceding the Company's 2026 annual meeting of shareholders, except as otherwise provided in the award notice.</w:t>
      </w:r>
    </w:p>
    <w:p>
      <w:pPr>
        <w:spacing w:after="0" w:line="17" w:lineRule="exact"/>
        <w:rPr>
          <w:rFonts w:ascii="Times New Roman" w:cs="Times New Roman" w:eastAsia="Times New Roman" w:hAnsi="Times New Roman"/>
          <w:sz w:val="13"/>
          <w:szCs w:val="13"/>
          <w:color w:val="008000"/>
        </w:rPr>
      </w:pPr>
    </w:p>
    <w:p>
      <w:pPr>
        <w:ind w:left="20" w:right="180" w:firstLine="2"/>
        <w:spacing w:after="0" w:line="255" w:lineRule="auto"/>
        <w:tabs>
          <w:tab w:leader="none" w:pos="14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represents a right to receive one share of common stock and becomes payable at the election of Mr. Katz in the year following the year of his separation from service as a director in either a single lump sum payment or in a maximum of ten annual installments.</w:t>
      </w:r>
    </w:p>
    <w:p>
      <w:pPr>
        <w:spacing w:after="0" w:line="17"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has fully vested as of the date of this report.</w:t>
      </w:r>
    </w:p>
    <w:p>
      <w:pPr>
        <w:ind w:left="6580"/>
        <w:spacing w:after="0" w:line="186" w:lineRule="auto"/>
        <w:rPr>
          <w:sz w:val="20"/>
          <w:szCs w:val="20"/>
          <w:color w:val="auto"/>
        </w:rPr>
      </w:pPr>
      <w:r>
        <w:rPr>
          <w:rFonts w:ascii="Times New Roman" w:cs="Times New Roman" w:eastAsia="Times New Roman" w:hAnsi="Times New Roman"/>
          <w:sz w:val="17"/>
          <w:szCs w:val="17"/>
          <w:color w:val="0000FF"/>
        </w:rPr>
        <w:t xml:space="preserve">/s/ Roger W. Byrd, Attorney-in- </w:t>
      </w:r>
      <w:r>
        <w:rPr>
          <w:rFonts w:ascii="Times New Roman" w:cs="Times New Roman" w:eastAsia="Times New Roman" w:hAnsi="Times New Roman"/>
          <w:sz w:val="33"/>
          <w:szCs w:val="33"/>
          <w:color w:val="0000FF"/>
          <w:vertAlign w:val="subscript"/>
        </w:rPr>
        <w:t>08/14/2025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Philippe D.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073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3150" cy="8255"/>
                    </a:xfrm>
                    <a:prstGeom prst="rect">
                      <a:avLst/>
                    </a:prstGeom>
                    <a:noFill/>
                  </pic:spPr>
                </pic:pic>
              </a:graphicData>
            </a:graphic>
          </wp:anchor>
        </w:drawing>
        <w:drawing>
          <wp:anchor simplePos="0" relativeHeight="251657728" behindDoc="1" locked="0" layoutInCell="0" allowOverlap="1">
            <wp:simplePos x="0" y="0"/>
            <wp:positionH relativeFrom="column">
              <wp:posOffset>5574030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9836" TargetMode="External"/><Relationship Id="rId14" Type="http://schemas.openxmlformats.org/officeDocument/2006/relationships/hyperlink" Target="http://www.sec.gov/cgi-bin/browse-edgar?action=getcompany&amp;CIK=0000031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2025-08-14T17:41:56Z</dcterms:created>
  <dcterms:modified xsi:type="dcterms:W3CDTF">2025-08-14T17:41:56Z</dcterms:modified>
</cp:coreProperties>
</file>