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80" w:top="63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1-87</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16-0417150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540" w:space="720"/>
            <w:col w:w="3080" w:space="720"/>
            <w:col w:w="3020"/>
          </w:cols>
          <w:pgMar w:left="480" w:top="638" w:right="339" w:bottom="1440" w:gutter="0" w:footer="0" w:header="0"/>
          <w:type w:val="continuous"/>
        </w:sectPr>
      </w:pPr>
    </w:p>
    <w:p>
      <w:pPr>
        <w:ind w:left="140"/>
        <w:spacing w:after="0"/>
        <w:rPr>
          <w:sz w:val="20"/>
          <w:szCs w:val="20"/>
          <w:color w:val="auto"/>
        </w:rPr>
      </w:pPr>
      <w:r>
        <w:rPr>
          <w:rFonts w:ascii="Arial" w:cs="Arial" w:eastAsia="Arial" w:hAnsi="Arial"/>
          <w:sz w:val="18"/>
          <w:szCs w:val="18"/>
          <w:b w:val="1"/>
          <w:bCs w:val="1"/>
          <w:color w:val="auto"/>
        </w:rPr>
        <w:t>incorporation or organization)</w:t>
      </w:r>
    </w:p>
    <w:p>
      <w:pPr>
        <w:spacing w:after="0" w:line="20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343 STATE STREET</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ROCHESTER, NEW YORK 14650</w:t>
      </w:r>
    </w:p>
    <w:p>
      <w:pPr>
        <w:spacing w:after="0" w:line="9"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(Address of principal executive offices) (Zip Code)</w:t>
      </w:r>
    </w:p>
    <w:p>
      <w:pPr>
        <w:sectPr>
          <w:pgSz w:w="11900" w:h="16838" w:orient="portrait"/>
          <w:cols w:equalWidth="0" w:num="1">
            <w:col w:w="11080"/>
          </w:cols>
          <w:pgMar w:left="480" w:top="638"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Julie McCann, 716-390-7326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_X_ Rule 13p-1 under the Securities Exchange Act (17 CFR 240.13p-1) for the reporting period from January 1, 2022 to December 31, 2022.</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____Rule 13q-1 under the Securities Exchange Act (17 CFR 240.13q-1) for the fiscal year ended___________________________________.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519430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638" w:right="339" w:bottom="144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w:t>
      </w:r>
      <w:r>
        <w:rPr>
          <w:rFonts w:ascii="Arial" w:cs="Arial" w:eastAsia="Arial" w:hAnsi="Arial"/>
          <w:sz w:val="18"/>
          <w:szCs w:val="18"/>
          <w:b w:val="1"/>
          <w:bCs w:val="1"/>
          <w:color w:val="auto"/>
        </w:rPr>
        <w:t xml:space="preserve"> Conflict Minerals Disclosure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ind w:left="160" w:right="320"/>
        <w:spacing w:after="0" w:line="342" w:lineRule="auto"/>
        <w:rPr>
          <w:sz w:val="20"/>
          <w:szCs w:val="20"/>
          <w:color w:val="auto"/>
        </w:rPr>
      </w:pPr>
      <w:r>
        <w:rPr>
          <w:rFonts w:ascii="Arial" w:cs="Arial" w:eastAsia="Arial" w:hAnsi="Arial"/>
          <w:sz w:val="16"/>
          <w:szCs w:val="16"/>
          <w:color w:val="auto"/>
        </w:rPr>
        <w:t>The Conflict Minerals Report for the period from January 1, 2022 to December 31, 2022 is filed herewith as Exhibit 1.01 and is publicly available through Kodak’s investor center under the “Financials/SEC Filings” tabs on its website at http://investor.kodak.com/financial-information/sec-filings.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Conflict Minerals Report for the period from January 1, 2022 to December 31, 2022 is filed herewith as Exhibit 1.01.</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2.01 Resource Extraction Issuer Disclosure Report</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3.01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Exhibit 1.01 </w:t>
      </w:r>
      <w:r>
        <w:rPr>
          <w:rFonts w:ascii="Arial" w:cs="Arial" w:eastAsia="Arial" w:hAnsi="Arial"/>
          <w:sz w:val="18"/>
          <w:szCs w:val="18"/>
          <w:u w:val="single" w:color="auto"/>
          <w:color w:val="0000EE"/>
        </w:rPr>
        <w:t>Conflict Minerals Report as required by Items 1.01 and 1.02 of this Form.</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Arial" w:cs="Arial" w:eastAsia="Arial" w:hAnsi="Arial"/>
                <w:sz w:val="18"/>
                <w:szCs w:val="18"/>
                <w:b w:val="1"/>
                <w:bCs w:val="1"/>
                <w:color w:val="auto"/>
              </w:rPr>
              <w:t>EASTMAN KODAK COMPANY</w:t>
            </w:r>
          </w:p>
        </w:tc>
      </w:tr>
      <w:tr>
        <w:trPr>
          <w:trHeight w:val="432"/>
        </w:trPr>
        <w:tc>
          <w:tcPr>
            <w:tcW w:w="3580" w:type="dxa"/>
            <w:vAlign w:val="bottom"/>
          </w:tcPr>
          <w:p>
            <w:pPr>
              <w:spacing w:after="0"/>
              <w:rPr>
                <w:sz w:val="20"/>
                <w:szCs w:val="20"/>
                <w:color w:val="auto"/>
              </w:rPr>
            </w:pPr>
            <w:r>
              <w:rPr>
                <w:rFonts w:ascii="Arial" w:cs="Arial" w:eastAsia="Arial" w:hAnsi="Arial"/>
                <w:sz w:val="18"/>
                <w:szCs w:val="18"/>
                <w:b w:val="1"/>
                <w:bCs w:val="1"/>
                <w:color w:val="auto"/>
              </w:rPr>
              <w:t>Date: May 31, 2023</w:t>
            </w:r>
          </w:p>
        </w:tc>
        <w:tc>
          <w:tcPr>
            <w:tcW w:w="7660" w:type="dxa"/>
            <w:vAlign w:val="bottom"/>
            <w:gridSpan w:val="2"/>
          </w:tcPr>
          <w:p>
            <w:pPr>
              <w:ind w:left="2080"/>
              <w:spacing w:after="0"/>
              <w:rPr>
                <w:sz w:val="20"/>
                <w:szCs w:val="20"/>
                <w:color w:val="auto"/>
              </w:rPr>
            </w:pPr>
            <w:r>
              <w:rPr>
                <w:rFonts w:ascii="Arial" w:cs="Arial" w:eastAsia="Arial" w:hAnsi="Arial"/>
                <w:sz w:val="18"/>
                <w:szCs w:val="18"/>
                <w:color w:val="auto"/>
              </w:rPr>
              <w:t>By: /s/ Roger W. Byrd</w:t>
            </w:r>
          </w:p>
        </w:tc>
      </w:tr>
      <w:tr>
        <w:trPr>
          <w:trHeight w:val="224"/>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Counsel, Secretary and Senior Vice President</w:t>
            </w:r>
          </w:p>
        </w:tc>
      </w:tr>
    </w:tbl>
    <w:p>
      <w:pPr>
        <w:sectPr>
          <w:pgSz w:w="11900" w:h="16838" w:orient="portrait"/>
          <w:cols w:equalWidth="0" w:num="1">
            <w:col w:w="11240"/>
          </w:cols>
          <w:pgMar w:left="320" w:top="796" w:right="339" w:bottom="1440" w:gutter="0" w:footer="0" w:header="0"/>
        </w:sectPr>
      </w:pPr>
    </w:p>
    <w:bookmarkStart w:id="2" w:name="page3"/>
    <w:bookmarkEnd w:id="2"/>
    <w:p>
      <w:pPr>
        <w:ind w:left="1020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Conflict Minerals Report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Conflict Minerals Report of Eastman Kodak Company (“Kodak” or the “Company”) covering the reporting period from January 1, 2022 to December 31, 2022, is provided in accordance with Rule 13p-1 (“Rule 13p-1”) under the Securities Exchange Act of 1934, as amended (the “1934 Act”). Please refer to Rule 13p-1, Form SD and the 1934 Act Release No. 34-67716 for definitions of the terms used in this report, unless otherwise defined herein.</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Rule 13p-1 imposes certain reporting obligations on United States Securities and Exchange Commission (“SEC”) registrants that manufacture or contract to manufacture products containing conflict minerals that are necessary to the functionality or production of their products. Conflict minerals are defined by the SEC as cassiterite, columbite-tantalite, gold, wolframite, or their derivatives, which are limited to tin, tantalum and tungsten (collectively, “3TG”), or any other mineral or its derivatives determined by the Secretary of State to be financing conflict in the Democratic Republic of the Congo (“DRC”) or an adjoining country (collectively, the “Covered Countries”).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Kodak has determined that conflict minerals as defined by the SEC were necessary to the functionality or production of certain products that Kodak manufactured or contracted to be manufactured during 2022. Kodak conducted a good faith reasonable country of origin inquiry (“RCOI”) to determine the origin of the conflict minerals used in its products. In accordance with Rule 13p-1, Kodak then undertook due diligence on the source and chain of custody of the conflict minerals used in its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Kodak is a global manufacturer focused on commercial print and advanced materials and chemicals. Kodak provides industry-leading hardware, software, consumables and services primarily to customers in commercial print, packaging, publishing, manufacturing and entertainment. Kodak is committed to environmental stewardship, including industry leadership in developing sustainable solutions for print.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Kodak’s global supply chain is complex, given that the Company has over 1,500 material suppliers and most of its suppliers are located far downstream from the mineral smelters and associated mines. Kodak relies on its suppliers to assist in the RCOI and due diligence efforts for the conflict minerals contained in the materials supplied to or manufactured for Kodak. Kodak focuses on collecting data from direct suppliers who are likely to supply Kodak with products or materials containing conflict minerals and requires its suppliers through contract terms to establish the necessary proactive due diligence programs that will enable greater long-term supply chain transparency.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Kodak performed an analysis of its product components and determined that conflict minerals, which are regularly used in electronics and electrical equipment, are contained in certain components used in the products manufactured for or by Kodak. Kodak determined that conflict minerals that are contained in certain products were necessary to the functionality or production of the product manufactured or contracted to be manufactured for Kodak, while consumables such as digital and flexographic print plates and chemicals do not contain these minerals.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II</w:t>
        <w:tab/>
        <w:t>Design of Due Diligence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Kodak designed its overall conflict minerals policies and procedures to conform, in all material respects, to the five-step framework developed by the Organisation for Economic Co-operation and Development (“OECD”), </w:t>
      </w:r>
      <w:r>
        <w:rPr>
          <w:rFonts w:ascii="Arial" w:cs="Arial" w:eastAsia="Arial" w:hAnsi="Arial"/>
          <w:sz w:val="18"/>
          <w:szCs w:val="18"/>
          <w:i w:val="1"/>
          <w:iCs w:val="1"/>
          <w:color w:val="auto"/>
        </w:rPr>
        <w:t>OECD Due Diligence Guidance for Responsible Supply Chains of Minerals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Conflict-Affected and High-Risk Areas </w:t>
      </w:r>
      <w:r>
        <w:rPr>
          <w:rFonts w:ascii="Arial" w:cs="Arial" w:eastAsia="Arial" w:hAnsi="Arial"/>
          <w:sz w:val="18"/>
          <w:szCs w:val="18"/>
          <w:color w:val="auto"/>
        </w:rPr>
        <w:t>(“OECD Guidance”), and the supplements on tin, tantalum, tungsten and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Kodak’s implementation of the five-step framework consists of the following activities which are discussed in further detail below.</w:t>
      </w:r>
    </w:p>
    <w:p>
      <w:pPr>
        <w:spacing w:after="0" w:line="225" w:lineRule="exact"/>
        <w:rPr>
          <w:sz w:val="20"/>
          <w:szCs w:val="20"/>
          <w:color w:val="auto"/>
        </w:rPr>
      </w:pPr>
    </w:p>
    <w:p>
      <w:pPr>
        <w:ind w:left="1300" w:hanging="39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and maintain strong Company management systems</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and maintain a process to identify and assess risks in Kodak’s supply chain</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Respond to identified risks</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Audit smelters/refiners sourcing activities</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Publicly report on supply chain due diligence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Kodak, as a purchaser of component parts, is many steps removed from the mining of conflict minerals; Kodak does not purchase raw ore or unrefined conflict minerals and conducts no purchasing activities directly in the Covered Countries. Because Kodak does not typically have direct relationships with smelters and refiners, Kodak’s efforts utilized multi-industry initiatives with the smelters and refiners of minerals that may provide those minerals to companies in Kodak’s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1: Establish Strong Management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Internal Compliance Team</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The management system includes a multidisciplinary Conflict Minerals Team consisting of representation from Kodak’s Health, Safety &amp; Environment organization, Worldwide Procurement and Corporate Finance. This team is responsible for the design, implementation and continued administration of Kodak’s conflict minerals program. Kodak’s senior management is briefed about the results of the team’s due diligence efforts. It is Kodak’s policy to refrain from purchasing, directly or indirectly from any sources, conflict minerals that may finance or benefit armed groups in the Covered</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 xml:space="preserve">Countries. Kodak’s conflict minerals policy is publicly available on Kodak’s website at </w:t>
      </w:r>
      <w:r>
        <w:rPr>
          <w:rFonts w:ascii="Arial" w:cs="Arial" w:eastAsia="Arial" w:hAnsi="Arial"/>
          <w:sz w:val="18"/>
          <w:szCs w:val="18"/>
          <w:u w:val="single" w:color="auto"/>
          <w:color w:val="auto"/>
        </w:rPr>
        <w:t>https://www.kodak.com/en/company/page/hse-conflict-minerals-policy</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Control Systems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Kodak requires its suppliers to implement a conflict minerals due diligence management system, including a system of controls, to determine the sources of conflict minerals in all products that are supplied to, or manufactured on behalf of Kodak. Kodak’s suppliers are required to exercise due diligence on the source and chain of custody of these minerals and to cooperate in providing Kodak its due diligence information in an effort towards sourcing only from smelters and refiners which have been certified as conflict free.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Kodak follows the industry guidance through the Responsible Minerals Initiative (“RMI”). The RMI contributes to a range of tools and resources, including the Responsible Minerals Assurance Process, the Conflict Minerals Reporting Template, RCOI data and a range of guidance documents on responsible minerals sourcing. RMI also runs regular workshops on minerals supply chain issues and contributes to policy development and debates with leading civil society organizations and governments. One of the programs developed by the RMI is the Responsible Minerals Assurance Process (“RMAP”). The RMAP is a voluntary initiative in which independent third-party audits are conducted of a smelter’s or refiner’s procurement processes to determine if the smelter or refiner can demonstrate that all the minerals they process originate from conflict-free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Supplier Engagement and Grievance Mechanisms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Kodak also utilizes the Conflict Minerals Reporting Template (“CMRT”) developed by the RMI to collect supplier data. Kodak directly engages suppliers and provides guidance where appropriate. Kodak also has a Business Conduct Guide, including a phone number and website for employees to report concerns about violations of Kodak’s Conflict Minerals Policy and other policies. More information regarding the Company’s Business Conduct Guide and methods of reporting concerns can be found here: </w:t>
      </w:r>
      <w:r>
        <w:rPr>
          <w:rFonts w:ascii="Arial" w:cs="Arial" w:eastAsia="Arial" w:hAnsi="Arial"/>
          <w:sz w:val="17"/>
          <w:szCs w:val="17"/>
          <w:u w:val="single" w:color="auto"/>
          <w:color w:val="auto"/>
        </w:rPr>
        <w:t>https://www.kodak.com/en/company/page/conduct-guide.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Maintain Records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Kodak has adopted a policy to retain relevant documentation for a period of five years. Kodak implemented a document retention policy to retain conflict minerals related documents, including supplier responses to CMRTs. Kodak stores all the information and findings from this process in a database that can be audited by internal or external parties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Step 2: Establish a Process to Identify and Assess Risks in Our Supply Chain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Kodak, through its RCOI process, determined suppliers that were in scope by starting with a complete list of first tier suppliers and removing: service providers, indirect materials suppliers, and suppliers with whom Kodak spent no money in 2022. In some instances, second tier suppliers (</w:t>
      </w:r>
      <w:r>
        <w:rPr>
          <w:rFonts w:ascii="Arial" w:cs="Arial" w:eastAsia="Arial" w:hAnsi="Arial"/>
          <w:sz w:val="17"/>
          <w:szCs w:val="17"/>
          <w:i w:val="1"/>
          <w:iCs w:val="1"/>
          <w:color w:val="auto"/>
        </w:rPr>
        <w:t>e.g.,</w:t>
      </w:r>
      <w:r>
        <w:rPr>
          <w:rFonts w:ascii="Arial" w:cs="Arial" w:eastAsia="Arial" w:hAnsi="Arial"/>
          <w:sz w:val="17"/>
          <w:szCs w:val="17"/>
          <w:color w:val="auto"/>
        </w:rPr>
        <w:t xml:space="preserve"> distributors) were also included in the scope of this initial list. Based on a review of Kodak’s spending data and known product compositions, suppliers providing services or products that contain no conflict minerals were excluded from Kodak’s scope. The exclusions included suppliers providing commodities such as travel, employee benefits, facility maintenance, stationery, office supplies, software, and chemicals with a known composition. The remaining suppliers were identified as relevant or high priority suppliers, including suppliers with the potential to provide raw materials, components, parts, sub-assemblies and products that have the greatest likelihood of containing conflict minerals.</w:t>
      </w:r>
    </w:p>
    <w:p>
      <w:pPr>
        <w:spacing w:after="0" w:line="17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suppliers that were identified as relevant or high priority received an email containing a cover letter signed by Kodak’s Global Procurement Director, Corporate Services and a conflict minerals questionnaire using the CMRT. The cover letter provided an explanation for the request including the regulatory background and the expected timing for a response. Non-responsive suppliers were contacted a minimum of three times. These communications were monitored and tracked for future reporting and transparency. In the event Kodak determines that a supplier’s efforts to comply with this Policy have been deficient and the supplier fails to cooperate in developing and implementing reasonable remedial steps, Kodak reserves the right to take appropriate actions up to and including discontinuing purchases from the supplier.</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Kodak received responses from the suppliers that were in scope. Kodak’s minerals team reviewed and verified each completed questionnaire against expectations established by Company policy. The supplier’s responses were reviewed to determine if it had a conflict minerals policy describing its due diligence program and how it was being applied to the suppliers in the chain. Further, any smelters and refiners identified in the questionnaire were compared against the list of smelters and refiners maintained by the RMI to ensure that the facilities met the RMI definition of a 3TG processing facility that was operational during the 2022 calendar year. Kodak also reviewed country of origin information available from RMI for the smelters and refiners identified in the questionnaire.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large number of the responses received provided data at a company or divisional level or were unable to specify the smelters or refiners used for 3TG in the components supplied to Kodak. In order to assess the risk that any of these smelters posed to Kodak’s supply chain, Kodak determined whether the smelter had been audited against a standard in conformance with the OECD Guidance, such as the RMAP. Kodak does not typically have a direct relationship with 3TG smelters and refiners and does not perform or direct audits of these entities within the Company’s supply chain. Smelters that have completed an RMAP audit are considered to be DRC conflict free. In cases where the smelter’s due diligence practices have not been audited against the RMAP standard, a potential supply chain risk exists.</w:t>
      </w:r>
    </w:p>
    <w:p>
      <w:pPr>
        <w:spacing w:after="0" w:line="19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of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May 2023, Kodak validated 380 smelters or refiners and is working to validate the additional smelter/refiner entries from the submitted CMRTs. Due to the limitations associated with the use of supplier-level CMRTs, Kodak cannot definitively determine their connection to the Covered Products. Each facility that meets the RMI definition of a smelter or refiner of a 3TG mineral is assessed according to red flag indicators defined in the OECD Guidance. Kodak uses numerous factors to determine the level of risk that each smelter poses to the supply chain by identifying red flags. These factors include:</w:t>
      </w:r>
    </w:p>
    <w:p>
      <w:pPr>
        <w:spacing w:after="0" w:line="202" w:lineRule="exact"/>
        <w:rPr>
          <w:sz w:val="20"/>
          <w:szCs w:val="20"/>
          <w:color w:val="auto"/>
        </w:rPr>
      </w:pPr>
    </w:p>
    <w:p>
      <w:pPr>
        <w:ind w:left="1060" w:hanging="33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proximity to the Covered Countries;</w:t>
      </w:r>
    </w:p>
    <w:p>
      <w:pPr>
        <w:spacing w:after="0" w:line="23" w:lineRule="exact"/>
        <w:rPr>
          <w:rFonts w:ascii="Arial" w:cs="Arial" w:eastAsia="Arial" w:hAnsi="Arial"/>
          <w:sz w:val="18"/>
          <w:szCs w:val="18"/>
          <w:color w:val="auto"/>
        </w:rPr>
      </w:pPr>
    </w:p>
    <w:p>
      <w:pPr>
        <w:ind w:left="1060" w:hanging="33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9" w:lineRule="exact"/>
        <w:rPr>
          <w:rFonts w:ascii="Arial" w:cs="Arial" w:eastAsia="Arial" w:hAnsi="Arial"/>
          <w:sz w:val="18"/>
          <w:szCs w:val="18"/>
          <w:color w:val="auto"/>
        </w:rPr>
      </w:pPr>
    </w:p>
    <w:p>
      <w:pPr>
        <w:ind w:left="1060" w:hanging="33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9" w:lineRule="exact"/>
        <w:rPr>
          <w:rFonts w:ascii="Arial" w:cs="Arial" w:eastAsia="Arial" w:hAnsi="Arial"/>
          <w:sz w:val="18"/>
          <w:szCs w:val="18"/>
          <w:color w:val="auto"/>
        </w:rPr>
      </w:pPr>
    </w:p>
    <w:p>
      <w:pPr>
        <w:ind w:left="1060" w:hanging="33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 and</w:t>
      </w:r>
    </w:p>
    <w:p>
      <w:pPr>
        <w:spacing w:after="0" w:line="9" w:lineRule="exact"/>
        <w:rPr>
          <w:rFonts w:ascii="Arial" w:cs="Arial" w:eastAsia="Arial" w:hAnsi="Arial"/>
          <w:sz w:val="18"/>
          <w:szCs w:val="18"/>
          <w:color w:val="auto"/>
        </w:rPr>
      </w:pPr>
    </w:p>
    <w:p>
      <w:pPr>
        <w:ind w:left="1060" w:hanging="332"/>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per the OECD Guidance, risk mitigation will depend on the supplier’s specific context. Suppliers are given clear performance objectives within reasonable timeframes with the ultimate goal of progressive elimination of these red flags from the supply chain. In addition, suppliers are guided to the Responsible Minerals Initiative learning platform to engage in educational materials on mitigating the risk of smelters or refiners in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Evaluating and tracking the strength of the program meets the OECD Guidance and can assist in making key risk mitigation decisions as the program progresses. The criteria used to evaluate the strength of the program are based on these four questions in the CMRT: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Have you established a responsible conflict minerals sourcing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Have you implemented due diligence measures for responsible sourcing?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Do you review due diligence information received from your suppliers against your company’s expectations?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Does your review process include corrective action management?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suppliers meet or exceed these criteria (meaning “Yes” responses to at least A, D, F, and G), they are deemed to have a strong program. When suppliers do not meet these criteria, they are deemed to have a weak program. At this time, 37 out of 94 of Kodak’s responsive suppliers have been identified as having a weak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Due Diligence Measures Performed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3: Strategy Designed and Implemented to Respond to Identified Risks: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Kodak compared smelters and refiners identified by suppliers in the questionnaire against the list of facilities that have received a “conflict free” designation from the RMI. In addition, Kodak reviewed the responses against criteria developed to determine which responses required follow-up and further engagement. These criteria included categories for untimely or incomplete responses as well as inconsistencies within the data reported in the template. Kodak worked directly with these suppliers to provide revised responses. Specifically, Kodak followed up with suppliers who provided any of the following negative or incomplete responses to the questionnaire:</w:t>
      </w:r>
    </w:p>
    <w:p>
      <w:pPr>
        <w:spacing w:after="0" w:line="188" w:lineRule="exact"/>
        <w:rPr>
          <w:sz w:val="20"/>
          <w:szCs w:val="20"/>
          <w:color w:val="auto"/>
        </w:rPr>
      </w:pPr>
    </w:p>
    <w:p>
      <w:pPr>
        <w:ind w:left="900" w:hanging="33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response did not appear justified by the product category or composition of the product.</w:t>
      </w:r>
    </w:p>
    <w:p>
      <w:pPr>
        <w:spacing w:after="0" w:line="225" w:lineRule="exact"/>
        <w:rPr>
          <w:rFonts w:ascii="Arial" w:cs="Arial" w:eastAsia="Arial" w:hAnsi="Arial"/>
          <w:sz w:val="18"/>
          <w:szCs w:val="18"/>
          <w:color w:val="auto"/>
        </w:rPr>
      </w:pPr>
    </w:p>
    <w:p>
      <w:pPr>
        <w:ind w:left="900" w:hanging="334"/>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supplier did not indicate that it had implemented a management system or due diligence program to obtain information from its suppliers.</w:t>
      </w:r>
    </w:p>
    <w:p>
      <w:pPr>
        <w:spacing w:after="0" w:line="248" w:lineRule="exact"/>
        <w:rPr>
          <w:rFonts w:ascii="Arial" w:cs="Arial" w:eastAsia="Arial" w:hAnsi="Arial"/>
          <w:sz w:val="16"/>
          <w:szCs w:val="16"/>
          <w:color w:val="auto"/>
        </w:rPr>
      </w:pPr>
    </w:p>
    <w:p>
      <w:pPr>
        <w:ind w:left="900" w:hanging="33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response was incomplete or necessary information was not provided by the supplier.</w:t>
      </w:r>
    </w:p>
    <w:p>
      <w:pPr>
        <w:spacing w:after="0" w:line="225" w:lineRule="exact"/>
        <w:rPr>
          <w:rFonts w:ascii="Arial" w:cs="Arial" w:eastAsia="Arial" w:hAnsi="Arial"/>
          <w:sz w:val="18"/>
          <w:szCs w:val="18"/>
          <w:color w:val="auto"/>
        </w:rPr>
      </w:pPr>
    </w:p>
    <w:p>
      <w:pPr>
        <w:ind w:left="900" w:hanging="334"/>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smelter list included problematic smelters (</w:t>
      </w:r>
      <w:r>
        <w:rPr>
          <w:rFonts w:ascii="Arial" w:cs="Arial" w:eastAsia="Arial" w:hAnsi="Arial"/>
          <w:sz w:val="18"/>
          <w:szCs w:val="18"/>
          <w:i w:val="1"/>
          <w:iCs w:val="1"/>
          <w:color w:val="auto"/>
        </w:rPr>
        <w:t>i.e.,</w:t>
      </w:r>
      <w:r>
        <w:rPr>
          <w:rFonts w:ascii="Arial" w:cs="Arial" w:eastAsia="Arial" w:hAnsi="Arial"/>
          <w:sz w:val="18"/>
          <w:szCs w:val="18"/>
          <w:color w:val="auto"/>
        </w:rPr>
        <w:t xml:space="preserve"> smelters not appearing on either CFSI’s standard smelter list or the U.S Department of Commerce list of known smelters).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supplier’s efforts to address concerns were determined to be deficient, it was flagged for further action. The project team reports annually on its progress to relevant senior executives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4: Auditing of Smelters/Refiners Sourcing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complexity of Kodak’s products, and the depth, breadth and constant evolution of its supply chain, it is difficult to identify actors upstream from Kodak’s direct suppliers. Kodak does not typically have a direct relationship with 3TG smelters and refiners and does not perform or direct audits of these entities within its supply chain. Kodak has supported the execution of the RMAP and has relied on the RMAP to perform audits of smelters and to develop information on the country and mine or location of origin of conflict minerals in Kodak’s products. In order to assess the risk that any of these smelters posed to Kodak’s supply chain, Kodak determined if the smelter had been audited against a standard in conformance with the OECD Guidance, such as the RMAP. Smelters that have completed an RMAP audit are considered to be DRC conflict free.</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Results and Public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 5: Annual Reports on Supply Chain Due Diligence: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Kodak annually reports on its conflict minerals supply chain due diligence to the SEC through the Company’s Form SD and Conflict Minerals Report and publishes the same information on its public website at the link referenced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Reviewing information about 3TG smelters and refiners in Kodak’s supply chain represents the most reasonable effort Kodak can make to determine the mines or locations of origin of the 3TG in its supply chain. Kodak received responses from approximately 72% of the suppliers surveyed. Based on these responses, Kodak identified 380 smelters or refiners of 3TG that are known smelters or refiners based on the RMI’s standard smelter reference list and may have processed the conflict minerals contained in Kodak’s products. These smelters are listed in the Appendix. The Appendix also includes an aggregated list of the countries of origin from which the listed smelters and refiners are believed to have sourced conflict minerals, in addition to recycled and scrap sources.</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majority of Kodak’s suppliers provided information at the company level, rather than information specific to the materials purchased by Kodak. Kodak is unable to validate whether the smelters and refiners listed in the Appendix in fact contributed conflict minerals to its products.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380 smelters and refiners listed in the Appendix, 205 have been certified as compliant with the RMI’s RMAP, and an additional 7 are active in the RMAP third-party audit process. Kodak was unable to determine the conflict status of the remaining smelters and refiners.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Smelters and refiners that are compliant with the relevant RMAP assessment protocols or currently in the audit process: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77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33 of 40 (83%)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Tin:</w:t>
            </w:r>
          </w:p>
        </w:tc>
        <w:tc>
          <w:tcPr>
            <w:tcW w:w="7760" w:type="dxa"/>
            <w:vAlign w:val="bottom"/>
          </w:tcPr>
          <w:p>
            <w:pPr>
              <w:ind w:left="2720"/>
              <w:spacing w:after="0"/>
              <w:rPr>
                <w:sz w:val="20"/>
                <w:szCs w:val="20"/>
                <w:color w:val="auto"/>
              </w:rPr>
            </w:pPr>
            <w:r>
              <w:rPr>
                <w:rFonts w:ascii="Arial" w:cs="Arial" w:eastAsia="Arial" w:hAnsi="Arial"/>
                <w:sz w:val="18"/>
                <w:szCs w:val="18"/>
                <w:color w:val="auto"/>
              </w:rPr>
              <w:t>55 of 100 (55%)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7760" w:type="dxa"/>
            <w:vAlign w:val="bottom"/>
            <w:shd w:val="clear" w:color="auto" w:fill="CCEEFF"/>
          </w:tcPr>
          <w:p>
            <w:pPr>
              <w:ind w:left="2720"/>
              <w:spacing w:after="0"/>
              <w:rPr>
                <w:sz w:val="20"/>
                <w:szCs w:val="20"/>
                <w:color w:val="auto"/>
              </w:rPr>
            </w:pPr>
            <w:r>
              <w:rPr>
                <w:rFonts w:ascii="Arial" w:cs="Arial" w:eastAsia="Arial" w:hAnsi="Arial"/>
                <w:sz w:val="18"/>
                <w:szCs w:val="18"/>
                <w:color w:val="auto"/>
              </w:rPr>
              <w:t>34 of 59 (58%)</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Gold:</w:t>
            </w:r>
          </w:p>
        </w:tc>
        <w:tc>
          <w:tcPr>
            <w:tcW w:w="7760" w:type="dxa"/>
            <w:vAlign w:val="bottom"/>
          </w:tcPr>
          <w:p>
            <w:pPr>
              <w:ind w:left="2720"/>
              <w:spacing w:after="0"/>
              <w:rPr>
                <w:sz w:val="20"/>
                <w:szCs w:val="20"/>
                <w:color w:val="auto"/>
              </w:rPr>
            </w:pPr>
            <w:r>
              <w:rPr>
                <w:rFonts w:ascii="Arial" w:cs="Arial" w:eastAsia="Arial" w:hAnsi="Arial"/>
                <w:sz w:val="18"/>
                <w:szCs w:val="18"/>
                <w:color w:val="auto"/>
              </w:rPr>
              <w:t>83 of 181 (46%)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Overall, 212 of 380, or 56% of the smelters and refiners are compliant with the RMI’s RMAP or are currently in the audit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RMAP Compliant smelters and refiners in Kodak’s supply chain: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4"/>
              </w:rPr>
              <w:t>2013</w:t>
            </w:r>
          </w:p>
        </w:tc>
        <w:tc>
          <w:tcPr>
            <w:tcW w:w="10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55 Compliant smelters and refiners</w:t>
            </w:r>
          </w:p>
        </w:tc>
      </w:tr>
      <w:tr>
        <w:trPr>
          <w:trHeight w:val="216"/>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2014</w:t>
            </w:r>
          </w:p>
        </w:tc>
        <w:tc>
          <w:tcPr>
            <w:tcW w:w="1120" w:type="dxa"/>
            <w:vAlign w:val="bottom"/>
          </w:tcPr>
          <w:p>
            <w:pPr>
              <w:ind w:left="820"/>
              <w:spacing w:after="0"/>
              <w:rPr>
                <w:sz w:val="20"/>
                <w:szCs w:val="20"/>
                <w:color w:val="auto"/>
              </w:rPr>
            </w:pPr>
            <w:r>
              <w:rPr>
                <w:rFonts w:ascii="Arial" w:cs="Arial" w:eastAsia="Arial" w:hAnsi="Arial"/>
                <w:sz w:val="18"/>
                <w:szCs w:val="18"/>
                <w:color w:val="auto"/>
                <w:w w:val="93"/>
              </w:rPr>
              <w:t>126</w:t>
            </w:r>
          </w:p>
        </w:tc>
        <w:tc>
          <w:tcPr>
            <w:tcW w:w="8940" w:type="dxa"/>
            <w:vAlign w:val="bottom"/>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4"/>
              </w:rPr>
              <w:t>2015</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214</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2016</w:t>
            </w:r>
          </w:p>
        </w:tc>
        <w:tc>
          <w:tcPr>
            <w:tcW w:w="1120" w:type="dxa"/>
            <w:vAlign w:val="bottom"/>
          </w:tcPr>
          <w:p>
            <w:pPr>
              <w:ind w:left="820"/>
              <w:spacing w:after="0"/>
              <w:rPr>
                <w:sz w:val="20"/>
                <w:szCs w:val="20"/>
                <w:color w:val="auto"/>
              </w:rPr>
            </w:pPr>
            <w:r>
              <w:rPr>
                <w:rFonts w:ascii="Arial" w:cs="Arial" w:eastAsia="Arial" w:hAnsi="Arial"/>
                <w:sz w:val="18"/>
                <w:szCs w:val="18"/>
                <w:color w:val="auto"/>
                <w:w w:val="93"/>
              </w:rPr>
              <w:t>244</w:t>
            </w:r>
          </w:p>
        </w:tc>
        <w:tc>
          <w:tcPr>
            <w:tcW w:w="8940" w:type="dxa"/>
            <w:vAlign w:val="bottom"/>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4"/>
              </w:rPr>
              <w:t>2017</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255</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2018</w:t>
            </w:r>
          </w:p>
        </w:tc>
        <w:tc>
          <w:tcPr>
            <w:tcW w:w="1120" w:type="dxa"/>
            <w:vAlign w:val="bottom"/>
          </w:tcPr>
          <w:p>
            <w:pPr>
              <w:ind w:left="820"/>
              <w:spacing w:after="0"/>
              <w:rPr>
                <w:sz w:val="20"/>
                <w:szCs w:val="20"/>
                <w:color w:val="auto"/>
              </w:rPr>
            </w:pPr>
            <w:r>
              <w:rPr>
                <w:rFonts w:ascii="Arial" w:cs="Arial" w:eastAsia="Arial" w:hAnsi="Arial"/>
                <w:sz w:val="18"/>
                <w:szCs w:val="18"/>
                <w:color w:val="auto"/>
                <w:w w:val="93"/>
              </w:rPr>
              <w:t>254</w:t>
            </w:r>
          </w:p>
        </w:tc>
        <w:tc>
          <w:tcPr>
            <w:tcW w:w="8940" w:type="dxa"/>
            <w:vAlign w:val="bottom"/>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4"/>
              </w:rPr>
              <w:t>2019</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241</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2020</w:t>
            </w:r>
          </w:p>
        </w:tc>
        <w:tc>
          <w:tcPr>
            <w:tcW w:w="1120" w:type="dxa"/>
            <w:vAlign w:val="bottom"/>
          </w:tcPr>
          <w:p>
            <w:pPr>
              <w:ind w:left="820"/>
              <w:spacing w:after="0"/>
              <w:rPr>
                <w:sz w:val="20"/>
                <w:szCs w:val="20"/>
                <w:color w:val="auto"/>
              </w:rPr>
            </w:pPr>
            <w:r>
              <w:rPr>
                <w:rFonts w:ascii="Arial" w:cs="Arial" w:eastAsia="Arial" w:hAnsi="Arial"/>
                <w:sz w:val="18"/>
                <w:szCs w:val="18"/>
                <w:color w:val="auto"/>
                <w:w w:val="93"/>
              </w:rPr>
              <w:t>273</w:t>
            </w:r>
          </w:p>
        </w:tc>
        <w:tc>
          <w:tcPr>
            <w:tcW w:w="8940" w:type="dxa"/>
            <w:vAlign w:val="bottom"/>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16"/>
        </w:trPr>
        <w:tc>
          <w:tcPr>
            <w:tcW w:w="1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4"/>
              </w:rPr>
              <w:t>2021</w:t>
            </w: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285</w:t>
            </w:r>
          </w:p>
        </w:tc>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Compliant Smelters and refiners</w:t>
            </w:r>
          </w:p>
        </w:tc>
      </w:tr>
      <w:tr>
        <w:trPr>
          <w:trHeight w:val="230"/>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84"/>
              </w:rPr>
              <w:t>2022</w:t>
            </w:r>
          </w:p>
        </w:tc>
        <w:tc>
          <w:tcPr>
            <w:tcW w:w="1120" w:type="dxa"/>
            <w:vAlign w:val="bottom"/>
          </w:tcPr>
          <w:p>
            <w:pPr>
              <w:ind w:left="820"/>
              <w:spacing w:after="0"/>
              <w:rPr>
                <w:sz w:val="20"/>
                <w:szCs w:val="20"/>
                <w:color w:val="auto"/>
              </w:rPr>
            </w:pPr>
            <w:r>
              <w:rPr>
                <w:rFonts w:ascii="Arial" w:cs="Arial" w:eastAsia="Arial" w:hAnsi="Arial"/>
                <w:sz w:val="18"/>
                <w:szCs w:val="18"/>
                <w:color w:val="auto"/>
                <w:w w:val="93"/>
              </w:rPr>
              <w:t>205</w:t>
            </w:r>
          </w:p>
        </w:tc>
        <w:tc>
          <w:tcPr>
            <w:tcW w:w="8940" w:type="dxa"/>
            <w:vAlign w:val="bottom"/>
          </w:tcPr>
          <w:p>
            <w:pPr>
              <w:ind w:left="20"/>
              <w:spacing w:after="0"/>
              <w:rPr>
                <w:sz w:val="20"/>
                <w:szCs w:val="20"/>
                <w:color w:val="auto"/>
              </w:rPr>
            </w:pPr>
            <w:r>
              <w:rPr>
                <w:rFonts w:ascii="Arial" w:cs="Arial" w:eastAsia="Arial" w:hAnsi="Arial"/>
                <w:sz w:val="18"/>
                <w:szCs w:val="18"/>
                <w:color w:val="auto"/>
              </w:rPr>
              <w:t>Compliant Smelters and refiners</w:t>
            </w:r>
          </w:p>
        </w:tc>
      </w:tr>
    </w:tbl>
    <w:p>
      <w:pPr>
        <w:spacing w:after="0" w:line="18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Description: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Given the fact that not all smelters and refiners identified by Kodak’s suppliers have been audited by the RMI’s RMAP list and many suppliers are still collecting information from their supply chain, Kodak’s products containing or using conflict minerals are considered DRC conflict undeterminable.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Kodak products determined to be DRC conflict undeterminable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KODAK PROSPER Press Platform</w:t>
            </w:r>
          </w:p>
        </w:tc>
        <w:tc>
          <w:tcPr>
            <w:tcW w:w="6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KODAK VERSAMARK Printing Systems</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KODAK PROSPER Imprinting Systems</w:t>
            </w:r>
          </w:p>
        </w:tc>
        <w:tc>
          <w:tcPr>
            <w:tcW w:w="6200" w:type="dxa"/>
            <w:vAlign w:val="bottom"/>
          </w:tcPr>
          <w:p>
            <w:pPr>
              <w:ind w:left="520"/>
              <w:spacing w:after="0"/>
              <w:rPr>
                <w:sz w:val="20"/>
                <w:szCs w:val="20"/>
                <w:color w:val="auto"/>
              </w:rPr>
            </w:pPr>
            <w:r>
              <w:rPr>
                <w:rFonts w:ascii="Arial" w:cs="Arial" w:eastAsia="Arial" w:hAnsi="Arial"/>
                <w:sz w:val="18"/>
                <w:szCs w:val="18"/>
                <w:color w:val="auto"/>
              </w:rPr>
              <w:t>KODAK VERSAMARK Imprinting Systems</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KODAK NEXPRESS Digital Production Color Press Platform</w:t>
            </w:r>
          </w:p>
        </w:tc>
        <w:tc>
          <w:tcPr>
            <w:tcW w:w="6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KODAK DIGIMASTER HD Digital Production Platform</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KODAK FLEXCEL NX Imager and Laminator</w:t>
            </w:r>
          </w:p>
        </w:tc>
        <w:tc>
          <w:tcPr>
            <w:tcW w:w="6200" w:type="dxa"/>
            <w:vAlign w:val="bottom"/>
          </w:tcPr>
          <w:p>
            <w:pPr>
              <w:ind w:left="520"/>
              <w:spacing w:after="0"/>
              <w:rPr>
                <w:sz w:val="20"/>
                <w:szCs w:val="20"/>
                <w:color w:val="auto"/>
              </w:rPr>
            </w:pPr>
            <w:r>
              <w:rPr>
                <w:rFonts w:ascii="Arial" w:cs="Arial" w:eastAsia="Arial" w:hAnsi="Arial"/>
                <w:sz w:val="18"/>
                <w:szCs w:val="18"/>
                <w:color w:val="auto"/>
              </w:rPr>
              <w:t>Kodak FLEXCEL Direct Imager</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Print on Demand Solutions</w:t>
            </w:r>
          </w:p>
        </w:tc>
        <w:tc>
          <w:tcPr>
            <w:tcW w:w="6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KODAK ASCEND Digital Press</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EKTAFLEX Functional Printing Solutions</w:t>
            </w:r>
          </w:p>
        </w:tc>
        <w:tc>
          <w:tcPr>
            <w:tcW w:w="6200" w:type="dxa"/>
            <w:vAlign w:val="bottom"/>
          </w:tcPr>
          <w:p>
            <w:pPr>
              <w:spacing w:after="0"/>
              <w:rPr>
                <w:sz w:val="20"/>
                <w:szCs w:val="20"/>
                <w:color w:val="auto"/>
              </w:rPr>
            </w:pPr>
          </w:p>
        </w:tc>
      </w:tr>
      <w:tr>
        <w:trPr>
          <w:trHeight w:val="560"/>
        </w:trPr>
        <w:tc>
          <w:tcPr>
            <w:tcW w:w="50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MAGNUS Platesetters</w:t>
            </w:r>
          </w:p>
        </w:tc>
        <w:tc>
          <w:tcPr>
            <w:tcW w:w="70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TRENDSETTER Platesetters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ACHIEVE Platesetters</w:t>
            </w:r>
          </w:p>
        </w:tc>
        <w:tc>
          <w:tcPr>
            <w:tcW w:w="7060" w:type="dxa"/>
            <w:vAlign w:val="bottom"/>
          </w:tcPr>
          <w:p>
            <w:pPr>
              <w:ind w:left="1380"/>
              <w:spacing w:after="0"/>
              <w:rPr>
                <w:sz w:val="20"/>
                <w:szCs w:val="20"/>
                <w:color w:val="auto"/>
              </w:rPr>
            </w:pPr>
            <w:r>
              <w:rPr>
                <w:rFonts w:ascii="Arial" w:cs="Arial" w:eastAsia="Arial" w:hAnsi="Arial"/>
                <w:sz w:val="18"/>
                <w:szCs w:val="18"/>
                <w:color w:val="auto"/>
              </w:rPr>
              <w:t>GENERATION NEWS Platesetter</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TRENDSETTER NEWS Platesetter</w:t>
            </w:r>
          </w:p>
        </w:tc>
        <w:tc>
          <w:tcPr>
            <w:tcW w:w="70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MERCURY P-HD Plate Processor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 Plate Processor</w:t>
            </w:r>
          </w:p>
        </w:tc>
        <w:tc>
          <w:tcPr>
            <w:tcW w:w="7060" w:type="dxa"/>
            <w:vAlign w:val="bottom"/>
          </w:tcPr>
          <w:p>
            <w:pPr>
              <w:ind w:left="1380"/>
              <w:spacing w:after="0"/>
              <w:rPr>
                <w:sz w:val="20"/>
                <w:szCs w:val="20"/>
                <w:color w:val="auto"/>
              </w:rPr>
            </w:pPr>
            <w:r>
              <w:rPr>
                <w:rFonts w:ascii="Arial" w:cs="Arial" w:eastAsia="Arial" w:hAnsi="Arial"/>
                <w:sz w:val="18"/>
                <w:szCs w:val="18"/>
                <w:color w:val="auto"/>
              </w:rPr>
              <w:t>P-LD Plate Processor</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T-HDX and T-HDE Plate Processors</w:t>
            </w:r>
          </w:p>
        </w:tc>
        <w:tc>
          <w:tcPr>
            <w:tcW w:w="706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Entertainment Motion Picture Film</w:t>
            </w:r>
          </w:p>
        </w:tc>
      </w:tr>
      <w:tr>
        <w:trPr>
          <w:trHeight w:val="648"/>
        </w:trPr>
        <w:tc>
          <w:tcPr>
            <w:tcW w:w="4180" w:type="dxa"/>
            <w:vAlign w:val="bottom"/>
          </w:tcPr>
          <w:p>
            <w:pPr>
              <w:spacing w:after="0"/>
              <w:rPr>
                <w:sz w:val="20"/>
                <w:szCs w:val="20"/>
                <w:color w:val="auto"/>
              </w:rPr>
            </w:pPr>
            <w:r>
              <w:rPr>
                <w:rFonts w:ascii="Arial" w:cs="Arial" w:eastAsia="Arial" w:hAnsi="Arial"/>
                <w:sz w:val="18"/>
                <w:szCs w:val="18"/>
                <w:b w:val="1"/>
                <w:bCs w:val="1"/>
                <w:color w:val="auto"/>
              </w:rPr>
              <w:t>VI  Steps to Improve Due Diligence</w:t>
            </w:r>
          </w:p>
        </w:tc>
        <w:tc>
          <w:tcPr>
            <w:tcW w:w="70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Kodak will continue to communicate its expectations and information requirements to its direct suppliers. Over time, Kodak anticipates that the amount of information globally on the traceability and sourcing of these ores will only increase and improve Kodak’s knowledge thereby facilitating the Company’s efforts to eliminate (or at least reduce) the potential for Conflict Minerals in its products. When Kodak identifies an upstream supplier that is sourcing from or linked to any party providing direct or indirect support to non-state armed groups, the Company will work with its supply chain to suspend or discontinue engagement with that upstream supplier. Kodak expects its suppliers to take similar measures with their suppliers to ensure alignment throughout the supply chain.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those steps described above, Kodak will continue to take the following measures during the next compliance period to improve the due diligence conducted to further mitigate the risk that its necessary conflict minerals do not benefit armed groups in the Covered Countries, including:</w:t>
      </w:r>
    </w:p>
    <w:p>
      <w:pPr>
        <w:spacing w:after="0" w:line="146" w:lineRule="exact"/>
        <w:rPr>
          <w:sz w:val="20"/>
          <w:szCs w:val="20"/>
          <w:color w:val="auto"/>
        </w:rPr>
      </w:pPr>
    </w:p>
    <w:p>
      <w:pPr>
        <w:ind w:left="1060" w:right="40" w:hanging="332"/>
        <w:spacing w:after="0" w:line="25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collect responses from suppliers using the CMRT through Kodak’s Conflict Mineral Team. The Team will collect and store CMRTs and supplier data, communicate with our supply chain and provide guidance where necessary. This streamlined approach will roll up our data and validate submitted information if they are complete and valid. Continue to evaluate upstream sources through a broader set of tools to evaluate risk. These include, but are not limited to:</w:t>
      </w:r>
    </w:p>
    <w:p>
      <w:pPr>
        <w:spacing w:after="0" w:line="2" w:lineRule="exact"/>
        <w:rPr>
          <w:rFonts w:ascii="Arial" w:cs="Arial" w:eastAsia="Arial" w:hAnsi="Arial"/>
          <w:sz w:val="18"/>
          <w:szCs w:val="18"/>
          <w:color w:val="auto"/>
        </w:rPr>
      </w:pPr>
    </w:p>
    <w:p>
      <w:pPr>
        <w:ind w:left="1460" w:right="2500"/>
        <w:spacing w:after="0" w:line="250" w:lineRule="auto"/>
        <w:rPr>
          <w:rFonts w:ascii="Arial" w:cs="Arial" w:eastAsia="Arial" w:hAnsi="Arial"/>
          <w:sz w:val="18"/>
          <w:szCs w:val="18"/>
          <w:color w:val="auto"/>
        </w:rPr>
      </w:pPr>
      <w:r>
        <w:rPr>
          <w:rFonts w:ascii="Arial" w:cs="Arial" w:eastAsia="Arial" w:hAnsi="Arial"/>
          <w:sz w:val="18"/>
          <w:szCs w:val="18"/>
          <w:color w:val="auto"/>
        </w:rPr>
        <w:t>o Using a comprehensive smelter and refiner library with detailed status and notes for each listing; o Scanning for credible media on each smelter and refiner to flag risk issues; and</w:t>
      </w:r>
    </w:p>
    <w:p>
      <w:pPr>
        <w:ind w:left="1460"/>
        <w:spacing w:after="0"/>
        <w:rPr>
          <w:rFonts w:ascii="Arial" w:cs="Arial" w:eastAsia="Arial" w:hAnsi="Arial"/>
          <w:sz w:val="18"/>
          <w:szCs w:val="18"/>
          <w:color w:val="auto"/>
        </w:rPr>
      </w:pPr>
      <w:r>
        <w:rPr>
          <w:rFonts w:ascii="Arial" w:cs="Arial" w:eastAsia="Arial" w:hAnsi="Arial"/>
          <w:sz w:val="18"/>
          <w:szCs w:val="18"/>
          <w:color w:val="auto"/>
        </w:rPr>
        <w:t>o   Comparing the list of smelters and refiners against government watch and denied parties lists.</w:t>
      </w:r>
    </w:p>
    <w:p>
      <w:pPr>
        <w:spacing w:after="0" w:line="210" w:lineRule="exact"/>
        <w:rPr>
          <w:rFonts w:ascii="Arial" w:cs="Arial" w:eastAsia="Arial" w:hAnsi="Arial"/>
          <w:sz w:val="18"/>
          <w:szCs w:val="18"/>
          <w:color w:val="auto"/>
        </w:rPr>
      </w:pPr>
    </w:p>
    <w:p>
      <w:pPr>
        <w:ind w:left="1060" w:right="300" w:hanging="33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the level of engagement with suppliers to drive greater transparency within Kodak’s supply chain and increase the response rate. Suppliers will be asked to provide information gathered from their suppliers.</w:t>
      </w:r>
    </w:p>
    <w:p>
      <w:pPr>
        <w:spacing w:after="0" w:line="170" w:lineRule="exact"/>
        <w:rPr>
          <w:rFonts w:ascii="Arial" w:cs="Arial" w:eastAsia="Arial" w:hAnsi="Arial"/>
          <w:sz w:val="18"/>
          <w:szCs w:val="18"/>
          <w:color w:val="auto"/>
        </w:rPr>
      </w:pPr>
    </w:p>
    <w:p>
      <w:pPr>
        <w:ind w:left="1060" w:hanging="33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 and validate RCOI results against information collected by independent conflict-free smelter validation programs.</w:t>
      </w:r>
    </w:p>
    <w:p>
      <w:pPr>
        <w:spacing w:after="0" w:line="225" w:lineRule="exact"/>
        <w:rPr>
          <w:rFonts w:ascii="Arial" w:cs="Arial" w:eastAsia="Arial" w:hAnsi="Arial"/>
          <w:sz w:val="18"/>
          <w:szCs w:val="18"/>
          <w:color w:val="auto"/>
        </w:rPr>
      </w:pPr>
    </w:p>
    <w:p>
      <w:pPr>
        <w:ind w:left="1060" w:right="300" w:hanging="33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 and encourage suppliers to transition to smelters identified by the due diligence process as “conflict free” by an independent audit program.</w:t>
      </w:r>
    </w:p>
    <w:p>
      <w:pPr>
        <w:spacing w:after="0" w:line="170" w:lineRule="exact"/>
        <w:rPr>
          <w:rFonts w:ascii="Arial" w:cs="Arial" w:eastAsia="Arial" w:hAnsi="Arial"/>
          <w:sz w:val="18"/>
          <w:szCs w:val="18"/>
          <w:color w:val="auto"/>
        </w:rPr>
      </w:pPr>
    </w:p>
    <w:p>
      <w:pPr>
        <w:ind w:left="1060" w:right="120" w:hanging="33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Encourage our suppliers to have due diligence procedures in place for their supply chains to improve the content of the responses from such suppliers.</w:t>
      </w:r>
    </w:p>
    <w:p>
      <w:pPr>
        <w:spacing w:after="0" w:line="170" w:lineRule="exact"/>
        <w:rPr>
          <w:rFonts w:ascii="Arial" w:cs="Arial" w:eastAsia="Arial" w:hAnsi="Arial"/>
          <w:sz w:val="18"/>
          <w:szCs w:val="18"/>
          <w:color w:val="auto"/>
        </w:rPr>
      </w:pPr>
    </w:p>
    <w:p>
      <w:pPr>
        <w:ind w:left="1060" w:right="740" w:hanging="33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include a conflict minerals flow-down clause in new or renewed supplier contracts as well as included in the terms and conditions of each purchase order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t>APPENDIX</w:t>
      </w:r>
    </w:p>
    <w:p>
      <w:pPr>
        <w:spacing w:after="0" w:line="229"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color w:val="auto"/>
        </w:rPr>
        <w:t>The table below lists the smelters and refiners as reported to Kodak by its suppliers that are known smelters or refiners based on the RMI’s standard smelter reference list as of May 2023 and may have processed the conflict minerals contained in Kodak’s products. This information is as reported by the RMI as of May 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12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b w:val="1"/>
                <w:bCs w:val="1"/>
                <w:color w:val="auto"/>
              </w:rPr>
              <w:t>Standard Smelter Name</w:t>
            </w:r>
          </w:p>
        </w:tc>
        <w:tc>
          <w:tcPr>
            <w:tcW w:w="33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Smelter Facility Location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94"/>
              </w:rPr>
              <w:t>Smelter ID</w:t>
            </w:r>
          </w:p>
        </w:tc>
        <w:tc>
          <w:tcPr>
            <w:tcW w:w="1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Advanced Chemical Company</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UNITED STATES OF AMERICA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CID000015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Aida Chemical Industries Co.,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CID000019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Allgemeine Gold-und Silberscheideanstalt A.G.</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CID000035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Almalyk Mining and Metallurgical Complex (AMMC)</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UZBEKISTAN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CID000041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AngloGold Ashanti Córrego do Sítio Mineração</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BRAZIL</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CID000058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Argor-Heraeus S.A.</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SWITZERLAND</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CID000077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Amagasaki Factory, Hyogo Prefecture, Japan</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CID000082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Asaka Riken Co.,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CID000090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Atasay Kuyumculuk Sanayi Ve Ticaret A.S.</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TURKEY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CID000103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Aurubis AG</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CID000113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Bangko Sentral ng Pilipinas (Central Bank of the Philippines)</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PHILIPPINES</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CID000128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Boliden AB</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SWEDEN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CID000157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 Hafner GmbH + Co. KG</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CID000176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Caridad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MEXICO</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CID000180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CCR Refinery - Glencore Canada Corporation</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CID000185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Cendres + Metaux S.A.</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SWITZERLAND</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CID000189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Yunnan Copper Industry Co., Ltd.</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CID000197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Chimet S.p.A.</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ITALY</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CID000233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Chugai Mining</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CID000264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Daejin Indus Co.,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KOREA, REPUBLIC OF</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CID000328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Daye Non-Ferrous Metals Mining Ltd.</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CID000343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DSC (Do Sung Corporation)</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KOREA, REPUBLIC OF</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CID000359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DODUCO Contacts and Refining GmbH</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CID000362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AKITA Seiren</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CID000401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Eco-System Recycling Co., Ltd. East Plant</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JAPAN</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CID000425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OJSC Novosibirsk Refinery</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RUSSIAN FEDERATION</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CID000493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Refinery of Seemine Gold Co., Ltd.</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CID000522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Guoda Safina High-Tech Environmental Refinery Co.,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CID000651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Hangzhou Fuchunjiang Smelting Co., Ltd.</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CID000671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HeeSung Metal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KOREA, REPUBLIC OF</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CID000689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Heimerle + Meule GmbH</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CID000694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Heraeus Metals Hong Kong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CID000707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Heraeus Precious Metals GmbH &amp; Co. KG</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GERMANY</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CID000711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Hunan Chenzhou Mining Co., Ltd.</w:t>
            </w:r>
          </w:p>
        </w:tc>
        <w:tc>
          <w:tcPr>
            <w:tcW w:w="33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CID000767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1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Hunan Guiyang yinxing Nonferrous Smelting Co., Ltd.</w:t>
            </w:r>
          </w:p>
        </w:tc>
        <w:tc>
          <w:tcPr>
            <w:tcW w:w="3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CHINA</w:t>
            </w: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CID000773</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HwaSeong CJ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CID000778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Inner Mongolia Qiankun Gold and Silver Refinery Share Co.,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CID000801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Ishifuku Metal Industry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CID000807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Istanbul Gold Refinery</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TURKEY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CID000814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Japan Mint</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CID000823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Jiangxi Copper Co.,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CID000855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Johnson Matthey Inc.</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CID000920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Asahi Refining Canada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CID000924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JSC Ekaterinburg Non-Ferrous Metal Processing Plant</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CID000927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JSC Uralelectromed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CID000929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JX Nippon Mining &amp; Metals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CID000937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Kazakhmys Smelting LLC</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KAZAKHSTAN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CID000956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Kazzinc</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KAZAKHSTAN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CID000957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Kennecott Utah Copper LLC</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CID000969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Kojima Chemicals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CID000981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Kyrgyzaltyn JSC</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KYRGYZSTAN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CID001029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L'azurde Company For Jewelry</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SAUDI ARABIA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CID001032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Lingbao Gold Co.,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CID001056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Lingbao Jinyuan Tonghui Refinery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CID001058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Refinery LS-Nikko Copper Inc.</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CID001078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Luoyang Zijin Yinhui Gold Refinery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CID001093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Williams Advanced Materials</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CID001113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Matsuda Sangyo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CID001119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Metalor Technologies (Suzhou)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CID001147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Metalor Technologies (Hong Kong)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CID001149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Metalor Technologies (Singapore) Pte.,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SINGAPORE</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CID001152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Metalor Switzerland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SWITZERLAND</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CID001153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Metalor USA Refining Corporation</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CID001157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Metalúrgica Met-Mex Peñoles S.A. De C.V.</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MEXICO</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CID001161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Mitsubishi Materials Corporation</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CID001188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Mitsui Mining and Smelting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CID001193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Moscow Special Alloys Processing Plant</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CID001204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Nadir Metal Rafineri San. Ve Tic. A.Ş.</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TURKEY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CID001220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Navoi Mining and Metallurgical Combinat</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UZBEKISTAN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CID001236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Nihon Material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CID001259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Ohura Precious Metal Industry Co., Ltd.</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CID001325</w:t>
            </w:r>
          </w:p>
        </w:tc>
        <w:tc>
          <w:tcPr>
            <w:tcW w:w="16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Gold</w:t>
            </w:r>
          </w:p>
        </w:tc>
        <w:tc>
          <w:tcPr>
            <w:tcW w:w="5680" w:type="dxa"/>
            <w:vAlign w:val="bottom"/>
            <w:shd w:val="clear" w:color="auto" w:fill="CCEEFF"/>
          </w:tcPr>
          <w:p>
            <w:pPr>
              <w:ind w:left="560"/>
              <w:spacing w:after="0" w:line="195" w:lineRule="exact"/>
              <w:rPr>
                <w:sz w:val="20"/>
                <w:szCs w:val="20"/>
                <w:color w:val="auto"/>
              </w:rPr>
            </w:pPr>
            <w:r>
              <w:rPr>
                <w:rFonts w:ascii="Arial" w:cs="Arial" w:eastAsia="Arial" w:hAnsi="Arial"/>
                <w:sz w:val="18"/>
                <w:szCs w:val="18"/>
                <w:color w:val="auto"/>
                <w:w w:val="94"/>
              </w:rPr>
              <w:t>OJSC "The Gulidov Krasnoyarsk Non-Ferrous Metals Plant" (OJSC</w:t>
            </w:r>
          </w:p>
        </w:tc>
        <w:tc>
          <w:tcPr>
            <w:tcW w:w="30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RUSSIAN FEDERATION</w:t>
            </w:r>
          </w:p>
        </w:tc>
        <w:tc>
          <w:tcPr>
            <w:tcW w:w="12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w w:val="92"/>
              </w:rPr>
              <w:t>CID001326</w:t>
            </w:r>
          </w:p>
        </w:tc>
        <w:tc>
          <w:tcPr>
            <w:tcW w:w="1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Krastsvetmet)</w:t>
            </w:r>
          </w:p>
        </w:tc>
        <w:tc>
          <w:tcPr>
            <w:tcW w:w="30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Produits Artistiques de Métaux</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SWITZERLAND</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CID001352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Penglai Penggang Gold Industry Co.,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CID001362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Prioksky Plant of Non-Ferrous Metals</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CID001386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PT Aneka Tambang (Persero) Tbk</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CID001397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PX Précinox S.A.</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SWITZERLAND</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CID001498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Rand Refinery (Pty) Ltd.</w:t>
            </w:r>
          </w:p>
        </w:tc>
        <w:tc>
          <w:tcPr>
            <w:tcW w:w="30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SOUTH AFRICA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CID001512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6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Royal Canadian Mint</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CANADA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CID001534</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Sabin Metal Corp.</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STATES OF AMERICA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CID001546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Samduck Precious Metals</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CID001555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Samwon Metals Corp.</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CID001562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SEMPSA Joyería Platería S.A.</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SPAIN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CID001585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Shandong Tiancheng Biological Gold Industrial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CID001619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Shandong Zhaojin Gold &amp; Silver Refinery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CID001622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Sichuan Tianze Precious Metals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CID001736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SOE Shyolkovsky Factory of Secondary Precious Metals</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CID001756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Solar Applied Materials Technology Corp.</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TAIWAN, PROVINCE OF 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CID001761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Sumitomo Metal Mining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JAPAN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CID001798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Super Dragon Technology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TAIWAN, PROVINCE OF 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CID001810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Tanaka Electronics (Hong Kong) Pte.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JAPAN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CID001875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Great Wall Precious Metals Co., Ltd. of CBPM</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CID001909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Gold Mining in Shandong (Laizhou) Limited Company</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CID001916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Tokuriki Honten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JAPAN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CID001938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Anhui Tongling Nonferrous Metal Mining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CID001947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Torecom</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CID001955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Umicore Brasil Ltda.</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CID001977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Umicore S.A. Business Unit Precious Metals Refining</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BELGIUM</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CID001980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United Precious Metal Refining, Inc.</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UNITED STATES OF AMERICA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CID001993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Valcambi S.A.</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SWITZERLAND</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CID002003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Western Australian Mint (T/a The Perth Mint)</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AUSTRALIA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CID002030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Yamakin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JAPAN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CID002100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Yokohama Metal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JAPAN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CID002129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Zhongyuan Gold Smelter of Zhongjin Gold Corporation</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CID002224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Gold Refinery of Zijin Mining Group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CID002243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Morris and Watson</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NEW ZEALAND</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CID002282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SAFINA A.S.</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CZECHIA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CID002290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Guangdong Jinding Gold Limited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CID002312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Umicore Precious Metals Thailand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THAILAND</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CID002314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Geib Refining Corporation</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STATES OF AMERICA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CID002459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MMTC-PAMP India Pvt.,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CID002509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KGHM Polska Miedz Spolka Akcyjna</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POLAND</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CID002511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Fidelity Printers and Refiners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ZIMBABWE</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Singway Technology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TAIWAN, PROVINCE OF 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CID002516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Shandong Humon Smelting Co., Ltd.</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CID002525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Shenzhen Zhonghenglong Real Industry Co., Ltd.</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CID002527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Al Etihad Gold Refinery DMCC</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UNITED ARAB EMIRATES</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CID002560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Emirates Gold DMCC</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ARAB EMIRATES</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CID002561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International Precious Metal Refiners</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UNITED ARAB EMIRATES</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CID002562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Kaloti Precious Metals</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ARAB EMIRATES</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CID002563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Sudan Gold Refinery</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SUDAN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CID002567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T.C.A S.p.A</w:t>
            </w:r>
          </w:p>
        </w:tc>
        <w:tc>
          <w:tcPr>
            <w:tcW w:w="35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ITALY</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CID002580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2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REMONDIS PMR B.V.</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NETHERLANDS</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CID002582</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Fujairah Gold FZC</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UNITED ARAB EMIRATES</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CID002584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Industrial Refining Company</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BELGIUM</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CID002587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Shirpur Gold Refinery Ltd.</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CID002588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Korea Zinc Co.,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CID002605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Marsam Metals</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CID002606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TOO Tau-Ken-Altyn</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KAZAKHSTAN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CID002615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Abington Reldan Metals, LLC</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CID002708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Shenzhen CuiLu Gold Co.,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CID002750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Albino Mountinho Lda.</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PORTUGAL</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CID002760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SAAMP</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FRANCE</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CID002761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L'Orfebre S.A.</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ANDORRA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CID002762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8853 S.p.A.</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ITALY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CID002763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Italpreziosi</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ITALY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CID002765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SAXONIA Edelmetalle GmbH</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CID002777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WIELAND Edelmetalle GmbH</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CID002778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Ögussa Österreichische Gold- und Silber-Scheideanstalt GmbH</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AUSTRIA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CID002779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AU Traders and Refiners</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SOUTH AFRICA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CID002850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GGC Gujrat Gold Centre Pvt.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CID002852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Sai Refinery</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CID002853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Modeltech Sdn Bhd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MALAYSIA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CID002857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Bangalore Refinery</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CID002863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Kyshtym Copper-Electrolytic Plant ZAO</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CID002865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Degussa Sonne / Mond Goldhandel GmbH</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CID002867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Pease &amp; Curren</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CID002872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JALAN &amp; Company</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CID002893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SungEel HiMetal Co.,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CID002918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Planta Recuperadora de Metales SpA</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CHILE</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CID002919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ABC Refinery Pty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AUSTRALIA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CID002920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Safimet S.p.A</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ITALY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CID002973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1"/>
              </w:rPr>
              <w:t>State Research Institute Center for Physical Sciences and Technology</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LITHUANIA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CID003153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African Gold Refinery</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UGANDA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CID003185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Gold Coast Refinery</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GHANA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CID003186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NH Recytech Company</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CID003189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DS PRETECH Co., Ltd.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KOREA, REPUBLIC OF</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CID003195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QG Refining, LLC</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CID003324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Dijllah Gold Refinery FZC</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UNITED ARAB EMIRATES</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CID003348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Chemmanur Gold Refinery Metalloys Pvt Ltd.</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CID003382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Sovereign Metals</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CID003383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C.I Metales Procesados Industriales SAS</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COLOMBIA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CID003421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Eco-System Recycling Co., Ltd. North Plant</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CID003424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Eco-System Recycling Co., Ltd. West Plant</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CID003425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Augmont Enterprises Private Limited</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CID003461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Kundan Care Products Ltd.</w:t>
            </w:r>
          </w:p>
        </w:tc>
        <w:tc>
          <w:tcPr>
            <w:tcW w:w="3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CID003463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Emerald Jewel Industry India Limited (Unit 1)</w:t>
            </w: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CID003487</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Emerald Jewel Industry India Limited (Unit 2)</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CID003488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Emerald Jewel Industry India Limited (Unit 3)</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CID003489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Emerald Jewel Industry India Limited (Unit 4)</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CID003490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K.A. Rasmussen</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NORWAY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CID003497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Alexy Metals</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CID003500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Sancus ZFS (L’Orfebre, SA)</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COLOMBIA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CID003529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Sellem Industries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MAURITANIA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CID003540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MD Overseas</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CID003548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Metallix Refining Inc.</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CID003557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Metal Concentrators SA (Pty)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SOUTH AFRICA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CID003575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WEEEREFINING</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FRANCE</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CID003615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Value Trading</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BELGIUM</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CID003617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Gold by Gold Colombia</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COLOMBIA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CID003641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Gold</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Dongwu Gold Group</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CID003663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Asaka Riken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CID000092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Changsha South Tantalum Niobium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CID000211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Exotech Inc.</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CID000456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F&amp;X Electro-Materials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CID000460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Guangdong Zhiyuan New Material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CID000616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JiuJiang JinXin Nonferrous Metals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CID000914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Jiujiang Nonferrous Metals Smelting Company Limited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CID000917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AMG Brasil</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CID001076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Metallurgical Products India Pvt.,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CID001163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Mineração Taboca S.A.</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CID001175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Mitsui Mining and Smelting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CID001192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Molycorp Silmet A.S.</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ESTONIA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CID001200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Ningxia Orient Tantalum Industry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CID001277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QuantumClean</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CID001508</w:t>
            </w:r>
          </w:p>
        </w:tc>
        <w:tc>
          <w:tcPr>
            <w:tcW w:w="16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Tantalum</w:t>
            </w:r>
          </w:p>
        </w:tc>
        <w:tc>
          <w:tcPr>
            <w:tcW w:w="536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w w:val="98"/>
              </w:rPr>
              <w:t>RFH Tantalum Smeltery Co., Ltd./Yanling Jincheng Tantalum &amp;</w:t>
            </w:r>
          </w:p>
        </w:tc>
        <w:tc>
          <w:tcPr>
            <w:tcW w:w="320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CHINA</w:t>
            </w:r>
          </w:p>
        </w:tc>
        <w:tc>
          <w:tcPr>
            <w:tcW w:w="12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w w:val="92"/>
              </w:rPr>
              <w:t>CID001522</w:t>
            </w:r>
          </w:p>
        </w:tc>
        <w:tc>
          <w:tcPr>
            <w:tcW w:w="1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Niobium Co., Ltd.</w:t>
            </w:r>
          </w:p>
        </w:tc>
        <w:tc>
          <w:tcPr>
            <w:tcW w:w="3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Solikamsk Magnesium Works OAO</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CID001769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Taki Chemical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CID001869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Telex Metals</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CID001891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Ulba Metallurgical Plant JSC</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KAZAKHSTAN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CID001969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Hengyang King Xing Lifeng New Materials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CID002492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D Block Metals, LLC</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CID002504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FIR Metals &amp; Resource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CID002505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Jiujiang Zhongao Tantalum &amp; Niobium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CID002506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XinXing HaoRong Electronic Material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CID002508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Jiangxi Dinghai Tantalum &amp; Niobium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CID002512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KEMET de Mexico</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MEXICO</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CID002539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H.C. Starck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THAILAND</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CID002544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H.C. Starck Tantalum and Niobium GmbH</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CID002545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H.C. Starck Hermsdorf GmbH</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CID002547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H.C. Starck Inc.</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CID002548</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TANIOBIS Japan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CID002549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H.C. Starck Smelting GmbH &amp; Co. KG</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GERMANY</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CID002550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Global Advanced Metals Boyertown</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CID002557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Global Advanced Metals Aizu</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CID002558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Resind Indústria e Comércio Ltda.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CID002707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Jiangxi Tuohong New Raw Material</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CID002842</w:t>
            </w:r>
          </w:p>
        </w:tc>
        <w:tc>
          <w:tcPr>
            <w:tcW w:w="16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Tantalum</w:t>
            </w:r>
          </w:p>
        </w:tc>
        <w:tc>
          <w:tcPr>
            <w:tcW w:w="510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Power Resources Ltd.</w:t>
            </w:r>
          </w:p>
        </w:tc>
        <w:tc>
          <w:tcPr>
            <w:tcW w:w="3460" w:type="dxa"/>
            <w:vAlign w:val="bottom"/>
            <w:shd w:val="clear" w:color="auto" w:fill="CCEEFF"/>
          </w:tcPr>
          <w:p>
            <w:pPr>
              <w:ind w:left="600"/>
              <w:spacing w:after="0" w:line="195" w:lineRule="exact"/>
              <w:rPr>
                <w:sz w:val="20"/>
                <w:szCs w:val="20"/>
                <w:color w:val="auto"/>
              </w:rPr>
            </w:pPr>
            <w:r>
              <w:rPr>
                <w:rFonts w:ascii="Arial" w:cs="Arial" w:eastAsia="Arial" w:hAnsi="Arial"/>
                <w:sz w:val="18"/>
                <w:szCs w:val="18"/>
                <w:color w:val="auto"/>
              </w:rPr>
              <w:t>MACEDONIA, THE FORMER</w:t>
            </w:r>
          </w:p>
        </w:tc>
        <w:tc>
          <w:tcPr>
            <w:tcW w:w="12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w w:val="92"/>
              </w:rPr>
              <w:t>CID002847</w:t>
            </w:r>
          </w:p>
        </w:tc>
        <w:tc>
          <w:tcPr>
            <w:tcW w:w="1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5100" w:type="dxa"/>
            <w:vAlign w:val="bottom"/>
            <w:tcBorders>
              <w:bottom w:val="single" w:sz="8" w:color="auto"/>
            </w:tcBorders>
            <w:shd w:val="clear" w:color="auto" w:fill="CCEEFF"/>
          </w:tcPr>
          <w:p>
            <w:pPr>
              <w:spacing w:after="0"/>
              <w:rPr>
                <w:sz w:val="20"/>
                <w:szCs w:val="20"/>
                <w:color w:val="auto"/>
              </w:rPr>
            </w:pP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YUGOSLAV REPUBLIC OF</w:t>
            </w:r>
          </w:p>
        </w:tc>
        <w:tc>
          <w:tcPr>
            <w:tcW w:w="1240" w:type="dxa"/>
            <w:vAlign w:val="bottom"/>
            <w:tcBorders>
              <w:bottom w:val="single" w:sz="8" w:color="auto"/>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CP Metals Inc.</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CID003402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RFH Yancheng Jinye New Material Technology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CID003583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Tantalum</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5D Production OU</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ESTONIA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CID003926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Chenzhou Yunxiang Mining and Metallurgy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CID000228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Alpha Metals Korea Ltd.</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CID000292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CV Gita Pesona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CID000306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Aries Kencana Sejahtera</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CID000309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Premium Tin Indonesia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CID000313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CV United Smelting</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CID000315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Dowa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CID000402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Empresa Metalúrgica Vinto</w:t>
            </w:r>
          </w:p>
        </w:tc>
        <w:tc>
          <w:tcPr>
            <w:tcW w:w="47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w w:val="97"/>
              </w:rPr>
              <w:t>BOLIVIA (PLURINATIONAL STATE OF) CID000438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Estanho de Rondonia S.A.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CID000448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Fenix Metals</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POLAND</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CID000468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Gejiu Non-Ferrous Metal Processing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CID000538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Gejiu Zili Mining And Metallurgy Co., Ltd.</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CID000555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Huichang Jinshunda Tin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CID000760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Gejiu Kai Meng Industry and Trade LLC</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CID000942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China Tin Group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CID001070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Malaysia Smelting Corporation (MSC)</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MALAYSIA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CID001105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Metallic Resources, Inc.</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CID001142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Mineração Taboca S.A.</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CID001173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Minsur</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PERU</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CID001182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Mitsubishi Materials Corporation</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CID001191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Jiangxi New Nanshan Technology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CID001231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Novosibirsk Processing Plant Ltd.</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RUSSIAN FEDERATION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CID001305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O.M. Manufacturing (Thailand) Co., Ltd.</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THAILAND</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CID001314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Operaciones Metalúrgicas S.A.</w:t>
            </w:r>
          </w:p>
        </w:tc>
        <w:tc>
          <w:tcPr>
            <w:tcW w:w="470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w w:val="97"/>
              </w:rPr>
              <w:t>BOLIVIA (PLURINATIONAL STATE OF) CID001337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Artha Cipta Langgeng</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CID001399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Babel Inti Perkasa</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CID001402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Babel Surya Alam Lestari</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CID001406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Bangka Tin Industry</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CID001419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Belitung Industri Sejahtera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CID001421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Bukit Timah</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CID001428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DS Jaya Abadi</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CID001434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Karimun Mining</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CID001448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PT Mitra Stania Prima</w:t>
            </w:r>
          </w:p>
        </w:tc>
        <w:tc>
          <w:tcPr>
            <w:tcW w:w="34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CID001453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PT Panca Mega Persada</w:t>
            </w:r>
          </w:p>
        </w:tc>
        <w:tc>
          <w:tcPr>
            <w:tcW w:w="3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CID001457</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Prima Timah Utama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CID001458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Refined Bangka Tin</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CID001460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Sariwiguna Binasentosa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CID001463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Stanindo Inti Perkasa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CID001468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Sumber Jaya Indah</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CID001471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Timah (Persero) Tbk Kundur</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CID001477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Timah (Persero) Tbk Mentok</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CID001482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Timah Nusantara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CID001486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Tinindo Inter Nusa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CID001490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Tommy Utama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CID001493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Rui Da Hung</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TAIWAN, PROVINCE OF 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CID001539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Soft Metais Ltda.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CID001758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Thailand Smelting &amp; Refining Co Ltd</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THAILAND</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CID001898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Gejiu Yunxin Nonferrous Electrolysis Co., Ltd.</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CID001908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VQB Mineral and Trading Group JSC</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CID002015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White Solder Metalurgia e Mineração Ltda.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CID002036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Yunnan Chengfeng Non-ferrous Metals Co., Ltd.</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CID002158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China Yunnan Tin Co Ltd.</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CID002180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CV Venus Inti Perkasa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CID002455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Magnu's Minerais Metais e Ligas Ltda.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CID002468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Tirus Putra Mandiri</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CID002478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Melt Metais e Ligas S.A.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CID002500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ATD Makmur Mandiri Jaya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CID002503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O.M. Manufacturing Philippines, Inc.</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PHILIPPINES</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CID002517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Inti Stania Prima</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CID002530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CV Ayi Jaya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CID002570</w:t>
            </w:r>
          </w:p>
        </w:tc>
        <w:tc>
          <w:tcPr>
            <w:tcW w:w="16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Tin</w:t>
            </w:r>
          </w:p>
        </w:tc>
        <w:tc>
          <w:tcPr>
            <w:tcW w:w="5740" w:type="dxa"/>
            <w:vAlign w:val="bottom"/>
            <w:shd w:val="clear" w:color="auto" w:fill="CCEEFF"/>
          </w:tcPr>
          <w:p>
            <w:pPr>
              <w:ind w:left="600"/>
              <w:spacing w:after="0" w:line="195" w:lineRule="exact"/>
              <w:rPr>
                <w:sz w:val="20"/>
                <w:szCs w:val="20"/>
                <w:color w:val="auto"/>
              </w:rPr>
            </w:pPr>
            <w:r>
              <w:rPr>
                <w:rFonts w:ascii="Arial" w:cs="Arial" w:eastAsia="Arial" w:hAnsi="Arial"/>
                <w:sz w:val="18"/>
                <w:szCs w:val="18"/>
                <w:color w:val="auto"/>
                <w:w w:val="97"/>
              </w:rPr>
              <w:t>Electro-Mechanical Facility of the Cao Bang Minerals &amp; Metallurgy</w:t>
            </w:r>
          </w:p>
        </w:tc>
        <w:tc>
          <w:tcPr>
            <w:tcW w:w="31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VIET NAM</w:t>
            </w:r>
          </w:p>
        </w:tc>
        <w:tc>
          <w:tcPr>
            <w:tcW w:w="120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w w:val="92"/>
              </w:rPr>
              <w:t>CID002572</w:t>
            </w:r>
          </w:p>
        </w:tc>
        <w:tc>
          <w:tcPr>
            <w:tcW w:w="1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Joint Stock Company</w:t>
            </w:r>
          </w:p>
        </w:tc>
        <w:tc>
          <w:tcPr>
            <w:tcW w:w="3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Nghe Tinh Non-Ferrous Metals Joint Stock Company</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CID002573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Tuyen Quang Non-Ferrous Metals Joint Stock Company</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CID002574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CV Dua Sekawan</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CID002592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CV Tiga Sekawan</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CID002593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Cipta Persada Mulia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CID002696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An Vinh Joint Stock Mineral Processing Company</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CID002703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Resind Indústria e Comércio Ltda.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CID002706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Super Ligas</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CID002756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Metallo Belgium N.V.</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BELGIUM</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CID002773</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Metallo Spain S.L.U.</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SPAIN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CID002774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Bangka Prima Tin</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CID002776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PT Sukses Inti Makmur</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CID002816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Kijang Jaya Mandiri</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CID002829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Thai Nguyen Mining and Metallurgy Co., Ltd.</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CID002834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PT Menara Cipta Mulia</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INDONESIA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CID002835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HuiChang Hill Tin Industry Co., Ltd.</w:t>
            </w:r>
          </w:p>
        </w:tc>
        <w:tc>
          <w:tcPr>
            <w:tcW w:w="3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CID002844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7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Gejiu Fengming Metallurgy Chemical Plant</w:t>
            </w:r>
          </w:p>
        </w:tc>
        <w:tc>
          <w:tcPr>
            <w:tcW w:w="3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CID002848</w:t>
            </w:r>
          </w:p>
        </w:tc>
        <w:tc>
          <w:tcPr>
            <w:tcW w:w="160" w:type="dxa"/>
            <w:vAlign w:val="bottom"/>
          </w:tcPr>
          <w:p>
            <w:pPr>
              <w:spacing w:after="0"/>
              <w:rPr>
                <w:sz w:val="18"/>
                <w:szCs w:val="18"/>
                <w:color w:val="auto"/>
              </w:rPr>
            </w:pPr>
          </w:p>
        </w:tc>
      </w:tr>
      <w:tr>
        <w:trPr>
          <w:trHeight w:val="568"/>
        </w:trPr>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Guanyang Guida Nonferrous Metal Smelting Plant</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CID002849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Modeltech Sdn Bhd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MALAYSIA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CID002858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PT Lautan Harmonis Sejahtera</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CID002870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Guangdong Hanhe Non-Ferrous Metal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CID003116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Chifeng Dajingzi Tin Industry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CID003190</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PT Bangka Serumpun</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CID003205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Pongpipat Company Limited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MYANMAR</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CID003208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Tin Technology &amp; Refining</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CID003325</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Dongguan CiEXPO Environmental Engineering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CID003356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Ma'anshan Weitai Tin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CID003379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PT Masbro Alam Stania</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CID003380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PT Rajawali Rimba Perkasa</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CID003381</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Luna Smelter,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RWANDA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CID003387</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Yunnan Yunfan Non-ferrous Metals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CID003397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Precious Minerals and Smelting Limited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CID003409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Gejiu City Fuxiang Industry and Trade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CID003410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PT Mitra Sukses Globalindo</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CID003449</w:t>
            </w:r>
          </w:p>
        </w:tc>
        <w:tc>
          <w:tcPr>
            <w:tcW w:w="160" w:type="dxa"/>
            <w:vAlign w:val="bottom"/>
          </w:tcPr>
          <w:p>
            <w:pPr>
              <w:spacing w:after="0"/>
              <w:rPr>
                <w:sz w:val="18"/>
                <w:szCs w:val="18"/>
                <w:color w:val="auto"/>
              </w:rPr>
            </w:pPr>
          </w:p>
        </w:tc>
      </w:tr>
      <w:tr>
        <w:trPr>
          <w:trHeight w:val="195"/>
        </w:trPr>
        <w:tc>
          <w:tcPr>
            <w:tcW w:w="160" w:type="dxa"/>
            <w:vAlign w:val="bottom"/>
          </w:tcPr>
          <w:p>
            <w:pPr>
              <w:spacing w:after="0"/>
              <w:rPr>
                <w:sz w:val="16"/>
                <w:szCs w:val="16"/>
                <w:color w:val="auto"/>
              </w:rPr>
            </w:pPr>
          </w:p>
        </w:tc>
        <w:tc>
          <w:tcPr>
            <w:tcW w:w="11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Tin</w:t>
            </w:r>
          </w:p>
        </w:tc>
        <w:tc>
          <w:tcPr>
            <w:tcW w:w="8580" w:type="dxa"/>
            <w:vAlign w:val="bottom"/>
            <w:gridSpan w:val="2"/>
          </w:tcPr>
          <w:p>
            <w:pPr>
              <w:ind w:left="400"/>
              <w:spacing w:after="0" w:line="195" w:lineRule="exact"/>
              <w:rPr>
                <w:sz w:val="20"/>
                <w:szCs w:val="20"/>
                <w:color w:val="auto"/>
              </w:rPr>
            </w:pPr>
            <w:r>
              <w:rPr>
                <w:rFonts w:ascii="Arial" w:cs="Arial" w:eastAsia="Arial" w:hAnsi="Arial"/>
                <w:sz w:val="18"/>
                <w:szCs w:val="18"/>
                <w:color w:val="auto"/>
              </w:rPr>
              <w:t>CRM Fundicao De Metais E Comercio De Equipamentos Eletronicos Do BRAZIL</w:t>
            </w:r>
          </w:p>
        </w:tc>
        <w:tc>
          <w:tcPr>
            <w:tcW w:w="1240" w:type="dxa"/>
            <w:vAlign w:val="bottom"/>
          </w:tcPr>
          <w:p>
            <w:pPr>
              <w:ind w:left="380"/>
              <w:spacing w:after="0" w:line="195" w:lineRule="exact"/>
              <w:rPr>
                <w:sz w:val="20"/>
                <w:szCs w:val="20"/>
                <w:color w:val="auto"/>
              </w:rPr>
            </w:pPr>
            <w:r>
              <w:rPr>
                <w:rFonts w:ascii="Arial" w:cs="Arial" w:eastAsia="Arial" w:hAnsi="Arial"/>
                <w:sz w:val="18"/>
                <w:szCs w:val="18"/>
                <w:color w:val="auto"/>
                <w:w w:val="92"/>
              </w:rPr>
              <w:t>CID003486</w:t>
            </w:r>
          </w:p>
        </w:tc>
        <w:tc>
          <w:tcPr>
            <w:tcW w:w="160" w:type="dxa"/>
            <w:vAlign w:val="bottom"/>
          </w:tcPr>
          <w:p>
            <w:pPr>
              <w:spacing w:after="0"/>
              <w:rPr>
                <w:sz w:val="16"/>
                <w:szCs w:val="16"/>
                <w:color w:val="auto"/>
              </w:rPr>
            </w:pPr>
          </w:p>
        </w:tc>
      </w:tr>
      <w:tr>
        <w:trPr>
          <w:trHeight w:val="230"/>
        </w:trPr>
        <w:tc>
          <w:tcPr>
            <w:tcW w:w="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Brasil Ltda</w:t>
            </w:r>
          </w:p>
        </w:tc>
        <w:tc>
          <w:tcPr>
            <w:tcW w:w="3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CRM Synergies</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SPAIN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CID003524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Fabrica Auricchio Industria e Comercio Ltda.</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BRAZIL</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CID003582</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DS Myanmar</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MYANMAR</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CID003831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PT Putera Sarana Shakti (PT PSS)</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INDONESIA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CID003868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A.L.M.T. Corp.</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CID000004</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ATI Metalworking Products</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CID000105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Chaozhou Xianglu Tungsten Industry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CID000218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Chongyi Zhangyuan 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CID000258</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CNMC (Guangxi) PGMA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CID000281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Fujian Jinxin 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CID000499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Global Tungsten &amp; Powders Corp.</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CID000568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Hunan Chenzhou Mining Group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CID000766</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Hunan Chunchang Nonferrous Metals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CID000769</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Japan New Metals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JAPAN</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CID000825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Ganzhou Huaxing Tungsten Products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CID000875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Kennametal Fallon</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UNITED STATES OF AMERICA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CID000966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Tejing (Vietnam) Tungsten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VIET NAM</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CID001889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Wolfram Bergbau und Hütten AG</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AUSTRIA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CID002044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Xiamen Tungsten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CID002082</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Xinhai Rendan Shaoguan 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CID002095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Jiangxi Minmetals Gao'an Non-ferrous Metals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CID002313</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Ganzhou Jiangwu Ferrotungsten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CID002315</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Jiangxi Yaosheng Tungsten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CID002316</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Jiangxi Xinsheng Tungsten Industry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CID002317</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9"/>
              </w:rPr>
              <w:t>Jiangxi Tonggu Non-ferrous Metallurgical &amp; Chemical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CID002318</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Malipo Haiyu 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CID002319</w:t>
            </w:r>
          </w:p>
        </w:tc>
        <w:tc>
          <w:tcPr>
            <w:tcW w:w="16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Xiamen Tungsten (H.C.)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CID002320</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Jiangxi Gan Bei Tungsten Co.,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CID002321</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Ganzhou Seadragon W &amp; Mo Co., Ltd.</w:t>
            </w:r>
          </w:p>
        </w:tc>
        <w:tc>
          <w:tcPr>
            <w:tcW w:w="3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CHINA</w:t>
            </w:r>
          </w:p>
        </w:tc>
        <w:tc>
          <w:tcPr>
            <w:tcW w:w="12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2"/>
              </w:rPr>
              <w:t>CID002494</w:t>
            </w:r>
          </w:p>
        </w:tc>
        <w:tc>
          <w:tcPr>
            <w:tcW w:w="160" w:type="dxa"/>
            <w:vAlign w:val="bottom"/>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Asia Tungsten Products Vietnam Ltd.</w:t>
            </w:r>
          </w:p>
        </w:tc>
        <w:tc>
          <w:tcPr>
            <w:tcW w:w="3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VIET NAM</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2"/>
              </w:rPr>
              <w:t>CID002502</w:t>
            </w:r>
          </w:p>
        </w:tc>
        <w:tc>
          <w:tcPr>
            <w:tcW w:w="160" w:type="dxa"/>
            <w:vAlign w:val="bottom"/>
          </w:tcPr>
          <w:p>
            <w:pPr>
              <w:spacing w:after="0"/>
              <w:rPr>
                <w:sz w:val="18"/>
                <w:szCs w:val="18"/>
                <w:color w:val="auto"/>
              </w:rPr>
            </w:pPr>
          </w:p>
        </w:tc>
      </w:tr>
      <w:tr>
        <w:trPr>
          <w:trHeight w:val="567"/>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Chenzhou Diamond Tungsten Products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CID002513</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H.C. Starck Tungsten GmbH</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GERMANY</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CID002541</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TANIOBIS Smelting GmbH &amp; Co. KG</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GERMANY</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CID002542</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Masan Tungsten Chemical LLC (MTC)</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VIET NAM</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CID002543</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Jiangwu H.C. Starck Tungsten Products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CID002551</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Hunan Chuangda Vanadium Tungsten Co., Ltd. Wuji</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CID002579</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Niagara Refining LLC</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UNITED STATES OF AMERICA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CID002589</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China Molybdenum Tungsten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CID002641</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Ganzhou Haichuang Tungsten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CID002645</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Jiangxi Dayu Longxintai Tungsten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CID002647</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Hydrometallurg, JSC</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CID002649</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Unecha Refractory metals plant</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CID002724</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Philippine Chuangxin Industrial Co., Inc.</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PHILIPPINES</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CID002827</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8"/>
              </w:rPr>
              <w:t>Xinfeng Huarui Tungsten &amp; Molybdenum New Material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CID002830</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ACL Metais Eireli</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CID002833</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Woltech Korea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CID002843</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Moliren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CID002845</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Hunan Litian Tungsten Industry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CID003182</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KGETS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CID003388</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Fujian Ganmin RareMetal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CID003401</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Lianyou Metals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TAIWAN, PROVINCE OF CHINA</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CID003407</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JSC "Kirovgrad Hard Alloys Plant"</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CID003408</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NPP Tyazhmetprom LLC</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CID003416</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Jingmen Dewei GEM Tungsten Resources Recycling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CID003417</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Albasteel Industria e Comercio de Ligas Para Fundicao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CID003427</w:t>
            </w:r>
          </w:p>
        </w:tc>
      </w:tr>
      <w:tr>
        <w:trPr>
          <w:trHeight w:val="209"/>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Cronimet Brasil Ltda</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BRAZIL</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CID003468</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Artek LLC</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CID003553</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Fujian Xinlu Tungsten</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CID003609</w:t>
            </w:r>
          </w:p>
        </w:tc>
      </w:tr>
      <w:tr>
        <w:trPr>
          <w:trHeight w:val="209"/>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OOO “Technolom” 2</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CID003612</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OOO “Technolom” 1</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CID003614</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LLC Vostok</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RUSSIAN FEDERATION</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CID003643</w:t>
            </w:r>
          </w:p>
        </w:tc>
      </w:tr>
      <w:tr>
        <w:trPr>
          <w:trHeight w:val="210"/>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YUDU ANSHENG TUNGSTEN CO., LTD.</w:t>
            </w:r>
          </w:p>
        </w:tc>
        <w:tc>
          <w:tcPr>
            <w:tcW w:w="31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CHINA</w:t>
            </w: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CID003662</w:t>
            </w:r>
          </w:p>
        </w:tc>
      </w:tr>
      <w:tr>
        <w:trPr>
          <w:trHeight w:val="210"/>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Tungsten</w:t>
            </w:r>
          </w:p>
        </w:tc>
        <w:tc>
          <w:tcPr>
            <w:tcW w:w="54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HANNAE FOR T Co., Ltd.</w:t>
            </w:r>
          </w:p>
        </w:tc>
        <w:tc>
          <w:tcPr>
            <w:tcW w:w="31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KOREA, REPUBLIC OF</w:t>
            </w:r>
          </w:p>
        </w:tc>
        <w:tc>
          <w:tcPr>
            <w:tcW w:w="12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CID003978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Country of Origin Information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list of potential countries of origin is populated based on publicly available information, our RCOI and due diligence efforts. It is important to note that this information is also based on company level responses; therefore, it is not certain which of these countries of origin can be linked to our products.</w:t>
      </w:r>
    </w:p>
    <w:p>
      <w:pPr>
        <w:spacing w:after="0" w:line="12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Andorra, Australia, Austria, Belgium, Bolivia (Pluractional State Of), Brazil, Canada, Chile, China, Colombia, Czechia, Estonia, France, Germany, Ghana, India, Indonesia, Italy, Japan, Kazakhstan, Republic of Korea, Kyrgyzstan, Lithuania, The Former Yugoslav Republic of Macedonia, Malaysia, Mauritania, Mexico, Myanmar, Netherlands, New Zealand, Republic of North Macedonia, Norway, Peru, Philippines, Poland, Portugal, Russian Federation, Rwanda, Saudi Arabia, Singapore, South Africa, Spain, Sudan, Sweden, Switzerland, Taiwan, Thailand, Turkey, Uganda, United Arab Emirates, United States of America, Uzbekistan, Vietnam, and Zimbabwe.</w:t>
      </w:r>
    </w:p>
    <w:sectPr>
      <w:pgSz w:w="11900" w:h="16838" w:orient="portrait"/>
      <w:cols w:equalWidth="0" w:num="1">
        <w:col w:w="11080"/>
      </w:cols>
      <w:pgMar w:left="480" w:top="5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I"/>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upperLetter"/>
      <w:start w:val="2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2023-05-31T11:24:21Z</dcterms:created>
  <dcterms:modified xsi:type="dcterms:W3CDTF">2023-05-31T11:24:21Z</dcterms:modified>
</cp:coreProperties>
</file>