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Roger Byrd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EASTMAN KODAK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State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Rochester, NY 14650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EASTMAN KODAK CO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28,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001-00087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Byrd: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letter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 Please respond to these comments within ten business days by providing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 or advise us as soon as possible when you will respond. If you do not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believe our comments apply to your facts and circumstances, please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why in your response.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Correspondence filed December 28, 2021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20 Retirement Plans, page 83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remains unclear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your proposed disclosure fully informs investors about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plan assets include risk concentrations from derivative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extent to which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instruments.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insignificant derivative instrument amounts included in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this regard,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table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plan assets does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 to be balanced with a substantive disclosure regarding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magnitude of derivative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instruments held by the hedge funds. The level of derivative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instruments held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funds would appear material based on your disclosure that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aggregate 33% of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 represents securities exposure obtained via derivatives.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expanded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appears necessary to an understanding of the degree to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derivative instruments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impact the level of risk you discuss on page 87. In addition,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discussion of pension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assumptions on page 31 should indicate whether derivative gains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losses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materially impacted the reported Gain on Plan Assets balances shown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84.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Regarding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9, please provide a more substantive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facts and circumstances that apparently prevented your Plan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Trustee (Mellon) from</w:t>
      </w:r>
    </w:p>
    <w:p>
      <w:pPr>
        <w:ind w:left="120" w:right="35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certifying the existence and valuation of approximately 20% of Roger Byrd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EASTMAN KODAK CO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Plan Assets in both 2019 and 2020. It is not clear how "lagged pricing" fully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explains the issue given that the audit report on the Plan's December 31, 2020 financial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was not issued until October 14, 2021. Presumably year-end statements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these assets would have been available to Mellon by October. In order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us to</w:t>
      </w:r>
    </w:p>
    <w:p>
      <w:pPr>
        <w:ind w:right="201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this issue, please tell us whether Mellon certified these Plan Assets subsequent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filing of your 10-K in the same manner and form in which they certified the other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80% of Plan Assets. Tell us also how management could reasonably substantiate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existence and valuation of these assets as reported in your 10-K if Mellon was apparently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unable to accomplish that task.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 You may contact Al Pavot at 202.551.3738 or Terence O'Brien 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202.551.3355 if you have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LastNameRoger Byrd</w:t>
            </w:r>
          </w:p>
        </w:tc>
        <w:tc>
          <w:tcPr>
            <w:tcW w:w="322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NameEASTMAN KODAK CO</w:t>
            </w:r>
          </w:p>
        </w:tc>
        <w:tc>
          <w:tcPr>
            <w:tcW w:w="3220" w:type="dxa"/>
            <w:vAlign w:val="bottom"/>
            <w:vMerge w:val="restart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8, 2022 Page 2</w:t>
            </w: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Sciences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2022-03-29T23:12:35Z</dcterms:created>
  <dcterms:modified xsi:type="dcterms:W3CDTF">2022-03-29T23:12:35Z</dcterms:modified>
</cp:coreProperties>
</file>