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45"/>
        </w:trPr>
        <w:tc>
          <w:tcPr>
            <w:tcW w:w="1820" w:type="dxa"/>
            <w:vAlign w:val="bottom"/>
          </w:tcPr>
          <w:p>
            <w:pPr>
              <w:spacing w:after="0"/>
              <w:rPr>
                <w:sz w:val="24"/>
                <w:szCs w:val="24"/>
                <w:color w:val="auto"/>
              </w:rPr>
            </w:pPr>
          </w:p>
        </w:tc>
        <w:tc>
          <w:tcPr>
            <w:tcW w:w="7960" w:type="dxa"/>
            <w:vAlign w:val="bottom"/>
            <w:gridSpan w:val="5"/>
          </w:tcPr>
          <w:p>
            <w:pPr>
              <w:jc w:val="center"/>
              <w:ind w:right="76"/>
              <w:spacing w:after="0"/>
              <w:rPr>
                <w:sz w:val="20"/>
                <w:szCs w:val="20"/>
                <w:color w:val="auto"/>
              </w:rPr>
            </w:pPr>
            <w:r>
              <w:rPr>
                <w:rFonts w:ascii="Arial" w:cs="Arial" w:eastAsia="Arial" w:hAnsi="Arial"/>
                <w:sz w:val="30"/>
                <w:szCs w:val="30"/>
                <w:b w:val="1"/>
                <w:bCs w:val="1"/>
                <w:color w:val="auto"/>
                <w:w w:val="98"/>
              </w:rPr>
              <w:t>UNITED STATES</w:t>
            </w:r>
          </w:p>
        </w:tc>
        <w:tc>
          <w:tcPr>
            <w:tcW w:w="0" w:type="dxa"/>
            <w:vAlign w:val="bottom"/>
          </w:tcPr>
          <w:p>
            <w:pPr>
              <w:spacing w:after="0"/>
              <w:rPr>
                <w:sz w:val="1"/>
                <w:szCs w:val="1"/>
                <w:color w:val="auto"/>
              </w:rPr>
            </w:pPr>
          </w:p>
        </w:tc>
      </w:tr>
      <w:tr>
        <w:trPr>
          <w:trHeight w:val="362"/>
        </w:trPr>
        <w:tc>
          <w:tcPr>
            <w:tcW w:w="1820" w:type="dxa"/>
            <w:vAlign w:val="bottom"/>
          </w:tcPr>
          <w:p>
            <w:pPr>
              <w:spacing w:after="0"/>
              <w:rPr>
                <w:sz w:val="24"/>
                <w:szCs w:val="24"/>
                <w:color w:val="auto"/>
              </w:rPr>
            </w:pPr>
          </w:p>
        </w:tc>
        <w:tc>
          <w:tcPr>
            <w:tcW w:w="7960" w:type="dxa"/>
            <w:vAlign w:val="bottom"/>
            <w:gridSpan w:val="5"/>
          </w:tcPr>
          <w:p>
            <w:pPr>
              <w:jc w:val="center"/>
              <w:ind w:right="96"/>
              <w:spacing w:after="0"/>
              <w:rPr>
                <w:sz w:val="20"/>
                <w:szCs w:val="20"/>
                <w:color w:val="auto"/>
              </w:rPr>
            </w:pPr>
            <w:r>
              <w:rPr>
                <w:rFonts w:ascii="Arial" w:cs="Arial" w:eastAsia="Arial" w:hAnsi="Arial"/>
                <w:sz w:val="30"/>
                <w:szCs w:val="30"/>
                <w:b w:val="1"/>
                <w:bCs w:val="1"/>
                <w:color w:val="auto"/>
              </w:rPr>
              <w:t>SECURITIES AND EXCHANGE COMMISSION</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4880" w:type="dxa"/>
            <w:vAlign w:val="bottom"/>
            <w:gridSpan w:val="2"/>
          </w:tcPr>
          <w:p>
            <w:pPr>
              <w:jc w:val="center"/>
              <w:ind w:left="2815"/>
              <w:spacing w:after="0"/>
              <w:rPr>
                <w:sz w:val="20"/>
                <w:szCs w:val="20"/>
                <w:color w:val="auto"/>
              </w:rPr>
            </w:pPr>
            <w:r>
              <w:rPr>
                <w:rFonts w:ascii="Arial" w:cs="Arial" w:eastAsia="Arial" w:hAnsi="Arial"/>
                <w:sz w:val="17"/>
                <w:szCs w:val="17"/>
                <w:b w:val="1"/>
                <w:bCs w:val="1"/>
                <w:color w:val="auto"/>
                <w:w w:val="89"/>
              </w:rPr>
              <w:t>Washington, D.C. 20549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1820" w:type="dxa"/>
            <w:vAlign w:val="bottom"/>
            <w:vMerge w:val="restart"/>
          </w:tcPr>
          <w:p>
            <w:pPr>
              <w:jc w:val="right"/>
              <w:ind w:right="1658"/>
              <w:spacing w:after="0"/>
              <w:rPr>
                <w:sz w:val="20"/>
                <w:szCs w:val="20"/>
                <w:color w:val="auto"/>
              </w:rPr>
            </w:pPr>
            <w:r>
              <w:rPr>
                <w:rFonts w:ascii="Arial" w:cs="Arial" w:eastAsia="Arial" w:hAnsi="Arial"/>
                <w:sz w:val="15"/>
                <w:szCs w:val="15"/>
                <w:color w:val="auto"/>
                <w:w w:val="71"/>
              </w:rPr>
              <w:t>_</w:t>
            </w:r>
          </w:p>
        </w:tc>
        <w:tc>
          <w:tcPr>
            <w:tcW w:w="4880" w:type="dxa"/>
            <w:vAlign w:val="bottom"/>
            <w:gridSpan w:val="2"/>
          </w:tcPr>
          <w:p>
            <w:pPr>
              <w:jc w:val="center"/>
              <w:ind w:left="2815"/>
              <w:spacing w:after="0"/>
              <w:rPr>
                <w:sz w:val="20"/>
                <w:szCs w:val="20"/>
                <w:color w:val="auto"/>
              </w:rPr>
            </w:pPr>
            <w:r>
              <w:rPr>
                <w:rFonts w:ascii="Arial" w:cs="Arial" w:eastAsia="Arial" w:hAnsi="Arial"/>
                <w:sz w:val="20"/>
                <w:szCs w:val="20"/>
                <w:b w:val="1"/>
                <w:bCs w:val="1"/>
                <w:color w:val="auto"/>
                <w:w w:val="89"/>
              </w:rPr>
              <w:t>__________</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20" w:type="dxa"/>
            <w:vAlign w:val="bottom"/>
            <w:vMerge w:val="continue"/>
          </w:tcPr>
          <w:p>
            <w:pPr>
              <w:spacing w:after="0"/>
              <w:rPr>
                <w:sz w:val="16"/>
                <w:szCs w:val="16"/>
                <w:color w:val="auto"/>
              </w:rPr>
            </w:pPr>
          </w:p>
        </w:tc>
        <w:tc>
          <w:tcPr>
            <w:tcW w:w="4880" w:type="dxa"/>
            <w:vAlign w:val="bottom"/>
            <w:gridSpan w:val="2"/>
            <w:vMerge w:val="restart"/>
          </w:tcPr>
          <w:p>
            <w:pPr>
              <w:jc w:val="center"/>
              <w:ind w:left="2815"/>
              <w:spacing w:after="0"/>
              <w:rPr>
                <w:sz w:val="20"/>
                <w:szCs w:val="20"/>
                <w:color w:val="auto"/>
              </w:rPr>
            </w:pPr>
            <w:r>
              <w:rPr>
                <w:rFonts w:ascii="Arial" w:cs="Arial" w:eastAsia="Arial" w:hAnsi="Arial"/>
                <w:sz w:val="30"/>
                <w:szCs w:val="30"/>
                <w:b w:val="1"/>
                <w:bCs w:val="1"/>
                <w:color w:val="auto"/>
              </w:rPr>
              <w:t>FORM 10-Q</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820" w:type="dxa"/>
            <w:vAlign w:val="bottom"/>
          </w:tcPr>
          <w:p>
            <w:pPr>
              <w:spacing w:after="0"/>
              <w:rPr>
                <w:sz w:val="24"/>
                <w:szCs w:val="24"/>
                <w:color w:val="auto"/>
              </w:rPr>
            </w:pPr>
          </w:p>
        </w:tc>
        <w:tc>
          <w:tcPr>
            <w:tcW w:w="48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820" w:type="dxa"/>
            <w:vAlign w:val="bottom"/>
          </w:tcPr>
          <w:p>
            <w:pPr>
              <w:spacing w:after="0"/>
              <w:rPr>
                <w:sz w:val="24"/>
                <w:szCs w:val="24"/>
                <w:color w:val="auto"/>
              </w:rPr>
            </w:pPr>
          </w:p>
        </w:tc>
        <w:tc>
          <w:tcPr>
            <w:tcW w:w="4380" w:type="dxa"/>
            <w:vAlign w:val="bottom"/>
          </w:tcPr>
          <w:p>
            <w:pPr>
              <w:jc w:val="center"/>
              <w:ind w:left="3295"/>
              <w:spacing w:after="0"/>
              <w:rPr>
                <w:sz w:val="20"/>
                <w:szCs w:val="20"/>
                <w:color w:val="auto"/>
              </w:rPr>
            </w:pPr>
            <w:r>
              <w:rPr>
                <w:rFonts w:ascii="Arial" w:cs="Arial" w:eastAsia="Arial" w:hAnsi="Arial"/>
                <w:sz w:val="30"/>
                <w:szCs w:val="30"/>
                <w:color w:val="auto"/>
                <w:w w:val="89"/>
              </w:rPr>
              <w:t>______</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820" w:type="dxa"/>
            <w:vAlign w:val="bottom"/>
          </w:tcPr>
          <w:p>
            <w:pPr>
              <w:jc w:val="right"/>
              <w:ind w:right="98"/>
              <w:spacing w:after="0"/>
              <w:rPr>
                <w:sz w:val="20"/>
                <w:szCs w:val="20"/>
                <w:color w:val="auto"/>
              </w:rPr>
            </w:pPr>
            <w:r>
              <w:rPr>
                <w:rFonts w:ascii="Arial" w:cs="Arial" w:eastAsia="Arial" w:hAnsi="Arial"/>
                <w:sz w:val="17"/>
                <w:szCs w:val="17"/>
                <w:color w:val="auto"/>
              </w:rPr>
              <w:t>[X]</w:t>
            </w:r>
          </w:p>
        </w:tc>
        <w:tc>
          <w:tcPr>
            <w:tcW w:w="7960" w:type="dxa"/>
            <w:vAlign w:val="bottom"/>
            <w:gridSpan w:val="5"/>
          </w:tcPr>
          <w:p>
            <w:pPr>
              <w:ind w:left="1240"/>
              <w:spacing w:after="0"/>
              <w:rPr>
                <w:sz w:val="20"/>
                <w:szCs w:val="20"/>
                <w:color w:val="auto"/>
              </w:rPr>
            </w:pPr>
            <w:r>
              <w:rPr>
                <w:rFonts w:ascii="Arial" w:cs="Arial" w:eastAsia="Arial" w:hAnsi="Arial"/>
                <w:sz w:val="17"/>
                <w:szCs w:val="17"/>
                <w:b w:val="1"/>
                <w:bCs w:val="1"/>
                <w:color w:val="auto"/>
                <w:w w:val="95"/>
              </w:rPr>
              <w:t>Quarterly report pursuant to Section 13 or 15(d) of the Securities Exchange Act of 1934</w:t>
            </w:r>
          </w:p>
        </w:tc>
        <w:tc>
          <w:tcPr>
            <w:tcW w:w="0" w:type="dxa"/>
            <w:vAlign w:val="bottom"/>
          </w:tcPr>
          <w:p>
            <w:pPr>
              <w:spacing w:after="0"/>
              <w:rPr>
                <w:sz w:val="1"/>
                <w:szCs w:val="1"/>
                <w:color w:val="auto"/>
              </w:rPr>
            </w:pPr>
          </w:p>
        </w:tc>
      </w:tr>
      <w:tr>
        <w:trPr>
          <w:trHeight w:val="427"/>
        </w:trPr>
        <w:tc>
          <w:tcPr>
            <w:tcW w:w="1820" w:type="dxa"/>
            <w:vAlign w:val="bottom"/>
          </w:tcPr>
          <w:p>
            <w:pPr>
              <w:spacing w:after="0"/>
              <w:rPr>
                <w:sz w:val="24"/>
                <w:szCs w:val="24"/>
                <w:color w:val="auto"/>
              </w:rPr>
            </w:pPr>
          </w:p>
        </w:tc>
        <w:tc>
          <w:tcPr>
            <w:tcW w:w="796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89"/>
              </w:rPr>
              <w:t>For the quarterly period ended September 30, 2015</w:t>
            </w:r>
          </w:p>
        </w:tc>
        <w:tc>
          <w:tcPr>
            <w:tcW w:w="0" w:type="dxa"/>
            <w:vAlign w:val="bottom"/>
          </w:tcPr>
          <w:p>
            <w:pPr>
              <w:spacing w:after="0"/>
              <w:rPr>
                <w:sz w:val="1"/>
                <w:szCs w:val="1"/>
                <w:color w:val="auto"/>
              </w:rPr>
            </w:pPr>
          </w:p>
        </w:tc>
      </w:tr>
      <w:tr>
        <w:trPr>
          <w:trHeight w:val="427"/>
        </w:trPr>
        <w:tc>
          <w:tcPr>
            <w:tcW w:w="1820" w:type="dxa"/>
            <w:vAlign w:val="bottom"/>
          </w:tcPr>
          <w:p>
            <w:pPr>
              <w:spacing w:after="0"/>
              <w:rPr>
                <w:sz w:val="24"/>
                <w:szCs w:val="24"/>
                <w:color w:val="auto"/>
              </w:rPr>
            </w:pPr>
          </w:p>
        </w:tc>
        <w:tc>
          <w:tcPr>
            <w:tcW w:w="4880" w:type="dxa"/>
            <w:vAlign w:val="bottom"/>
            <w:gridSpan w:val="2"/>
          </w:tcPr>
          <w:p>
            <w:pPr>
              <w:jc w:val="center"/>
              <w:ind w:left="2815"/>
              <w:spacing w:after="0"/>
              <w:rPr>
                <w:sz w:val="20"/>
                <w:szCs w:val="20"/>
                <w:color w:val="auto"/>
              </w:rPr>
            </w:pPr>
            <w:r>
              <w:rPr>
                <w:rFonts w:ascii="Arial" w:cs="Arial" w:eastAsia="Arial" w:hAnsi="Arial"/>
                <w:sz w:val="17"/>
                <w:szCs w:val="17"/>
                <w:b w:val="1"/>
                <w:bCs w:val="1"/>
                <w:color w:val="auto"/>
                <w:w w:val="93"/>
              </w:rPr>
              <w:t>or</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820" w:type="dxa"/>
            <w:vAlign w:val="bottom"/>
          </w:tcPr>
          <w:p>
            <w:pPr>
              <w:jc w:val="right"/>
              <w:ind w:right="98"/>
              <w:spacing w:after="0"/>
              <w:rPr>
                <w:sz w:val="20"/>
                <w:szCs w:val="20"/>
                <w:color w:val="auto"/>
              </w:rPr>
            </w:pPr>
            <w:r>
              <w:rPr>
                <w:rFonts w:ascii="Arial" w:cs="Arial" w:eastAsia="Arial" w:hAnsi="Arial"/>
                <w:sz w:val="17"/>
                <w:szCs w:val="17"/>
                <w:color w:val="auto"/>
              </w:rPr>
              <w:t>[  ]</w:t>
            </w:r>
          </w:p>
        </w:tc>
        <w:tc>
          <w:tcPr>
            <w:tcW w:w="7960" w:type="dxa"/>
            <w:vAlign w:val="bottom"/>
            <w:gridSpan w:val="5"/>
          </w:tcPr>
          <w:p>
            <w:pPr>
              <w:ind w:left="1220"/>
              <w:spacing w:after="0"/>
              <w:rPr>
                <w:sz w:val="20"/>
                <w:szCs w:val="20"/>
                <w:color w:val="auto"/>
              </w:rPr>
            </w:pPr>
            <w:r>
              <w:rPr>
                <w:rFonts w:ascii="Arial" w:cs="Arial" w:eastAsia="Arial" w:hAnsi="Arial"/>
                <w:sz w:val="17"/>
                <w:szCs w:val="17"/>
                <w:b w:val="1"/>
                <w:bCs w:val="1"/>
                <w:color w:val="auto"/>
                <w:w w:val="94"/>
              </w:rPr>
              <w:t>Transition report pursuant to Section 13 or 15(d) of the Securities Exchange Act of 1934</w:t>
            </w:r>
          </w:p>
        </w:tc>
        <w:tc>
          <w:tcPr>
            <w:tcW w:w="0" w:type="dxa"/>
            <w:vAlign w:val="bottom"/>
          </w:tcPr>
          <w:p>
            <w:pPr>
              <w:spacing w:after="0"/>
              <w:rPr>
                <w:sz w:val="1"/>
                <w:szCs w:val="1"/>
                <w:color w:val="auto"/>
              </w:rPr>
            </w:pPr>
          </w:p>
        </w:tc>
      </w:tr>
      <w:tr>
        <w:trPr>
          <w:trHeight w:val="390"/>
        </w:trPr>
        <w:tc>
          <w:tcPr>
            <w:tcW w:w="1820" w:type="dxa"/>
            <w:vAlign w:val="bottom"/>
          </w:tcPr>
          <w:p>
            <w:pPr>
              <w:spacing w:after="0"/>
              <w:rPr>
                <w:sz w:val="24"/>
                <w:szCs w:val="24"/>
                <w:color w:val="auto"/>
              </w:rPr>
            </w:pPr>
          </w:p>
        </w:tc>
        <w:tc>
          <w:tcPr>
            <w:tcW w:w="4380" w:type="dxa"/>
            <w:vAlign w:val="bottom"/>
          </w:tcPr>
          <w:p>
            <w:pPr>
              <w:ind w:left="2180"/>
              <w:spacing w:after="0"/>
              <w:rPr>
                <w:sz w:val="20"/>
                <w:szCs w:val="20"/>
                <w:color w:val="auto"/>
              </w:rPr>
            </w:pPr>
            <w:r>
              <w:rPr>
                <w:rFonts w:ascii="Arial" w:cs="Arial" w:eastAsia="Arial" w:hAnsi="Arial"/>
                <w:sz w:val="17"/>
                <w:szCs w:val="17"/>
                <w:b w:val="1"/>
                <w:bCs w:val="1"/>
                <w:color w:val="auto"/>
                <w:w w:val="91"/>
              </w:rPr>
              <w:t>For the transition period from</w:t>
            </w:r>
          </w:p>
        </w:tc>
        <w:tc>
          <w:tcPr>
            <w:tcW w:w="500" w:type="dxa"/>
            <w:vAlign w:val="bottom"/>
            <w:tcBorders>
              <w:bottom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7"/>
                <w:szCs w:val="17"/>
                <w:b w:val="1"/>
                <w:bCs w:val="1"/>
                <w:color w:val="auto"/>
                <w:w w:val="99"/>
              </w:rPr>
              <w:t>to</w:t>
            </w:r>
          </w:p>
        </w:tc>
        <w:tc>
          <w:tcPr>
            <w:tcW w:w="52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796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89"/>
              </w:rPr>
              <w:t>Commission File Number 1-87</w:t>
            </w:r>
          </w:p>
        </w:tc>
        <w:tc>
          <w:tcPr>
            <w:tcW w:w="0" w:type="dxa"/>
            <w:vAlign w:val="bottom"/>
          </w:tcPr>
          <w:p>
            <w:pPr>
              <w:spacing w:after="0"/>
              <w:rPr>
                <w:sz w:val="1"/>
                <w:szCs w:val="1"/>
                <w:color w:val="auto"/>
              </w:rPr>
            </w:pPr>
          </w:p>
        </w:tc>
      </w:tr>
      <w:tr>
        <w:trPr>
          <w:trHeight w:val="463"/>
        </w:trPr>
        <w:tc>
          <w:tcPr>
            <w:tcW w:w="1820" w:type="dxa"/>
            <w:vAlign w:val="bottom"/>
          </w:tcPr>
          <w:p>
            <w:pPr>
              <w:spacing w:after="0"/>
              <w:rPr>
                <w:sz w:val="24"/>
                <w:szCs w:val="24"/>
                <w:color w:val="auto"/>
              </w:rPr>
            </w:pPr>
          </w:p>
        </w:tc>
        <w:tc>
          <w:tcPr>
            <w:tcW w:w="4880" w:type="dxa"/>
            <w:vAlign w:val="bottom"/>
            <w:gridSpan w:val="2"/>
          </w:tcPr>
          <w:p>
            <w:pPr>
              <w:jc w:val="center"/>
              <w:ind w:left="2815"/>
              <w:spacing w:after="0"/>
              <w:rPr>
                <w:sz w:val="20"/>
                <w:szCs w:val="20"/>
                <w:color w:val="auto"/>
              </w:rPr>
            </w:pPr>
            <w:r>
              <w:rPr>
                <w:rFonts w:ascii="Arial" w:cs="Arial" w:eastAsia="Arial" w:hAnsi="Arial"/>
                <w:sz w:val="20"/>
                <w:szCs w:val="20"/>
                <w:b w:val="1"/>
                <w:bCs w:val="1"/>
                <w:color w:val="auto"/>
                <w:w w:val="89"/>
              </w:rPr>
              <w:t>__________</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20" w:type="dxa"/>
            <w:vAlign w:val="bottom"/>
          </w:tcPr>
          <w:p>
            <w:pPr>
              <w:spacing w:after="0"/>
              <w:rPr>
                <w:sz w:val="24"/>
                <w:szCs w:val="24"/>
                <w:color w:val="auto"/>
              </w:rPr>
            </w:pPr>
          </w:p>
        </w:tc>
        <w:tc>
          <w:tcPr>
            <w:tcW w:w="7960" w:type="dxa"/>
            <w:vAlign w:val="bottom"/>
            <w:gridSpan w:val="5"/>
          </w:tcPr>
          <w:p>
            <w:pPr>
              <w:jc w:val="center"/>
              <w:ind w:right="96"/>
              <w:spacing w:after="0"/>
              <w:rPr>
                <w:sz w:val="20"/>
                <w:szCs w:val="20"/>
                <w:color w:val="auto"/>
              </w:rPr>
            </w:pPr>
            <w:r>
              <w:rPr>
                <w:rFonts w:ascii="Arial" w:cs="Arial" w:eastAsia="Arial" w:hAnsi="Arial"/>
                <w:sz w:val="30"/>
                <w:szCs w:val="30"/>
                <w:b w:val="1"/>
                <w:bCs w:val="1"/>
                <w:color w:val="auto"/>
              </w:rPr>
              <w:t>EASTMAN KODAK COMPANY</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796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88"/>
              </w:rPr>
              <w:t>(Exact name of registrant as specified in its charter)</w:t>
            </w:r>
          </w:p>
        </w:tc>
        <w:tc>
          <w:tcPr>
            <w:tcW w:w="0" w:type="dxa"/>
            <w:vAlign w:val="bottom"/>
          </w:tcPr>
          <w:p>
            <w:pPr>
              <w:spacing w:after="0"/>
              <w:rPr>
                <w:sz w:val="1"/>
                <w:szCs w:val="1"/>
                <w:color w:val="auto"/>
              </w:rPr>
            </w:pPr>
          </w:p>
        </w:tc>
      </w:tr>
      <w:tr>
        <w:trPr>
          <w:trHeight w:val="463"/>
        </w:trPr>
        <w:tc>
          <w:tcPr>
            <w:tcW w:w="1820" w:type="dxa"/>
            <w:vAlign w:val="bottom"/>
          </w:tcPr>
          <w:p>
            <w:pPr>
              <w:spacing w:after="0"/>
              <w:rPr>
                <w:sz w:val="24"/>
                <w:szCs w:val="24"/>
                <w:color w:val="auto"/>
              </w:rPr>
            </w:pPr>
          </w:p>
        </w:tc>
        <w:tc>
          <w:tcPr>
            <w:tcW w:w="4880" w:type="dxa"/>
            <w:vAlign w:val="bottom"/>
            <w:gridSpan w:val="2"/>
          </w:tcPr>
          <w:p>
            <w:pPr>
              <w:jc w:val="center"/>
              <w:ind w:left="2815"/>
              <w:spacing w:after="0"/>
              <w:rPr>
                <w:sz w:val="20"/>
                <w:szCs w:val="20"/>
                <w:color w:val="auto"/>
              </w:rPr>
            </w:pPr>
            <w:r>
              <w:rPr>
                <w:rFonts w:ascii="Arial" w:cs="Arial" w:eastAsia="Arial" w:hAnsi="Arial"/>
                <w:sz w:val="20"/>
                <w:szCs w:val="20"/>
                <w:b w:val="1"/>
                <w:bCs w:val="1"/>
                <w:color w:val="auto"/>
                <w:w w:val="89"/>
              </w:rPr>
              <w:t>__________</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820" w:type="dxa"/>
            <w:vAlign w:val="bottom"/>
          </w:tcPr>
          <w:p>
            <w:pPr>
              <w:spacing w:after="0"/>
              <w:rPr>
                <w:sz w:val="24"/>
                <w:szCs w:val="24"/>
                <w:color w:val="auto"/>
              </w:rPr>
            </w:pPr>
          </w:p>
        </w:tc>
        <w:tc>
          <w:tcPr>
            <w:tcW w:w="4880" w:type="dxa"/>
            <w:vAlign w:val="bottom"/>
            <w:gridSpan w:val="2"/>
          </w:tcPr>
          <w:p>
            <w:pPr>
              <w:jc w:val="center"/>
              <w:ind w:right="2800"/>
              <w:spacing w:after="0"/>
              <w:rPr>
                <w:sz w:val="20"/>
                <w:szCs w:val="20"/>
                <w:color w:val="auto"/>
              </w:rPr>
            </w:pPr>
            <w:r>
              <w:rPr>
                <w:rFonts w:ascii="Arial" w:cs="Arial" w:eastAsia="Arial" w:hAnsi="Arial"/>
                <w:sz w:val="17"/>
                <w:szCs w:val="17"/>
                <w:b w:val="1"/>
                <w:bCs w:val="1"/>
                <w:color w:val="auto"/>
                <w:w w:val="96"/>
              </w:rPr>
              <w:t>NEW JERSEY</w:t>
            </w:r>
          </w:p>
        </w:tc>
        <w:tc>
          <w:tcPr>
            <w:tcW w:w="3080" w:type="dxa"/>
            <w:vAlign w:val="bottom"/>
            <w:gridSpan w:val="3"/>
          </w:tcPr>
          <w:p>
            <w:pPr>
              <w:jc w:val="right"/>
              <w:ind w:right="716"/>
              <w:spacing w:after="0"/>
              <w:rPr>
                <w:sz w:val="20"/>
                <w:szCs w:val="20"/>
                <w:color w:val="auto"/>
              </w:rPr>
            </w:pPr>
            <w:r>
              <w:rPr>
                <w:rFonts w:ascii="Arial" w:cs="Arial" w:eastAsia="Arial" w:hAnsi="Arial"/>
                <w:sz w:val="17"/>
                <w:szCs w:val="17"/>
                <w:b w:val="1"/>
                <w:bCs w:val="1"/>
                <w:color w:val="auto"/>
              </w:rPr>
              <w:t>16-0417150</w:t>
            </w: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4880" w:type="dxa"/>
            <w:vAlign w:val="bottom"/>
            <w:gridSpan w:val="2"/>
          </w:tcPr>
          <w:p>
            <w:pPr>
              <w:jc w:val="center"/>
              <w:ind w:right="2800"/>
              <w:spacing w:after="0"/>
              <w:rPr>
                <w:sz w:val="20"/>
                <w:szCs w:val="20"/>
                <w:color w:val="auto"/>
              </w:rPr>
            </w:pPr>
            <w:r>
              <w:rPr>
                <w:rFonts w:ascii="Arial" w:cs="Arial" w:eastAsia="Arial" w:hAnsi="Arial"/>
                <w:sz w:val="17"/>
                <w:szCs w:val="17"/>
                <w:b w:val="1"/>
                <w:bCs w:val="1"/>
                <w:color w:val="auto"/>
                <w:w w:val="89"/>
              </w:rPr>
              <w:t>(State of incorporation)</w:t>
            </w:r>
          </w:p>
        </w:tc>
        <w:tc>
          <w:tcPr>
            <w:tcW w:w="220" w:type="dxa"/>
            <w:vAlign w:val="bottom"/>
          </w:tcPr>
          <w:p>
            <w:pPr>
              <w:spacing w:after="0"/>
              <w:rPr>
                <w:sz w:val="18"/>
                <w:szCs w:val="18"/>
                <w:color w:val="auto"/>
              </w:rPr>
            </w:pPr>
          </w:p>
        </w:tc>
        <w:tc>
          <w:tcPr>
            <w:tcW w:w="2860" w:type="dxa"/>
            <w:vAlign w:val="bottom"/>
            <w:gridSpan w:val="2"/>
          </w:tcPr>
          <w:p>
            <w:pPr>
              <w:jc w:val="center"/>
              <w:ind w:left="336"/>
              <w:spacing w:after="0"/>
              <w:rPr>
                <w:sz w:val="20"/>
                <w:szCs w:val="20"/>
                <w:color w:val="auto"/>
              </w:rPr>
            </w:pPr>
            <w:r>
              <w:rPr>
                <w:rFonts w:ascii="Arial" w:cs="Arial" w:eastAsia="Arial" w:hAnsi="Arial"/>
                <w:sz w:val="17"/>
                <w:szCs w:val="17"/>
                <w:b w:val="1"/>
                <w:bCs w:val="1"/>
                <w:color w:val="auto"/>
                <w:w w:val="92"/>
              </w:rPr>
              <w:t>(IRS Employer Identification No.)</w:t>
            </w:r>
          </w:p>
        </w:tc>
        <w:tc>
          <w:tcPr>
            <w:tcW w:w="0" w:type="dxa"/>
            <w:vAlign w:val="bottom"/>
          </w:tcPr>
          <w:p>
            <w:pPr>
              <w:spacing w:after="0"/>
              <w:rPr>
                <w:sz w:val="1"/>
                <w:szCs w:val="1"/>
                <w:color w:val="auto"/>
              </w:rPr>
            </w:pPr>
          </w:p>
        </w:tc>
      </w:tr>
      <w:tr>
        <w:trPr>
          <w:trHeight w:val="386"/>
        </w:trPr>
        <w:tc>
          <w:tcPr>
            <w:tcW w:w="6700" w:type="dxa"/>
            <w:vAlign w:val="bottom"/>
            <w:gridSpan w:val="3"/>
          </w:tcPr>
          <w:p>
            <w:pPr>
              <w:jc w:val="center"/>
              <w:ind w:right="980"/>
              <w:spacing w:after="0"/>
              <w:rPr>
                <w:sz w:val="20"/>
                <w:szCs w:val="20"/>
                <w:color w:val="auto"/>
              </w:rPr>
            </w:pPr>
            <w:r>
              <w:rPr>
                <w:rFonts w:ascii="Arial" w:cs="Arial" w:eastAsia="Arial" w:hAnsi="Arial"/>
                <w:sz w:val="17"/>
                <w:szCs w:val="17"/>
                <w:b w:val="1"/>
                <w:bCs w:val="1"/>
                <w:color w:val="auto"/>
                <w:w w:val="96"/>
              </w:rPr>
              <w:t>343 STATE STREET, ROCHESTER, NEW YORK</w:t>
            </w:r>
          </w:p>
        </w:tc>
        <w:tc>
          <w:tcPr>
            <w:tcW w:w="3080" w:type="dxa"/>
            <w:vAlign w:val="bottom"/>
            <w:gridSpan w:val="3"/>
          </w:tcPr>
          <w:p>
            <w:pPr>
              <w:jc w:val="right"/>
              <w:ind w:right="916"/>
              <w:spacing w:after="0"/>
              <w:rPr>
                <w:sz w:val="20"/>
                <w:szCs w:val="20"/>
                <w:color w:val="auto"/>
              </w:rPr>
            </w:pPr>
            <w:r>
              <w:rPr>
                <w:rFonts w:ascii="Arial" w:cs="Arial" w:eastAsia="Arial" w:hAnsi="Arial"/>
                <w:sz w:val="17"/>
                <w:szCs w:val="17"/>
                <w:b w:val="1"/>
                <w:bCs w:val="1"/>
                <w:color w:val="auto"/>
              </w:rPr>
              <w:t>14650</w:t>
            </w:r>
          </w:p>
        </w:tc>
        <w:tc>
          <w:tcPr>
            <w:tcW w:w="0" w:type="dxa"/>
            <w:vAlign w:val="bottom"/>
          </w:tcPr>
          <w:p>
            <w:pPr>
              <w:spacing w:after="0"/>
              <w:rPr>
                <w:sz w:val="1"/>
                <w:szCs w:val="1"/>
                <w:color w:val="auto"/>
              </w:rPr>
            </w:pPr>
          </w:p>
        </w:tc>
      </w:tr>
      <w:tr>
        <w:trPr>
          <w:trHeight w:val="217"/>
        </w:trPr>
        <w:tc>
          <w:tcPr>
            <w:tcW w:w="6700" w:type="dxa"/>
            <w:vAlign w:val="bottom"/>
            <w:gridSpan w:val="3"/>
          </w:tcPr>
          <w:p>
            <w:pPr>
              <w:jc w:val="center"/>
              <w:ind w:right="1000"/>
              <w:spacing w:after="0"/>
              <w:rPr>
                <w:sz w:val="20"/>
                <w:szCs w:val="20"/>
                <w:color w:val="auto"/>
              </w:rPr>
            </w:pPr>
            <w:r>
              <w:rPr>
                <w:rFonts w:ascii="Arial" w:cs="Arial" w:eastAsia="Arial" w:hAnsi="Arial"/>
                <w:sz w:val="17"/>
                <w:szCs w:val="17"/>
                <w:b w:val="1"/>
                <w:bCs w:val="1"/>
                <w:color w:val="auto"/>
                <w:w w:val="87"/>
              </w:rPr>
              <w:t>(Address of principal executive offices)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7"/>
                <w:szCs w:val="17"/>
                <w:b w:val="1"/>
                <w:bCs w:val="1"/>
                <w:color w:val="auto"/>
                <w:w w:val="92"/>
              </w:rPr>
              <w:t>(Zip Code)</w:t>
            </w:r>
          </w:p>
        </w:tc>
        <w:tc>
          <w:tcPr>
            <w:tcW w:w="0" w:type="dxa"/>
            <w:vAlign w:val="bottom"/>
          </w:tcPr>
          <w:p>
            <w:pPr>
              <w:spacing w:after="0"/>
              <w:rPr>
                <w:sz w:val="1"/>
                <w:szCs w:val="1"/>
                <w:color w:val="auto"/>
              </w:rPr>
            </w:pP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585-724-4000</w:t>
      </w:r>
    </w:p>
    <w:p>
      <w:pPr>
        <w:spacing w:after="0" w:line="236" w:lineRule="exact"/>
        <w:rPr>
          <w:sz w:val="24"/>
          <w:szCs w:val="24"/>
          <w:color w:val="auto"/>
        </w:rPr>
      </w:pPr>
    </w:p>
    <w:p>
      <w:pPr>
        <w:ind w:right="500"/>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92" w:lineRule="exact"/>
        <w:rPr>
          <w:sz w:val="24"/>
          <w:szCs w:val="24"/>
          <w:color w:val="auto"/>
        </w:rPr>
      </w:pPr>
    </w:p>
    <w:p>
      <w:pPr>
        <w:ind w:right="680"/>
        <w:spacing w:after="0" w:line="268"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[X] No [ ]</w:t>
      </w:r>
    </w:p>
    <w:p>
      <w:pPr>
        <w:spacing w:after="0" w:line="191" w:lineRule="exact"/>
        <w:rPr>
          <w:sz w:val="24"/>
          <w:szCs w:val="24"/>
          <w:color w:val="auto"/>
        </w:rPr>
      </w:pPr>
    </w:p>
    <w:p>
      <w:pPr>
        <w:ind w:right="260"/>
        <w:spacing w:after="0" w:line="217" w:lineRule="auto"/>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w:t>
      </w:r>
      <w:r>
        <w:rPr>
          <w:rFonts w:ascii="Arial" w:cs="Arial" w:eastAsia="Arial" w:hAnsi="Arial"/>
          <w:sz w:val="23"/>
          <w:szCs w:val="23"/>
          <w:color w:val="auto"/>
          <w:vertAlign w:val="superscript"/>
        </w:rPr>
        <w:t>reporting company</w:t>
      </w:r>
      <w:r>
        <w:rPr>
          <w:rFonts w:ascii="Arial" w:cs="Arial" w:eastAsia="Arial" w:hAnsi="Arial"/>
          <w:sz w:val="17"/>
          <w:szCs w:val="17"/>
          <w:color w:val="auto"/>
        </w:rPr>
        <w:t>. See definition of “large accelerated filer,” “accelerated filer” and “smaller reporting company” in Rule 12b-2 of the Exchange Act.</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jc w:val="center"/>
              <w:ind w:left="1996"/>
              <w:spacing w:after="0"/>
              <w:rPr>
                <w:sz w:val="20"/>
                <w:szCs w:val="20"/>
                <w:color w:val="auto"/>
              </w:rPr>
            </w:pPr>
            <w:r>
              <w:rPr>
                <w:rFonts w:ascii="Arial" w:cs="Arial" w:eastAsia="Arial" w:hAnsi="Arial"/>
                <w:sz w:val="17"/>
                <w:szCs w:val="17"/>
                <w:color w:val="auto"/>
                <w:w w:val="89"/>
              </w:rPr>
              <w:t>Large accelerated filer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396"/>
              <w:spacing w:after="0"/>
              <w:rPr>
                <w:sz w:val="20"/>
                <w:szCs w:val="20"/>
                <w:color w:val="auto"/>
              </w:rPr>
            </w:pPr>
            <w:r>
              <w:rPr>
                <w:rFonts w:ascii="Arial" w:cs="Arial" w:eastAsia="Arial" w:hAnsi="Arial"/>
                <w:sz w:val="17"/>
                <w:szCs w:val="17"/>
                <w:color w:val="auto"/>
              </w:rPr>
              <w:t>]</w:t>
            </w:r>
          </w:p>
        </w:tc>
        <w:tc>
          <w:tcPr>
            <w:tcW w:w="3380" w:type="dxa"/>
            <w:vAlign w:val="bottom"/>
          </w:tcPr>
          <w:p>
            <w:pPr>
              <w:ind w:left="1460"/>
              <w:spacing w:after="0"/>
              <w:rPr>
                <w:sz w:val="20"/>
                <w:szCs w:val="20"/>
                <w:color w:val="auto"/>
              </w:rPr>
            </w:pPr>
            <w:r>
              <w:rPr>
                <w:rFonts w:ascii="Arial" w:cs="Arial" w:eastAsia="Arial" w:hAnsi="Arial"/>
                <w:sz w:val="17"/>
                <w:szCs w:val="17"/>
                <w:color w:val="auto"/>
              </w:rPr>
              <w:t>Accelerated filer</w:t>
            </w:r>
          </w:p>
        </w:tc>
        <w:tc>
          <w:tcPr>
            <w:tcW w:w="2640" w:type="dxa"/>
            <w:vAlign w:val="bottom"/>
          </w:tcPr>
          <w:p>
            <w:pPr>
              <w:ind w:left="40"/>
              <w:spacing w:after="0"/>
              <w:rPr>
                <w:sz w:val="20"/>
                <w:szCs w:val="20"/>
                <w:color w:val="auto"/>
              </w:rPr>
            </w:pPr>
            <w:r>
              <w:rPr>
                <w:rFonts w:ascii="Arial" w:cs="Arial" w:eastAsia="Arial" w:hAnsi="Arial"/>
                <w:sz w:val="17"/>
                <w:szCs w:val="17"/>
                <w:color w:val="auto"/>
              </w:rPr>
              <w:t>[X]</w:t>
            </w:r>
          </w:p>
        </w:tc>
      </w:tr>
      <w:tr>
        <w:trPr>
          <w:trHeight w:val="213"/>
        </w:trPr>
        <w:tc>
          <w:tcPr>
            <w:tcW w:w="3660" w:type="dxa"/>
            <w:vAlign w:val="bottom"/>
          </w:tcPr>
          <w:p>
            <w:pPr>
              <w:ind w:left="2120"/>
              <w:spacing w:after="0"/>
              <w:rPr>
                <w:sz w:val="20"/>
                <w:szCs w:val="20"/>
                <w:color w:val="auto"/>
              </w:rPr>
            </w:pPr>
            <w:r>
              <w:rPr>
                <w:rFonts w:ascii="Arial" w:cs="Arial" w:eastAsia="Arial" w:hAnsi="Arial"/>
                <w:sz w:val="17"/>
                <w:szCs w:val="17"/>
                <w:color w:val="auto"/>
                <w:w w:val="96"/>
              </w:rPr>
              <w:t>Non-accelerated filer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396"/>
              <w:spacing w:after="0"/>
              <w:rPr>
                <w:sz w:val="20"/>
                <w:szCs w:val="20"/>
                <w:color w:val="auto"/>
              </w:rPr>
            </w:pPr>
            <w:r>
              <w:rPr>
                <w:rFonts w:ascii="Arial" w:cs="Arial" w:eastAsia="Arial" w:hAnsi="Arial"/>
                <w:sz w:val="17"/>
                <w:szCs w:val="17"/>
                <w:color w:val="auto"/>
              </w:rPr>
              <w:t>]</w:t>
            </w:r>
          </w:p>
        </w:tc>
        <w:tc>
          <w:tcPr>
            <w:tcW w:w="3380" w:type="dxa"/>
            <w:vAlign w:val="bottom"/>
          </w:tcPr>
          <w:p>
            <w:pPr>
              <w:ind w:left="1460"/>
              <w:spacing w:after="0"/>
              <w:rPr>
                <w:sz w:val="20"/>
                <w:szCs w:val="20"/>
                <w:color w:val="auto"/>
              </w:rPr>
            </w:pPr>
            <w:r>
              <w:rPr>
                <w:rFonts w:ascii="Arial" w:cs="Arial" w:eastAsia="Arial" w:hAnsi="Arial"/>
                <w:sz w:val="17"/>
                <w:szCs w:val="17"/>
                <w:color w:val="auto"/>
                <w:w w:val="93"/>
              </w:rPr>
              <w:t>Smaller reporting company</w:t>
            </w:r>
          </w:p>
        </w:tc>
        <w:tc>
          <w:tcPr>
            <w:tcW w:w="2640" w:type="dxa"/>
            <w:vAlign w:val="bottom"/>
          </w:tcPr>
          <w:p>
            <w:pPr>
              <w:ind w:left="40"/>
              <w:spacing w:after="0"/>
              <w:rPr>
                <w:sz w:val="20"/>
                <w:szCs w:val="20"/>
                <w:color w:val="auto"/>
              </w:rPr>
            </w:pPr>
            <w:r>
              <w:rPr>
                <w:rFonts w:ascii="Arial" w:cs="Arial" w:eastAsia="Arial" w:hAnsi="Arial"/>
                <w:sz w:val="17"/>
                <w:szCs w:val="17"/>
                <w:color w:val="auto"/>
              </w:rPr>
              <w:t>[ ]</w:t>
            </w:r>
          </w:p>
        </w:tc>
      </w:tr>
      <w:tr>
        <w:trPr>
          <w:trHeight w:val="427"/>
        </w:trPr>
        <w:tc>
          <w:tcPr>
            <w:tcW w:w="8780" w:type="dxa"/>
            <w:vAlign w:val="bottom"/>
            <w:gridSpan w:val="4"/>
          </w:tcPr>
          <w:p>
            <w:pPr>
              <w:spacing w:after="0"/>
              <w:rPr>
                <w:sz w:val="20"/>
                <w:szCs w:val="20"/>
                <w:color w:val="auto"/>
              </w:rPr>
            </w:pPr>
            <w:r>
              <w:rPr>
                <w:rFonts w:ascii="Arial" w:cs="Arial" w:eastAsia="Arial" w:hAnsi="Arial"/>
                <w:sz w:val="17"/>
                <w:szCs w:val="17"/>
                <w:color w:val="auto"/>
                <w:w w:val="91"/>
              </w:rPr>
              <w:t>Indicate by check mark whether the registrant is a shell company (as defined in Rule 12b-2 of the Exchange Act). Yes [ ]  No [X]</w:t>
            </w:r>
          </w:p>
        </w:tc>
        <w:tc>
          <w:tcPr>
            <w:tcW w:w="2640" w:type="dxa"/>
            <w:vAlign w:val="bottom"/>
          </w:tcPr>
          <w:p>
            <w:pPr>
              <w:spacing w:after="0"/>
              <w:rPr>
                <w:sz w:val="24"/>
                <w:szCs w:val="24"/>
                <w:color w:val="auto"/>
              </w:rPr>
            </w:pPr>
          </w:p>
        </w:tc>
      </w:tr>
      <w:tr>
        <w:trPr>
          <w:trHeight w:val="427"/>
        </w:trPr>
        <w:tc>
          <w:tcPr>
            <w:tcW w:w="8780" w:type="dxa"/>
            <w:vAlign w:val="bottom"/>
            <w:gridSpan w:val="4"/>
          </w:tcPr>
          <w:p>
            <w:pPr>
              <w:spacing w:after="0"/>
              <w:rPr>
                <w:sz w:val="20"/>
                <w:szCs w:val="20"/>
                <w:color w:val="auto"/>
              </w:rPr>
            </w:pPr>
            <w:r>
              <w:rPr>
                <w:rFonts w:ascii="Arial" w:cs="Arial" w:eastAsia="Arial" w:hAnsi="Arial"/>
                <w:sz w:val="17"/>
                <w:szCs w:val="17"/>
                <w:color w:val="auto"/>
                <w:w w:val="94"/>
              </w:rPr>
              <w:t>Indicate the number of shares outstanding of each of the issuer’s classes of common stock, as of the latest practicable date.</w:t>
            </w:r>
          </w:p>
        </w:tc>
        <w:tc>
          <w:tcPr>
            <w:tcW w:w="2640" w:type="dxa"/>
            <w:vAlign w:val="bottom"/>
          </w:tcPr>
          <w:p>
            <w:pPr>
              <w:spacing w:after="0"/>
              <w:rPr>
                <w:sz w:val="24"/>
                <w:szCs w:val="24"/>
                <w:color w:val="auto"/>
              </w:rPr>
            </w:pPr>
          </w:p>
        </w:tc>
      </w:tr>
      <w:tr>
        <w:trPr>
          <w:trHeight w:val="411"/>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20" w:type="dxa"/>
            <w:vAlign w:val="bottom"/>
            <w:gridSpan w:val="2"/>
          </w:tcPr>
          <w:p>
            <w:pPr>
              <w:jc w:val="center"/>
              <w:ind w:left="236"/>
              <w:spacing w:after="0"/>
              <w:rPr>
                <w:sz w:val="20"/>
                <w:szCs w:val="20"/>
                <w:color w:val="auto"/>
              </w:rPr>
            </w:pPr>
            <w:r>
              <w:rPr>
                <w:rFonts w:ascii="Arial" w:cs="Arial" w:eastAsia="Arial" w:hAnsi="Arial"/>
                <w:sz w:val="17"/>
                <w:szCs w:val="17"/>
                <w:b w:val="1"/>
                <w:bCs w:val="1"/>
                <w:color w:val="auto"/>
                <w:w w:val="89"/>
              </w:rPr>
              <w:t>Number of Shares Outstanding at</w:t>
            </w:r>
          </w:p>
        </w:tc>
      </w:tr>
      <w:tr>
        <w:trPr>
          <w:trHeight w:val="217"/>
        </w:trPr>
        <w:tc>
          <w:tcPr>
            <w:tcW w:w="3660" w:type="dxa"/>
            <w:vAlign w:val="bottom"/>
          </w:tcPr>
          <w:p>
            <w:pPr>
              <w:jc w:val="center"/>
              <w:ind w:left="1976"/>
              <w:spacing w:after="0"/>
              <w:rPr>
                <w:sz w:val="20"/>
                <w:szCs w:val="20"/>
                <w:color w:val="auto"/>
              </w:rPr>
            </w:pPr>
            <w:r>
              <w:rPr>
                <w:rFonts w:ascii="Arial" w:cs="Arial" w:eastAsia="Arial" w:hAnsi="Arial"/>
                <w:sz w:val="17"/>
                <w:szCs w:val="17"/>
                <w:b w:val="1"/>
                <w:bCs w:val="1"/>
                <w:color w:val="auto"/>
                <w:w w:val="88"/>
              </w:rPr>
              <w:t>Title of each Class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20" w:type="dxa"/>
            <w:vAlign w:val="bottom"/>
            <w:gridSpan w:val="2"/>
          </w:tcPr>
          <w:p>
            <w:pPr>
              <w:jc w:val="center"/>
              <w:ind w:left="236"/>
              <w:spacing w:after="0"/>
              <w:rPr>
                <w:sz w:val="20"/>
                <w:szCs w:val="20"/>
                <w:color w:val="auto"/>
              </w:rPr>
            </w:pPr>
            <w:r>
              <w:rPr>
                <w:rFonts w:ascii="Arial" w:cs="Arial" w:eastAsia="Arial" w:hAnsi="Arial"/>
                <w:sz w:val="17"/>
                <w:szCs w:val="17"/>
                <w:b w:val="1"/>
                <w:bCs w:val="1"/>
                <w:color w:val="auto"/>
                <w:w w:val="89"/>
              </w:rPr>
              <w:t>October 15, 2015</w:t>
            </w:r>
          </w:p>
        </w:tc>
      </w:tr>
      <w:tr>
        <w:trPr>
          <w:trHeight w:val="207"/>
        </w:trPr>
        <w:tc>
          <w:tcPr>
            <w:tcW w:w="5400" w:type="dxa"/>
            <w:vAlign w:val="bottom"/>
            <w:tcBorders>
              <w:bottom w:val="single" w:sz="8" w:color="auto"/>
            </w:tcBorders>
            <w:gridSpan w:val="3"/>
          </w:tcPr>
          <w:p>
            <w:pPr>
              <w:spacing w:after="0"/>
              <w:rPr>
                <w:sz w:val="17"/>
                <w:szCs w:val="17"/>
                <w:color w:val="auto"/>
              </w:rPr>
            </w:pPr>
          </w:p>
        </w:tc>
        <w:tc>
          <w:tcPr>
            <w:tcW w:w="6020" w:type="dxa"/>
            <w:vAlign w:val="bottom"/>
            <w:tcBorders>
              <w:bottom w:val="single" w:sz="8" w:color="auto"/>
            </w:tcBorders>
            <w:gridSpan w:val="2"/>
          </w:tcPr>
          <w:p>
            <w:pPr>
              <w:spacing w:after="0"/>
              <w:rPr>
                <w:sz w:val="17"/>
                <w:szCs w:val="17"/>
                <w:color w:val="auto"/>
              </w:rPr>
            </w:pPr>
          </w:p>
        </w:tc>
      </w:tr>
      <w:tr>
        <w:trPr>
          <w:trHeight w:val="213"/>
        </w:trPr>
        <w:tc>
          <w:tcPr>
            <w:tcW w:w="5400" w:type="dxa"/>
            <w:vAlign w:val="bottom"/>
            <w:gridSpan w:val="3"/>
          </w:tcPr>
          <w:p>
            <w:pPr>
              <w:jc w:val="center"/>
              <w:ind w:left="236"/>
              <w:spacing w:after="0"/>
              <w:rPr>
                <w:sz w:val="20"/>
                <w:szCs w:val="20"/>
                <w:color w:val="auto"/>
              </w:rPr>
            </w:pPr>
            <w:r>
              <w:rPr>
                <w:rFonts w:ascii="Arial" w:cs="Arial" w:eastAsia="Arial" w:hAnsi="Arial"/>
                <w:sz w:val="17"/>
                <w:szCs w:val="17"/>
                <w:color w:val="auto"/>
                <w:w w:val="88"/>
              </w:rPr>
              <w:t>Common Stock, $0.01 par value</w:t>
            </w:r>
          </w:p>
        </w:tc>
        <w:tc>
          <w:tcPr>
            <w:tcW w:w="6020" w:type="dxa"/>
            <w:vAlign w:val="bottom"/>
            <w:gridSpan w:val="2"/>
          </w:tcPr>
          <w:p>
            <w:pPr>
              <w:jc w:val="center"/>
              <w:ind w:left="256"/>
              <w:spacing w:after="0"/>
              <w:rPr>
                <w:sz w:val="20"/>
                <w:szCs w:val="20"/>
                <w:color w:val="auto"/>
              </w:rPr>
            </w:pPr>
            <w:r>
              <w:rPr>
                <w:rFonts w:ascii="Arial" w:cs="Arial" w:eastAsia="Arial" w:hAnsi="Arial"/>
                <w:sz w:val="17"/>
                <w:szCs w:val="17"/>
                <w:color w:val="auto"/>
                <w:w w:val="89"/>
              </w:rPr>
              <w:t>41,990,867</w:t>
            </w:r>
          </w:p>
        </w:tc>
      </w:tr>
    </w:tbl>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18"/>
                <w:szCs w:val="18"/>
                <w:color w:val="auto"/>
              </w:rPr>
            </w:pPr>
          </w:p>
        </w:tc>
        <w:tc>
          <w:tcPr>
            <w:tcW w:w="8280" w:type="dxa"/>
            <w:vAlign w:val="bottom"/>
            <w:vMerge w:val="restart"/>
          </w:tcPr>
          <w:p>
            <w:pPr>
              <w:ind w:left="4040"/>
              <w:spacing w:after="0"/>
              <w:rPr>
                <w:sz w:val="20"/>
                <w:szCs w:val="20"/>
                <w:color w:val="auto"/>
              </w:rPr>
            </w:pPr>
            <w:r>
              <w:rPr>
                <w:rFonts w:ascii="Arial" w:cs="Arial" w:eastAsia="Arial" w:hAnsi="Arial"/>
                <w:sz w:val="17"/>
                <w:szCs w:val="17"/>
                <w:b w:val="1"/>
                <w:bCs w:val="1"/>
                <w:color w:val="auto"/>
              </w:rPr>
              <w:t>Part I.—Financial Information</w:t>
            </w:r>
          </w:p>
        </w:tc>
        <w:tc>
          <w:tcPr>
            <w:tcW w:w="2520" w:type="dxa"/>
            <w:vAlign w:val="bottom"/>
          </w:tcPr>
          <w:p>
            <w:pPr>
              <w:ind w:left="20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Financial Statements</w:t>
            </w:r>
          </w:p>
        </w:tc>
        <w:tc>
          <w:tcPr>
            <w:tcW w:w="2520" w:type="dxa"/>
            <w:vAlign w:val="bottom"/>
            <w:shd w:val="clear" w:color="auto" w:fill="CCEEFF"/>
          </w:tcPr>
          <w:p>
            <w:pPr>
              <w:jc w:val="center"/>
              <w:ind w:left="1796"/>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ind w:left="140"/>
              <w:spacing w:after="0"/>
              <w:rPr>
                <w:sz w:val="20"/>
                <w:szCs w:val="20"/>
                <w:color w:val="auto"/>
              </w:rPr>
            </w:pPr>
            <w:r>
              <w:rPr>
                <w:rFonts w:ascii="Arial" w:cs="Arial" w:eastAsia="Arial" w:hAnsi="Arial"/>
                <w:sz w:val="17"/>
                <w:szCs w:val="17"/>
                <w:color w:val="auto"/>
              </w:rPr>
              <w:t>Consolidated Statement of Operations (Unaudited)</w:t>
            </w:r>
          </w:p>
        </w:tc>
        <w:tc>
          <w:tcPr>
            <w:tcW w:w="2520" w:type="dxa"/>
            <w:vAlign w:val="bottom"/>
          </w:tcPr>
          <w:p>
            <w:pPr>
              <w:jc w:val="center"/>
              <w:ind w:left="1796"/>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 Statement of Comprehensive (Loss) Income (Unaudited)</w:t>
            </w:r>
          </w:p>
        </w:tc>
        <w:tc>
          <w:tcPr>
            <w:tcW w:w="2520" w:type="dxa"/>
            <w:vAlign w:val="bottom"/>
            <w:shd w:val="clear" w:color="auto" w:fill="CCEEFF"/>
          </w:tcPr>
          <w:p>
            <w:pPr>
              <w:jc w:val="center"/>
              <w:ind w:left="1796"/>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ind w:left="140"/>
              <w:spacing w:after="0"/>
              <w:rPr>
                <w:sz w:val="20"/>
                <w:szCs w:val="20"/>
                <w:color w:val="auto"/>
              </w:rPr>
            </w:pPr>
            <w:r>
              <w:rPr>
                <w:rFonts w:ascii="Arial" w:cs="Arial" w:eastAsia="Arial" w:hAnsi="Arial"/>
                <w:sz w:val="17"/>
                <w:szCs w:val="17"/>
                <w:color w:val="auto"/>
              </w:rPr>
              <w:t>Consolidated Statement of Financial Position (Unaudited)</w:t>
            </w:r>
          </w:p>
        </w:tc>
        <w:tc>
          <w:tcPr>
            <w:tcW w:w="2520" w:type="dxa"/>
            <w:vAlign w:val="bottom"/>
          </w:tcPr>
          <w:p>
            <w:pPr>
              <w:jc w:val="center"/>
              <w:ind w:left="1796"/>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 Statement of Cash Flows (Unaudited)</w:t>
            </w:r>
          </w:p>
        </w:tc>
        <w:tc>
          <w:tcPr>
            <w:tcW w:w="2520" w:type="dxa"/>
            <w:vAlign w:val="bottom"/>
            <w:shd w:val="clear" w:color="auto" w:fill="CCEEFF"/>
          </w:tcPr>
          <w:p>
            <w:pPr>
              <w:jc w:val="center"/>
              <w:ind w:left="1796"/>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ind w:left="140"/>
              <w:spacing w:after="0"/>
              <w:rPr>
                <w:sz w:val="20"/>
                <w:szCs w:val="20"/>
                <w:color w:val="auto"/>
              </w:rPr>
            </w:pPr>
            <w:r>
              <w:rPr>
                <w:rFonts w:ascii="Arial" w:cs="Arial" w:eastAsia="Arial" w:hAnsi="Arial"/>
                <w:sz w:val="17"/>
                <w:szCs w:val="17"/>
                <w:color w:val="auto"/>
              </w:rPr>
              <w:t>Notes to Financial Statements (Unaudited)</w:t>
            </w:r>
          </w:p>
        </w:tc>
        <w:tc>
          <w:tcPr>
            <w:tcW w:w="2520" w:type="dxa"/>
            <w:vAlign w:val="bottom"/>
          </w:tcPr>
          <w:p>
            <w:pPr>
              <w:jc w:val="center"/>
              <w:ind w:left="1796"/>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2520" w:type="dxa"/>
            <w:vAlign w:val="bottom"/>
            <w:shd w:val="clear" w:color="auto" w:fill="CCEEFF"/>
          </w:tcPr>
          <w:p>
            <w:pPr>
              <w:jc w:val="center"/>
              <w:ind w:left="1816"/>
              <w:spacing w:after="0"/>
              <w:rPr>
                <w:sz w:val="20"/>
                <w:szCs w:val="20"/>
                <w:color w:val="auto"/>
              </w:rPr>
            </w:pPr>
            <w:r>
              <w:rPr>
                <w:rFonts w:ascii="Arial" w:cs="Arial" w:eastAsia="Arial" w:hAnsi="Arial"/>
                <w:sz w:val="17"/>
                <w:szCs w:val="17"/>
                <w:color w:val="auto"/>
                <w:w w:val="94"/>
              </w:rPr>
              <w:t>26</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ind w:left="140"/>
              <w:spacing w:after="0"/>
              <w:rPr>
                <w:sz w:val="20"/>
                <w:szCs w:val="20"/>
                <w:color w:val="auto"/>
              </w:rPr>
            </w:pPr>
            <w:r>
              <w:rPr>
                <w:rFonts w:ascii="Arial" w:cs="Arial" w:eastAsia="Arial" w:hAnsi="Arial"/>
                <w:sz w:val="17"/>
                <w:szCs w:val="17"/>
                <w:color w:val="auto"/>
              </w:rPr>
              <w:t>Liquidity and Capital Resources</w:t>
            </w:r>
          </w:p>
        </w:tc>
        <w:tc>
          <w:tcPr>
            <w:tcW w:w="2520" w:type="dxa"/>
            <w:vAlign w:val="bottom"/>
          </w:tcPr>
          <w:p>
            <w:pPr>
              <w:jc w:val="center"/>
              <w:ind w:left="1816"/>
              <w:spacing w:after="0"/>
              <w:rPr>
                <w:sz w:val="20"/>
                <w:szCs w:val="20"/>
                <w:color w:val="auto"/>
              </w:rPr>
            </w:pPr>
            <w:r>
              <w:rPr>
                <w:rFonts w:ascii="Arial" w:cs="Arial" w:eastAsia="Arial" w:hAnsi="Arial"/>
                <w:sz w:val="17"/>
                <w:szCs w:val="17"/>
                <w:color w:val="auto"/>
                <w:w w:val="94"/>
              </w:rPr>
              <w:t>38</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Quantitative and Qualitative Disclosures About Market Risk</w:t>
            </w:r>
          </w:p>
        </w:tc>
        <w:tc>
          <w:tcPr>
            <w:tcW w:w="2520" w:type="dxa"/>
            <w:vAlign w:val="bottom"/>
            <w:shd w:val="clear" w:color="auto" w:fill="CCEEFF"/>
          </w:tcPr>
          <w:p>
            <w:pPr>
              <w:jc w:val="center"/>
              <w:ind w:left="1816"/>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20"/>
                <w:szCs w:val="20"/>
                <w:color w:val="auto"/>
              </w:rPr>
            </w:pPr>
            <w:r>
              <w:rPr>
                <w:rFonts w:ascii="Arial" w:cs="Arial" w:eastAsia="Arial" w:hAnsi="Arial"/>
                <w:sz w:val="17"/>
                <w:szCs w:val="17"/>
                <w:color w:val="auto"/>
              </w:rPr>
              <w:t>Item 4.</w:t>
            </w:r>
          </w:p>
        </w:tc>
        <w:tc>
          <w:tcPr>
            <w:tcW w:w="8280" w:type="dxa"/>
            <w:vAlign w:val="bottom"/>
          </w:tcPr>
          <w:p>
            <w:pPr>
              <w:ind w:left="140"/>
              <w:spacing w:after="0"/>
              <w:rPr>
                <w:sz w:val="20"/>
                <w:szCs w:val="20"/>
                <w:color w:val="auto"/>
              </w:rPr>
            </w:pPr>
            <w:r>
              <w:rPr>
                <w:rFonts w:ascii="Arial" w:cs="Arial" w:eastAsia="Arial" w:hAnsi="Arial"/>
                <w:sz w:val="17"/>
                <w:szCs w:val="17"/>
                <w:color w:val="auto"/>
              </w:rPr>
              <w:t>Controls and Procedures</w:t>
            </w:r>
          </w:p>
        </w:tc>
        <w:tc>
          <w:tcPr>
            <w:tcW w:w="2520" w:type="dxa"/>
            <w:vAlign w:val="bottom"/>
          </w:tcPr>
          <w:p>
            <w:pPr>
              <w:jc w:val="center"/>
              <w:ind w:left="1816"/>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8280" w:type="dxa"/>
            <w:vAlign w:val="bottom"/>
            <w:shd w:val="clear" w:color="auto" w:fill="CCEEFF"/>
          </w:tcPr>
          <w:p>
            <w:pPr>
              <w:ind w:left="4080"/>
              <w:spacing w:after="0"/>
              <w:rPr>
                <w:sz w:val="20"/>
                <w:szCs w:val="20"/>
                <w:color w:val="auto"/>
              </w:rPr>
            </w:pPr>
            <w:r>
              <w:rPr>
                <w:rFonts w:ascii="Arial" w:cs="Arial" w:eastAsia="Arial" w:hAnsi="Arial"/>
                <w:sz w:val="17"/>
                <w:szCs w:val="17"/>
                <w:b w:val="1"/>
                <w:bCs w:val="1"/>
                <w:color w:val="auto"/>
              </w:rPr>
              <w:t>Part II.—Other Information</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Legal Proceedings</w:t>
            </w:r>
          </w:p>
        </w:tc>
        <w:tc>
          <w:tcPr>
            <w:tcW w:w="2520" w:type="dxa"/>
            <w:vAlign w:val="bottom"/>
            <w:shd w:val="clear" w:color="auto" w:fill="CCEEFF"/>
          </w:tcPr>
          <w:p>
            <w:pPr>
              <w:jc w:val="center"/>
              <w:ind w:left="1816"/>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Item 2.</w:t>
            </w:r>
          </w:p>
        </w:tc>
        <w:tc>
          <w:tcPr>
            <w:tcW w:w="8280" w:type="dxa"/>
            <w:vAlign w:val="bottom"/>
          </w:tcPr>
          <w:p>
            <w:pPr>
              <w:ind w:left="140"/>
              <w:spacing w:after="0"/>
              <w:rPr>
                <w:sz w:val="20"/>
                <w:szCs w:val="20"/>
                <w:color w:val="auto"/>
              </w:rPr>
            </w:pPr>
            <w:r>
              <w:rPr>
                <w:rFonts w:ascii="Arial" w:cs="Arial" w:eastAsia="Arial" w:hAnsi="Arial"/>
                <w:sz w:val="17"/>
                <w:szCs w:val="17"/>
                <w:color w:val="auto"/>
              </w:rPr>
              <w:t>Unregistered Sales of Securities and Use of Proceeds</w:t>
            </w:r>
          </w:p>
        </w:tc>
        <w:tc>
          <w:tcPr>
            <w:tcW w:w="2520" w:type="dxa"/>
            <w:vAlign w:val="bottom"/>
          </w:tcPr>
          <w:p>
            <w:pPr>
              <w:jc w:val="center"/>
              <w:ind w:left="1816"/>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Item 5.</w:t>
            </w: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Information</w:t>
            </w:r>
          </w:p>
        </w:tc>
        <w:tc>
          <w:tcPr>
            <w:tcW w:w="2520" w:type="dxa"/>
            <w:vAlign w:val="bottom"/>
            <w:shd w:val="clear" w:color="auto" w:fill="CCEEFF"/>
          </w:tcPr>
          <w:p>
            <w:pPr>
              <w:jc w:val="center"/>
              <w:ind w:left="1816"/>
              <w:spacing w:after="0"/>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Item 6.</w:t>
            </w:r>
          </w:p>
        </w:tc>
        <w:tc>
          <w:tcPr>
            <w:tcW w:w="8280" w:type="dxa"/>
            <w:vAlign w:val="bottom"/>
          </w:tcPr>
          <w:p>
            <w:pPr>
              <w:ind w:left="140"/>
              <w:spacing w:after="0"/>
              <w:rPr>
                <w:sz w:val="20"/>
                <w:szCs w:val="20"/>
                <w:color w:val="auto"/>
              </w:rPr>
            </w:pPr>
            <w:r>
              <w:rPr>
                <w:rFonts w:ascii="Arial" w:cs="Arial" w:eastAsia="Arial" w:hAnsi="Arial"/>
                <w:sz w:val="17"/>
                <w:szCs w:val="17"/>
                <w:color w:val="auto"/>
              </w:rPr>
              <w:t>Exhibits</w:t>
            </w:r>
          </w:p>
        </w:tc>
        <w:tc>
          <w:tcPr>
            <w:tcW w:w="2520" w:type="dxa"/>
            <w:vAlign w:val="bottom"/>
          </w:tcPr>
          <w:p>
            <w:pPr>
              <w:jc w:val="center"/>
              <w:ind w:left="1816"/>
              <w:spacing w:after="0"/>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280" w:type="dxa"/>
            <w:vAlign w:val="bottom"/>
          </w:tcPr>
          <w:p>
            <w:pPr>
              <w:ind w:left="140"/>
              <w:spacing w:after="0"/>
              <w:rPr>
                <w:sz w:val="20"/>
                <w:szCs w:val="20"/>
                <w:color w:val="auto"/>
              </w:rPr>
            </w:pPr>
            <w:r>
              <w:rPr>
                <w:rFonts w:ascii="Arial" w:cs="Arial" w:eastAsia="Arial" w:hAnsi="Arial"/>
                <w:sz w:val="17"/>
                <w:szCs w:val="17"/>
                <w:color w:val="auto"/>
              </w:rPr>
              <w:t>Signature</w:t>
            </w:r>
          </w:p>
        </w:tc>
        <w:tc>
          <w:tcPr>
            <w:tcW w:w="2520" w:type="dxa"/>
            <w:vAlign w:val="bottom"/>
          </w:tcPr>
          <w:p>
            <w:pPr>
              <w:jc w:val="center"/>
              <w:ind w:left="1816"/>
              <w:spacing w:after="0"/>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Index to Exhibits</w:t>
            </w:r>
          </w:p>
        </w:tc>
        <w:tc>
          <w:tcPr>
            <w:tcW w:w="2520" w:type="dxa"/>
            <w:vAlign w:val="bottom"/>
            <w:shd w:val="clear" w:color="auto" w:fill="CCEEFF"/>
          </w:tcPr>
          <w:p>
            <w:pPr>
              <w:jc w:val="center"/>
              <w:ind w:left="1816"/>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OPERATIONS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 millons,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right"/>
              <w:ind w:right="36"/>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Nine Months Ended</w:t>
            </w:r>
          </w:p>
        </w:tc>
      </w:tr>
      <w:tr>
        <w:trPr>
          <w:trHeight w:val="223"/>
        </w:trPr>
        <w:tc>
          <w:tcPr>
            <w:tcW w:w="5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7"/>
                <w:szCs w:val="17"/>
                <w:b w:val="1"/>
                <w:bCs w:val="1"/>
                <w:color w:val="auto"/>
                <w:w w:val="86"/>
              </w:rPr>
              <w:t>September 30,</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Revenues</w:t>
            </w: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357</w:t>
            </w:r>
          </w:p>
        </w:tc>
        <w:tc>
          <w:tcPr>
            <w:tcW w:w="8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w:t>
            </w:r>
          </w:p>
        </w:tc>
      </w:tr>
      <w:tr>
        <w:trPr>
          <w:trHeight w:val="201"/>
        </w:trPr>
        <w:tc>
          <w:tcPr>
            <w:tcW w:w="5880" w:type="dxa"/>
            <w:vAlign w:val="bottom"/>
          </w:tcPr>
          <w:p>
            <w:pPr>
              <w:ind w:left="300"/>
              <w:spacing w:after="0"/>
              <w:rPr>
                <w:sz w:val="20"/>
                <w:szCs w:val="20"/>
                <w:color w:val="auto"/>
              </w:rPr>
            </w:pPr>
            <w:r>
              <w:rPr>
                <w:rFonts w:ascii="Arial" w:cs="Arial" w:eastAsia="Arial" w:hAnsi="Arial"/>
                <w:sz w:val="17"/>
                <w:szCs w:val="17"/>
                <w:color w:val="auto"/>
              </w:rPr>
              <w:t>Services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284</w:t>
            </w:r>
          </w:p>
        </w:tc>
      </w:tr>
      <w:tr>
        <w:trPr>
          <w:trHeight w:val="25"/>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1,584</w:t>
            </w:r>
          </w:p>
        </w:tc>
      </w:tr>
      <w:tr>
        <w:trPr>
          <w:trHeight w:val="201"/>
        </w:trPr>
        <w:tc>
          <w:tcPr>
            <w:tcW w:w="58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2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5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1,021</w:t>
            </w:r>
          </w:p>
        </w:tc>
      </w:tr>
      <w:tr>
        <w:trPr>
          <w:trHeight w:val="201"/>
        </w:trPr>
        <w:tc>
          <w:tcPr>
            <w:tcW w:w="5880" w:type="dxa"/>
            <w:vAlign w:val="bottom"/>
          </w:tcPr>
          <w:p>
            <w:pPr>
              <w:ind w:left="300"/>
              <w:spacing w:after="0"/>
              <w:rPr>
                <w:sz w:val="20"/>
                <w:szCs w:val="20"/>
                <w:color w:val="auto"/>
              </w:rPr>
            </w:pPr>
            <w:r>
              <w:rPr>
                <w:rFonts w:ascii="Arial" w:cs="Arial" w:eastAsia="Arial" w:hAnsi="Arial"/>
                <w:sz w:val="17"/>
                <w:szCs w:val="17"/>
                <w:color w:val="auto"/>
              </w:rPr>
              <w:t>Services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216</w:t>
            </w:r>
          </w:p>
        </w:tc>
      </w:tr>
      <w:tr>
        <w:trPr>
          <w:trHeight w:val="25"/>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1,237</w:t>
            </w:r>
          </w:p>
        </w:tc>
      </w:tr>
      <w:tr>
        <w:trPr>
          <w:trHeight w:val="25"/>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880" w:type="dxa"/>
            <w:vAlign w:val="bottom"/>
          </w:tcPr>
          <w:p>
            <w:pPr>
              <w:ind w:left="120"/>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347</w:t>
            </w: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r>
      <w:tr>
        <w:trPr>
          <w:trHeight w:val="206"/>
        </w:trPr>
        <w:tc>
          <w:tcPr>
            <w:tcW w:w="5880" w:type="dxa"/>
            <w:vAlign w:val="bottom"/>
          </w:tcPr>
          <w:p>
            <w:pPr>
              <w:spacing w:after="0"/>
              <w:rPr>
                <w:sz w:val="20"/>
                <w:szCs w:val="20"/>
                <w:color w:val="auto"/>
              </w:rPr>
            </w:pPr>
            <w:r>
              <w:rPr>
                <w:rFonts w:ascii="Arial" w:cs="Arial" w:eastAsia="Arial" w:hAnsi="Arial"/>
                <w:sz w:val="17"/>
                <w:szCs w:val="17"/>
                <w:color w:val="auto"/>
              </w:rPr>
              <w:t>Other operating (income) expense, net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189"/>
        </w:trPr>
        <w:tc>
          <w:tcPr>
            <w:tcW w:w="5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1"/>
              </w:rPr>
              <w:t>Income (loss) from continuing operations before interest expense, other charges, net,</w:t>
            </w:r>
          </w:p>
        </w:tc>
        <w:tc>
          <w:tcPr>
            <w:tcW w:w="2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 and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5"/>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continuing operations before income taxes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5"/>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continuing operations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5"/>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r>
      <w:tr>
        <w:trPr>
          <w:trHeight w:val="226"/>
        </w:trPr>
        <w:tc>
          <w:tcPr>
            <w:tcW w:w="5880" w:type="dxa"/>
            <w:vAlign w:val="bottom"/>
          </w:tcPr>
          <w:p>
            <w:pPr>
              <w:ind w:left="80"/>
              <w:spacing w:after="0"/>
              <w:rPr>
                <w:sz w:val="20"/>
                <w:szCs w:val="20"/>
                <w:color w:val="auto"/>
              </w:rPr>
            </w:pPr>
            <w:r>
              <w:rPr>
                <w:rFonts w:ascii="Arial" w:cs="Arial" w:eastAsia="Arial" w:hAnsi="Arial"/>
                <w:sz w:val="17"/>
                <w:szCs w:val="17"/>
                <w:color w:val="auto"/>
              </w:rPr>
              <w:t>Less: Net income attributable to noncontrolling interests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34"/>
        </w:trPr>
        <w:tc>
          <w:tcPr>
            <w:tcW w:w="5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(LOSS) INCOME ATTRIBUTABLE TO EASTMAN KODAK COMPANY</w:t>
            </w:r>
          </w:p>
        </w:tc>
        <w:tc>
          <w:tcPr>
            <w:tcW w:w="2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ind w:right="576"/>
              <w:spacing w:after="0" w:line="194" w:lineRule="exact"/>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w:t>
            </w: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(104)</w:t>
            </w: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(81)</w:t>
            </w:r>
          </w:p>
        </w:tc>
        <w:tc>
          <w:tcPr>
            <w:tcW w:w="100" w:type="dxa"/>
            <w:vAlign w:val="bottom"/>
            <w:tcBorders>
              <w:top w:val="single" w:sz="8" w:color="CCEEFF"/>
            </w:tcBorders>
            <w:shd w:val="clear" w:color="auto" w:fill="CCEEFF"/>
          </w:tcPr>
          <w:p>
            <w:pPr>
              <w:spacing w:after="0"/>
              <w:rPr>
                <w:sz w:val="20"/>
                <w:szCs w:val="20"/>
                <w:color w:val="auto"/>
              </w:rPr>
            </w:pPr>
          </w:p>
        </w:tc>
      </w:tr>
      <w:tr>
        <w:trPr>
          <w:trHeight w:val="191"/>
        </w:trPr>
        <w:tc>
          <w:tcPr>
            <w:tcW w:w="58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9"/>
        </w:trPr>
        <w:tc>
          <w:tcPr>
            <w:tcW w:w="5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1"/>
              </w:rPr>
              <w:t>Basic net (loss) earnings per share attributable to Eastman Kodak Company common</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shareholders: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5880" w:type="dxa"/>
            <w:vAlign w:val="bottom"/>
          </w:tcPr>
          <w:p>
            <w:pPr>
              <w:ind w:left="80"/>
              <w:spacing w:after="0"/>
              <w:rPr>
                <w:sz w:val="20"/>
                <w:szCs w:val="20"/>
                <w:color w:val="auto"/>
              </w:rPr>
            </w:pPr>
            <w:r>
              <w:rPr>
                <w:rFonts w:ascii="Arial" w:cs="Arial" w:eastAsia="Arial" w:hAnsi="Arial"/>
                <w:sz w:val="17"/>
                <w:szCs w:val="17"/>
                <w:color w:val="auto"/>
              </w:rPr>
              <w:t>Continuing operations</w:t>
            </w:r>
          </w:p>
        </w:tc>
        <w:tc>
          <w:tcPr>
            <w:tcW w:w="9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(0.34)</w:t>
            </w:r>
          </w:p>
        </w:tc>
        <w:tc>
          <w:tcPr>
            <w:tcW w:w="840" w:type="dxa"/>
            <w:vAlign w:val="bottom"/>
            <w:gridSpan w:val="2"/>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0.70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(2.29)</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(2.06)</w:t>
            </w:r>
          </w:p>
        </w:tc>
      </w:tr>
      <w:tr>
        <w:trPr>
          <w:trHeight w:val="201"/>
        </w:trPr>
        <w:tc>
          <w:tcPr>
            <w:tcW w:w="5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Discontinued operations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(0.19)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(0.29)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0.12</w:t>
            </w:r>
          </w:p>
        </w:tc>
      </w:tr>
      <w:tr>
        <w:trPr>
          <w:trHeight w:val="25"/>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880" w:type="dxa"/>
            <w:vAlign w:val="bottom"/>
          </w:tcPr>
          <w:p>
            <w:pPr>
              <w:ind w:left="80"/>
              <w:spacing w:after="0"/>
              <w:rPr>
                <w:sz w:val="20"/>
                <w:szCs w:val="20"/>
                <w:color w:val="auto"/>
              </w:rPr>
            </w:pPr>
            <w:r>
              <w:rPr>
                <w:rFonts w:ascii="Arial" w:cs="Arial" w:eastAsia="Arial" w:hAnsi="Arial"/>
                <w:sz w:val="17"/>
                <w:szCs w:val="17"/>
                <w:color w:val="auto"/>
              </w:rPr>
              <w:t>Total</w:t>
            </w:r>
          </w:p>
        </w:tc>
        <w:tc>
          <w:tcPr>
            <w:tcW w:w="9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(0.53)</w:t>
            </w:r>
          </w:p>
        </w:tc>
        <w:tc>
          <w:tcPr>
            <w:tcW w:w="840" w:type="dxa"/>
            <w:vAlign w:val="bottom"/>
            <w:gridSpan w:val="2"/>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0.41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(2.48)</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(1.94)</w:t>
            </w:r>
          </w:p>
        </w:tc>
      </w:tr>
      <w:tr>
        <w:trPr>
          <w:trHeight w:val="20"/>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5880" w:type="dxa"/>
            <w:vAlign w:val="bottom"/>
          </w:tcPr>
          <w:p>
            <w:pPr>
              <w:spacing w:after="0" w:line="189" w:lineRule="exact"/>
              <w:rPr>
                <w:sz w:val="20"/>
                <w:szCs w:val="20"/>
                <w:color w:val="auto"/>
              </w:rPr>
            </w:pPr>
            <w:r>
              <w:rPr>
                <w:rFonts w:ascii="Arial" w:cs="Arial" w:eastAsia="Arial" w:hAnsi="Arial"/>
                <w:sz w:val="17"/>
                <w:szCs w:val="17"/>
                <w:color w:val="auto"/>
              </w:rPr>
              <w:t>Diluted net (loss) earnings per share attributable to Eastman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880" w:type="dxa"/>
            <w:vAlign w:val="bottom"/>
          </w:tcPr>
          <w:p>
            <w:pPr>
              <w:ind w:left="80"/>
              <w:spacing w:after="0"/>
              <w:rPr>
                <w:sz w:val="20"/>
                <w:szCs w:val="20"/>
                <w:color w:val="auto"/>
              </w:rPr>
            </w:pPr>
            <w:r>
              <w:rPr>
                <w:rFonts w:ascii="Arial" w:cs="Arial" w:eastAsia="Arial" w:hAnsi="Arial"/>
                <w:sz w:val="17"/>
                <w:szCs w:val="17"/>
                <w:color w:val="auto"/>
              </w:rPr>
              <w:t>Kodak Company common shareholders: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Continuing operations</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(0.34)</w:t>
            </w:r>
          </w:p>
        </w:tc>
        <w:tc>
          <w:tcPr>
            <w:tcW w:w="8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(2.29)</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(2.06)</w:t>
            </w:r>
          </w:p>
        </w:tc>
      </w:tr>
      <w:tr>
        <w:trPr>
          <w:trHeight w:val="201"/>
        </w:trPr>
        <w:tc>
          <w:tcPr>
            <w:tcW w:w="5880" w:type="dxa"/>
            <w:vAlign w:val="bottom"/>
          </w:tcPr>
          <w:p>
            <w:pPr>
              <w:ind w:left="80"/>
              <w:spacing w:after="0"/>
              <w:rPr>
                <w:sz w:val="20"/>
                <w:szCs w:val="20"/>
                <w:color w:val="auto"/>
              </w:rPr>
            </w:pPr>
            <w:r>
              <w:rPr>
                <w:rFonts w:ascii="Arial" w:cs="Arial" w:eastAsia="Arial" w:hAnsi="Arial"/>
                <w:sz w:val="17"/>
                <w:szCs w:val="17"/>
                <w:color w:val="auto"/>
              </w:rPr>
              <w:t>Discontinued operations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(0.19)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(0.28)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(0.19)</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r>
      <w:tr>
        <w:trPr>
          <w:trHeight w:val="25"/>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(0.53)</w:t>
            </w:r>
          </w:p>
        </w:tc>
        <w:tc>
          <w:tcPr>
            <w:tcW w:w="8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w:t>
            </w:r>
          </w:p>
        </w:tc>
      </w:tr>
      <w:tr>
        <w:trPr>
          <w:trHeight w:val="191"/>
        </w:trPr>
        <w:tc>
          <w:tcPr>
            <w:tcW w:w="5880" w:type="dxa"/>
            <w:vAlign w:val="bottom"/>
            <w:tcBorders>
              <w:top w:val="single" w:sz="8" w:color="CCEEFF"/>
            </w:tcBorders>
          </w:tcPr>
          <w:p>
            <w:pPr>
              <w:spacing w:after="0" w:line="192" w:lineRule="exact"/>
              <w:rPr>
                <w:sz w:val="20"/>
                <w:szCs w:val="20"/>
                <w:color w:val="auto"/>
              </w:rPr>
            </w:pPr>
            <w:r>
              <w:rPr>
                <w:rFonts w:ascii="Arial" w:cs="Arial" w:eastAsia="Arial" w:hAnsi="Arial"/>
                <w:sz w:val="17"/>
                <w:szCs w:val="17"/>
                <w:color w:val="auto"/>
                <w:w w:val="94"/>
              </w:rPr>
              <w:t>Number of common shares used in basic and diluted net (loss) earnings per share</w:t>
            </w: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w:t>
            </w:r>
          </w:p>
        </w:tc>
      </w:tr>
      <w:tr>
        <w:trPr>
          <w:trHeight w:val="213"/>
        </w:trPr>
        <w:tc>
          <w:tcPr>
            <w:tcW w:w="5880" w:type="dxa"/>
            <w:vAlign w:val="bottom"/>
          </w:tcPr>
          <w:p>
            <w:pPr>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41.9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41.7</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LOSS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Pr>
          <w:p>
            <w:pPr>
              <w:spacing w:after="0"/>
              <w:rPr>
                <w:sz w:val="18"/>
                <w:szCs w:val="18"/>
                <w:color w:val="auto"/>
              </w:rPr>
            </w:pPr>
          </w:p>
        </w:tc>
        <w:tc>
          <w:tcPr>
            <w:tcW w:w="2200" w:type="dxa"/>
            <w:vAlign w:val="bottom"/>
            <w:gridSpan w:val="5"/>
            <w:vMerge w:val="restart"/>
          </w:tcPr>
          <w:p>
            <w:pPr>
              <w:jc w:val="right"/>
              <w:ind w:right="96"/>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vMerge w:val="restart"/>
          </w:tcPr>
          <w:p>
            <w:pPr>
              <w:jc w:val="right"/>
              <w:ind w:right="640"/>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7"/>
                <w:szCs w:val="17"/>
                <w:b w:val="1"/>
                <w:bCs w:val="1"/>
                <w:color w:val="auto"/>
                <w:w w:val="86"/>
              </w:rPr>
              <w:t>September 30,</w:t>
            </w: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82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90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1"/>
        </w:trPr>
        <w:tc>
          <w:tcPr>
            <w:tcW w:w="6000" w:type="dxa"/>
            <w:vAlign w:val="bottom"/>
          </w:tcPr>
          <w:p>
            <w:pPr>
              <w:ind w:left="300"/>
              <w:spacing w:after="0"/>
              <w:rPr>
                <w:sz w:val="20"/>
                <w:szCs w:val="20"/>
                <w:color w:val="auto"/>
              </w:rPr>
            </w:pPr>
            <w:r>
              <w:rPr>
                <w:rFonts w:ascii="Arial" w:cs="Arial" w:eastAsia="Arial" w:hAnsi="Arial"/>
                <w:sz w:val="17"/>
                <w:szCs w:val="17"/>
                <w:color w:val="auto"/>
              </w:rPr>
              <w:t>Less: Net income attributable to noncontrolling interests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attributable to Eastman Kodak Company</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1"/>
        </w:trPr>
        <w:tc>
          <w:tcPr>
            <w:tcW w:w="6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net of tax:</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0" w:type="dxa"/>
            <w:vAlign w:val="bottom"/>
          </w:tcPr>
          <w:p>
            <w:pPr>
              <w:spacing w:after="0"/>
              <w:rPr>
                <w:sz w:val="20"/>
                <w:szCs w:val="20"/>
                <w:color w:val="auto"/>
              </w:rPr>
            </w:pPr>
            <w:r>
              <w:rPr>
                <w:rFonts w:ascii="Arial" w:cs="Arial" w:eastAsia="Arial" w:hAnsi="Arial"/>
                <w:sz w:val="17"/>
                <w:szCs w:val="17"/>
                <w:color w:val="auto"/>
              </w:rPr>
              <w:t>Currency translation adjustments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(27)</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losses on available-for-sale securities, net of tax</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000" w:type="dxa"/>
            <w:vAlign w:val="bottom"/>
          </w:tcPr>
          <w:p>
            <w:pPr>
              <w:spacing w:after="0"/>
              <w:rPr>
                <w:sz w:val="20"/>
                <w:szCs w:val="20"/>
                <w:color w:val="auto"/>
              </w:rPr>
            </w:pPr>
            <w:r>
              <w:rPr>
                <w:rFonts w:ascii="Arial" w:cs="Arial" w:eastAsia="Arial" w:hAnsi="Arial"/>
                <w:sz w:val="17"/>
                <w:szCs w:val="17"/>
                <w:color w:val="auto"/>
              </w:rPr>
              <w:t>Pension and other postretirement benefit plan obligation activity, net of tax</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5"/>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net of tax attributable to Eastman Kodak Company</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600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6"/>
              </w:rPr>
              <w:t>COMPREHENSIVE LOSS, NET OF TAX ATTRIBUTABLE TO EASTMAN KODAK</w:t>
            </w: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7"/>
                <w:szCs w:val="17"/>
                <w:color w:val="auto"/>
              </w:rPr>
              <w:t>COMPANY</w:t>
            </w:r>
          </w:p>
        </w:tc>
        <w:tc>
          <w:tcPr>
            <w:tcW w:w="820" w:type="dxa"/>
            <w:vAlign w:val="bottom"/>
            <w:gridSpan w:val="2"/>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900" w:type="dxa"/>
            <w:vAlign w:val="bottom"/>
            <w:gridSpan w:val="2"/>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(130)</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jc w:val="center"/>
              <w:ind w:right="46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18"/>
                <w:szCs w:val="18"/>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89"/>
              </w:rPr>
              <w:t>As of</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7"/>
              </w:rPr>
              <w:t>September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b w:val="1"/>
                <w:bCs w:val="1"/>
                <w:color w:val="auto"/>
                <w:w w:val="89"/>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Receivables, net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376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Assets held for sale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Arial" w:cs="Arial" w:eastAsia="Arial" w:hAnsi="Arial"/>
                <w:sz w:val="17"/>
                <w:szCs w:val="17"/>
                <w:color w:val="auto"/>
              </w:rPr>
              <w:t>Other current assets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 xml:space="preserve">Property, plant and equipment, net of accumulated depreciation of </w:t>
            </w:r>
            <w:r>
              <w:rPr>
                <w:rFonts w:ascii="Arial" w:cs="Arial" w:eastAsia="Arial" w:hAnsi="Arial"/>
                <w:sz w:val="17"/>
                <w:szCs w:val="17"/>
                <w:b w:val="1"/>
                <w:bCs w:val="1"/>
                <w:color w:val="auto"/>
              </w:rPr>
              <w:t>$</w:t>
            </w:r>
            <w:r>
              <w:rPr>
                <w:rFonts w:ascii="Arial" w:cs="Arial" w:eastAsia="Arial" w:hAnsi="Arial"/>
                <w:sz w:val="17"/>
                <w:szCs w:val="17"/>
                <w:color w:val="auto"/>
              </w:rPr>
              <w:t>314 and $231, respectively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433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Intangible assets, net of accumulated amortization of $52 and $33, respectively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164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tcPr>
          <w:p>
            <w:pPr>
              <w:ind w:left="30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2,200</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2,556</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trade</w:t>
            </w:r>
          </w:p>
        </w:tc>
        <w:tc>
          <w:tcPr>
            <w:tcW w:w="3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Liabilities held for sale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670</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2,257</w:t>
            </w: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20"/>
                <w:szCs w:val="20"/>
                <w:color w:val="auto"/>
              </w:rPr>
            </w:pPr>
            <w:r>
              <w:rPr>
                <w:rFonts w:ascii="Arial" w:cs="Arial" w:eastAsia="Arial" w:hAnsi="Arial"/>
                <w:sz w:val="17"/>
                <w:szCs w:val="17"/>
                <w:color w:val="auto"/>
              </w:rPr>
              <w:t>Treasury stock, at cost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(162)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Eastman Kodak Company shareholders’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 equity</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EQUITY</w:t>
            </w:r>
          </w:p>
        </w:tc>
        <w:tc>
          <w:tcPr>
            <w:tcW w:w="36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2,200</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2,556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140" w:type="dxa"/>
            <w:vAlign w:val="bottom"/>
            <w:gridSpan w:val="4"/>
            <w:vMerge w:val="restart"/>
          </w:tcPr>
          <w:p>
            <w:pPr>
              <w:jc w:val="right"/>
              <w:ind w:right="103"/>
              <w:spacing w:after="0"/>
              <w:rPr>
                <w:sz w:val="20"/>
                <w:szCs w:val="20"/>
                <w:color w:val="auto"/>
              </w:rPr>
            </w:pPr>
            <w:r>
              <w:rPr>
                <w:rFonts w:ascii="Arial" w:cs="Arial" w:eastAsia="Arial" w:hAnsi="Arial"/>
                <w:sz w:val="17"/>
                <w:szCs w:val="17"/>
                <w:b w:val="1"/>
                <w:bCs w:val="1"/>
                <w:color w:val="auto"/>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7"/>
                <w:szCs w:val="17"/>
                <w:b w:val="1"/>
                <w:bCs w:val="1"/>
                <w:color w:val="auto"/>
                <w:w w:val="86"/>
              </w:rPr>
              <w:t>September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113</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Pension and other postretirement income</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gain on sales of businesses/assets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Gain on assets acquired for no monetary consideration</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Non-cash restructuring costs, asset impairments and other charges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Stock based compensation</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Payment of claims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Non-cash reorganizations items, net</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Provision (benefit) for deferred income taxes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Decrease in receivables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Increase in inventories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Decrease in liabilities excluding borrowings</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(65)</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Other items, net</w:t>
            </w: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460"/>
              <w:spacing w:after="0"/>
              <w:rPr>
                <w:sz w:val="20"/>
                <w:szCs w:val="20"/>
                <w:color w:val="auto"/>
              </w:rPr>
            </w:pPr>
            <w:r>
              <w:rPr>
                <w:rFonts w:ascii="Arial" w:cs="Arial" w:eastAsia="Arial" w:hAnsi="Arial"/>
                <w:sz w:val="17"/>
                <w:szCs w:val="17"/>
                <w:color w:val="auto"/>
              </w:rPr>
              <w:t>Total adjustments</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operating activities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Cash flows from investing activities: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Additions to properties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Net proceeds from sales of businesses/assets, net</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(Funding) use of restricted cash</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Marketable securities - purchases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provided by investing activities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Cash flows from financing activities: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emergence credit facilities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Equity transactions of noncontrolling interests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repayment of VIE credit facility</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Treasury stock purchases</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financing activities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Effect of exchange rate changes on cash</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74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(Unaudited)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RECENT ACCOUNTING PRONOUNCEMENTS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6"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the Company’s Annual Report on Form 10-K for the year ended December 31, 2014.</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Kodak is the primary beneficiary of a utilities variable interest entity, RED – Rochester, LLC (“RED”). Therefore, Kodak consolidates RED’s assets, liabilities and results of operations. Consolidated assets and liabilities of RED are $71 million and $9 million, respectively, as of September 30, 2015 and $77 million and $11 million, respectively, as of December 31, 2014. RED’s equity in those net assets as of September 30, 2015 and December 31, 2014 is $27 million and $21 million, respectively. RED’s results of operations are reflected in net income attributable to noncontrolling interest in the accompanying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due to Kodak’s new organization structure as of January 1, 2015 and for a change in the segment measure of profitability. Refer to Note 14, “Segment Information” for more information about these changes. In addition to the changes in segment reporting under the new organization structure, tenant rental income for Eastman Business Park previously reported in Cost of Revenues is now reported in Revenues.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3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April 2014, the Financial Accounting Standards Board (“FASB”) issued ASU 2014-08, “Presentation of Financial Statements (Topic 205) and Property, Plant, and Equipment (Topic 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ASU 2014-08 expands the disclosures when an entity retains a significant continuing involvement with a discontinued operation as well as for disposals of individually material components that do not qualify as discontinued operations. The amendments in the update were effective prospectively for fiscal years, and interim periods within those years, beginning after December 15, 2014 (January 1, 2015 for Kodak) to new disposals and new disposal groups classified as held for sale after the effective date. The adoption of this guidance did not have a material impact on Kodak’s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April 2015, the FASB issued ASU 2015-07, Fair Value Measurement (Topic 820): Disclosures for Investments in Certain Entities That Calculate Net Asset Value per Share (or Its Equivalent). ASU 2015-07 removes the requirement to categorize within the fair value hierarchy all investments for which fair value is measured using the net asset value per share. The ASU is effective for fiscal years, and interim periods within those years, beginning after December 15, 2015 (January 1, 2016 for Kodak) with retrospective application to all periods presented. Early application is permitted. The adoption of this guidance requires changes in presentation only and will not have an impact on Kodak’s Consolidated Financial Statements.</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April 2015, the FASB issued ASU 2015-03, Imputation of Interest (Sub-Topic 835.30): Simplifying the Presentation of Debt Issuance Costs. ASU 2015-03 requires debt issuance costs related to a recognized debt liability be presented in the balance sheet as a direct deduction from the carrying amount of that debt liability, consistent with debt discounts. In August 2015, the FASB issued ASU 2015-15 clarifying the application of this guidance to line of credit arrangements. The amendments in the ASUs are effective retrospectively for fiscal years, and for interim periods within those fiscal years, beginning after December 15, 2015 (January 1, 2016 for Kodak). Early adoption is permitted for financial statements not previously issued. Kodak does not expect the adoption of this guidance to have a material impact on its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ind w:right="160"/>
        <w:spacing w:after="0" w:line="251" w:lineRule="auto"/>
        <w:rPr>
          <w:sz w:val="20"/>
          <w:szCs w:val="20"/>
          <w:color w:val="auto"/>
        </w:rPr>
      </w:pPr>
      <w:r>
        <w:rPr>
          <w:rFonts w:ascii="Arial" w:cs="Arial" w:eastAsia="Arial" w:hAnsi="Arial"/>
          <w:sz w:val="17"/>
          <w:szCs w:val="17"/>
          <w:color w:val="auto"/>
        </w:rPr>
        <w:t>In February 2015, the FASB issued ASU 2015-02, “Consolidation (Topic 810): Amendments to the Consolidation Analysis”. The amendments in ASU 2015-02 change the analysis that a reporting entity must perform to determine whether it should consolidate certain types of legal entities. The amendments in this ASU are effective for fiscal years, and for interim periods within those fiscal years, beginning after December 15, 2015 (January 1, 2016 for Kodak). Early adoption is permitted, including adoption in an interim period. A reporting entity may apply the amendments in this ASU either retrospectively or use a modified retrospective approach by recording a cumulative-effect adjustment to equity as of the beginning of the fiscal year of adoption. Kodak does not expect the adoption of this guidance to have a material impact on its Consolidated Financial Statements.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July 2015, the FASB deferred the effective date of ASU 2014-09. The new revenue standard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of the revised guidance recognized at the date of initial application. Kodak is currently evaluating the adoption alternatives and impact of this ASU.</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2: RECEIVABLES,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103"/>
              <w:spacing w:after="0"/>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8820" w:type="dxa"/>
            <w:vAlign w:val="bottom"/>
          </w:tcPr>
          <w:p>
            <w:pPr>
              <w:spacing w:after="0"/>
              <w:rPr>
                <w:sz w:val="17"/>
                <w:szCs w:val="17"/>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b w:val="1"/>
                <w:bCs w:val="1"/>
                <w:color w:val="auto"/>
              </w:rPr>
              <w:t>September 30,</w:t>
            </w: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ind w:left="40"/>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Miscellaneous receivables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of allowances of $11 as of September 30, 2015 and December 31, 2014).</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Approximately $26 million and $31 million of the total trade receivable amounts as of September 30, 2015 and December 31, 2014,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80" w:type="dxa"/>
            <w:vAlign w:val="bottom"/>
          </w:tcPr>
          <w:p>
            <w:pPr>
              <w:spacing w:after="0"/>
              <w:rPr>
                <w:sz w:val="20"/>
                <w:szCs w:val="20"/>
                <w:color w:val="auto"/>
              </w:rPr>
            </w:pPr>
            <w:r>
              <w:rPr>
                <w:rFonts w:ascii="Arial" w:cs="Arial" w:eastAsia="Arial" w:hAnsi="Arial"/>
                <w:sz w:val="17"/>
                <w:szCs w:val="17"/>
                <w:b w:val="1"/>
                <w:bCs w:val="1"/>
                <w:color w:val="auto"/>
              </w:rPr>
              <w:t>NOTE 3: INVENTORIES,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5"/>
          </w:tcPr>
          <w:p>
            <w:pPr>
              <w:jc w:val="right"/>
              <w:ind w:right="96"/>
              <w:spacing w:after="0"/>
              <w:rPr>
                <w:sz w:val="20"/>
                <w:szCs w:val="20"/>
                <w:color w:val="auto"/>
              </w:rPr>
            </w:pPr>
            <w:r>
              <w:rPr>
                <w:rFonts w:ascii="Arial" w:cs="Arial" w:eastAsia="Arial" w:hAnsi="Arial"/>
                <w:sz w:val="17"/>
                <w:szCs w:val="17"/>
                <w:b w:val="1"/>
                <w:bCs w:val="1"/>
                <w:color w:val="auto"/>
              </w:rPr>
              <w:t>As of</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8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89"/>
              </w:rPr>
              <w:t>September 30,</w:t>
            </w:r>
          </w:p>
        </w:tc>
        <w:tc>
          <w:tcPr>
            <w:tcW w:w="2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780" w:type="dxa"/>
            <w:vAlign w:val="bottom"/>
          </w:tcPr>
          <w:p>
            <w:pPr>
              <w:spacing w:after="0"/>
              <w:rPr>
                <w:sz w:val="20"/>
                <w:szCs w:val="20"/>
                <w:color w:val="auto"/>
              </w:rPr>
            </w:pPr>
            <w:r>
              <w:rPr>
                <w:rFonts w:ascii="Arial" w:cs="Arial" w:eastAsia="Arial" w:hAnsi="Arial"/>
                <w:sz w:val="17"/>
                <w:szCs w:val="17"/>
                <w:color w:val="auto"/>
              </w:rPr>
              <w:t>(in millions)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223</w:t>
            </w:r>
          </w:p>
        </w:tc>
        <w:tc>
          <w:tcPr>
            <w:tcW w:w="2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204</w:t>
            </w:r>
          </w:p>
        </w:tc>
      </w:tr>
      <w:tr>
        <w:trPr>
          <w:trHeight w:val="201"/>
        </w:trPr>
        <w:tc>
          <w:tcPr>
            <w:tcW w:w="8780" w:type="dxa"/>
            <w:vAlign w:val="bottom"/>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73</w:t>
            </w:r>
          </w:p>
        </w:tc>
      </w:tr>
      <w:tr>
        <w:trPr>
          <w:trHeight w:val="231"/>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1"/>
        </w:trPr>
        <w:tc>
          <w:tcPr>
            <w:tcW w:w="8780" w:type="dxa"/>
            <w:vAlign w:val="bottom"/>
          </w:tcPr>
          <w:p>
            <w:pPr>
              <w:ind w:left="460"/>
              <w:spacing w:after="0"/>
              <w:rPr>
                <w:sz w:val="20"/>
                <w:szCs w:val="20"/>
                <w:color w:val="auto"/>
              </w:rPr>
            </w:pPr>
            <w:r>
              <w:rPr>
                <w:rFonts w:ascii="Arial" w:cs="Arial" w:eastAsia="Arial" w:hAnsi="Arial"/>
                <w:sz w:val="17"/>
                <w:szCs w:val="17"/>
                <w:color w:val="auto"/>
              </w:rPr>
              <w:t>Total</w:t>
            </w:r>
          </w:p>
        </w:tc>
        <w:tc>
          <w:tcPr>
            <w:tcW w:w="260" w:type="dxa"/>
            <w:vAlign w:val="bottom"/>
            <w:gridSpan w:val="2"/>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gridSpan w:val="2"/>
          </w:tcPr>
          <w:p>
            <w:pPr>
              <w:jc w:val="right"/>
              <w:ind w:right="9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7"/>
                <w:szCs w:val="17"/>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4: GOODWILL</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following table presents the changes in the carrying value of goodwill by reportable segment. The Enterprise Inkjet Systems and Eastman Business Park segments do not have goodwill and are therefore not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Micro 3D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Intellectual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Printing and</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w w:val="97"/>
              </w:rPr>
              <w:t>Software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Consumer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Property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7"/>
                <w:szCs w:val="17"/>
                <w:color w:val="auto"/>
              </w:rPr>
              <w:t>(in millions)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4"/>
              </w:rPr>
              <w:t>Print Systems</w:t>
            </w: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Packaging</w:t>
            </w:r>
          </w:p>
        </w:tc>
        <w:tc>
          <w:tcPr>
            <w:tcW w:w="1060" w:type="dxa"/>
            <w:vAlign w:val="bottom"/>
          </w:tcPr>
          <w:p>
            <w:pPr>
              <w:jc w:val="right"/>
              <w:ind w:right="76"/>
              <w:spacing w:after="0"/>
              <w:rPr>
                <w:sz w:val="20"/>
                <w:szCs w:val="20"/>
                <w:color w:val="auto"/>
              </w:rPr>
            </w:pPr>
            <w:r>
              <w:rPr>
                <w:rFonts w:ascii="Arial" w:cs="Arial" w:eastAsia="Arial" w:hAnsi="Arial"/>
                <w:sz w:val="17"/>
                <w:szCs w:val="17"/>
                <w:b w:val="1"/>
                <w:bCs w:val="1"/>
                <w:color w:val="auto"/>
              </w:rPr>
              <w:t>Solutions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Film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5"/>
              </w:rPr>
              <w:t>Solutions</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1"/>
        </w:trPr>
        <w:tc>
          <w:tcPr>
            <w:tcW w:w="2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January 1, 2015: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6</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r>
      <w:tr>
        <w:trPr>
          <w:trHeight w:val="201"/>
        </w:trPr>
        <w:tc>
          <w:tcPr>
            <w:tcW w:w="2880" w:type="dxa"/>
            <w:vAlign w:val="bottom"/>
          </w:tcPr>
          <w:p>
            <w:pPr>
              <w:spacing w:after="0"/>
              <w:rPr>
                <w:sz w:val="20"/>
                <w:szCs w:val="20"/>
                <w:color w:val="auto"/>
              </w:rPr>
            </w:pPr>
            <w:r>
              <w:rPr>
                <w:rFonts w:ascii="Arial" w:cs="Arial" w:eastAsia="Arial" w:hAnsi="Arial"/>
                <w:sz w:val="17"/>
                <w:szCs w:val="17"/>
                <w:color w:val="auto"/>
              </w:rPr>
              <w:t>Impairment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06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5"/>
        </w:trPr>
        <w:tc>
          <w:tcPr>
            <w:tcW w:w="2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2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September 30, 2015: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6</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r>
      <w:tr>
        <w:trPr>
          <w:trHeight w:val="20"/>
        </w:trPr>
        <w:tc>
          <w:tcPr>
            <w:tcW w:w="2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As a result of the change in segments that became effective as of January 1, 2015, Kodak’s goodwill reporting units changed. Refer to Note 14, “Segment Information” for additional information on the change to Kodak’s organizational structure. The Print Systems segment has two goodwill reporting units: Prepress Solutions and Electrophotographic Printing Solutions. The Micro 3D Printing and Packaging segment has two goodwill reporting units: Packaging and Functional Printing. The Software and Solutions segment has two goodwill reporting units: Kodak Technology Solutions and Unified Workflow Solutions. The Consumer and Film segment has three goodwill reporting units: Consumer Inkjet Solutions, Entertainment Imaging and Commercial Films and Brand Licensing. The Enterprise Inkjet Systems segment has two goodwill reporting units: Commercial Inkjet Printing Solutions and Digital Front-End Controllers. The Intellectual Property Solutions segment and the Eastman Business Park segment each have one goodwill reporting unit.</w:t>
      </w:r>
    </w:p>
    <w:p>
      <w:pPr>
        <w:spacing w:after="0" w:line="196"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As of December 31, 2014, the goodwill balance of $96 million under the prior year segment reporting structure was comprised of $67 million for the Graphics, Entertainment and Commercial Films segment and $29 million for the Digital Printing and Enterprise segment. The goodwill in the Graphics, Entertainment and Commercial Films segment was reported in the Graphics and Intellectual Property and Brand Licensing reporting units. The goodwill in the Digital Printing and Enterprise segment was reported in the Packaging and Functional Printing and Consumer Inkjet Systems reporting units.</w:t>
      </w:r>
    </w:p>
    <w:p>
      <w:pPr>
        <w:spacing w:after="0" w:line="18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Goodwill previously reported in the Graphics goodwill reporting unit was transferred to the Prepress Solutions goodwill reporting unit and the Unified Workflow Solutions goodwill reporting unit. The goodwill previously reported in the Packaging and Functional Printing goodwill reporting unit was transferred to the Packaging goodwill reporting unit and the Functional Printing goodwill reporting unit. The goodwill previously reported in the Intellectual Property and Brand Licensing goodwill reporting unit was transferred to the Intellectual Property Solutions goodwill reporting unit and the Brand Licensing goodwill reporting unit. Goodwill was reassigned to affected reporting units using a relative fair value allocation.</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Due to the change in Kodak’s reporting units and the delay in commercializing new technologies in the Functional Printing reporting unit, Kodak concluded that the carrying value of the Functional Printing reporting unit exceeded its implied fair value. The fair value of the Functional Printing reporting unit was estimated using the discounted cash flow method in which the future cash flows, including a terminal value at the end of the projection period, were discounted to present value. Kodak recorded a pre-tax impairment charge of $6 million in the first quarter of 2015 that is included in Other operating (income) expense, net in the Consolidated Statement of Operations representing the entire amount of goodwill for this reporting unit.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5: COMMITMENTS AND CONTINGENCIES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w:t>
      </w:r>
    </w:p>
    <w:p>
      <w:pPr>
        <w:spacing w:after="0" w:line="23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Company provided an indemnity as part of the 1994 sale of Sterling Corporation (now “STWB”), which covered a number of environmental sites including the Lower Passaic River Study Area (“LPRSA”) portion of the Diamond Alkali Superfund Site. STWB, now owned by Bayer Corporation, is a potentially responsible party at the LPRSA site based on alleged releases from facilities formerly owned by subsidiaries of Sterling. On February 29, 2012, the Company notified STWB and Bayer that, under the voluntary petition for bankruptcy by the Company and its U.S. subsidiaries, it elected to discontinue funding and participation in remedial investigations of the LPRSA. STWB and its parent, Bayer, filed proofs of claim against the Company and its U.S. subsidiaries. These claims have been discharged pursuant to the First Amended Joint Chapter 11 Plan of Reorganization. Environmental matters at three sites owned by the Company and one site for which the Company was not the owner but was responsible for the remediation were not resolved by the discharge. On March 17, 2015, the Company entered into an agreement with STWB related to these four sites. The agreement calls for the Company to retain ownership and environmental responsibility of one of the sites. Ownership and environmental responsibility for one site and environmental responsibility for the unowned site transferred to STWB in the second quarter of 2015. Ownership of the remaining site is expected to pass to an unrelated party by 2018 at which point the Company’s environmental responsibility will pass to STWB. If the ownership for the fourth site does not transfer to that unrelated party prior to January 1, 2020, the Company and STWB will share approximately equally in the ongoing costs of the site. As a result of this agreement, the Company reduced its environmental liabilities by approximately $5 million and recognized a gain in the first quarter of 2015 of the same amount.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 and Contingencies</w:t>
      </w:r>
    </w:p>
    <w:p>
      <w:pPr>
        <w:spacing w:after="0" w:line="23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As of September 30, 2015, the Company had outstanding letters of credit of $118 million issued under the Asset Based Revolving Credit Agreement (the “ABL Credit Agreement”), as well as bank guarantees and letters of credit of $5 million, surety bonds in the amount of $18 million, and restricted cash and deposits of $53 million, primarily to ensure the payment of possible casualty and workers’ compensation claims, environmental liabilities, legal contingencies, rental payments and to support various customs, tax and trade activities. The restricted cash and deposits are reflected in Restricted cash, Other current assets and Other long-term assets in the Consolidated Statement of Financial Position.</w:t>
      </w:r>
    </w:p>
    <w:p>
      <w:pPr>
        <w:spacing w:after="0" w:line="206"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2015, the unreserved portion of these contingencies, inclusive of any related interest and penalties, for which there was at least a reasonable possibility that a loss may be incurred, amounted to approximately $43 million.</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September 30, 2015, Kodak has posted security composed of $5 million of pledged cash reported within Restricted cash in the Consolidated Statement of Financial Position and liens on certain Brazilian assets with a net book value of approximately $58 million. Generally, any encumbrances on the Brazilian assets would be removed to the extent the matter is resolved in Kodak's favor.</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6: GUARANTEES</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$19 million and the outstanding amount for those guarantees is $7 million.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settlement of certain of the Company’s historical environmental liabilities at Eastman Business Park, in the event the historical liabilities exceed</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$99 million, the Company will become liable for 50% of the portion above $99 million with no limitation to the maximum potential future payments. There is no liability recorded for this guarantee.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Costs</w:t>
      </w:r>
    </w:p>
    <w:p>
      <w:pPr>
        <w:spacing w:after="0" w:line="236"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color w:val="auto"/>
        </w:rPr>
        <w:t>Kodak has warranty obligations in connection with the sale of its products and equipment. The original warranty period is generally three months or less. In limited cases it may be longer but never exceeding one year. The costs incurred to provide for these warranty obligations are estimated and recorded as an accrued liability at the time of sale. Kodak estimates its warranty cost at the point of sale for a given product based on historical failure rates and related costs to repair.</w:t>
      </w:r>
    </w:p>
    <w:p>
      <w:pPr>
        <w:spacing w:after="0" w:line="166"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The change in Kodak’s accrued warranty obligations balance, which is reflected in Other current liabilities in the accompanying Consolidated Statement of Financial Position,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80" w:type="dxa"/>
            <w:vAlign w:val="bottom"/>
          </w:tcPr>
          <w:p>
            <w:pPr>
              <w:spacing w:after="0"/>
              <w:rPr>
                <w:sz w:val="20"/>
                <w:szCs w:val="20"/>
                <w:color w:val="auto"/>
              </w:rPr>
            </w:pPr>
            <w:r>
              <w:rPr>
                <w:rFonts w:ascii="Arial" w:cs="Arial" w:eastAsia="Arial" w:hAnsi="Arial"/>
                <w:sz w:val="17"/>
                <w:szCs w:val="17"/>
                <w:color w:val="auto"/>
              </w:rPr>
              <w:t>(in millions)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0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 obligations as of December 31, 2014</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Actual warranty experience during 2015</w:t>
            </w:r>
          </w:p>
        </w:tc>
        <w:tc>
          <w:tcPr>
            <w:tcW w:w="5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06"/>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2015 warranty provisions</w:t>
            </w:r>
          </w:p>
        </w:tc>
        <w:tc>
          <w:tcPr>
            <w:tcW w:w="5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Accrued warranty obligations as of September 30, 2015</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
        </w:trPr>
        <w:tc>
          <w:tcPr>
            <w:tcW w:w="10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10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Kodak also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2014 to September 30, 2015, which is reflected in Other current liabilities in the accompanying Consolidated Statement of Financial Position,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(in millions)</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Deferred revenue on extended warranties as of December 31, 2014</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w:t>
            </w:r>
          </w:p>
        </w:tc>
        <w:tc>
          <w:tcPr>
            <w:tcW w:w="60" w:type="dxa"/>
            <w:vAlign w:val="bottom"/>
          </w:tcPr>
          <w:p>
            <w:pPr>
              <w:spacing w:after="0"/>
              <w:rPr>
                <w:sz w:val="17"/>
                <w:szCs w:val="17"/>
                <w:color w:val="auto"/>
              </w:rPr>
            </w:pP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New extended warranty and maintenance arrangements in 2015</w:t>
            </w: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17"/>
                <w:szCs w:val="17"/>
                <w:color w:val="auto"/>
              </w:rPr>
            </w:pPr>
          </w:p>
        </w:tc>
      </w:tr>
      <w:tr>
        <w:trPr>
          <w:trHeight w:val="219"/>
        </w:trPr>
        <w:tc>
          <w:tcPr>
            <w:tcW w:w="10180" w:type="dxa"/>
            <w:vAlign w:val="bottom"/>
          </w:tcPr>
          <w:p>
            <w:pPr>
              <w:spacing w:after="0"/>
              <w:rPr>
                <w:sz w:val="20"/>
                <w:szCs w:val="20"/>
                <w:color w:val="auto"/>
              </w:rPr>
            </w:pPr>
            <w:r>
              <w:rPr>
                <w:rFonts w:ascii="Arial" w:cs="Arial" w:eastAsia="Arial" w:hAnsi="Arial"/>
                <w:sz w:val="17"/>
                <w:szCs w:val="17"/>
                <w:color w:val="auto"/>
              </w:rPr>
              <w:t>Recognition of extended warranty and maintenance arrangement revenue in 2015</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(141)</w:t>
            </w: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Deferred revenue on extended warranties as of September 30, 2015</w:t>
            </w: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7"/>
                <w:szCs w:val="17"/>
                <w:color w:val="auto"/>
              </w:rPr>
            </w:pPr>
          </w:p>
        </w:tc>
      </w:tr>
      <w:tr>
        <w:trPr>
          <w:trHeight w:val="20"/>
        </w:trPr>
        <w:tc>
          <w:tcPr>
            <w:tcW w:w="10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7"/>
        </w:trPr>
        <w:tc>
          <w:tcPr>
            <w:tcW w:w="5260" w:type="dxa"/>
            <w:vAlign w:val="bottom"/>
          </w:tcPr>
          <w:p>
            <w:pPr>
              <w:ind w:left="40"/>
              <w:spacing w:after="0"/>
              <w:rPr>
                <w:sz w:val="20"/>
                <w:szCs w:val="20"/>
                <w:color w:val="auto"/>
              </w:rPr>
            </w:pPr>
            <w:r>
              <w:rPr>
                <w:rFonts w:ascii="Arial" w:cs="Arial" w:eastAsia="Arial" w:hAnsi="Arial"/>
                <w:sz w:val="17"/>
                <w:szCs w:val="17"/>
                <w:b w:val="1"/>
                <w:bCs w:val="1"/>
                <w:color w:val="auto"/>
              </w:rPr>
              <w:t>NOTE 7: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27"/>
        </w:trPr>
        <w:tc>
          <w:tcPr>
            <w:tcW w:w="5260" w:type="dxa"/>
            <w:vAlign w:val="bottom"/>
          </w:tcPr>
          <w:p>
            <w:pPr>
              <w:spacing w:after="0"/>
              <w:rPr>
                <w:sz w:val="20"/>
                <w:szCs w:val="20"/>
                <w:color w:val="auto"/>
              </w:rPr>
            </w:pPr>
            <w:r>
              <w:rPr>
                <w:rFonts w:ascii="Arial" w:cs="Arial" w:eastAsia="Arial" w:hAnsi="Arial"/>
                <w:sz w:val="17"/>
                <w:szCs w:val="17"/>
                <w:color w:val="auto"/>
              </w:rPr>
              <w:t>Kodak’s income tax provision and effective tax rate were as follows: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1"/>
        </w:trPr>
        <w:tc>
          <w:tcPr>
            <w:tcW w:w="5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Nine Months Ended</w:t>
            </w:r>
          </w:p>
        </w:tc>
      </w:tr>
      <w:tr>
        <w:trPr>
          <w:trHeight w:val="201"/>
        </w:trPr>
        <w:tc>
          <w:tcPr>
            <w:tcW w:w="5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7"/>
                <w:szCs w:val="17"/>
                <w:color w:val="auto"/>
              </w:rPr>
              <w:t>(in millions)</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2014</w:t>
            </w:r>
          </w:p>
        </w:tc>
        <w:tc>
          <w:tcPr>
            <w:tcW w:w="200" w:type="dxa"/>
            <w:vAlign w:val="bottom"/>
          </w:tcPr>
          <w:p>
            <w:pPr>
              <w:spacing w:after="0"/>
              <w:rPr>
                <w:sz w:val="19"/>
                <w:szCs w:val="19"/>
                <w:color w:val="auto"/>
              </w:rPr>
            </w:pPr>
          </w:p>
        </w:tc>
      </w:t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from continuing operations before income taxes</w:t>
            </w:r>
          </w:p>
        </w:tc>
        <w:tc>
          <w:tcPr>
            <w:tcW w:w="8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w:t>
            </w:r>
          </w:p>
        </w:tc>
      </w:tr>
      <w:tr>
        <w:trPr>
          <w:trHeight w:val="201"/>
        </w:trPr>
        <w:tc>
          <w:tcPr>
            <w:tcW w:w="5260" w:type="dxa"/>
            <w:vAlign w:val="bottom"/>
          </w:tcPr>
          <w:p>
            <w:pPr>
              <w:spacing w:after="0"/>
              <w:rPr>
                <w:sz w:val="20"/>
                <w:szCs w:val="20"/>
                <w:color w:val="auto"/>
              </w:rPr>
            </w:pPr>
            <w:r>
              <w:rPr>
                <w:rFonts w:ascii="Arial" w:cs="Arial" w:eastAsia="Arial" w:hAnsi="Arial"/>
                <w:sz w:val="17"/>
                <w:szCs w:val="17"/>
                <w:color w:val="auto"/>
              </w:rPr>
              <w:t>Effective tax rate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750.0%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24.4%</w:t>
            </w:r>
          </w:p>
        </w:tc>
        <w:tc>
          <w:tcPr>
            <w:tcW w:w="24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(45.2)%</w:t>
            </w:r>
          </w:p>
        </w:tc>
        <w:tc>
          <w:tcPr>
            <w:tcW w:w="3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(15.5)%</w:t>
            </w:r>
          </w:p>
        </w:tc>
      </w:tr>
      <w:tr>
        <w:trPr>
          <w:trHeight w:val="25"/>
        </w:trPr>
        <w:tc>
          <w:tcPr>
            <w:tcW w:w="5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3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r>
      <w:tr>
        <w:trPr>
          <w:trHeight w:val="201"/>
        </w:trPr>
        <w:tc>
          <w:tcPr>
            <w:tcW w:w="5260" w:type="dxa"/>
            <w:vAlign w:val="bottom"/>
          </w:tcPr>
          <w:p>
            <w:pPr>
              <w:spacing w:after="0"/>
              <w:rPr>
                <w:sz w:val="20"/>
                <w:szCs w:val="20"/>
                <w:color w:val="auto"/>
              </w:rPr>
            </w:pPr>
            <w:r>
              <w:rPr>
                <w:rFonts w:ascii="Arial" w:cs="Arial" w:eastAsia="Arial" w:hAnsi="Arial"/>
                <w:sz w:val="17"/>
                <w:szCs w:val="17"/>
                <w:color w:val="auto"/>
              </w:rPr>
              <w:t>Provision (benefit) for income taxes @ 35%</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3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r>
      <w:tr>
        <w:trPr>
          <w:trHeight w:val="25"/>
        </w:trPr>
        <w:tc>
          <w:tcPr>
            <w:tcW w:w="5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Difference between tax at effective vs. statutory rate</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30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difference between the Company’s recorded provision and the provision that would result from applying the U.S. statutory rate of 35.0% for the three month period ended September 30, 2015 is primarily attributable to: (1) losses generated within the U.S. and certain jurisdictions outside the U.S. for which no benefit was recognized due to management’s conclusion that it was more likely than not that the tax benefits would not be realized, (2) the mix of earnings from operations in certain lower-taxed jurisdictions outside the U.S., and (3) a provision associated with foreign withholding taxes on undistributed earnings.</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difference between the Company’s recorded provision and the benefit that would result from applying the U.S. statutory rate of 35.0% for the nine month period ended September 30, 2015 is primarily attributable to: (1) losses generated within the U.S. and certain jurisdictions outside the U.S. for which no benefit was recognized due to management’s conclusion that it was more likely than not that the tax benefits would not be realized, (2) the mix of earnings from operations in certain lower-taxed jurisdictions outside the U.S., (3) a provision associated with foreign withholding taxes on undistributed earnings.</w:t>
      </w:r>
    </w:p>
    <w:p>
      <w:pPr>
        <w:spacing w:after="0" w:line="188"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For the three months ended September 30, 2014, the difference between the Company’s recorded provision and the provision that would result from applying the U.S. statutory rate of 35.0% is primarily attributable to: (1) income generated within the U.S. for which no provision was recognized, offset by losses in certain jurisdictions outside the U.S. for which no benefit was recognized due to management’s conclusion that it was more likely than not that the tax benefits would not be realized, (2) a benefit associated with foreign withholding taxes on undistributed earnings, and (3) changes in audit reserves.</w:t>
      </w:r>
    </w:p>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For the nine months ended September 30, 2014, the difference between the Company’s recorded provision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a benefit as a result of Kodak reaching a settlement with a taxing authority in a location outside the U.S. related to withholding taxes, (3) a benefit associated with foreign withholding taxes on undistributed earnings, and (4) changes in audit reserves.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NOTE 8: RESTRUCTURING LIABILITIES</w:t>
      </w:r>
    </w:p>
    <w:p>
      <w:pPr>
        <w:spacing w:after="0" w:line="236"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2015 were initiated to reduce Kodak’s cost structure as part of its commitment to drive sustainable profitability and included continued progress toward the Leeds plate manufacturing facility exit, as well as various targeted reductions in service, sales, research and development and other administrative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236" w:lineRule="exact"/>
        <w:rPr>
          <w:sz w:val="20"/>
          <w:szCs w:val="20"/>
          <w:color w:val="auto"/>
        </w:rPr>
      </w:pPr>
    </w:p>
    <w:p>
      <w:pPr>
        <w:jc w:val="both"/>
        <w:ind w:right="120"/>
        <w:spacing w:after="0" w:line="254" w:lineRule="auto"/>
        <w:rPr>
          <w:sz w:val="20"/>
          <w:szCs w:val="20"/>
          <w:color w:val="auto"/>
        </w:rPr>
      </w:pPr>
      <w:r>
        <w:rPr>
          <w:rFonts w:ascii="Arial" w:cs="Arial" w:eastAsia="Arial" w:hAnsi="Arial"/>
          <w:sz w:val="17"/>
          <w:szCs w:val="17"/>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phased out production at the site through the third quarter of 2015, and expects to complete the exit of the facility by the second quarter of 2016.</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As a result of the decision, Kodak currently expects to incur total charges of $20 to $30 million, including approximately $10 million of charges related to separation benefits, $10 to $15 million of non-cash related charges for accelerated depreciation and asset write-offs and $2 to $5 million in other cash related charges associated with this action.</w:t>
      </w:r>
    </w:p>
    <w:p>
      <w:pPr>
        <w:spacing w:after="0" w:line="177" w:lineRule="exact"/>
        <w:rPr>
          <w:sz w:val="20"/>
          <w:szCs w:val="20"/>
          <w:color w:val="auto"/>
        </w:rPr>
      </w:pPr>
    </w:p>
    <w:p>
      <w:pPr>
        <w:ind w:right="360"/>
        <w:spacing w:after="0" w:line="336" w:lineRule="auto"/>
        <w:rPr>
          <w:sz w:val="20"/>
          <w:szCs w:val="20"/>
          <w:color w:val="auto"/>
        </w:rPr>
      </w:pPr>
      <w:r>
        <w:rPr>
          <w:rFonts w:ascii="Arial" w:cs="Arial" w:eastAsia="Arial" w:hAnsi="Arial"/>
          <w:sz w:val="15"/>
          <w:szCs w:val="15"/>
          <w:color w:val="auto"/>
        </w:rPr>
        <w:t>Kodak incurred severance charges of $1 million and $7 million and accelerated depreciation charges of $1 million and $6 million in the three and nine months ended September 30, 2015, respectively, and other exit costs of $1 million in both the three and nine months ended September 30, 2015 under this program.</w:t>
      </w:r>
    </w:p>
    <w:p>
      <w:pPr>
        <w:spacing w:after="0" w:line="14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On a cumulative basis as of September 30, 2015, Kodak has recorded severance charges of $10 million, long-lived asset impairment charges of $2 million, accelerated depreciation charges of $8 million, and other exit costs of $1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Reserve Activity</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three and nine months ended September 30, 2015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Long-lived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left="81"/>
              <w:spacing w:after="0"/>
              <w:rPr>
                <w:sz w:val="20"/>
                <w:szCs w:val="20"/>
                <w:color w:val="auto"/>
              </w:rPr>
            </w:pPr>
            <w:r>
              <w:rPr>
                <w:rFonts w:ascii="Arial" w:cs="Arial" w:eastAsia="Arial" w:hAnsi="Arial"/>
                <w:sz w:val="17"/>
                <w:szCs w:val="17"/>
                <w:b w:val="1"/>
                <w:bCs w:val="1"/>
                <w:color w:val="auto"/>
                <w:w w:val="89"/>
              </w:rPr>
              <w:t>Exit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4"/>
          </w:tcPr>
          <w:p>
            <w:pPr>
              <w:ind w:left="80"/>
              <w:spacing w:after="0"/>
              <w:rPr>
                <w:sz w:val="20"/>
                <w:szCs w:val="20"/>
                <w:color w:val="auto"/>
              </w:rPr>
            </w:pPr>
            <w:r>
              <w:rPr>
                <w:rFonts w:ascii="Arial" w:cs="Arial" w:eastAsia="Arial" w:hAnsi="Arial"/>
                <w:sz w:val="17"/>
                <w:szCs w:val="17"/>
                <w:b w:val="1"/>
                <w:bCs w:val="1"/>
                <w:color w:val="auto"/>
                <w:w w:val="97"/>
              </w:rPr>
              <w:t>Asset Impairments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Severance</w:t>
            </w:r>
          </w:p>
        </w:tc>
        <w:tc>
          <w:tcPr>
            <w:tcW w:w="80" w:type="dxa"/>
            <w:vAlign w:val="bottom"/>
          </w:tcPr>
          <w:p>
            <w:pPr>
              <w:spacing w:after="0"/>
              <w:rPr>
                <w:sz w:val="17"/>
                <w:szCs w:val="17"/>
                <w:color w:val="auto"/>
              </w:rPr>
            </w:pPr>
          </w:p>
        </w:tc>
        <w:tc>
          <w:tcPr>
            <w:tcW w:w="960" w:type="dxa"/>
            <w:vAlign w:val="bottom"/>
          </w:tcPr>
          <w:p>
            <w:pPr>
              <w:jc w:val="center"/>
              <w:ind w:left="81"/>
              <w:spacing w:after="0"/>
              <w:rPr>
                <w:sz w:val="20"/>
                <w:szCs w:val="20"/>
                <w:color w:val="auto"/>
              </w:rPr>
            </w:pPr>
            <w:r>
              <w:rPr>
                <w:rFonts w:ascii="Arial" w:cs="Arial" w:eastAsia="Arial" w:hAnsi="Arial"/>
                <w:sz w:val="17"/>
                <w:szCs w:val="17"/>
                <w:b w:val="1"/>
                <w:bCs w:val="1"/>
                <w:color w:val="auto"/>
                <w:w w:val="84"/>
              </w:rPr>
              <w:t>Costs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and Inventory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87"/>
              </w:rPr>
              <w:t>Accelerated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66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1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6"/>
              <w:spacing w:after="0" w:line="218" w:lineRule="exact"/>
              <w:rPr>
                <w:sz w:val="20"/>
                <w:szCs w:val="20"/>
                <w:color w:val="auto"/>
              </w:rPr>
            </w:pPr>
            <w:r>
              <w:rPr>
                <w:rFonts w:ascii="Arial" w:cs="Arial" w:eastAsia="Arial" w:hAnsi="Arial"/>
                <w:sz w:val="17"/>
                <w:szCs w:val="17"/>
                <w:b w:val="1"/>
                <w:bCs w:val="1"/>
                <w:color w:val="auto"/>
                <w:w w:val="86"/>
              </w:rPr>
              <w:t xml:space="preserve">Reserve </w:t>
            </w:r>
            <w:r>
              <w:rPr>
                <w:rFonts w:ascii="Arial" w:cs="Arial" w:eastAsia="Arial" w:hAnsi="Arial"/>
                <w:sz w:val="23"/>
                <w:szCs w:val="23"/>
                <w:b w:val="1"/>
                <w:bCs w:val="1"/>
                <w:color w:val="auto"/>
                <w:w w:val="86"/>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ind w:left="81"/>
              <w:spacing w:after="0" w:line="218" w:lineRule="exact"/>
              <w:rPr>
                <w:sz w:val="20"/>
                <w:szCs w:val="20"/>
                <w:color w:val="auto"/>
              </w:rPr>
            </w:pPr>
            <w:r>
              <w:rPr>
                <w:rFonts w:ascii="Arial" w:cs="Arial" w:eastAsia="Arial" w:hAnsi="Arial"/>
                <w:sz w:val="17"/>
                <w:szCs w:val="17"/>
                <w:b w:val="1"/>
                <w:bCs w:val="1"/>
                <w:color w:val="auto"/>
                <w:w w:val="84"/>
              </w:rPr>
              <w:t xml:space="preserve">Reserve </w:t>
            </w:r>
            <w:r>
              <w:rPr>
                <w:rFonts w:ascii="Arial" w:cs="Arial" w:eastAsia="Arial" w:hAnsi="Arial"/>
                <w:sz w:val="23"/>
                <w:szCs w:val="23"/>
                <w:b w:val="1"/>
                <w:bCs w:val="1"/>
                <w:color w:val="auto"/>
                <w:w w:val="84"/>
                <w:vertAlign w:val="superscript"/>
              </w:rPr>
              <w:t>(1)</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6"/>
              <w:spacing w:after="0" w:line="218" w:lineRule="exact"/>
              <w:rPr>
                <w:sz w:val="20"/>
                <w:szCs w:val="20"/>
                <w:color w:val="auto"/>
              </w:rPr>
            </w:pPr>
            <w:r>
              <w:rPr>
                <w:rFonts w:ascii="Arial" w:cs="Arial" w:eastAsia="Arial" w:hAnsi="Arial"/>
                <w:sz w:val="17"/>
                <w:szCs w:val="17"/>
                <w:b w:val="1"/>
                <w:bCs w:val="1"/>
                <w:color w:val="auto"/>
                <w:w w:val="89"/>
              </w:rPr>
              <w:t xml:space="preserve">Write-downs </w:t>
            </w:r>
            <w:r>
              <w:rPr>
                <w:rFonts w:ascii="Arial" w:cs="Arial" w:eastAsia="Arial" w:hAnsi="Arial"/>
                <w:sz w:val="23"/>
                <w:szCs w:val="23"/>
                <w:b w:val="1"/>
                <w:bCs w:val="1"/>
                <w:color w:val="auto"/>
                <w:w w:val="89"/>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line="218" w:lineRule="exact"/>
              <w:rPr>
                <w:sz w:val="20"/>
                <w:szCs w:val="20"/>
                <w:color w:val="auto"/>
              </w:rPr>
            </w:pPr>
            <w:r>
              <w:rPr>
                <w:rFonts w:ascii="Arial" w:cs="Arial" w:eastAsia="Arial" w:hAnsi="Arial"/>
                <w:sz w:val="17"/>
                <w:szCs w:val="17"/>
                <w:b w:val="1"/>
                <w:bCs w:val="1"/>
                <w:color w:val="auto"/>
                <w:w w:val="85"/>
              </w:rPr>
              <w:t xml:space="preserve">Depreciation </w:t>
            </w:r>
            <w:r>
              <w:rPr>
                <w:rFonts w:ascii="Arial" w:cs="Arial" w:eastAsia="Arial" w:hAnsi="Arial"/>
                <w:sz w:val="23"/>
                <w:szCs w:val="23"/>
                <w:b w:val="1"/>
                <w:bCs w:val="1"/>
                <w:color w:val="auto"/>
                <w:w w:val="85"/>
                <w:vertAlign w:val="superscript"/>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1"/>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2014</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1040" w:type="dxa"/>
            <w:vAlign w:val="bottom"/>
            <w:gridSpan w:val="2"/>
            <w:shd w:val="clear" w:color="auto" w:fill="CCEEFF"/>
          </w:tcPr>
          <w:p>
            <w:pPr>
              <w:jc w:val="right"/>
              <w:ind w:right="801"/>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r>
      <w:tr>
        <w:trPr>
          <w:trHeight w:val="201"/>
        </w:trPr>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87"/>
              </w:rPr>
              <w:t>Q1</w:t>
            </w:r>
          </w:p>
        </w:tc>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2015 charges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r>
      <w:tr>
        <w:trPr>
          <w:trHeight w:val="201"/>
        </w:trPr>
        <w:tc>
          <w:tcPr>
            <w:tcW w:w="2660" w:type="dxa"/>
            <w:vAlign w:val="bottom"/>
            <w:gridSpan w:val="2"/>
          </w:tcPr>
          <w:p>
            <w:pPr>
              <w:spacing w:after="0"/>
              <w:rPr>
                <w:sz w:val="20"/>
                <w:szCs w:val="20"/>
                <w:color w:val="auto"/>
              </w:rPr>
            </w:pPr>
            <w:r>
              <w:rPr>
                <w:rFonts w:ascii="Arial" w:cs="Arial" w:eastAsia="Arial" w:hAnsi="Arial"/>
                <w:sz w:val="17"/>
                <w:szCs w:val="17"/>
                <w:color w:val="auto"/>
              </w:rPr>
              <w:t>Q1 utilization/cash payments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87"/>
              </w:rPr>
              <w:t>Q1</w:t>
            </w:r>
          </w:p>
        </w:tc>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2015 other adjustments &amp; reclasses</w:t>
            </w:r>
          </w:p>
        </w:tc>
        <w:tc>
          <w:tcPr>
            <w:tcW w:w="1900" w:type="dxa"/>
            <w:vAlign w:val="bottom"/>
            <w:shd w:val="clear" w:color="auto" w:fill="CCEEFF"/>
          </w:tcPr>
          <w:p>
            <w:pPr>
              <w:jc w:val="right"/>
              <w:ind w:right="1661"/>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r>
      <w:tr>
        <w:trPr>
          <w:trHeight w:val="25"/>
        </w:trPr>
        <w:tc>
          <w:tcPr>
            <w:tcW w:w="2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2660" w:type="dxa"/>
            <w:vAlign w:val="bottom"/>
            <w:gridSpan w:val="2"/>
          </w:tcPr>
          <w:p>
            <w:pPr>
              <w:spacing w:after="0"/>
              <w:rPr>
                <w:sz w:val="20"/>
                <w:szCs w:val="20"/>
                <w:color w:val="auto"/>
              </w:rPr>
            </w:pPr>
            <w:r>
              <w:rPr>
                <w:rFonts w:ascii="Arial" w:cs="Arial" w:eastAsia="Arial" w:hAnsi="Arial"/>
                <w:sz w:val="17"/>
                <w:szCs w:val="17"/>
                <w:color w:val="auto"/>
              </w:rPr>
              <w:t>Balance as of March 31, 2015</w:t>
            </w:r>
          </w:p>
        </w:tc>
        <w:tc>
          <w:tcPr>
            <w:tcW w:w="19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20" w:type="dxa"/>
            <w:vAlign w:val="bottom"/>
          </w:tcPr>
          <w:p>
            <w:pPr>
              <w:spacing w:after="0"/>
              <w:rPr>
                <w:sz w:val="20"/>
                <w:szCs w:val="20"/>
                <w:color w:val="auto"/>
              </w:rPr>
            </w:pPr>
            <w:r>
              <w:rPr>
                <w:rFonts w:ascii="Arial" w:cs="Arial" w:eastAsia="Arial" w:hAnsi="Arial"/>
                <w:sz w:val="17"/>
                <w:szCs w:val="17"/>
                <w:color w:val="auto"/>
                <w:w w:val="87"/>
              </w:rPr>
              <w:t>Q2</w:t>
            </w:r>
          </w:p>
        </w:tc>
        <w:tc>
          <w:tcPr>
            <w:tcW w:w="2440" w:type="dxa"/>
            <w:vAlign w:val="bottom"/>
          </w:tcPr>
          <w:p>
            <w:pPr>
              <w:ind w:left="20"/>
              <w:spacing w:after="0"/>
              <w:rPr>
                <w:sz w:val="20"/>
                <w:szCs w:val="20"/>
                <w:color w:val="auto"/>
              </w:rPr>
            </w:pPr>
            <w:r>
              <w:rPr>
                <w:rFonts w:ascii="Arial" w:cs="Arial" w:eastAsia="Arial" w:hAnsi="Arial"/>
                <w:sz w:val="17"/>
                <w:szCs w:val="17"/>
                <w:color w:val="auto"/>
              </w:rPr>
              <w:t>2015 charges</w:t>
            </w:r>
          </w:p>
        </w:tc>
        <w:tc>
          <w:tcPr>
            <w:tcW w:w="19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040" w:type="dxa"/>
            <w:vAlign w:val="bottom"/>
            <w:gridSpan w:val="2"/>
          </w:tcPr>
          <w:p>
            <w:pPr>
              <w:jc w:val="right"/>
              <w:ind w:right="801"/>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01"/>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Q2 utilization/cash payments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r>
      <w:tr>
        <w:trPr>
          <w:trHeight w:val="201"/>
        </w:trPr>
        <w:tc>
          <w:tcPr>
            <w:tcW w:w="220" w:type="dxa"/>
            <w:vAlign w:val="bottom"/>
          </w:tcPr>
          <w:p>
            <w:pPr>
              <w:spacing w:after="0"/>
              <w:rPr>
                <w:sz w:val="20"/>
                <w:szCs w:val="20"/>
                <w:color w:val="auto"/>
              </w:rPr>
            </w:pPr>
            <w:r>
              <w:rPr>
                <w:rFonts w:ascii="Arial" w:cs="Arial" w:eastAsia="Arial" w:hAnsi="Arial"/>
                <w:sz w:val="17"/>
                <w:szCs w:val="17"/>
                <w:color w:val="auto"/>
                <w:w w:val="87"/>
              </w:rPr>
              <w:t>Q2</w:t>
            </w:r>
          </w:p>
        </w:tc>
        <w:tc>
          <w:tcPr>
            <w:tcW w:w="2440" w:type="dxa"/>
            <w:vAlign w:val="bottom"/>
          </w:tcPr>
          <w:p>
            <w:pPr>
              <w:ind w:left="20"/>
              <w:spacing w:after="0"/>
              <w:rPr>
                <w:sz w:val="20"/>
                <w:szCs w:val="20"/>
                <w:color w:val="auto"/>
              </w:rPr>
            </w:pPr>
            <w:r>
              <w:rPr>
                <w:rFonts w:ascii="Arial" w:cs="Arial" w:eastAsia="Arial" w:hAnsi="Arial"/>
                <w:sz w:val="17"/>
                <w:szCs w:val="17"/>
                <w:color w:val="auto"/>
                <w:w w:val="88"/>
              </w:rPr>
              <w:t>2015 other adjustments &amp; reclasses</w:t>
            </w:r>
          </w:p>
        </w:tc>
        <w:tc>
          <w:tcPr>
            <w:tcW w:w="1900" w:type="dxa"/>
            <w:vAlign w:val="bottom"/>
          </w:tcPr>
          <w:p>
            <w:pPr>
              <w:jc w:val="right"/>
              <w:ind w:right="1661"/>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5"/>
        </w:trPr>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June 30, 2015</w:t>
            </w:r>
          </w:p>
        </w:tc>
        <w:tc>
          <w:tcPr>
            <w:tcW w:w="19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r>
      <w:tr>
        <w:trPr>
          <w:trHeight w:val="191"/>
        </w:trPr>
        <w:tc>
          <w:tcPr>
            <w:tcW w:w="220" w:type="dxa"/>
            <w:vAlign w:val="bottom"/>
            <w:tcBorders>
              <w:top w:val="single" w:sz="8" w:color="CCEEFF"/>
            </w:tcBorders>
          </w:tcPr>
          <w:p>
            <w:pPr>
              <w:spacing w:after="0"/>
              <w:rPr>
                <w:sz w:val="16"/>
                <w:szCs w:val="16"/>
                <w:color w:val="auto"/>
              </w:rPr>
            </w:pPr>
          </w:p>
        </w:tc>
        <w:tc>
          <w:tcPr>
            <w:tcW w:w="2440" w:type="dxa"/>
            <w:vAlign w:val="bottom"/>
            <w:tcBorders>
              <w:top w:val="single" w:sz="8" w:color="CCEEFF"/>
            </w:tcBorders>
          </w:tcPr>
          <w:p>
            <w:pPr>
              <w:spacing w:after="0"/>
              <w:rPr>
                <w:sz w:val="16"/>
                <w:szCs w:val="16"/>
                <w:color w:val="auto"/>
              </w:rPr>
            </w:pPr>
          </w:p>
        </w:tc>
        <w:tc>
          <w:tcPr>
            <w:tcW w:w="19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87"/>
              </w:rPr>
              <w:t>Q3</w:t>
            </w:r>
          </w:p>
        </w:tc>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2015 charges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040" w:type="dxa"/>
            <w:vAlign w:val="bottom"/>
            <w:gridSpan w:val="2"/>
            <w:shd w:val="clear" w:color="auto" w:fill="CCEEFF"/>
          </w:tcPr>
          <w:p>
            <w:pPr>
              <w:jc w:val="right"/>
              <w:ind w:right="801"/>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2660" w:type="dxa"/>
            <w:vAlign w:val="bottom"/>
            <w:gridSpan w:val="2"/>
          </w:tcPr>
          <w:p>
            <w:pPr>
              <w:spacing w:after="0"/>
              <w:rPr>
                <w:sz w:val="20"/>
                <w:szCs w:val="20"/>
                <w:color w:val="auto"/>
              </w:rPr>
            </w:pPr>
            <w:r>
              <w:rPr>
                <w:rFonts w:ascii="Arial" w:cs="Arial" w:eastAsia="Arial" w:hAnsi="Arial"/>
                <w:sz w:val="17"/>
                <w:szCs w:val="17"/>
                <w:color w:val="auto"/>
              </w:rPr>
              <w:t>Q3 utilization/cash payments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01"/>
        </w:trPr>
        <w:tc>
          <w:tcPr>
            <w:tcW w:w="220" w:type="dxa"/>
            <w:vAlign w:val="bottom"/>
            <w:shd w:val="clear" w:color="auto" w:fill="CCEEFF"/>
          </w:tcPr>
          <w:p>
            <w:pPr>
              <w:spacing w:after="0"/>
              <w:rPr>
                <w:sz w:val="20"/>
                <w:szCs w:val="20"/>
                <w:color w:val="auto"/>
              </w:rPr>
            </w:pPr>
            <w:r>
              <w:rPr>
                <w:rFonts w:ascii="Arial" w:cs="Arial" w:eastAsia="Arial" w:hAnsi="Arial"/>
                <w:sz w:val="17"/>
                <w:szCs w:val="17"/>
                <w:color w:val="auto"/>
                <w:w w:val="87"/>
              </w:rPr>
              <w:t>Q3</w:t>
            </w:r>
          </w:p>
        </w:tc>
        <w:tc>
          <w:tcPr>
            <w:tcW w:w="4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7"/>
                <w:szCs w:val="17"/>
                <w:color w:val="auto"/>
              </w:rPr>
              <w:t xml:space="preserve">2015 other adjustments &amp; reclasses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5"/>
        </w:trPr>
        <w:tc>
          <w:tcPr>
            <w:tcW w:w="2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2660" w:type="dxa"/>
            <w:vAlign w:val="bottom"/>
            <w:gridSpan w:val="2"/>
          </w:tcPr>
          <w:p>
            <w:pPr>
              <w:spacing w:after="0"/>
              <w:rPr>
                <w:sz w:val="20"/>
                <w:szCs w:val="20"/>
                <w:color w:val="auto"/>
              </w:rPr>
            </w:pPr>
            <w:r>
              <w:rPr>
                <w:rFonts w:ascii="Arial" w:cs="Arial" w:eastAsia="Arial" w:hAnsi="Arial"/>
                <w:sz w:val="17"/>
                <w:szCs w:val="17"/>
                <w:color w:val="auto"/>
              </w:rPr>
              <w:t>Balance as of September 30, 2015</w:t>
            </w:r>
          </w:p>
        </w:tc>
        <w:tc>
          <w:tcPr>
            <w:tcW w:w="19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r>
      <w:tr>
        <w:trPr>
          <w:trHeight w:val="20"/>
        </w:trPr>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left="300" w:hanging="218"/>
        <w:spacing w:after="0" w:line="216" w:lineRule="auto"/>
        <w:tabs>
          <w:tab w:leader="none" w:pos="300"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214" w:lineRule="exact"/>
        <w:rPr>
          <w:rFonts w:ascii="Arial" w:cs="Arial" w:eastAsia="Arial" w:hAnsi="Arial"/>
          <w:sz w:val="23"/>
          <w:szCs w:val="23"/>
          <w:color w:val="auto"/>
          <w:vertAlign w:val="superscript"/>
        </w:rPr>
      </w:pPr>
    </w:p>
    <w:p>
      <w:pPr>
        <w:ind w:left="300" w:hanging="218"/>
        <w:spacing w:after="0" w:line="216" w:lineRule="auto"/>
        <w:tabs>
          <w:tab w:leader="none" w:pos="300"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The $(6) million includes $(4) million of severance related charges for pension plan special termination benefits, which are reflected in Pension and other postretirement liabilities in the Consolidated Statement of Financial Position, and $(2) million of foreign currency translation adjustments.</w:t>
      </w:r>
    </w:p>
    <w:p>
      <w:pPr>
        <w:spacing w:after="0" w:line="214" w:lineRule="exact"/>
        <w:rPr>
          <w:rFonts w:ascii="Arial" w:cs="Arial" w:eastAsia="Arial" w:hAnsi="Arial"/>
          <w:sz w:val="23"/>
          <w:szCs w:val="23"/>
          <w:color w:val="auto"/>
          <w:vertAlign w:val="superscript"/>
        </w:rPr>
      </w:pPr>
    </w:p>
    <w:p>
      <w:pPr>
        <w:ind w:left="300" w:hanging="218"/>
        <w:spacing w:after="0" w:line="216" w:lineRule="auto"/>
        <w:tabs>
          <w:tab w:leader="none" w:pos="300"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The $(1) million represents severance related charges for pension plan special termination benefits, which are reflected in Pension and other postretirement liabilities in the Consolidated Statement of Financial Position.</w:t>
      </w:r>
    </w:p>
    <w:p>
      <w:pPr>
        <w:spacing w:after="0" w:line="189" w:lineRule="exact"/>
        <w:rPr>
          <w:rFonts w:ascii="Arial" w:cs="Arial" w:eastAsia="Arial" w:hAnsi="Arial"/>
          <w:sz w:val="23"/>
          <w:szCs w:val="23"/>
          <w:color w:val="auto"/>
          <w:vertAlign w:val="superscript"/>
        </w:rPr>
      </w:pPr>
    </w:p>
    <w:p>
      <w:pPr>
        <w:ind w:right="80" w:firstLine="89"/>
        <w:spacing w:after="0" w:line="216" w:lineRule="auto"/>
        <w:tabs>
          <w:tab w:leader="none" w:pos="283"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The $(1) million represents severance related charges for pension plan special termination benefits, which are reflected in Pension and other postretirement liabilities in the Consolidated Statement of Financial Position.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3" w:name="page14"/>
    <w:bookmarkEnd w:id="13"/>
    <w:p>
      <w:pPr>
        <w:ind w:right="40"/>
        <w:spacing w:after="0" w:line="300" w:lineRule="auto"/>
        <w:rPr>
          <w:sz w:val="20"/>
          <w:szCs w:val="20"/>
          <w:color w:val="auto"/>
        </w:rPr>
      </w:pPr>
      <w:r>
        <w:rPr>
          <w:rFonts w:ascii="Arial" w:cs="Arial" w:eastAsia="Arial" w:hAnsi="Arial"/>
          <w:sz w:val="16"/>
          <w:szCs w:val="16"/>
          <w:color w:val="auto"/>
        </w:rPr>
        <w:t>For the three months ended September 30, 2015, the $7 million of charges includes $1 million of charges for accelerated depreciation which were reported in Cost of revenues in the accompanying Consolidated Statement of Operations. The remaining $6 million was reported as Restructuring costs and other.</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severance costs for the three months ended September 30, 2015 related to the elimination of approximately 25 positions, primarily administrative positions in the United States and Canada.</w:t>
      </w:r>
    </w:p>
    <w:p>
      <w:pPr>
        <w:spacing w:after="0" w:line="19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For the nine months ended September 30, 2015, the $35 million of charges includes $6 million of charges for accelerated depreciation which were reported in Cost of revenues in the accompanying Consolidated Statement of Operations. The remaining $29 million was reported as Restructuring costs and other.</w:t>
      </w:r>
    </w:p>
    <w:p>
      <w:pPr>
        <w:spacing w:after="0" w:line="16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severance costs for the nine months ended September 30, 2015 related to the elimination of approximately 425 positions, including approximately 200 manufacturing/ service positions, 50 research and development positions and 175 administrative positions. The geographic composition of these positions includes approximately 150 in the United States and Canada and 275 throughout the rest of the world.</w:t>
      </w:r>
    </w:p>
    <w:p>
      <w:pPr>
        <w:spacing w:after="0" w:line="202"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As a result of these initiatives, the majority of the severance will be paid during periods through the end of 2015. However, in some instances, the employees whose positions were eliminated can elect or are required to receive their payments over an extended period of time. In addition, certain exit costs, such as long-term lease payments, will be paid over periods throughout the remainder of 2015 and beyond.</w:t>
      </w: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240" w:top="492" w:right="5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6000" w:type="dxa"/>
            <w:vAlign w:val="bottom"/>
            <w:gridSpan w:val="12"/>
          </w:tcPr>
          <w:p>
            <w:pPr>
              <w:spacing w:after="0"/>
              <w:rPr>
                <w:sz w:val="20"/>
                <w:szCs w:val="20"/>
                <w:color w:val="auto"/>
              </w:rPr>
            </w:pPr>
            <w:r>
              <w:rPr>
                <w:rFonts w:ascii="Arial" w:cs="Arial" w:eastAsia="Arial" w:hAnsi="Arial"/>
                <w:sz w:val="17"/>
                <w:szCs w:val="17"/>
                <w:b w:val="1"/>
                <w:bCs w:val="1"/>
                <w:color w:val="auto"/>
                <w:w w:val="99"/>
              </w:rPr>
              <w:t>NOTE 9: RETIREMENT PLANS AND OTHER POSTRETIREMENT BENEFITS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2"/>
        </w:trPr>
        <w:tc>
          <w:tcPr>
            <w:tcW w:w="8060" w:type="dxa"/>
            <w:vAlign w:val="bottom"/>
            <w:gridSpan w:val="18"/>
          </w:tcPr>
          <w:p>
            <w:pPr>
              <w:spacing w:after="0"/>
              <w:rPr>
                <w:sz w:val="20"/>
                <w:szCs w:val="20"/>
                <w:color w:val="auto"/>
              </w:rPr>
            </w:pPr>
            <w:r>
              <w:rPr>
                <w:rFonts w:ascii="Arial" w:cs="Arial" w:eastAsia="Arial" w:hAnsi="Arial"/>
                <w:sz w:val="17"/>
                <w:szCs w:val="17"/>
                <w:color w:val="auto"/>
                <w:w w:val="95"/>
              </w:rPr>
              <w:t>Components of the net periodic benefit cost for all major U.S. and Non-U.S. defined benefit plans are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rPr>
              <w:t>Nine Months Ended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7"/>
                <w:szCs w:val="17"/>
                <w:color w:val="auto"/>
              </w:rPr>
              <w:t>(in millions)</w:t>
            </w: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7"/>
                <w:szCs w:val="17"/>
                <w:b w:val="1"/>
                <w:bCs w:val="1"/>
                <w:color w:val="auto"/>
              </w:rPr>
              <w:t>2015</w:t>
            </w:r>
          </w:p>
        </w:tc>
        <w:tc>
          <w:tcPr>
            <w:tcW w:w="1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2014</w:t>
            </w: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2015</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2014</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Non-U.S.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b w:val="1"/>
                <w:bCs w:val="1"/>
                <w:color w:val="auto"/>
                <w:w w:val="89"/>
              </w:rPr>
              <w:t>Non-U.S.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U.S.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w w:val="89"/>
              </w:rPr>
              <w:t>Non-U.S.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U.S.</w:t>
            </w:r>
          </w:p>
        </w:tc>
        <w:tc>
          <w:tcPr>
            <w:tcW w:w="12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w w:val="89"/>
              </w:rPr>
              <w:t>Non-U.S.</w:t>
            </w:r>
          </w:p>
        </w:tc>
        <w:tc>
          <w:tcPr>
            <w:tcW w:w="10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Arial" w:cs="Arial" w:eastAsia="Arial" w:hAnsi="Arial"/>
                <w:sz w:val="17"/>
                <w:szCs w:val="17"/>
                <w:b w:val="1"/>
                <w:bCs w:val="1"/>
                <w:color w:val="auto"/>
              </w:rPr>
              <w:t>Major defined benefit plans:</w:t>
            </w: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Service cost</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88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1"/>
        </w:trPr>
        <w:tc>
          <w:tcPr>
            <w:tcW w:w="2420" w:type="dxa"/>
            <w:vAlign w:val="bottom"/>
          </w:tcPr>
          <w:p>
            <w:pPr>
              <w:ind w:left="80"/>
              <w:spacing w:after="0"/>
              <w:rPr>
                <w:sz w:val="20"/>
                <w:szCs w:val="20"/>
                <w:color w:val="auto"/>
              </w:rPr>
            </w:pPr>
            <w:r>
              <w:rPr>
                <w:rFonts w:ascii="Arial" w:cs="Arial" w:eastAsia="Arial" w:hAnsi="Arial"/>
                <w:sz w:val="17"/>
                <w:szCs w:val="17"/>
                <w:color w:val="auto"/>
              </w:rPr>
              <w:t>Interest cost</w:t>
            </w: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r>
      <w:tr>
        <w:trPr>
          <w:trHeight w:val="201"/>
        </w:trPr>
        <w:tc>
          <w:tcPr>
            <w:tcW w:w="2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8"/>
              </w:rPr>
              <w:t>Expected return on plan assets</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(68)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(7)</w:t>
            </w: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(72)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r>
      <w:tr>
        <w:trPr>
          <w:trHeight w:val="201"/>
        </w:trPr>
        <w:tc>
          <w:tcPr>
            <w:tcW w:w="2420" w:type="dxa"/>
            <w:vAlign w:val="bottom"/>
          </w:tcPr>
          <w:p>
            <w:pPr>
              <w:ind w:left="80"/>
              <w:spacing w:after="0"/>
              <w:rPr>
                <w:sz w:val="20"/>
                <w:szCs w:val="20"/>
                <w:color w:val="auto"/>
              </w:rPr>
            </w:pPr>
            <w:r>
              <w:rPr>
                <w:rFonts w:ascii="Arial" w:cs="Arial" w:eastAsia="Arial" w:hAnsi="Arial"/>
                <w:sz w:val="17"/>
                <w:szCs w:val="17"/>
                <w:color w:val="auto"/>
              </w:rPr>
              <w:t>Amortization of:</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Prior service credit</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2420" w:type="dxa"/>
            <w:vAlign w:val="bottom"/>
          </w:tcPr>
          <w:p>
            <w:pPr>
              <w:ind w:left="300"/>
              <w:spacing w:after="0"/>
              <w:rPr>
                <w:sz w:val="20"/>
                <w:szCs w:val="20"/>
                <w:color w:val="auto"/>
              </w:rPr>
            </w:pPr>
            <w:r>
              <w:rPr>
                <w:rFonts w:ascii="Arial" w:cs="Arial" w:eastAsia="Arial" w:hAnsi="Arial"/>
                <w:sz w:val="17"/>
                <w:szCs w:val="17"/>
                <w:color w:val="auto"/>
              </w:rPr>
              <w:t>Actuarial gain</w:t>
            </w: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w w:val="86"/>
              </w:rPr>
              <w:t>(1)</w:t>
            </w:r>
          </w:p>
        </w:tc>
        <w:tc>
          <w:tcPr>
            <w:tcW w:w="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pension income before</w:t>
            </w: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special termination benefits</w:t>
            </w: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(3)</w:t>
            </w:r>
          </w:p>
        </w:tc>
        <w:tc>
          <w:tcPr>
            <w:tcW w:w="6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2420" w:type="dxa"/>
            <w:vAlign w:val="bottom"/>
          </w:tcPr>
          <w:p>
            <w:pPr>
              <w:spacing w:after="0"/>
              <w:rPr>
                <w:sz w:val="20"/>
                <w:szCs w:val="20"/>
                <w:color w:val="auto"/>
              </w:rPr>
            </w:pPr>
            <w:r>
              <w:rPr>
                <w:rFonts w:ascii="Arial" w:cs="Arial" w:eastAsia="Arial" w:hAnsi="Arial"/>
                <w:sz w:val="17"/>
                <w:szCs w:val="17"/>
                <w:color w:val="auto"/>
              </w:rPr>
              <w:t>Special termination benefits</w:t>
            </w:r>
          </w:p>
        </w:tc>
        <w:tc>
          <w:tcPr>
            <w:tcW w:w="66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2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Net pension income</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(3)</w:t>
            </w: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(24)</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7"/>
                <w:szCs w:val="17"/>
                <w:color w:val="auto"/>
              </w:rPr>
              <w:t>Other plans including unfunded</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2420" w:type="dxa"/>
            <w:vAlign w:val="bottom"/>
          </w:tcPr>
          <w:p>
            <w:pPr>
              <w:spacing w:after="0"/>
              <w:rPr>
                <w:sz w:val="20"/>
                <w:szCs w:val="20"/>
                <w:color w:val="auto"/>
              </w:rPr>
            </w:pPr>
            <w:r>
              <w:rPr>
                <w:rFonts w:ascii="Arial" w:cs="Arial" w:eastAsia="Arial" w:hAnsi="Arial"/>
                <w:sz w:val="17"/>
                <w:szCs w:val="17"/>
                <w:color w:val="auto"/>
              </w:rPr>
              <w:t>plans</w:t>
            </w:r>
          </w:p>
        </w:tc>
        <w:tc>
          <w:tcPr>
            <w:tcW w:w="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6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net pension (income)</w:t>
            </w: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(27)</w:t>
            </w:r>
          </w:p>
        </w:tc>
        <w:tc>
          <w:tcPr>
            <w:tcW w:w="88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w:t>
            </w:r>
          </w:p>
        </w:tc>
        <w:tc>
          <w:tcPr>
            <w:tcW w:w="64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2015, the special termination benefits charges of $6 million were incurred as a result of Kodak’s restructuring actions.</w:t>
      </w:r>
    </w:p>
    <w:p>
      <w:pPr>
        <w:spacing w:after="0" w:line="243"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Kodak made contributions (funded plans) or paid benefits (unfunded plans) totaling approximately $12 million relating to its defined benefit pension plans for the nine months ended September 30, 2015.</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Postretirement benefit costs for the Company’s U.S., Canada and U.K. postretirement benefit plans, which represent the Company’s major postretirement plans, include: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right"/>
              <w:ind w:right="176"/>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right"/>
              <w:ind w:right="223"/>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7"/>
                <w:szCs w:val="17"/>
                <w:color w:val="auto"/>
              </w:rPr>
              <w:t>(in millions)</w:t>
            </w:r>
          </w:p>
        </w:tc>
        <w:tc>
          <w:tcPr>
            <w:tcW w:w="17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7"/>
                <w:szCs w:val="17"/>
                <w:b w:val="1"/>
                <w:bCs w:val="1"/>
                <w:color w:val="auto"/>
                <w:w w:val="86"/>
              </w:rPr>
              <w:t>September 30,</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7"/>
                <w:szCs w:val="17"/>
                <w:b w:val="1"/>
                <w:bCs w:val="1"/>
                <w:color w:val="auto"/>
                <w:w w:val="86"/>
              </w:rPr>
              <w:t>September 30,</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2014</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7"/>
                <w:szCs w:val="17"/>
                <w:b w:val="1"/>
                <w:bCs w:val="1"/>
                <w:color w:val="auto"/>
              </w:rPr>
              <w:t>2014</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24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Interest cost</w:t>
            </w:r>
          </w:p>
        </w:tc>
        <w:tc>
          <w:tcPr>
            <w:tcW w:w="1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9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5"/>
        </w:trPr>
        <w:tc>
          <w:tcPr>
            <w:tcW w:w="4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Total net postretirement benefit expense</w:t>
            </w:r>
          </w:p>
        </w:tc>
        <w:tc>
          <w:tcPr>
            <w:tcW w:w="24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20" w:type="dxa"/>
            <w:vAlign w:val="bottom"/>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8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Kodak paid benefits, net of participant contributions, totaling $4 million relating to its postretirement benefit plans for the nine months ended September 30,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10: EARNINGS PER SHARE</w:t>
      </w:r>
    </w:p>
    <w:p>
      <w:pPr>
        <w:spacing w:after="0" w:line="236"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Weighted-average basic and diluted shares outstanding were 41.9 million for both the three and nine months ended September 30, 2015, and 41.7 million for the nine months ended September 30, 2014. For the three months ended September 30, 2014, weighted-average basic shares outstanding were 41.8 million and weighted-average diluted shares outstanding were 43.3 million.</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As a result of the net loss from continuing operations presented for the three months and nine months ended September 30, 2015 and the nine months ended September 30, 2014, Kodak calculated diluted earnings per share using weighted-average basic shares outstanding for that period. If Kodak had reported earnings from continuing operations for the three months and nine months ended September 30, 2015 and the nine months ended September 30, 2014, the following potential shares of its common stock would have been dilutive in the computation of diluted earnings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9"/>
              </w:rPr>
              <w:t>Three Months</w:t>
            </w:r>
          </w:p>
        </w:tc>
        <w:tc>
          <w:tcPr>
            <w:tcW w:w="220" w:type="dxa"/>
            <w:vAlign w:val="bottom"/>
          </w:tcPr>
          <w:p>
            <w:pPr>
              <w:spacing w:after="0"/>
              <w:rPr>
                <w:sz w:val="17"/>
                <w:szCs w:val="17"/>
                <w:color w:val="auto"/>
              </w:rPr>
            </w:pPr>
          </w:p>
        </w:tc>
        <w:tc>
          <w:tcPr>
            <w:tcW w:w="1760" w:type="dxa"/>
            <w:vAlign w:val="bottom"/>
            <w:gridSpan w:val="3"/>
          </w:tcPr>
          <w:p>
            <w:pPr>
              <w:jc w:val="center"/>
              <w:ind w:left="656"/>
              <w:spacing w:after="0"/>
              <w:rPr>
                <w:sz w:val="20"/>
                <w:szCs w:val="20"/>
                <w:color w:val="auto"/>
              </w:rPr>
            </w:pPr>
            <w:r>
              <w:rPr>
                <w:rFonts w:ascii="Arial" w:cs="Arial" w:eastAsia="Arial" w:hAnsi="Arial"/>
                <w:sz w:val="17"/>
                <w:szCs w:val="17"/>
                <w:b w:val="1"/>
                <w:bCs w:val="1"/>
                <w:color w:val="auto"/>
                <w:w w:val="92"/>
              </w:rPr>
              <w:t>Nine Months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74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2"/>
              </w:rPr>
              <w:t>Ended</w:t>
            </w:r>
          </w:p>
        </w:tc>
        <w:tc>
          <w:tcPr>
            <w:tcW w:w="220" w:type="dxa"/>
            <w:vAlign w:val="bottom"/>
          </w:tcPr>
          <w:p>
            <w:pPr>
              <w:spacing w:after="0"/>
              <w:rPr>
                <w:sz w:val="17"/>
                <w:szCs w:val="17"/>
                <w:color w:val="auto"/>
              </w:rPr>
            </w:pPr>
          </w:p>
        </w:tc>
        <w:tc>
          <w:tcPr>
            <w:tcW w:w="1760" w:type="dxa"/>
            <w:vAlign w:val="bottom"/>
            <w:gridSpan w:val="3"/>
          </w:tcPr>
          <w:p>
            <w:pPr>
              <w:jc w:val="center"/>
              <w:ind w:left="656"/>
              <w:spacing w:after="0"/>
              <w:rPr>
                <w:sz w:val="20"/>
                <w:szCs w:val="20"/>
                <w:color w:val="auto"/>
              </w:rPr>
            </w:pPr>
            <w:r>
              <w:rPr>
                <w:rFonts w:ascii="Arial" w:cs="Arial" w:eastAsia="Arial" w:hAnsi="Arial"/>
                <w:sz w:val="17"/>
                <w:szCs w:val="17"/>
                <w:b w:val="1"/>
                <w:bCs w:val="1"/>
                <w:color w:val="auto"/>
                <w:w w:val="88"/>
              </w:rPr>
              <w:t>Ended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7"/>
                <w:szCs w:val="17"/>
                <w:color w:val="auto"/>
              </w:rPr>
              <w:t>(in millions of shares)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September 30,</w:t>
            </w:r>
          </w:p>
        </w:tc>
        <w:tc>
          <w:tcPr>
            <w:tcW w:w="220" w:type="dxa"/>
            <w:vAlign w:val="bottom"/>
          </w:tcPr>
          <w:p>
            <w:pPr>
              <w:spacing w:after="0"/>
              <w:rPr>
                <w:sz w:val="19"/>
                <w:szCs w:val="19"/>
                <w:color w:val="auto"/>
              </w:rPr>
            </w:pPr>
          </w:p>
        </w:tc>
        <w:tc>
          <w:tcPr>
            <w:tcW w:w="176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7"/>
                <w:szCs w:val="17"/>
                <w:b w:val="1"/>
                <w:bCs w:val="1"/>
                <w:color w:val="auto"/>
                <w:w w:val="87"/>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74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r>
      <w:tr>
        <w:trPr>
          <w:trHeight w:val="20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Unvested share-based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r>
      <w:tr>
        <w:trPr>
          <w:trHeight w:val="206"/>
        </w:trPr>
        <w:tc>
          <w:tcPr>
            <w:tcW w:w="7440" w:type="dxa"/>
            <w:vAlign w:val="bottom"/>
          </w:tcPr>
          <w:p>
            <w:pPr>
              <w:spacing w:after="0"/>
              <w:rPr>
                <w:sz w:val="20"/>
                <w:szCs w:val="20"/>
                <w:color w:val="auto"/>
              </w:rPr>
            </w:pPr>
            <w:r>
              <w:rPr>
                <w:rFonts w:ascii="Arial" w:cs="Arial" w:eastAsia="Arial" w:hAnsi="Arial"/>
                <w:sz w:val="17"/>
                <w:szCs w:val="17"/>
                <w:color w:val="auto"/>
              </w:rPr>
              <w:t>Detachable warrants to purchase common shares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r>
      <w:tr>
        <w:trPr>
          <w:trHeight w:val="241"/>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Weighted-average diluted shares outstanding for the three months ended September 30, 2014 were 43.3 million and included the dilutive effect of the following potential shares of common stock:</w:t>
      </w:r>
    </w:p>
    <w:tbl>
      <w:tblPr>
        <w:tblLayout w:type="fixed"/>
        <w:tblInd w:w="0" w:type="dxa"/>
        <w:tblCellMar>
          <w:top w:w="0" w:type="dxa"/>
          <w:left w:w="0" w:type="dxa"/>
          <w:bottom w:w="0" w:type="dxa"/>
          <w:right w:w="0" w:type="dxa"/>
        </w:tblCellMar>
      </w:tblPr>
      <w:tr>
        <w:trPr>
          <w:trHeight w:val="186"/>
        </w:trPr>
        <w:tc>
          <w:tcPr>
            <w:tcW w:w="10180" w:type="dxa"/>
            <w:vAlign w:val="bottom"/>
          </w:tcPr>
          <w:p>
            <w:pPr>
              <w:spacing w:after="0"/>
              <w:rPr>
                <w:sz w:val="16"/>
                <w:szCs w:val="16"/>
                <w:color w:val="auto"/>
              </w:rPr>
            </w:pPr>
          </w:p>
        </w:tc>
        <w:tc>
          <w:tcPr>
            <w:tcW w:w="1240" w:type="dxa"/>
            <w:vAlign w:val="bottom"/>
            <w:gridSpan w:val="2"/>
          </w:tcPr>
          <w:p>
            <w:pPr>
              <w:jc w:val="center"/>
              <w:ind w:right="100"/>
              <w:spacing w:after="0" w:line="185" w:lineRule="exact"/>
              <w:rPr>
                <w:sz w:val="20"/>
                <w:szCs w:val="20"/>
                <w:color w:val="auto"/>
              </w:rPr>
            </w:pPr>
            <w:r>
              <w:rPr>
                <w:rFonts w:ascii="Arial" w:cs="Arial" w:eastAsia="Arial" w:hAnsi="Arial"/>
                <w:sz w:val="17"/>
                <w:szCs w:val="17"/>
                <w:b w:val="1"/>
                <w:bCs w:val="1"/>
                <w:color w:val="auto"/>
                <w:w w:val="91"/>
              </w:rPr>
              <w:t>Three Months</w:t>
            </w:r>
          </w:p>
        </w:tc>
      </w:tr>
      <w:tr>
        <w:trPr>
          <w:trHeight w:val="201"/>
        </w:trPr>
        <w:tc>
          <w:tcPr>
            <w:tcW w:w="101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Ended</w:t>
            </w:r>
          </w:p>
        </w:tc>
      </w:tr>
      <w:tr>
        <w:trPr>
          <w:trHeight w:val="223"/>
        </w:trPr>
        <w:tc>
          <w:tcPr>
            <w:tcW w:w="10180" w:type="dxa"/>
            <w:vAlign w:val="bottom"/>
          </w:tcPr>
          <w:p>
            <w:pPr>
              <w:spacing w:after="0"/>
              <w:rPr>
                <w:sz w:val="20"/>
                <w:szCs w:val="20"/>
                <w:color w:val="auto"/>
              </w:rPr>
            </w:pPr>
            <w:r>
              <w:rPr>
                <w:rFonts w:ascii="Arial" w:cs="Arial" w:eastAsia="Arial" w:hAnsi="Arial"/>
                <w:sz w:val="17"/>
                <w:szCs w:val="17"/>
                <w:color w:val="auto"/>
              </w:rPr>
              <w:t>(in millions of shares)</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September 30,</w:t>
            </w:r>
          </w:p>
        </w:tc>
      </w:tr>
      <w:tr>
        <w:trPr>
          <w:trHeight w:val="206"/>
        </w:trPr>
        <w:tc>
          <w:tcPr>
            <w:tcW w:w="10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7"/>
                <w:szCs w:val="17"/>
                <w:color w:val="auto"/>
              </w:rPr>
            </w:pP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Unvested share-based awards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r>
      <w:tr>
        <w:trPr>
          <w:trHeight w:val="206"/>
        </w:trPr>
        <w:tc>
          <w:tcPr>
            <w:tcW w:w="10180" w:type="dxa"/>
            <w:vAlign w:val="bottom"/>
          </w:tcPr>
          <w:p>
            <w:pPr>
              <w:spacing w:after="0"/>
              <w:rPr>
                <w:sz w:val="20"/>
                <w:szCs w:val="20"/>
                <w:color w:val="auto"/>
              </w:rPr>
            </w:pPr>
            <w:r>
              <w:rPr>
                <w:rFonts w:ascii="Arial" w:cs="Arial" w:eastAsia="Arial" w:hAnsi="Arial"/>
                <w:sz w:val="17"/>
                <w:szCs w:val="17"/>
                <w:color w:val="auto"/>
              </w:rPr>
              <w:t>Detachable warrants to purchase common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r>
      <w:tr>
        <w:trPr>
          <w:trHeight w:val="241"/>
        </w:trPr>
        <w:tc>
          <w:tcPr>
            <w:tcW w:w="10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0"/>
        <w:spacing w:after="0" w:line="308" w:lineRule="auto"/>
        <w:rPr>
          <w:sz w:val="20"/>
          <w:szCs w:val="20"/>
          <w:color w:val="auto"/>
        </w:rPr>
      </w:pPr>
      <w:r>
        <w:rPr>
          <w:rFonts w:ascii="Arial" w:cs="Arial" w:eastAsia="Arial" w:hAnsi="Arial"/>
          <w:sz w:val="15"/>
          <w:szCs w:val="15"/>
          <w:color w:val="auto"/>
        </w:rPr>
        <w:t>The computation of diluted earnings per share would have excluded 0.1 million shares for the three month periods ended September 30, 2015 and September 30, 2014 and 0.2 million shares for the nine month period ended September 30, 2014 associated with the assumed conversion of outstanding employee stock options because the effects would have been anti-dilutive. There were no potentially dilutive outstanding employee stock options in the nine month period ended September 30,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11: SHAREHOLDERS’ EQUITY</w:t>
      </w:r>
    </w:p>
    <w:p>
      <w:pPr>
        <w:spacing w:after="0" w:line="23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Kodak has 560 million shares of authorized stock, consisting of: (i) 500 million shares of common stock, par value $0.01 per share and (ii) 60 million shares of preferred stock, no par value, issuable in one or more series. As of September 30, 2015 and December 31, 2014, there were 42.0 million shares of common stock and 41.9 million shares of common stock, respectively, and no shares of preferred stock outstanding. Treasury stock consisted of approximately 0.3 million shares and 0.2 million shares at September 30, 2015 and December 31, 2014,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Kodak may settle a portion of its 2015 incentive compensation plans with a variable amount of common stock based on the stock price at the time of settlement. The plans include minimum performance gates and annual performance metrics for 2015. The amount of incentive compensation to be paid will depend on performance against the metrics. The fair value of the awards is determined based on a targeted dollar amount for the expected performance against the plans’ criteria as of the balance sheet date. The actual number of shares to be issued will be determined at the end of the performance period based on actual results achieved by Kodak and the stock price on the date of issuance. The shares will be issued under the 2013 Omnibus Incentive Plan. Stock compensation expense associated with these awards for the three and nine months ended September 30, 2015 represented approximately $2 million and $9 million, respectively, of the total stock compensation expense recorded by Kodak of $6 million and $17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OTHER COMPREHENSIVE LOSS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Other comprehensive loss, by component,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right"/>
              <w:ind w:right="376"/>
              <w:spacing w:after="0"/>
              <w:rPr>
                <w:sz w:val="20"/>
                <w:szCs w:val="20"/>
                <w:color w:val="auto"/>
              </w:rPr>
            </w:pPr>
            <w:r>
              <w:rPr>
                <w:rFonts w:ascii="Arial" w:cs="Arial" w:eastAsia="Arial" w:hAnsi="Arial"/>
                <w:sz w:val="17"/>
                <w:szCs w:val="17"/>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860"/>
              <w:spacing w:after="0"/>
              <w:rPr>
                <w:sz w:val="20"/>
                <w:szCs w:val="20"/>
                <w:color w:val="auto"/>
              </w:rPr>
            </w:pPr>
            <w:r>
              <w:rPr>
                <w:rFonts w:ascii="Arial" w:cs="Arial" w:eastAsia="Arial" w:hAnsi="Arial"/>
                <w:sz w:val="17"/>
                <w:szCs w:val="17"/>
                <w:b w:val="1"/>
                <w:bCs w:val="1"/>
                <w:color w:val="auto"/>
              </w:rPr>
              <w:t>Nine Months Ended</w:t>
            </w:r>
          </w:p>
        </w:tc>
      </w:tr>
      <w:tr>
        <w:trPr>
          <w:trHeight w:val="223"/>
        </w:trPr>
        <w:tc>
          <w:tcPr>
            <w:tcW w:w="4620" w:type="dxa"/>
            <w:vAlign w:val="bottom"/>
          </w:tcPr>
          <w:p>
            <w:pPr>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7"/>
                <w:szCs w:val="17"/>
                <w:b w:val="1"/>
                <w:bCs w:val="1"/>
                <w:color w:val="auto"/>
                <w:w w:val="94"/>
              </w:rPr>
              <w:t>September 30,</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2014</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7"/>
                <w:szCs w:val="17"/>
                <w:color w:val="auto"/>
              </w:rPr>
            </w:pP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120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01"/>
        </w:trPr>
        <w:tc>
          <w:tcPr>
            <w:tcW w:w="46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w w:val="90"/>
              </w:rPr>
              <w:t>Unrealized (losses) gains on available-for-sale securities, before tax</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6"/>
        </w:trPr>
        <w:tc>
          <w:tcPr>
            <w:tcW w:w="4620" w:type="dxa"/>
            <w:vAlign w:val="bottom"/>
          </w:tcPr>
          <w:p>
            <w:pPr>
              <w:spacing w:after="0"/>
              <w:rPr>
                <w:sz w:val="20"/>
                <w:szCs w:val="20"/>
                <w:color w:val="auto"/>
              </w:rPr>
            </w:pPr>
            <w:r>
              <w:rPr>
                <w:rFonts w:ascii="Arial" w:cs="Arial" w:eastAsia="Arial" w:hAnsi="Arial"/>
                <w:sz w:val="17"/>
                <w:szCs w:val="17"/>
                <w:color w:val="auto"/>
              </w:rPr>
              <w:t>Tax provision</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w w:val="91"/>
              </w:rPr>
              <w:t>Unrealized (losses) gains on available-for-sale securities, net of tax</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6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620" w:type="dxa"/>
            <w:vAlign w:val="bottom"/>
          </w:tcPr>
          <w:p>
            <w:pPr>
              <w:ind w:left="300"/>
              <w:spacing w:after="0"/>
              <w:rPr>
                <w:sz w:val="20"/>
                <w:szCs w:val="20"/>
                <w:color w:val="auto"/>
              </w:rPr>
            </w:pPr>
            <w:r>
              <w:rPr>
                <w:rFonts w:ascii="Arial" w:cs="Arial" w:eastAsia="Arial" w:hAnsi="Arial"/>
                <w:sz w:val="17"/>
                <w:szCs w:val="17"/>
                <w:color w:val="auto"/>
              </w:rPr>
              <w:t>Newly established prior service credit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3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61</w:t>
            </w:r>
          </w:p>
        </w:tc>
      </w:tr>
      <w:tr>
        <w:trPr>
          <w:trHeight w:val="201"/>
        </w:trPr>
        <w:tc>
          <w:tcPr>
            <w:tcW w:w="4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Newly established net actuarial (loss) gain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w:t>
            </w:r>
          </w:p>
        </w:tc>
      </w:tr>
      <w:tr>
        <w:trPr>
          <w:trHeight w:val="206"/>
        </w:trPr>
        <w:tc>
          <w:tcPr>
            <w:tcW w:w="4620" w:type="dxa"/>
            <w:vAlign w:val="bottom"/>
          </w:tcPr>
          <w:p>
            <w:pPr>
              <w:ind w:left="300"/>
              <w:spacing w:after="0"/>
              <w:rPr>
                <w:sz w:val="20"/>
                <w:szCs w:val="20"/>
                <w:color w:val="auto"/>
              </w:rPr>
            </w:pPr>
            <w:r>
              <w:rPr>
                <w:rFonts w:ascii="Arial" w:cs="Arial" w:eastAsia="Arial" w:hAnsi="Arial"/>
                <w:sz w:val="17"/>
                <w:szCs w:val="17"/>
                <w:color w:val="auto"/>
              </w:rPr>
              <w:t>Tax benefit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189"/>
        </w:trPr>
        <w:tc>
          <w:tcPr>
            <w:tcW w:w="462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w w:val="94"/>
              </w:rPr>
              <w:t>Newly established prior service credit and net actuarial (loss)</w:t>
            </w:r>
          </w:p>
        </w:tc>
        <w:tc>
          <w:tcPr>
            <w:tcW w:w="2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gain,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r>
      <w:tr>
        <w:trPr>
          <w:trHeight w:val="201"/>
        </w:trPr>
        <w:tc>
          <w:tcPr>
            <w:tcW w:w="4620" w:type="dxa"/>
            <w:vAlign w:val="bottom"/>
            <w:tcBorders>
              <w:top w:val="single" w:sz="8" w:color="CCEEFF"/>
            </w:tcBorders>
          </w:tcPr>
          <w:p>
            <w:pPr>
              <w:ind w:left="300"/>
              <w:spacing w:after="0"/>
              <w:rPr>
                <w:sz w:val="20"/>
                <w:szCs w:val="20"/>
                <w:color w:val="auto"/>
              </w:rPr>
            </w:pPr>
            <w:r>
              <w:rPr>
                <w:rFonts w:ascii="Arial" w:cs="Arial" w:eastAsia="Arial" w:hAnsi="Arial"/>
                <w:sz w:val="17"/>
                <w:szCs w:val="17"/>
                <w:color w:val="auto"/>
              </w:rPr>
              <w:t>Reclassification adjustments:</w:t>
            </w: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6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Amortization of prior service credit</w:t>
            </w:r>
          </w:p>
        </w:tc>
        <w:tc>
          <w:tcPr>
            <w:tcW w:w="1200" w:type="dxa"/>
            <w:vAlign w:val="bottom"/>
            <w:gridSpan w:val="2"/>
            <w:shd w:val="clear" w:color="auto" w:fill="CCEEFF"/>
          </w:tcPr>
          <w:p>
            <w:pPr>
              <w:jc w:val="right"/>
              <w:ind w:right="916"/>
              <w:spacing w:after="0"/>
              <w:rPr>
                <w:sz w:val="20"/>
                <w:szCs w:val="20"/>
                <w:color w:val="auto"/>
              </w:rPr>
            </w:pPr>
            <w:r>
              <w:rPr>
                <w:rFonts w:ascii="Arial" w:cs="Arial" w:eastAsia="Arial" w:hAnsi="Arial"/>
                <w:sz w:val="12"/>
                <w:szCs w:val="12"/>
                <w:color w:val="auto"/>
              </w:rPr>
              <w:t>(a)</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26"/>
        </w:trPr>
        <w:tc>
          <w:tcPr>
            <w:tcW w:w="4620" w:type="dxa"/>
            <w:vAlign w:val="bottom"/>
          </w:tcPr>
          <w:p>
            <w:pPr>
              <w:ind w:left="460"/>
              <w:spacing w:after="0"/>
              <w:rPr>
                <w:sz w:val="20"/>
                <w:szCs w:val="20"/>
                <w:color w:val="auto"/>
              </w:rPr>
            </w:pPr>
            <w:r>
              <w:rPr>
                <w:rFonts w:ascii="Arial" w:cs="Arial" w:eastAsia="Arial" w:hAnsi="Arial"/>
                <w:sz w:val="17"/>
                <w:szCs w:val="17"/>
                <w:color w:val="auto"/>
              </w:rPr>
              <w:t>Amortization of actuarial gains</w:t>
            </w:r>
          </w:p>
        </w:tc>
        <w:tc>
          <w:tcPr>
            <w:tcW w:w="200" w:type="dxa"/>
            <w:vAlign w:val="bottom"/>
          </w:tcPr>
          <w:p>
            <w:pPr>
              <w:jc w:val="right"/>
              <w:spacing w:after="0"/>
              <w:rPr>
                <w:sz w:val="20"/>
                <w:szCs w:val="20"/>
                <w:color w:val="auto"/>
              </w:rPr>
            </w:pPr>
            <w:r>
              <w:rPr>
                <w:rFonts w:ascii="Arial" w:cs="Arial" w:eastAsia="Arial" w:hAnsi="Arial"/>
                <w:sz w:val="12"/>
                <w:szCs w:val="12"/>
                <w:color w:val="auto"/>
              </w:rPr>
              <w:t>(a)</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(a)</w:t>
            </w: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reclassification adjustments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26"/>
        </w:trPr>
        <w:tc>
          <w:tcPr>
            <w:tcW w:w="4620" w:type="dxa"/>
            <w:vAlign w:val="bottom"/>
          </w:tcPr>
          <w:p>
            <w:pPr>
              <w:ind w:left="300"/>
              <w:spacing w:after="0"/>
              <w:rPr>
                <w:sz w:val="20"/>
                <w:szCs w:val="20"/>
                <w:color w:val="auto"/>
              </w:rPr>
            </w:pPr>
            <w:r>
              <w:rPr>
                <w:rFonts w:ascii="Arial" w:cs="Arial" w:eastAsia="Arial" w:hAnsi="Arial"/>
                <w:sz w:val="17"/>
                <w:szCs w:val="17"/>
                <w:color w:val="auto"/>
              </w:rPr>
              <w:t>Tax provision</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Reclassification adjustments, net of tax</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5"/>
        </w:trPr>
        <w:tc>
          <w:tcPr>
            <w:tcW w:w="4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7"/>
                <w:szCs w:val="17"/>
                <w:color w:val="auto"/>
                <w:w w:val="93"/>
              </w:rPr>
              <w:t>Pension and other postretirement benefit plan changes, net of tax</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5"/>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120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40" w:right="1440" w:hanging="5639"/>
        <w:spacing w:after="0" w:line="878" w:lineRule="auto"/>
        <w:tabs>
          <w:tab w:leader="none" w:pos="199"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Reclassified to Total Net Periodic Benefit Cost - refer to Note 9, "Retirement Plans and Other Postretirement Benefits" for additional information.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2605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20"/>
                <w:szCs w:val="20"/>
                <w:color w:val="auto"/>
              </w:rPr>
            </w:pPr>
            <w:r>
              <w:rPr>
                <w:rFonts w:ascii="Arial" w:cs="Arial" w:eastAsia="Arial" w:hAnsi="Arial"/>
                <w:sz w:val="17"/>
                <w:szCs w:val="17"/>
                <w:b w:val="1"/>
                <w:bCs w:val="1"/>
                <w:color w:val="auto"/>
              </w:rPr>
              <w:t>NOTE 13: ACCUMULATED OTHER COMPREHENSIVE LOSS</w:t>
            </w: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200" w:type="dxa"/>
            <w:vAlign w:val="bottom"/>
          </w:tcPr>
          <w:p>
            <w:pPr>
              <w:spacing w:after="0"/>
              <w:rPr>
                <w:sz w:val="20"/>
                <w:szCs w:val="20"/>
                <w:color w:val="auto"/>
              </w:rPr>
            </w:pPr>
            <w:r>
              <w:rPr>
                <w:rFonts w:ascii="Arial" w:cs="Arial" w:eastAsia="Arial" w:hAnsi="Arial"/>
                <w:sz w:val="17"/>
                <w:szCs w:val="17"/>
                <w:color w:val="auto"/>
                <w:w w:val="99"/>
              </w:rPr>
              <w:t>Accumulated other comprehensive loss is composed of the following:</w:t>
            </w: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vMerge w:val="restart"/>
          </w:tcPr>
          <w:p>
            <w:pPr>
              <w:jc w:val="right"/>
              <w:ind w:right="103"/>
              <w:spacing w:after="0"/>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7"/>
              </w:rPr>
              <w:t>September 30,</w:t>
            </w:r>
          </w:p>
        </w:tc>
        <w:tc>
          <w:tcPr>
            <w:tcW w:w="124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7"/>
                <w:szCs w:val="17"/>
                <w:color w:val="auto"/>
              </w:rPr>
              <w:t>(in millions)</w:t>
            </w:r>
          </w:p>
        </w:tc>
        <w:tc>
          <w:tcPr>
            <w:tcW w:w="3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38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20"/>
                <w:szCs w:val="20"/>
                <w:color w:val="auto"/>
              </w:rPr>
            </w:pPr>
            <w:r>
              <w:rPr>
                <w:rFonts w:ascii="Arial" w:cs="Arial" w:eastAsia="Arial" w:hAnsi="Arial"/>
                <w:sz w:val="17"/>
                <w:szCs w:val="17"/>
                <w:color w:val="auto"/>
              </w:rPr>
              <w:t>Unrealized loss on investments</w:t>
            </w: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5"/>
        </w:trPr>
        <w:tc>
          <w:tcPr>
            <w:tcW w:w="52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200" w:type="dxa"/>
            <w:vAlign w:val="bottom"/>
          </w:tcPr>
          <w:p>
            <w:pPr>
              <w:spacing w:after="0"/>
              <w:rPr>
                <w:sz w:val="20"/>
                <w:szCs w:val="20"/>
                <w:color w:val="auto"/>
              </w:rPr>
            </w:pPr>
            <w:r>
              <w:rPr>
                <w:rFonts w:ascii="Arial" w:cs="Arial" w:eastAsia="Arial" w:hAnsi="Arial"/>
                <w:sz w:val="17"/>
                <w:szCs w:val="17"/>
                <w:color w:val="auto"/>
              </w:rPr>
              <w:t>Total</w:t>
            </w:r>
          </w:p>
        </w:tc>
        <w:tc>
          <w:tcPr>
            <w:tcW w:w="386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(162)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2"/>
        </w:trPr>
        <w:tc>
          <w:tcPr>
            <w:tcW w:w="5200" w:type="dxa"/>
            <w:vAlign w:val="bottom"/>
          </w:tcPr>
          <w:p>
            <w:pPr>
              <w:spacing w:after="0"/>
              <w:rPr>
                <w:sz w:val="24"/>
                <w:szCs w:val="24"/>
                <w:color w:val="auto"/>
              </w:rPr>
            </w:pPr>
          </w:p>
        </w:tc>
        <w:tc>
          <w:tcPr>
            <w:tcW w:w="3620" w:type="dxa"/>
            <w:vAlign w:val="bottom"/>
          </w:tcPr>
          <w:p>
            <w:pPr>
              <w:jc w:val="right"/>
              <w:ind w:right="2936"/>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NOTE 14: SEGMENT INFORMATION</w:t>
      </w:r>
    </w:p>
    <w:p>
      <w:pPr>
        <w:spacing w:after="0" w:line="236" w:lineRule="exact"/>
        <w:rPr>
          <w:sz w:val="20"/>
          <w:szCs w:val="20"/>
          <w:color w:val="auto"/>
        </w:rPr>
      </w:pPr>
    </w:p>
    <w:p>
      <w:pPr>
        <w:ind w:right="560"/>
        <w:spacing w:after="0" w:line="254" w:lineRule="auto"/>
        <w:rPr>
          <w:sz w:val="20"/>
          <w:szCs w:val="20"/>
          <w:color w:val="auto"/>
        </w:rPr>
      </w:pPr>
      <w:r>
        <w:rPr>
          <w:rFonts w:ascii="Arial" w:cs="Arial" w:eastAsia="Arial" w:hAnsi="Arial"/>
          <w:sz w:val="17"/>
          <w:szCs w:val="17"/>
          <w:color w:val="auto"/>
        </w:rPr>
        <w:t>Effective January 1, 2015, Kodak has seven reportable segments: Print Systems, Enterprise Inkjet Systems, Micro 3D Printing and Packaging, Software and Solutions, Consumer and Film, Intellectual Property Solutions and Eastman Business Park. The balance of Kodak’s continuing operations, which do not meet the criteria of a reportable segment, are reported in All Other. Prior period segment results have been revised to conform to the current period segment reporting structure. A description of the reportable segments follows.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3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Enterprise Inkjet Systems</w:t>
      </w:r>
      <w:r>
        <w:rPr>
          <w:rFonts w:ascii="Arial" w:cs="Arial" w:eastAsia="Arial" w:hAnsi="Arial"/>
          <w:sz w:val="17"/>
          <w:szCs w:val="17"/>
          <w:color w:val="auto"/>
        </w:rPr>
        <w:t>: The Enterprise Inkjet Systems segment is comprised of two lines of business: Commercial Inkjet Printing Solutions and Digital Front-End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 3D Printing and Packaging</w:t>
      </w:r>
      <w:r>
        <w:rPr>
          <w:rFonts w:ascii="Arial" w:cs="Arial" w:eastAsia="Arial" w:hAnsi="Arial"/>
          <w:sz w:val="16"/>
          <w:szCs w:val="16"/>
          <w:color w:val="auto"/>
        </w:rPr>
        <w:t>: The Micro 3D Printing and Packaging segment is comprised of two lines of business: Packaging and Micro 3D Printing.</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Software and Solutions</w:t>
      </w:r>
      <w:r>
        <w:rPr>
          <w:rFonts w:ascii="Arial" w:cs="Arial" w:eastAsia="Arial" w:hAnsi="Arial"/>
          <w:sz w:val="15"/>
          <w:szCs w:val="15"/>
          <w:color w:val="auto"/>
        </w:rPr>
        <w:t>: The Software and Solutions segment is comprised of two lines of business: Kodak Technology Solutions and Unified Workflow Solutions.</w:t>
      </w: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Consumer and Film</w:t>
      </w:r>
      <w:r>
        <w:rPr>
          <w:rFonts w:ascii="Arial" w:cs="Arial" w:eastAsia="Arial" w:hAnsi="Arial"/>
          <w:sz w:val="17"/>
          <w:szCs w:val="17"/>
          <w:color w:val="auto"/>
        </w:rPr>
        <w:t>: The Consumer and Film segment is comprised of three lines of business: Consumer Inkjet Solutions; Entertainment Imaging and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Films, and Brand Licensing.</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Intellectual Property Solutions</w:t>
      </w:r>
      <w:r>
        <w:rPr>
          <w:rFonts w:ascii="Arial" w:cs="Arial" w:eastAsia="Arial" w:hAnsi="Arial"/>
          <w:sz w:val="17"/>
          <w:szCs w:val="17"/>
          <w:color w:val="auto"/>
        </w:rPr>
        <w:t>: The Intellectual Property Solutions segment includes licensing and research and development activities not directly related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segments.</w:t>
      </w:r>
    </w:p>
    <w:p>
      <w:pPr>
        <w:spacing w:after="0" w:line="18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b w:val="1"/>
          <w:bCs w:val="1"/>
          <w:color w:val="auto"/>
        </w:rPr>
        <w:t>Eastman Business Park</w:t>
      </w:r>
      <w:r>
        <w:rPr>
          <w:rFonts w:ascii="Arial" w:cs="Arial" w:eastAsia="Arial" w:hAnsi="Arial"/>
          <w:sz w:val="17"/>
          <w:szCs w:val="17"/>
          <w:color w:val="auto"/>
        </w:rPr>
        <w:t>: The Eastman Business Park segment includes the operations of the Eastman Business Park, a more than 1,200 acre technology center and</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industrial complex.</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Kodak’s consumer film business in countries where that business has not yet transferred ownership to the KPP Purchasing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in Note 15 “Discontinued Operations”) and the RED utilities variable interest entity.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20"/>
                <w:szCs w:val="20"/>
                <w:color w:val="auto"/>
              </w:rPr>
            </w:pPr>
            <w:r>
              <w:rPr>
                <w:rFonts w:ascii="Arial" w:cs="Arial" w:eastAsia="Arial" w:hAnsi="Arial"/>
                <w:sz w:val="17"/>
                <w:szCs w:val="17"/>
                <w:color w:val="auto"/>
              </w:rPr>
              <w:t>Segment financial information is shown below.</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4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ind w:left="26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300"/>
              <w:spacing w:after="0"/>
              <w:rPr>
                <w:sz w:val="20"/>
                <w:szCs w:val="20"/>
                <w:color w:val="auto"/>
              </w:rPr>
            </w:pPr>
            <w:r>
              <w:rPr>
                <w:rFonts w:ascii="Arial" w:cs="Arial" w:eastAsia="Arial" w:hAnsi="Arial"/>
                <w:sz w:val="17"/>
                <w:szCs w:val="17"/>
                <w:b w:val="1"/>
                <w:bCs w:val="1"/>
                <w:color w:val="auto"/>
              </w:rPr>
              <w:t>Nine Months Ended</w:t>
            </w:r>
          </w:p>
        </w:tc>
      </w:tr>
      <w:tr>
        <w:trPr>
          <w:trHeight w:val="223"/>
        </w:trPr>
        <w:tc>
          <w:tcPr>
            <w:tcW w:w="4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(in millions)</w:t>
            </w:r>
          </w:p>
        </w:tc>
        <w:tc>
          <w:tcPr>
            <w:tcW w:w="1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928</w:t>
            </w: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123</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Software and Solutions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w:t>
            </w: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5"/>
        </w:trPr>
        <w:tc>
          <w:tcPr>
            <w:tcW w:w="44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40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1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446</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568</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1,331</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1,584</w:t>
            </w:r>
          </w:p>
        </w:tc>
      </w:tr>
      <w:tr>
        <w:trPr>
          <w:trHeight w:val="20"/>
        </w:trPr>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4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792"/>
        </w:trPr>
        <w:tc>
          <w:tcPr>
            <w:tcW w:w="4400" w:type="dxa"/>
            <w:vAlign w:val="bottom"/>
          </w:tcPr>
          <w:p>
            <w:pPr>
              <w:spacing w:after="0"/>
              <w:rPr>
                <w:sz w:val="24"/>
                <w:szCs w:val="24"/>
                <w:color w:val="auto"/>
              </w:rPr>
            </w:pPr>
          </w:p>
        </w:tc>
        <w:tc>
          <w:tcPr>
            <w:tcW w:w="1680" w:type="dxa"/>
            <w:vAlign w:val="bottom"/>
          </w:tcPr>
          <w:p>
            <w:pPr>
              <w:jc w:val="right"/>
              <w:ind w:right="196"/>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44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5"/>
          </w:tcPr>
          <w:p>
            <w:pPr>
              <w:jc w:val="right"/>
              <w:ind w:right="18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4"/>
          </w:tcPr>
          <w:p>
            <w:pPr>
              <w:jc w:val="right"/>
              <w:ind w:right="103"/>
              <w:spacing w:after="0"/>
              <w:rPr>
                <w:sz w:val="20"/>
                <w:szCs w:val="20"/>
                <w:color w:val="auto"/>
              </w:rPr>
            </w:pPr>
            <w:r>
              <w:rPr>
                <w:rFonts w:ascii="Arial" w:cs="Arial" w:eastAsia="Arial" w:hAnsi="Arial"/>
                <w:sz w:val="17"/>
                <w:szCs w:val="17"/>
                <w:b w:val="1"/>
                <w:bCs w:val="1"/>
                <w:color w:val="auto"/>
              </w:rPr>
              <w:t>Nine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7"/>
                <w:szCs w:val="17"/>
                <w:b w:val="1"/>
                <w:bCs w:val="1"/>
                <w:color w:val="auto"/>
                <w:w w:val="86"/>
              </w:rPr>
              <w:t>September 30,</w:t>
            </w: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7"/>
                <w:szCs w:val="17"/>
                <w:b w:val="1"/>
                <w:bCs w:val="1"/>
                <w:color w:val="auto"/>
                <w:w w:val="86"/>
              </w:rPr>
              <w:t>September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2014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2014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940" w:type="dxa"/>
            <w:vAlign w:val="bottom"/>
          </w:tcPr>
          <w:p>
            <w:pPr>
              <w:spacing w:after="0" w:line="185" w:lineRule="exact"/>
              <w:rPr>
                <w:sz w:val="20"/>
                <w:szCs w:val="20"/>
                <w:color w:val="auto"/>
              </w:rPr>
            </w:pPr>
            <w:r>
              <w:rPr>
                <w:rFonts w:ascii="Arial" w:cs="Arial" w:eastAsia="Arial" w:hAnsi="Arial"/>
                <w:sz w:val="17"/>
                <w:szCs w:val="17"/>
                <w:b w:val="1"/>
                <w:bCs w:val="1"/>
                <w:color w:val="auto"/>
                <w:w w:val="90"/>
              </w:rPr>
              <w:t>Segment Operational EBITDA and Consolidated loss from continuing operations</w:t>
            </w: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rPr>
              <w:t>before income taxes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88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9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Micro 3D Printing and Packaging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Software and Solutions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40" w:type="dxa"/>
            <w:vAlign w:val="bottom"/>
          </w:tcPr>
          <w:p>
            <w:pPr>
              <w:ind w:left="80"/>
              <w:spacing w:after="0"/>
              <w:rPr>
                <w:sz w:val="20"/>
                <w:szCs w:val="20"/>
                <w:color w:val="auto"/>
              </w:rPr>
            </w:pPr>
            <w:r>
              <w:rPr>
                <w:rFonts w:ascii="Arial" w:cs="Arial" w:eastAsia="Arial" w:hAnsi="Arial"/>
                <w:sz w:val="17"/>
                <w:szCs w:val="17"/>
                <w:color w:val="auto"/>
              </w:rPr>
              <w:t>Total of reportable segments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74</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187"/>
        </w:trPr>
        <w:tc>
          <w:tcPr>
            <w:tcW w:w="5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5940" w:type="dxa"/>
            <w:vAlign w:val="bottom"/>
            <w:shd w:val="clear" w:color="auto" w:fill="CCEEFF"/>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(113)</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(161)</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Stock based compensation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r>
      <w:tr>
        <w:trPr>
          <w:trHeight w:val="201"/>
        </w:trPr>
        <w:tc>
          <w:tcPr>
            <w:tcW w:w="5940" w:type="dxa"/>
            <w:vAlign w:val="bottom"/>
          </w:tcPr>
          <w:p>
            <w:pPr>
              <w:spacing w:after="0" w:line="20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3"/>
                <w:szCs w:val="23"/>
                <w:color w:val="auto"/>
                <w:vertAlign w:val="superscript"/>
              </w:rPr>
              <w:t>(2)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Costs previously allocated to discontinued operations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187"/>
        </w:trPr>
        <w:tc>
          <w:tcPr>
            <w:tcW w:w="5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operating income (expense), net excluding gain related to</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5940" w:type="dxa"/>
            <w:vAlign w:val="bottom"/>
            <w:shd w:val="clear" w:color="auto" w:fill="CCEEFF"/>
          </w:tcPr>
          <w:p>
            <w:pPr>
              <w:ind w:left="120"/>
              <w:spacing w:after="0" w:line="215" w:lineRule="exact"/>
              <w:rPr>
                <w:sz w:val="20"/>
                <w:szCs w:val="20"/>
                <w:color w:val="auto"/>
              </w:rPr>
            </w:pPr>
            <w:r>
              <w:rPr>
                <w:rFonts w:ascii="Arial" w:cs="Arial" w:eastAsia="Arial" w:hAnsi="Arial"/>
                <w:sz w:val="17"/>
                <w:szCs w:val="17"/>
                <w:color w:val="auto"/>
              </w:rPr>
              <w:t xml:space="preserve">Unipixel termination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189"/>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Consolidated income (loss) from continuing</w:t>
            </w:r>
          </w:p>
        </w:tc>
        <w:tc>
          <w:tcPr>
            <w:tcW w:w="1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5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operations before income taxes</w:t>
            </w:r>
          </w:p>
        </w:tc>
        <w:tc>
          <w:tcPr>
            <w:tcW w:w="88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9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16" w:lineRule="auto"/>
        <w:tabs>
          <w:tab w:leader="none" w:pos="46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214" w:lineRule="exact"/>
        <w:rPr>
          <w:rFonts w:ascii="Arial" w:cs="Arial" w:eastAsia="Arial" w:hAnsi="Arial"/>
          <w:sz w:val="23"/>
          <w:szCs w:val="23"/>
          <w:color w:val="auto"/>
          <w:vertAlign w:val="superscript"/>
        </w:rPr>
      </w:pPr>
    </w:p>
    <w:p>
      <w:pPr>
        <w:jc w:val="both"/>
        <w:ind w:left="460" w:hanging="227"/>
        <w:spacing w:after="0" w:line="225" w:lineRule="auto"/>
        <w:tabs>
          <w:tab w:leader="none" w:pos="46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Consulting and other costs are primarily related to professional services provided for corporate strategic initiatives in the current year periods. The prior year periods primarily represent the cost of AlixPartners filling interim executive positions which are not captured within “Reorganization items, net” as well as consulting services provided by former executives during transitional periods.</w:t>
      </w:r>
    </w:p>
    <w:p>
      <w:pPr>
        <w:spacing w:after="0" w:line="215" w:lineRule="exact"/>
        <w:rPr>
          <w:rFonts w:ascii="Arial" w:cs="Arial" w:eastAsia="Arial" w:hAnsi="Arial"/>
          <w:sz w:val="23"/>
          <w:szCs w:val="23"/>
          <w:color w:val="auto"/>
          <w:vertAlign w:val="superscript"/>
        </w:rPr>
      </w:pPr>
    </w:p>
    <w:p>
      <w:pPr>
        <w:ind w:left="460" w:hanging="227"/>
        <w:spacing w:after="0" w:line="216" w:lineRule="auto"/>
        <w:tabs>
          <w:tab w:leader="none" w:pos="46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214" w:lineRule="exact"/>
        <w:rPr>
          <w:rFonts w:ascii="Arial" w:cs="Arial" w:eastAsia="Arial" w:hAnsi="Arial"/>
          <w:sz w:val="23"/>
          <w:szCs w:val="23"/>
          <w:color w:val="auto"/>
          <w:vertAlign w:val="superscript"/>
        </w:rPr>
      </w:pPr>
    </w:p>
    <w:p>
      <w:pPr>
        <w:jc w:val="both"/>
        <w:ind w:left="460" w:hanging="227"/>
        <w:spacing w:after="0" w:line="230" w:lineRule="auto"/>
        <w:tabs>
          <w:tab w:leader="none" w:pos="46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In the third quarter of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for the third quarter of 2015.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Segment Measure of Profit and Loss</w:t>
      </w:r>
    </w:p>
    <w:p>
      <w:pPr>
        <w:spacing w:after="0" w:line="22"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Kodak’s segment measure of profit and loss is an adjusted earnings before interest, taxes, depreciation and amortization (“Operational EBITDA”). As demonstrated in the table above, operational EBITDA represents the income (loss) from continuing operations excluding the provision (benefit) for income taxes; Reorganization items, net; Other charges (income), net; Other operating income (expense), net (unless otherwise indicated); Restructuring costs; depreciation and amortization expense; corporate components of pension and OPEB income, stock-based compensation expense, consulting and other costs, idle costs, interest expense and; in prior periods, indirect costs previously allocated to discontinued operations and the impact of certain fresh start accounting adjustments.</w:t>
      </w:r>
    </w:p>
    <w:p>
      <w:pPr>
        <w:spacing w:after="0" w:line="181"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Segment Measure of Profit and Loss</w:t>
      </w:r>
    </w:p>
    <w:p>
      <w:pPr>
        <w:spacing w:after="0" w:line="2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During the third quarter of 2015 a gain was recognized related to assets that were acquired for no monetary consideration.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for the third quarter of 2015. The change affected third quarter of 2015 segment earnings by $3 million. No other periods were impacted by this change.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DISCONTINUED OPERATIONS</w:t>
      </w:r>
    </w:p>
    <w:p>
      <w:pPr>
        <w:spacing w:after="0" w:line="236"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Upon emergence from bankruptcy, as a part of a settlement agreement between Eastman Kodak Company, the KPP Trustees Limited (“KPP” or the “Trustee”), as trustee for the U.K. Pension Plan, and certain other Kodak entities, Kodak consummated the sale of certain assets of Kodak’s Personalized Imaging and Document Imaging businesses (together the “Business”) to KPP Holdco Limited (“KPP Holdco”), a wholly owned subsidiary of KPP, and certain direct and indirect subsidiaries of KPP Holdco (together with KPP Holdco,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but were transferred in a series of deferred closings. The final deferred closing occurred in September 2015. Kodak operated the Business relating to the deferred closing jurisdiction, subject to certain covenants, until the applicable deferred closing occurred, and delivered to (or received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were reported as (Loss) earnings from discontinued operations, net of income taxes in the Consolidated Statement of Operations and the assets and liabilities of the Business were categorized as Assets held for sale or Liabilities held for sale in the Consolidated Statement of Financial Position, as appropriate.</w:t>
      </w:r>
    </w:p>
    <w:p>
      <w:pPr>
        <w:spacing w:after="0" w:line="182"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On March 17, 2014 the KPP Purchasing Parties agreed to pay Kodak $20 million of incremental consideration ($13 million was paid in March 2014 and the remainder was paid in March 2015) in lieu of working capital adjustments contemplated by the settlement agreement.</w:t>
      </w:r>
    </w:p>
    <w:p>
      <w:pPr>
        <w:spacing w:after="0" w:line="192"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following table summarizes the major classes of assets and liabilities related to the disposition of the Business which have been segregated and included in Assets held for sale and Liabilities held for sale in the Consolidated Statement of Financial Position:</w:t>
      </w:r>
    </w:p>
    <w:tbl>
      <w:tblPr>
        <w:tblLayout w:type="fixed"/>
        <w:tblInd w:w="0" w:type="dxa"/>
        <w:tblCellMar>
          <w:top w:w="0" w:type="dxa"/>
          <w:left w:w="0" w:type="dxa"/>
          <w:bottom w:w="0" w:type="dxa"/>
          <w:right w:w="0" w:type="dxa"/>
        </w:tblCellMar>
      </w:tblPr>
      <w:tr>
        <w:trPr>
          <w:trHeight w:val="186"/>
        </w:trPr>
        <w:tc>
          <w:tcPr>
            <w:tcW w:w="8820" w:type="dxa"/>
            <w:vAlign w:val="bottom"/>
          </w:tcPr>
          <w:p>
            <w:pPr>
              <w:spacing w:after="0"/>
              <w:rPr>
                <w:sz w:val="16"/>
                <w:szCs w:val="16"/>
                <w:color w:val="auto"/>
              </w:rPr>
            </w:pPr>
          </w:p>
        </w:tc>
        <w:tc>
          <w:tcPr>
            <w:tcW w:w="1600" w:type="dxa"/>
            <w:vAlign w:val="bottom"/>
            <w:gridSpan w:val="4"/>
          </w:tcPr>
          <w:p>
            <w:pPr>
              <w:ind w:left="1060"/>
              <w:spacing w:after="0" w:line="185" w:lineRule="exact"/>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88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w w:val="91"/>
              </w:rPr>
              <w:t>September 30,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7"/>
                <w:szCs w:val="17"/>
                <w:b w:val="1"/>
                <w:bCs w:val="1"/>
                <w:color w:val="auto"/>
              </w:rPr>
              <w:t>2015</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 net</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46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Property, plant and equipment, net</w:t>
            </w:r>
          </w:p>
        </w:tc>
        <w:tc>
          <w:tcPr>
            <w:tcW w:w="10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Intangible assets and other</w:t>
            </w:r>
          </w:p>
        </w:tc>
        <w:tc>
          <w:tcPr>
            <w:tcW w:w="10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Assets held for sale</w:t>
            </w:r>
          </w:p>
        </w:tc>
        <w:tc>
          <w:tcPr>
            <w:tcW w:w="1080" w:type="dxa"/>
            <w:vAlign w:val="bottom"/>
          </w:tcPr>
          <w:p>
            <w:pPr>
              <w:jc w:val="right"/>
              <w:ind w:right="922"/>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r>
              <w:rPr>
                <w:rFonts w:ascii="Arial" w:cs="Arial" w:eastAsia="Arial" w:hAnsi="Arial"/>
                <w:sz w:val="16"/>
                <w:szCs w:val="16"/>
                <w:color w:val="auto"/>
                <w:w w:val="74"/>
              </w:rPr>
              <w:t>-</w:t>
            </w:r>
          </w:p>
        </w:tc>
        <w:tc>
          <w:tcPr>
            <w:tcW w:w="46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
        </w:trPr>
        <w:tc>
          <w:tcPr>
            <w:tcW w:w="8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Trade payables</w:t>
            </w:r>
          </w:p>
        </w:tc>
        <w:tc>
          <w:tcPr>
            <w:tcW w:w="1080" w:type="dxa"/>
            <w:vAlign w:val="bottom"/>
            <w:tcBorders>
              <w:bottom w:val="single" w:sz="8" w:color="auto"/>
            </w:tcBorders>
          </w:tcPr>
          <w:p>
            <w:pPr>
              <w:jc w:val="right"/>
              <w:ind w:right="92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Liabilities held for sale</w:t>
            </w:r>
          </w:p>
        </w:tc>
        <w:tc>
          <w:tcPr>
            <w:tcW w:w="108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9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Discontinued operations of Kodak include the Business (excluding the consumer film business, for which Kodak entered into an ongoing supply arrangement with one or more KPP Purchasing Parties) and other miscellaneous businesses.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significant components of revenues and (loss) earnings from discontinued operations, net of income taxes,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0" w:type="dxa"/>
            <w:vAlign w:val="bottom"/>
            <w:gridSpan w:val="5"/>
          </w:tcPr>
          <w:p>
            <w:pPr>
              <w:jc w:val="right"/>
              <w:ind w:right="96"/>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Nine Months Ended</w:t>
            </w:r>
          </w:p>
        </w:tc>
      </w:tr>
      <w:tr>
        <w:trPr>
          <w:trHeight w:val="223"/>
        </w:trPr>
        <w:tc>
          <w:tcPr>
            <w:tcW w:w="5260" w:type="dxa"/>
            <w:vAlign w:val="bottom"/>
          </w:tcPr>
          <w:p>
            <w:pPr>
              <w:spacing w:after="0"/>
              <w:rPr>
                <w:sz w:val="20"/>
                <w:szCs w:val="20"/>
                <w:color w:val="auto"/>
              </w:rPr>
            </w:pPr>
            <w:r>
              <w:rPr>
                <w:rFonts w:ascii="Arial" w:cs="Arial" w:eastAsia="Arial" w:hAnsi="Arial"/>
                <w:sz w:val="17"/>
                <w:szCs w:val="17"/>
                <w:color w:val="auto"/>
              </w:rPr>
              <w:t>(in millions)</w:t>
            </w:r>
          </w:p>
        </w:tc>
        <w:tc>
          <w:tcPr>
            <w:tcW w:w="8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7"/>
                <w:szCs w:val="17"/>
                <w:b w:val="1"/>
                <w:bCs w:val="1"/>
                <w:color w:val="auto"/>
                <w:w w:val="86"/>
              </w:rPr>
              <w:t>September 30,</w:t>
            </w: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Revenues from Personalized and Document Imaging</w:t>
            </w:r>
          </w:p>
        </w:tc>
        <w:tc>
          <w:tcPr>
            <w:tcW w:w="156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r>
      <w:tr>
        <w:trPr>
          <w:trHeight w:val="201"/>
        </w:trPr>
        <w:tc>
          <w:tcPr>
            <w:tcW w:w="5260" w:type="dxa"/>
            <w:vAlign w:val="bottom"/>
          </w:tcPr>
          <w:p>
            <w:pPr>
              <w:spacing w:after="0"/>
              <w:rPr>
                <w:sz w:val="20"/>
                <w:szCs w:val="20"/>
                <w:color w:val="auto"/>
              </w:rPr>
            </w:pPr>
            <w:r>
              <w:rPr>
                <w:rFonts w:ascii="Arial" w:cs="Arial" w:eastAsia="Arial" w:hAnsi="Arial"/>
                <w:sz w:val="17"/>
                <w:szCs w:val="17"/>
                <w:color w:val="auto"/>
              </w:rPr>
              <w:t>Revenues from other discontinued operations</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from discontinued operations</w:t>
            </w:r>
          </w:p>
        </w:tc>
        <w:tc>
          <w:tcPr>
            <w:tcW w:w="156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w:t>
            </w:r>
          </w:p>
        </w:tc>
      </w:tr>
      <w:tr>
        <w:trPr>
          <w:trHeight w:val="191"/>
        </w:trPr>
        <w:tc>
          <w:tcPr>
            <w:tcW w:w="5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Pre-tax (loss) earnings from Personalized and Document Imaging</w:t>
            </w:r>
          </w:p>
        </w:tc>
        <w:tc>
          <w:tcPr>
            <w:tcW w:w="156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90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5260" w:type="dxa"/>
            <w:vAlign w:val="bottom"/>
          </w:tcPr>
          <w:p>
            <w:pPr>
              <w:spacing w:after="0"/>
              <w:rPr>
                <w:sz w:val="20"/>
                <w:szCs w:val="20"/>
                <w:color w:val="auto"/>
              </w:rPr>
            </w:pPr>
            <w:r>
              <w:rPr>
                <w:rFonts w:ascii="Arial" w:cs="Arial" w:eastAsia="Arial" w:hAnsi="Arial"/>
                <w:sz w:val="17"/>
                <w:szCs w:val="17"/>
                <w:color w:val="auto"/>
              </w:rPr>
              <w:t>Provision for income taxes related to discontinued operations</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5"/>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156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90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$5 million in pre-tax loss recognized in the third quarter of 2015 represents costs incurred related to the final deferred closing.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16: FINANCIAL INSTRUMENTS</w:t>
      </w:r>
    </w:p>
    <w:p>
      <w:pPr>
        <w:spacing w:after="0" w:line="236"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color w:val="auto"/>
        </w:rPr>
        <w:t>The following tables present the carrying amounts, estimated fair values, and location in the Consolidated Statement of Financial Position for Kodak’s financial instruments: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gridSpan w:val="7"/>
          </w:tcPr>
          <w:p>
            <w:pPr>
              <w:ind w:left="20"/>
              <w:spacing w:after="0"/>
              <w:rPr>
                <w:sz w:val="20"/>
                <w:szCs w:val="20"/>
                <w:color w:val="auto"/>
              </w:rPr>
            </w:pPr>
            <w:r>
              <w:rPr>
                <w:rFonts w:ascii="Arial" w:cs="Arial" w:eastAsia="Arial" w:hAnsi="Arial"/>
                <w:sz w:val="17"/>
                <w:szCs w:val="17"/>
                <w:b w:val="1"/>
                <w:bCs w:val="1"/>
                <w:color w:val="auto"/>
                <w:w w:val="92"/>
              </w:rPr>
              <w:t>Value Of Items Recorded At Fair Value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7"/>
                <w:szCs w:val="17"/>
                <w:color w:val="auto"/>
              </w:rPr>
              <w:t>(in millions)</w:t>
            </w: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320"/>
              <w:spacing w:after="0"/>
              <w:rPr>
                <w:sz w:val="20"/>
                <w:szCs w:val="20"/>
                <w:color w:val="auto"/>
              </w:rPr>
            </w:pPr>
            <w:r>
              <w:rPr>
                <w:rFonts w:ascii="Arial" w:cs="Arial" w:eastAsia="Arial" w:hAnsi="Arial"/>
                <w:sz w:val="17"/>
                <w:szCs w:val="17"/>
                <w:b w:val="1"/>
                <w:bCs w:val="1"/>
                <w:color w:val="auto"/>
                <w:w w:val="95"/>
              </w:rPr>
              <w:t>As of September 30, 2015</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Level 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Level 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Level 3</w:t>
            </w:r>
          </w:p>
        </w:tc>
      </w:tr>
      <w:tr>
        <w:trPr>
          <w:trHeight w:val="201"/>
        </w:trPr>
        <w:tc>
          <w:tcPr>
            <w:tcW w:w="30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ASSETS</w:t>
            </w:r>
          </w:p>
        </w:tc>
        <w:tc>
          <w:tcPr>
            <w:tcW w:w="25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w:t>
            </w: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Short-term foreign exchange contracts</w:t>
            </w:r>
          </w:p>
        </w:tc>
        <w:tc>
          <w:tcPr>
            <w:tcW w:w="2520" w:type="dxa"/>
            <w:vAlign w:val="bottom"/>
          </w:tcPr>
          <w:p>
            <w:pPr>
              <w:ind w:left="420"/>
              <w:spacing w:after="0"/>
              <w:rPr>
                <w:sz w:val="20"/>
                <w:szCs w:val="20"/>
                <w:color w:val="auto"/>
              </w:rPr>
            </w:pPr>
            <w:r>
              <w:rPr>
                <w:rFonts w:ascii="Arial" w:cs="Arial" w:eastAsia="Arial" w:hAnsi="Arial"/>
                <w:sz w:val="17"/>
                <w:szCs w:val="17"/>
                <w:color w:val="auto"/>
              </w:rPr>
              <w:t>Receivables, net</w:t>
            </w:r>
          </w:p>
        </w:tc>
        <w:tc>
          <w:tcPr>
            <w:tcW w:w="1440" w:type="dxa"/>
            <w:vAlign w:val="bottom"/>
            <w:gridSpan w:val="2"/>
          </w:tcPr>
          <w:p>
            <w:pPr>
              <w:jc w:val="right"/>
              <w:ind w:right="736"/>
              <w:spacing w:after="0"/>
              <w:rPr>
                <w:sz w:val="20"/>
                <w:szCs w:val="20"/>
                <w:color w:val="auto"/>
              </w:rPr>
            </w:pPr>
            <w:r>
              <w:rPr>
                <w:rFonts w:ascii="Arial" w:cs="Arial" w:eastAsia="Arial" w:hAnsi="Arial"/>
                <w:sz w:val="17"/>
                <w:szCs w:val="17"/>
                <w:color w:val="auto"/>
              </w:rPr>
              <w:t>$</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756"/>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776"/>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0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020" w:type="dxa"/>
            <w:vAlign w:val="bottom"/>
          </w:tcPr>
          <w:p>
            <w:pPr>
              <w:spacing w:after="0"/>
              <w:rPr>
                <w:sz w:val="20"/>
                <w:szCs w:val="20"/>
                <w:color w:val="auto"/>
              </w:rPr>
            </w:pPr>
            <w:r>
              <w:rPr>
                <w:rFonts w:ascii="Arial" w:cs="Arial" w:eastAsia="Arial" w:hAnsi="Arial"/>
                <w:sz w:val="17"/>
                <w:szCs w:val="17"/>
                <w:b w:val="1"/>
                <w:bCs w:val="1"/>
                <w:color w:val="auto"/>
              </w:rPr>
              <w:t>Marketable securities</w:t>
            </w:r>
          </w:p>
        </w:tc>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Long-term available-for-sale securities</w:t>
            </w:r>
          </w:p>
        </w:tc>
        <w:tc>
          <w:tcPr>
            <w:tcW w:w="2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long-term assets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02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Short-term foreign exchange contracts</w:t>
            </w:r>
          </w:p>
        </w:tc>
        <w:tc>
          <w:tcPr>
            <w:tcW w:w="2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current liabilities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612"/>
        </w:trPr>
        <w:tc>
          <w:tcPr>
            <w:tcW w:w="3020" w:type="dxa"/>
            <w:vAlign w:val="bottom"/>
          </w:tcPr>
          <w:p>
            <w:pPr>
              <w:spacing w:after="0"/>
              <w:rPr>
                <w:sz w:val="20"/>
                <w:szCs w:val="20"/>
                <w:color w:val="auto"/>
              </w:rPr>
            </w:pPr>
            <w:r>
              <w:rPr>
                <w:rFonts w:ascii="Arial" w:cs="Arial" w:eastAsia="Arial" w:hAnsi="Arial"/>
                <w:sz w:val="17"/>
                <w:szCs w:val="17"/>
                <w:color w:val="auto"/>
              </w:rPr>
              <w:t>(in millions)</w:t>
            </w:r>
          </w:p>
        </w:tc>
        <w:tc>
          <w:tcPr>
            <w:tcW w:w="2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gridSpan w:val="10"/>
          </w:tcPr>
          <w:p>
            <w:pPr>
              <w:ind w:left="160"/>
              <w:spacing w:after="0"/>
              <w:rPr>
                <w:sz w:val="20"/>
                <w:szCs w:val="20"/>
                <w:color w:val="auto"/>
              </w:rPr>
            </w:pPr>
            <w:r>
              <w:rPr>
                <w:rFonts w:ascii="Arial" w:cs="Arial" w:eastAsia="Arial" w:hAnsi="Arial"/>
                <w:sz w:val="17"/>
                <w:szCs w:val="17"/>
                <w:b w:val="1"/>
                <w:bCs w:val="1"/>
                <w:color w:val="auto"/>
                <w:w w:val="93"/>
              </w:rPr>
              <w:t>Value Of Items Not Recorded At Fair Value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ind w:left="340"/>
              <w:spacing w:after="0"/>
              <w:rPr>
                <w:sz w:val="20"/>
                <w:szCs w:val="20"/>
                <w:color w:val="auto"/>
              </w:rPr>
            </w:pPr>
            <w:r>
              <w:rPr>
                <w:rFonts w:ascii="Arial" w:cs="Arial" w:eastAsia="Arial" w:hAnsi="Arial"/>
                <w:sz w:val="17"/>
                <w:szCs w:val="17"/>
                <w:b w:val="1"/>
                <w:bCs w:val="1"/>
                <w:color w:val="auto"/>
                <w:w w:val="94"/>
              </w:rPr>
              <w:t>As of September 30, 2015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689" w:right="23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1880" w:type="dxa"/>
            <w:vAlign w:val="bottom"/>
            <w:vMerge w:val="restart"/>
          </w:tcPr>
          <w:p>
            <w:pPr>
              <w:ind w:left="120"/>
              <w:spacing w:after="0"/>
              <w:rPr>
                <w:sz w:val="20"/>
                <w:szCs w:val="20"/>
                <w:color w:val="auto"/>
              </w:rPr>
            </w:pPr>
            <w:r>
              <w:rPr>
                <w:rFonts w:ascii="Arial" w:cs="Arial" w:eastAsia="Arial" w:hAnsi="Arial"/>
                <w:sz w:val="17"/>
                <w:szCs w:val="17"/>
                <w:color w:val="auto"/>
                <w:w w:val="99"/>
              </w:rPr>
              <w:t>Current portion of long-</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Arial" w:cs="Arial" w:eastAsia="Arial" w:hAnsi="Arial"/>
                <w:sz w:val="17"/>
                <w:szCs w:val="17"/>
                <w:color w:val="auto"/>
              </w:rPr>
              <w:t>Short-term debt</w:t>
            </w:r>
          </w:p>
        </w:tc>
        <w:tc>
          <w:tcPr>
            <w:tcW w:w="1880" w:type="dxa"/>
            <w:vAlign w:val="bottom"/>
          </w:tcPr>
          <w:p>
            <w:pPr>
              <w:ind w:left="120"/>
              <w:spacing w:after="0"/>
              <w:rPr>
                <w:sz w:val="20"/>
                <w:szCs w:val="20"/>
                <w:color w:val="auto"/>
              </w:rPr>
            </w:pPr>
            <w:r>
              <w:rPr>
                <w:rFonts w:ascii="Arial" w:cs="Arial" w:eastAsia="Arial" w:hAnsi="Arial"/>
                <w:sz w:val="17"/>
                <w:szCs w:val="17"/>
                <w:color w:val="auto"/>
              </w:rPr>
              <w:t>term debt</w:t>
            </w:r>
          </w:p>
        </w:tc>
        <w:tc>
          <w:tcPr>
            <w:tcW w:w="1080" w:type="dxa"/>
            <w:vAlign w:val="bottom"/>
          </w:tcPr>
          <w:p>
            <w:pPr>
              <w:ind w:left="80"/>
              <w:spacing w:after="0"/>
              <w:rPr>
                <w:sz w:val="20"/>
                <w:szCs w:val="20"/>
                <w:color w:val="auto"/>
              </w:rPr>
            </w:pPr>
            <w:r>
              <w:rPr>
                <w:rFonts w:ascii="Arial" w:cs="Arial" w:eastAsia="Arial" w:hAnsi="Arial"/>
                <w:sz w:val="17"/>
                <w:szCs w:val="17"/>
                <w:color w:val="auto"/>
                <w:w w:val="89"/>
              </w:rPr>
              <w:t>Carrying value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390"/>
        </w:trPr>
        <w:tc>
          <w:tcPr>
            <w:tcW w:w="2740" w:type="dxa"/>
            <w:vAlign w:val="bottom"/>
          </w:tcPr>
          <w:p>
            <w:pPr>
              <w:spacing w:after="0"/>
              <w:rPr>
                <w:sz w:val="24"/>
                <w:szCs w:val="24"/>
                <w:color w:val="auto"/>
              </w:rPr>
            </w:pPr>
          </w:p>
        </w:tc>
        <w:tc>
          <w:tcPr>
            <w:tcW w:w="1880" w:type="dxa"/>
            <w:vAlign w:val="bottom"/>
          </w:tcPr>
          <w:p>
            <w:pPr>
              <w:ind w:left="120"/>
              <w:spacing w:after="0"/>
              <w:rPr>
                <w:sz w:val="20"/>
                <w:szCs w:val="20"/>
                <w:color w:val="auto"/>
              </w:rPr>
            </w:pPr>
            <w:r>
              <w:rPr>
                <w:rFonts w:ascii="Arial" w:cs="Arial" w:eastAsia="Arial" w:hAnsi="Arial"/>
                <w:sz w:val="17"/>
                <w:szCs w:val="17"/>
                <w:color w:val="auto"/>
              </w:rPr>
              <w:t>Long-term debt, net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Arial" w:cs="Arial" w:eastAsia="Arial" w:hAnsi="Arial"/>
                <w:sz w:val="17"/>
                <w:szCs w:val="17"/>
                <w:color w:val="auto"/>
              </w:rPr>
              <w:t>Long-term debt</w:t>
            </w:r>
          </w:p>
        </w:tc>
        <w:tc>
          <w:tcPr>
            <w:tcW w:w="1880" w:type="dxa"/>
            <w:vAlign w:val="bottom"/>
          </w:tcPr>
          <w:p>
            <w:pPr>
              <w:ind w:left="120"/>
              <w:spacing w:after="0"/>
              <w:rPr>
                <w:sz w:val="20"/>
                <w:szCs w:val="20"/>
                <w:color w:val="auto"/>
              </w:rPr>
            </w:pPr>
            <w:r>
              <w:rPr>
                <w:rFonts w:ascii="Arial" w:cs="Arial" w:eastAsia="Arial" w:hAnsi="Arial"/>
                <w:sz w:val="17"/>
                <w:szCs w:val="17"/>
                <w:color w:val="auto"/>
              </w:rPr>
              <w:t>current portion</w:t>
            </w:r>
          </w:p>
        </w:tc>
        <w:tc>
          <w:tcPr>
            <w:tcW w:w="1080" w:type="dxa"/>
            <w:vAlign w:val="bottom"/>
          </w:tcPr>
          <w:p>
            <w:pPr>
              <w:ind w:left="80"/>
              <w:spacing w:after="0"/>
              <w:rPr>
                <w:sz w:val="20"/>
                <w:szCs w:val="20"/>
                <w:color w:val="auto"/>
              </w:rPr>
            </w:pPr>
            <w:r>
              <w:rPr>
                <w:rFonts w:ascii="Arial" w:cs="Arial" w:eastAsia="Arial" w:hAnsi="Arial"/>
                <w:sz w:val="17"/>
                <w:szCs w:val="17"/>
                <w:color w:val="auto"/>
                <w:w w:val="89"/>
              </w:rPr>
              <w:t>Carrying value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629"/>
        </w:trPr>
        <w:tc>
          <w:tcPr>
            <w:tcW w:w="2740" w:type="dxa"/>
            <w:vAlign w:val="bottom"/>
          </w:tcPr>
          <w:p>
            <w:pPr>
              <w:spacing w:after="0"/>
              <w:rPr>
                <w:sz w:val="20"/>
                <w:szCs w:val="20"/>
                <w:color w:val="auto"/>
              </w:rPr>
            </w:pPr>
            <w:r>
              <w:rPr>
                <w:rFonts w:ascii="Arial" w:cs="Arial" w:eastAsia="Arial" w:hAnsi="Arial"/>
                <w:sz w:val="17"/>
                <w:szCs w:val="17"/>
                <w:color w:val="auto"/>
              </w:rPr>
              <w:t>(in millions)</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7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7"/>
                <w:szCs w:val="17"/>
                <w:color w:val="auto"/>
                <w:w w:val="94"/>
              </w:rPr>
              <w:t>Short-term foreign exchange contracts</w:t>
            </w:r>
          </w:p>
        </w:tc>
        <w:tc>
          <w:tcPr>
            <w:tcW w:w="1880" w:type="dxa"/>
            <w:vAlign w:val="bottom"/>
          </w:tcPr>
          <w:p>
            <w:pPr>
              <w:ind w:left="700"/>
              <w:spacing w:after="0"/>
              <w:rPr>
                <w:sz w:val="20"/>
                <w:szCs w:val="20"/>
                <w:color w:val="auto"/>
              </w:rPr>
            </w:pPr>
            <w:r>
              <w:rPr>
                <w:rFonts w:ascii="Arial" w:cs="Arial" w:eastAsia="Arial" w:hAnsi="Arial"/>
                <w:sz w:val="17"/>
                <w:szCs w:val="17"/>
                <w:color w:val="auto"/>
                <w:w w:val="92"/>
              </w:rPr>
              <w:t>Receivables, net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740" w:type="dxa"/>
            <w:vAlign w:val="bottom"/>
          </w:tcPr>
          <w:p>
            <w:pPr>
              <w:spacing w:after="0"/>
              <w:rPr>
                <w:sz w:val="20"/>
                <w:szCs w:val="20"/>
                <w:color w:val="auto"/>
              </w:rPr>
            </w:pPr>
            <w:r>
              <w:rPr>
                <w:rFonts w:ascii="Arial" w:cs="Arial" w:eastAsia="Arial" w:hAnsi="Arial"/>
                <w:sz w:val="17"/>
                <w:szCs w:val="17"/>
                <w:b w:val="1"/>
                <w:bCs w:val="1"/>
                <w:color w:val="auto"/>
              </w:rPr>
              <w:t>Marketable securities</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7"/>
                <w:szCs w:val="17"/>
                <w:color w:val="auto"/>
                <w:w w:val="94"/>
              </w:rPr>
              <w:t>Long-term available-for-sale securities</w:t>
            </w:r>
          </w:p>
        </w:tc>
        <w:tc>
          <w:tcPr>
            <w:tcW w:w="2960" w:type="dxa"/>
            <w:vAlign w:val="bottom"/>
            <w:gridSpan w:val="2"/>
          </w:tcPr>
          <w:p>
            <w:pPr>
              <w:ind w:left="700"/>
              <w:spacing w:after="0"/>
              <w:rPr>
                <w:sz w:val="20"/>
                <w:szCs w:val="20"/>
                <w:color w:val="auto"/>
              </w:rPr>
            </w:pPr>
            <w:r>
              <w:rPr>
                <w:rFonts w:ascii="Arial" w:cs="Arial" w:eastAsia="Arial" w:hAnsi="Arial"/>
                <w:sz w:val="17"/>
                <w:szCs w:val="17"/>
                <w:color w:val="auto"/>
              </w:rPr>
              <w:t>Other long-term assets</w:t>
            </w:r>
          </w:p>
        </w:tc>
        <w:tc>
          <w:tcPr>
            <w:tcW w:w="0" w:type="dxa"/>
            <w:vAlign w:val="bottom"/>
          </w:tcPr>
          <w:p>
            <w:pPr>
              <w:spacing w:after="0"/>
              <w:rPr>
                <w:sz w:val="1"/>
                <w:szCs w:val="1"/>
                <w:color w:val="auto"/>
              </w:rPr>
            </w:pPr>
          </w:p>
        </w:tc>
      </w:tr>
      <w:tr>
        <w:trPr>
          <w:trHeight w:val="386"/>
        </w:trPr>
        <w:tc>
          <w:tcPr>
            <w:tcW w:w="27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7"/>
                <w:szCs w:val="17"/>
                <w:color w:val="auto"/>
                <w:w w:val="94"/>
              </w:rPr>
              <w:t>Short-term foreign exchange contracts</w:t>
            </w:r>
          </w:p>
        </w:tc>
        <w:tc>
          <w:tcPr>
            <w:tcW w:w="2960" w:type="dxa"/>
            <w:vAlign w:val="bottom"/>
            <w:gridSpan w:val="2"/>
          </w:tcPr>
          <w:p>
            <w:pPr>
              <w:ind w:left="700"/>
              <w:spacing w:after="0"/>
              <w:rPr>
                <w:sz w:val="20"/>
                <w:szCs w:val="20"/>
                <w:color w:val="auto"/>
              </w:rPr>
            </w:pPr>
            <w:r>
              <w:rPr>
                <w:rFonts w:ascii="Arial" w:cs="Arial" w:eastAsia="Arial" w:hAnsi="Arial"/>
                <w:sz w:val="17"/>
                <w:szCs w:val="17"/>
                <w:color w:val="auto"/>
              </w:rPr>
              <w:t>Other current liabilities</w:t>
            </w:r>
          </w:p>
        </w:tc>
        <w:tc>
          <w:tcPr>
            <w:tcW w:w="0" w:type="dxa"/>
            <w:vAlign w:val="bottom"/>
          </w:tcPr>
          <w:p>
            <w:pPr>
              <w:spacing w:after="0"/>
              <w:rPr>
                <w:sz w:val="1"/>
                <w:szCs w:val="1"/>
                <w:color w:val="auto"/>
              </w:rPr>
            </w:pPr>
          </w:p>
        </w:tc>
      </w:tr>
      <w:tr>
        <w:trPr>
          <w:trHeight w:val="830"/>
        </w:trPr>
        <w:tc>
          <w:tcPr>
            <w:tcW w:w="2740" w:type="dxa"/>
            <w:vAlign w:val="bottom"/>
          </w:tcPr>
          <w:p>
            <w:pPr>
              <w:spacing w:after="0"/>
              <w:rPr>
                <w:sz w:val="20"/>
                <w:szCs w:val="20"/>
                <w:color w:val="auto"/>
              </w:rPr>
            </w:pPr>
            <w:r>
              <w:rPr>
                <w:rFonts w:ascii="Arial" w:cs="Arial" w:eastAsia="Arial" w:hAnsi="Arial"/>
                <w:sz w:val="17"/>
                <w:szCs w:val="17"/>
                <w:color w:val="auto"/>
              </w:rPr>
              <w:t>(in millions)</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7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1880" w:type="dxa"/>
            <w:vAlign w:val="bottom"/>
            <w:vMerge w:val="restart"/>
          </w:tcPr>
          <w:p>
            <w:pPr>
              <w:ind w:left="120"/>
              <w:spacing w:after="0"/>
              <w:rPr>
                <w:sz w:val="20"/>
                <w:szCs w:val="20"/>
                <w:color w:val="auto"/>
              </w:rPr>
            </w:pPr>
            <w:r>
              <w:rPr>
                <w:rFonts w:ascii="Arial" w:cs="Arial" w:eastAsia="Arial" w:hAnsi="Arial"/>
                <w:sz w:val="17"/>
                <w:szCs w:val="17"/>
                <w:color w:val="auto"/>
                <w:w w:val="99"/>
              </w:rPr>
              <w:t>Current portion of long-</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Arial" w:cs="Arial" w:eastAsia="Arial" w:hAnsi="Arial"/>
                <w:sz w:val="17"/>
                <w:szCs w:val="17"/>
                <w:color w:val="auto"/>
              </w:rPr>
              <w:t>Short-term debt</w:t>
            </w:r>
          </w:p>
        </w:tc>
        <w:tc>
          <w:tcPr>
            <w:tcW w:w="1880" w:type="dxa"/>
            <w:vAlign w:val="bottom"/>
          </w:tcPr>
          <w:p>
            <w:pPr>
              <w:ind w:left="120"/>
              <w:spacing w:after="0"/>
              <w:rPr>
                <w:sz w:val="20"/>
                <w:szCs w:val="20"/>
                <w:color w:val="auto"/>
              </w:rPr>
            </w:pPr>
            <w:r>
              <w:rPr>
                <w:rFonts w:ascii="Arial" w:cs="Arial" w:eastAsia="Arial" w:hAnsi="Arial"/>
                <w:sz w:val="17"/>
                <w:szCs w:val="17"/>
                <w:color w:val="auto"/>
              </w:rPr>
              <w:t>term debt</w:t>
            </w:r>
          </w:p>
        </w:tc>
        <w:tc>
          <w:tcPr>
            <w:tcW w:w="1080" w:type="dxa"/>
            <w:vAlign w:val="bottom"/>
          </w:tcPr>
          <w:p>
            <w:pPr>
              <w:ind w:left="80"/>
              <w:spacing w:after="0"/>
              <w:rPr>
                <w:sz w:val="20"/>
                <w:szCs w:val="20"/>
                <w:color w:val="auto"/>
              </w:rPr>
            </w:pPr>
            <w:r>
              <w:rPr>
                <w:rFonts w:ascii="Arial" w:cs="Arial" w:eastAsia="Arial" w:hAnsi="Arial"/>
                <w:sz w:val="17"/>
                <w:szCs w:val="17"/>
                <w:color w:val="auto"/>
                <w:w w:val="89"/>
              </w:rPr>
              <w:t>Carrying value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390"/>
        </w:trPr>
        <w:tc>
          <w:tcPr>
            <w:tcW w:w="2740" w:type="dxa"/>
            <w:vAlign w:val="bottom"/>
          </w:tcPr>
          <w:p>
            <w:pPr>
              <w:spacing w:after="0"/>
              <w:rPr>
                <w:sz w:val="24"/>
                <w:szCs w:val="24"/>
                <w:color w:val="auto"/>
              </w:rPr>
            </w:pPr>
          </w:p>
        </w:tc>
        <w:tc>
          <w:tcPr>
            <w:tcW w:w="1880" w:type="dxa"/>
            <w:vAlign w:val="bottom"/>
          </w:tcPr>
          <w:p>
            <w:pPr>
              <w:ind w:left="120"/>
              <w:spacing w:after="0"/>
              <w:rPr>
                <w:sz w:val="20"/>
                <w:szCs w:val="20"/>
                <w:color w:val="auto"/>
              </w:rPr>
            </w:pPr>
            <w:r>
              <w:rPr>
                <w:rFonts w:ascii="Arial" w:cs="Arial" w:eastAsia="Arial" w:hAnsi="Arial"/>
                <w:sz w:val="17"/>
                <w:szCs w:val="17"/>
                <w:color w:val="auto"/>
              </w:rPr>
              <w:t>Long-term debt, net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Arial" w:cs="Arial" w:eastAsia="Arial" w:hAnsi="Arial"/>
                <w:sz w:val="17"/>
                <w:szCs w:val="17"/>
                <w:color w:val="auto"/>
              </w:rPr>
              <w:t>Long-term debt</w:t>
            </w:r>
          </w:p>
        </w:tc>
        <w:tc>
          <w:tcPr>
            <w:tcW w:w="1880" w:type="dxa"/>
            <w:vAlign w:val="bottom"/>
          </w:tcPr>
          <w:p>
            <w:pPr>
              <w:ind w:left="120"/>
              <w:spacing w:after="0"/>
              <w:rPr>
                <w:sz w:val="20"/>
                <w:szCs w:val="20"/>
                <w:color w:val="auto"/>
              </w:rPr>
            </w:pPr>
            <w:r>
              <w:rPr>
                <w:rFonts w:ascii="Arial" w:cs="Arial" w:eastAsia="Arial" w:hAnsi="Arial"/>
                <w:sz w:val="17"/>
                <w:szCs w:val="17"/>
                <w:color w:val="auto"/>
              </w:rPr>
              <w:t>current portion</w:t>
            </w:r>
          </w:p>
        </w:tc>
        <w:tc>
          <w:tcPr>
            <w:tcW w:w="1080" w:type="dxa"/>
            <w:vAlign w:val="bottom"/>
          </w:tcPr>
          <w:p>
            <w:pPr>
              <w:ind w:left="80"/>
              <w:spacing w:after="0"/>
              <w:rPr>
                <w:sz w:val="20"/>
                <w:szCs w:val="20"/>
                <w:color w:val="auto"/>
              </w:rPr>
            </w:pPr>
            <w:r>
              <w:rPr>
                <w:rFonts w:ascii="Arial" w:cs="Arial" w:eastAsia="Arial" w:hAnsi="Arial"/>
                <w:sz w:val="17"/>
                <w:szCs w:val="17"/>
                <w:color w:val="auto"/>
                <w:w w:val="89"/>
              </w:rPr>
              <w:t>Carrying value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-4964430</wp:posOffset>
            </wp:positionV>
            <wp:extent cx="7256145" cy="14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143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-4692650</wp:posOffset>
            </wp:positionV>
            <wp:extent cx="7256145" cy="127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-4309745</wp:posOffset>
            </wp:positionV>
            <wp:extent cx="7256145" cy="127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-4054475</wp:posOffset>
            </wp:positionV>
            <wp:extent cx="7256145" cy="255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55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-3256280</wp:posOffset>
            </wp:positionV>
            <wp:extent cx="725614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143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-2984500</wp:posOffset>
            </wp:positionV>
            <wp:extent cx="7256145" cy="127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-2729230</wp:posOffset>
            </wp:positionV>
            <wp:extent cx="7256145" cy="127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-2473960</wp:posOffset>
            </wp:positionV>
            <wp:extent cx="7256145" cy="127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-2218055</wp:posOffset>
            </wp:positionV>
            <wp:extent cx="7256145" cy="127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-1292225</wp:posOffset>
            </wp:positionV>
            <wp:extent cx="7256145" cy="14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143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-1021080</wp:posOffset>
            </wp:positionV>
            <wp:extent cx="7256145" cy="127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-637540</wp:posOffset>
            </wp:positionV>
            <wp:extent cx="7256145" cy="127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-382270</wp:posOffset>
            </wp:positionV>
            <wp:extent cx="7256145" cy="255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145" cy="25527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Kodak does not utilize financial instruments for trading or other speculative purposes.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Level 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20" w:type="dxa"/>
            <w:vAlign w:val="bottom"/>
          </w:tcPr>
          <w:p>
            <w:pPr>
              <w:spacing w:after="0"/>
              <w:rPr>
                <w:sz w:val="18"/>
                <w:szCs w:val="18"/>
                <w:color w:val="auto"/>
              </w:rPr>
            </w:pPr>
          </w:p>
        </w:tc>
      </w:tr>
      <w:tr>
        <w:trPr>
          <w:trHeight w:val="792"/>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591"/>
        </w:trPr>
        <w:tc>
          <w:tcPr>
            <w:tcW w:w="24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670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670</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685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685</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411"/>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8"/>
          </w:tcPr>
          <w:p>
            <w:pPr>
              <w:jc w:val="center"/>
              <w:ind w:right="60"/>
              <w:spacing w:after="0"/>
              <w:rPr>
                <w:sz w:val="20"/>
                <w:szCs w:val="20"/>
                <w:color w:val="auto"/>
              </w:rPr>
            </w:pPr>
            <w:r>
              <w:rPr>
                <w:rFonts w:ascii="Arial" w:cs="Arial" w:eastAsia="Arial" w:hAnsi="Arial"/>
                <w:sz w:val="17"/>
                <w:szCs w:val="17"/>
                <w:b w:val="1"/>
                <w:bCs w:val="1"/>
                <w:color w:val="auto"/>
                <w:w w:val="90"/>
              </w:rPr>
              <w:t>Value Of Items Recorded At Fair Value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7"/>
                <w:szCs w:val="17"/>
                <w:b w:val="1"/>
                <w:bCs w:val="1"/>
                <w:color w:val="auto"/>
                <w:w w:val="87"/>
              </w:rPr>
              <w:t>As of December 31, 2014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Total</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Level 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20" w:type="dxa"/>
            <w:vAlign w:val="bottom"/>
          </w:tcPr>
          <w:p>
            <w:pPr>
              <w:spacing w:after="0"/>
              <w:rPr>
                <w:sz w:val="17"/>
                <w:szCs w:val="17"/>
                <w:color w:val="auto"/>
              </w:rPr>
            </w:pPr>
          </w:p>
        </w:tc>
      </w:tr>
      <w:tr>
        <w:trPr>
          <w:trHeight w:val="603"/>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820"/>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603"/>
        </w:trPr>
        <w:tc>
          <w:tcPr>
            <w:tcW w:w="240" w:type="dxa"/>
            <w:vAlign w:val="bottom"/>
          </w:tcPr>
          <w:p>
            <w:pPr>
              <w:spacing w:after="0"/>
              <w:rPr>
                <w:sz w:val="24"/>
                <w:szCs w:val="24"/>
                <w:color w:val="auto"/>
              </w:rPr>
            </w:pPr>
          </w:p>
        </w:tc>
        <w:tc>
          <w:tcPr>
            <w:tcW w:w="920" w:type="dxa"/>
            <w:vAlign w:val="bottom"/>
            <w:gridSpan w:val="2"/>
          </w:tcPr>
          <w:p>
            <w:pPr>
              <w:ind w:left="820"/>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805"/>
        </w:trPr>
        <w:tc>
          <w:tcPr>
            <w:tcW w:w="240" w:type="dxa"/>
            <w:vAlign w:val="bottom"/>
          </w:tcPr>
          <w:p>
            <w:pPr>
              <w:spacing w:after="0"/>
              <w:rPr>
                <w:sz w:val="24"/>
                <w:szCs w:val="24"/>
                <w:color w:val="auto"/>
              </w:rPr>
            </w:pPr>
          </w:p>
        </w:tc>
        <w:tc>
          <w:tcPr>
            <w:tcW w:w="920" w:type="dxa"/>
            <w:vAlign w:val="bottom"/>
            <w:gridSpan w:val="2"/>
          </w:tcPr>
          <w:p>
            <w:pPr>
              <w:ind w:left="820"/>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612"/>
        </w:trPr>
        <w:tc>
          <w:tcPr>
            <w:tcW w:w="240" w:type="dxa"/>
            <w:vAlign w:val="bottom"/>
          </w:tcPr>
          <w:p>
            <w:pPr>
              <w:spacing w:after="0"/>
              <w:rPr>
                <w:sz w:val="24"/>
                <w:szCs w:val="24"/>
                <w:color w:val="auto"/>
              </w:rPr>
            </w:pPr>
          </w:p>
        </w:tc>
        <w:tc>
          <w:tcPr>
            <w:tcW w:w="4060" w:type="dxa"/>
            <w:vAlign w:val="bottom"/>
            <w:gridSpan w:val="12"/>
          </w:tcPr>
          <w:p>
            <w:pPr>
              <w:ind w:left="820"/>
              <w:spacing w:after="0"/>
              <w:rPr>
                <w:sz w:val="20"/>
                <w:szCs w:val="20"/>
                <w:color w:val="auto"/>
              </w:rPr>
            </w:pPr>
            <w:r>
              <w:rPr>
                <w:rFonts w:ascii="Arial" w:cs="Arial" w:eastAsia="Arial" w:hAnsi="Arial"/>
                <w:sz w:val="17"/>
                <w:szCs w:val="17"/>
                <w:b w:val="1"/>
                <w:bCs w:val="1"/>
                <w:color w:val="auto"/>
                <w:w w:val="93"/>
              </w:rPr>
              <w:t>Value Of Items Not Recorded At Fair Value</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7"/>
                <w:szCs w:val="17"/>
                <w:b w:val="1"/>
                <w:bCs w:val="1"/>
                <w:color w:val="auto"/>
                <w:w w:val="87"/>
              </w:rPr>
              <w:t>As of December 31, 2014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Level 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20" w:type="dxa"/>
            <w:vAlign w:val="bottom"/>
          </w:tcPr>
          <w:p>
            <w:pPr>
              <w:spacing w:after="0"/>
              <w:rPr>
                <w:sz w:val="17"/>
                <w:szCs w:val="17"/>
                <w:color w:val="auto"/>
              </w:rPr>
            </w:pPr>
          </w:p>
        </w:tc>
      </w:tr>
      <w:tr>
        <w:trPr>
          <w:trHeight w:val="792"/>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5</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591"/>
        </w:trPr>
        <w:tc>
          <w:tcPr>
            <w:tcW w:w="24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672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672</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681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681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bl>
    <w:p>
      <w:pPr>
        <w:spacing w:after="0" w:line="586" w:lineRule="exact"/>
        <w:rPr>
          <w:sz w:val="20"/>
          <w:szCs w:val="20"/>
          <w:color w:val="auto"/>
        </w:rPr>
      </w:pPr>
    </w:p>
    <w:p>
      <w:pPr>
        <w:sectPr>
          <w:pgSz w:w="11900" w:h="16838" w:orient="portrait"/>
          <w:cols w:equalWidth="0" w:num="2">
            <w:col w:w="5760" w:space="320"/>
            <w:col w:w="5340"/>
          </w:cols>
          <w:pgMar w:left="240" w:top="689" w:right="2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3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Fair values of marketable securities are determined using quoted prices in active markets for identical assets (Level 1 fair value measurements). Fair values of Kodak’s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three or nine months ended September 30, 2015.</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Fair values of long-term borrowings are determined by reference to quoted market prices, if available, or by pricing models based on the value of related cash flows discounted at current market interest rates. The carrying values of cash and cash equivalents and trade receivables (which are not shown in the table above) approximate their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w:t>
      </w:r>
    </w:p>
    <w:p>
      <w:pPr>
        <w:spacing w:after="0" w:line="232"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Foreign exchange gains and losses arising from transactions denominated in a currency other than the functional currency of the entity involved are included in Other charges, net in the accompanying Consolidated Statement of Operations. The net effects of foreign currency transactions, including changes in the fair value of foreign exchange contracts, are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0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7"/>
                <w:szCs w:val="17"/>
                <w:b w:val="1"/>
                <w:bCs w:val="1"/>
                <w:color w:val="auto"/>
                <w:w w:val="91"/>
              </w:rPr>
              <w:t>Location of Gain or (Loss) Recognized</w:t>
            </w:r>
          </w:p>
        </w:tc>
        <w:tc>
          <w:tcPr>
            <w:tcW w:w="120" w:type="dxa"/>
            <w:vAlign w:val="bottom"/>
          </w:tcPr>
          <w:p>
            <w:pPr>
              <w:spacing w:after="0"/>
              <w:rPr>
                <w:sz w:val="17"/>
                <w:szCs w:val="17"/>
                <w:color w:val="auto"/>
              </w:rPr>
            </w:pPr>
          </w:p>
        </w:tc>
        <w:tc>
          <w:tcPr>
            <w:tcW w:w="2260" w:type="dxa"/>
            <w:vAlign w:val="bottom"/>
            <w:gridSpan w:val="5"/>
          </w:tcPr>
          <w:p>
            <w:pPr>
              <w:jc w:val="center"/>
              <w:ind w:left="176"/>
              <w:spacing w:after="0"/>
              <w:rPr>
                <w:sz w:val="20"/>
                <w:szCs w:val="20"/>
                <w:color w:val="auto"/>
              </w:rPr>
            </w:pPr>
            <w:r>
              <w:rPr>
                <w:rFonts w:ascii="Arial" w:cs="Arial" w:eastAsia="Arial" w:hAnsi="Arial"/>
                <w:sz w:val="17"/>
                <w:szCs w:val="17"/>
                <w:b w:val="1"/>
                <w:bCs w:val="1"/>
                <w:color w:val="auto"/>
                <w:w w:val="90"/>
              </w:rPr>
              <w:t>Three Months Ended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4"/>
          </w:tcPr>
          <w:p>
            <w:pPr>
              <w:jc w:val="center"/>
              <w:ind w:left="196"/>
              <w:spacing w:after="0"/>
              <w:rPr>
                <w:sz w:val="20"/>
                <w:szCs w:val="20"/>
                <w:color w:val="auto"/>
              </w:rPr>
            </w:pPr>
            <w:r>
              <w:rPr>
                <w:rFonts w:ascii="Arial" w:cs="Arial" w:eastAsia="Arial" w:hAnsi="Arial"/>
                <w:sz w:val="17"/>
                <w:szCs w:val="17"/>
                <w:b w:val="1"/>
                <w:bCs w:val="1"/>
                <w:color w:val="auto"/>
                <w:w w:val="89"/>
              </w:rPr>
              <w:t>Nine Months 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100" w:type="dxa"/>
            <w:vAlign w:val="bottom"/>
          </w:tcPr>
          <w:p>
            <w:pPr>
              <w:spacing w:after="0"/>
              <w:rPr>
                <w:sz w:val="19"/>
                <w:szCs w:val="19"/>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Income</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right="396"/>
              <w:spacing w:after="0"/>
              <w:rPr>
                <w:sz w:val="20"/>
                <w:szCs w:val="20"/>
                <w:color w:val="auto"/>
              </w:rPr>
            </w:pPr>
            <w:r>
              <w:rPr>
                <w:rFonts w:ascii="Arial" w:cs="Arial" w:eastAsia="Arial" w:hAnsi="Arial"/>
                <w:sz w:val="17"/>
                <w:szCs w:val="17"/>
                <w:b w:val="1"/>
                <w:bCs w:val="1"/>
                <w:color w:val="auto"/>
                <w:w w:val="87"/>
              </w:rPr>
              <w:t>September 30,</w:t>
            </w: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381"/>
              <w:spacing w:after="0"/>
              <w:rPr>
                <w:sz w:val="20"/>
                <w:szCs w:val="20"/>
                <w:color w:val="auto"/>
              </w:rPr>
            </w:pPr>
            <w:r>
              <w:rPr>
                <w:rFonts w:ascii="Arial" w:cs="Arial" w:eastAsia="Arial" w:hAnsi="Arial"/>
                <w:sz w:val="17"/>
                <w:szCs w:val="17"/>
                <w:b w:val="1"/>
                <w:bCs w:val="1"/>
                <w:color w:val="auto"/>
                <w:w w:val="87"/>
              </w:rPr>
              <w:t>September 30,</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7"/>
                <w:szCs w:val="17"/>
                <w:color w:val="auto"/>
              </w:rPr>
              <w:t>(in millions)</w:t>
            </w: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losses, net</w:t>
            </w: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88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960" w:type="dxa"/>
            <w:vAlign w:val="bottom"/>
            <w:gridSpan w:val="2"/>
            <w:shd w:val="clear" w:color="auto" w:fill="CCEEFF"/>
          </w:tcPr>
          <w:p>
            <w:pPr>
              <w:jc w:val="right"/>
              <w:ind w:right="696"/>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2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32"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Kodak’s exposure to changes in interest rates results from its investing and borrowing activities used to meet its liquidity needs.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4" w:name="page25"/>
    <w:bookmarkEnd w:id="24"/>
    <w:p>
      <w:pPr>
        <w:ind w:right="40"/>
        <w:spacing w:after="0" w:line="254" w:lineRule="auto"/>
        <w:rPr>
          <w:sz w:val="20"/>
          <w:szCs w:val="20"/>
          <w:color w:val="auto"/>
        </w:rPr>
      </w:pPr>
      <w:r>
        <w:rPr>
          <w:rFonts w:ascii="Arial" w:cs="Arial" w:eastAsia="Arial" w:hAnsi="Arial"/>
          <w:sz w:val="17"/>
          <w:szCs w:val="17"/>
          <w:color w:val="auto"/>
        </w:rPr>
        <w:t>Foreign currency forward contracts are used to mitigate currency risk related to foreign currency denominated assets and liabilities. Kodak’s foreign currency forward contracts are not designated as hedges, and are marked to market through net loss at the same time that the exposed assets and liabilities are re-measured through net loss. The notional amount of such contracts open at September 30, 2015 was approximately $398 million. The majority of the contracts of this type held by Kodak are denominated in euros and Chinese renminbi.</w:t>
      </w:r>
    </w:p>
    <w:p>
      <w:pPr>
        <w:spacing w:after="0" w:line="203" w:lineRule="exact"/>
        <w:rPr>
          <w:sz w:val="20"/>
          <w:szCs w:val="20"/>
          <w:color w:val="auto"/>
        </w:rPr>
      </w:pPr>
    </w:p>
    <w:p>
      <w:pPr>
        <w:ind w:right="300"/>
        <w:spacing w:after="0" w:line="336" w:lineRule="auto"/>
        <w:rPr>
          <w:sz w:val="20"/>
          <w:szCs w:val="20"/>
          <w:color w:val="auto"/>
        </w:rPr>
      </w:pPr>
      <w:r>
        <w:rPr>
          <w:rFonts w:ascii="Arial" w:cs="Arial" w:eastAsia="Arial" w:hAnsi="Arial"/>
          <w:sz w:val="15"/>
          <w:szCs w:val="15"/>
          <w:color w:val="auto"/>
        </w:rPr>
        <w:t>Kodak had no derivatives designated as hedging instruments for the three and nine months ended September 30, 2015 and 2014. The location and amounts of pre-tax gains and losses related to derivatives not designated as hedging instruments reported in the Consolidated Statement of Operations are shown in the following table:</w:t>
      </w:r>
    </w:p>
    <w:p>
      <w:pPr>
        <w:spacing w:after="0" w:line="142" w:lineRule="exact"/>
        <w:rPr>
          <w:sz w:val="20"/>
          <w:szCs w:val="20"/>
          <w:color w:val="auto"/>
        </w:rPr>
      </w:pPr>
    </w:p>
    <w:p>
      <w:pPr>
        <w:ind w:right="5600"/>
        <w:spacing w:after="0" w:line="273" w:lineRule="auto"/>
        <w:rPr>
          <w:sz w:val="20"/>
          <w:szCs w:val="20"/>
          <w:color w:val="auto"/>
        </w:rPr>
      </w:pPr>
      <w:r>
        <w:rPr>
          <w:rFonts w:ascii="Arial" w:cs="Arial" w:eastAsia="Arial" w:hAnsi="Arial"/>
          <w:sz w:val="17"/>
          <w:szCs w:val="17"/>
          <w:b w:val="1"/>
          <w:bCs w:val="1"/>
          <w:color w:val="auto"/>
        </w:rPr>
        <w:t xml:space="preserve">Derivatives Not Designated as Hedging Instruments, Foreign Exchange Contracts </w:t>
      </w:r>
      <w:r>
        <w:rPr>
          <w:rFonts w:ascii="Arial" w:cs="Arial" w:eastAsia="Arial" w:hAnsi="Arial"/>
          <w:sz w:val="17"/>
          <w:szCs w:val="17"/>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Location of Gain or (Loss) Recognized in Income on Derivative</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7"/>
                <w:szCs w:val="17"/>
                <w:b w:val="1"/>
                <w:bCs w:val="1"/>
                <w:color w:val="auto"/>
                <w:w w:val="91"/>
              </w:rPr>
              <w:t>Gain (Loss) Recognized in Income on Derivative</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center"/>
              <w:ind w:left="156"/>
              <w:spacing w:after="0" w:line="185" w:lineRule="exact"/>
              <w:rPr>
                <w:sz w:val="20"/>
                <w:szCs w:val="20"/>
                <w:color w:val="auto"/>
              </w:rPr>
            </w:pPr>
            <w:r>
              <w:rPr>
                <w:rFonts w:ascii="Arial" w:cs="Arial" w:eastAsia="Arial" w:hAnsi="Arial"/>
                <w:sz w:val="17"/>
                <w:szCs w:val="17"/>
                <w:b w:val="1"/>
                <w:bCs w:val="1"/>
                <w:color w:val="auto"/>
                <w:w w:val="90"/>
              </w:rPr>
              <w:t>Three Months Ended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center"/>
              <w:ind w:right="156"/>
              <w:spacing w:after="0" w:line="185" w:lineRule="exact"/>
              <w:rPr>
                <w:sz w:val="20"/>
                <w:szCs w:val="20"/>
                <w:color w:val="auto"/>
              </w:rPr>
            </w:pPr>
            <w:r>
              <w:rPr>
                <w:rFonts w:ascii="Arial" w:cs="Arial" w:eastAsia="Arial" w:hAnsi="Arial"/>
                <w:sz w:val="17"/>
                <w:szCs w:val="17"/>
                <w:b w:val="1"/>
                <w:bCs w:val="1"/>
                <w:color w:val="auto"/>
                <w:w w:val="89"/>
              </w:rPr>
              <w:t>Nine Months Ended</w:t>
            </w:r>
          </w:p>
        </w:tc>
        <w:tc>
          <w:tcPr>
            <w:tcW w:w="100" w:type="dxa"/>
            <w:vAlign w:val="bottom"/>
          </w:tcPr>
          <w:p>
            <w:pPr>
              <w:spacing w:after="0"/>
              <w:rPr>
                <w:sz w:val="16"/>
                <w:szCs w:val="16"/>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gridSpan w:val="4"/>
          </w:tcPr>
          <w:p>
            <w:pPr>
              <w:jc w:val="center"/>
              <w:ind w:right="436"/>
              <w:spacing w:after="0"/>
              <w:rPr>
                <w:sz w:val="20"/>
                <w:szCs w:val="20"/>
                <w:color w:val="auto"/>
              </w:rPr>
            </w:pPr>
            <w:r>
              <w:rPr>
                <w:rFonts w:ascii="Arial" w:cs="Arial" w:eastAsia="Arial" w:hAnsi="Arial"/>
                <w:sz w:val="17"/>
                <w:szCs w:val="17"/>
                <w:b w:val="1"/>
                <w:bCs w:val="1"/>
                <w:color w:val="auto"/>
                <w:w w:val="87"/>
              </w:rPr>
              <w:t>September 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center"/>
              <w:ind w:left="416"/>
              <w:spacing w:after="0"/>
              <w:rPr>
                <w:sz w:val="20"/>
                <w:szCs w:val="20"/>
                <w:color w:val="auto"/>
              </w:rPr>
            </w:pPr>
            <w:r>
              <w:rPr>
                <w:rFonts w:ascii="Arial" w:cs="Arial" w:eastAsia="Arial" w:hAnsi="Arial"/>
                <w:sz w:val="17"/>
                <w:szCs w:val="17"/>
                <w:b w:val="1"/>
                <w:bCs w:val="1"/>
                <w:color w:val="auto"/>
                <w:w w:val="87"/>
              </w:rPr>
              <w:t>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2014</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9"/>
                <w:szCs w:val="19"/>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88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980" w:type="dxa"/>
            <w:vAlign w:val="bottom"/>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bl>
    <w:p>
      <w:pPr>
        <w:spacing w:after="0" w:line="200" w:lineRule="exact"/>
        <w:rPr>
          <w:sz w:val="20"/>
          <w:szCs w:val="20"/>
          <w:color w:val="auto"/>
        </w:rPr>
      </w:pPr>
    </w:p>
    <w:p>
      <w:pPr>
        <w:spacing w:after="0" w:line="215"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September 30, 2015 was not significant to Kodak.</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the event of a default under the Company’s Senior Secured First Lien Term Credit Agreement, Senior Secured Second Lien Term Credit Agreement,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Kodak’s portfolio of products and services is designed to meet the needs of customers in different sectors of the commercial imaging and printing markets. The core of Kodak’s business, Print Systems, is a stable, contractual business which delivers recurring cash flows. Kodak entered this market 20 years ago and, with a solid market share position, is a leader in the business. Kodak also operates three segments that are in the growing lifecycle stage, each of which contains innovative technologies that have gained traction with customers. Kodak believes these technologies have potential to contribute positively to its earnings in the near-term. Kodak also operates consumer inkjet and motion picture film businesses that contribute to earnings and cash flow but are not expected to be meaningful contributors to operations in the future.</w:t>
      </w:r>
    </w:p>
    <w:p>
      <w:pPr>
        <w:spacing w:after="0" w:line="206"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Revenue declined $122 million (21.5%) and $253 million (16.0%) compared to the prior year quarter and the first nine months of 2014, respectively. The decline in revenue was primarily due to the adverse impact of foreign currency (approximately $41 million in the quarter and $120 million in the first nine months), lower non-recurring intellectual property revenues (approximately $52 million in the quarter and $70 million in the first nine months) and volume declines in Consumer and Film (approximately $24 million in the quarter and $59 million in the first nine months). Operating cost reductions helped to mitigate the resulting impact of the revenue decline on gross profit.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some of Kodak’s opportunities and challenges follow:</w:t>
      </w:r>
    </w:p>
    <w:p>
      <w:pPr>
        <w:spacing w:after="0" w:line="232" w:lineRule="exact"/>
        <w:rPr>
          <w:sz w:val="20"/>
          <w:szCs w:val="20"/>
          <w:color w:val="auto"/>
        </w:rPr>
      </w:pPr>
    </w:p>
    <w:p>
      <w:pPr>
        <w:jc w:val="both"/>
        <w:ind w:left="600" w:hanging="122"/>
        <w:spacing w:after="0" w:line="267"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such as SONORA Process Free Plates, which command premium prices and drive increases in unit volumes are expected to offset some of the long-term price erosion in the market. Print Systems’ revenues declined $41 million and $114 million compared with the third quarter and first nine months of 2014, respectively, with approximately $29 million and $85 million declines in the third quarter and first nine months, respectively, attributable to the adverse impact of foreign currency.</w:t>
      </w:r>
    </w:p>
    <w:p>
      <w:pPr>
        <w:spacing w:after="0" w:line="197" w:lineRule="exact"/>
        <w:rPr>
          <w:rFonts w:ascii="Arial" w:cs="Arial" w:eastAsia="Arial" w:hAnsi="Arial"/>
          <w:sz w:val="16"/>
          <w:szCs w:val="16"/>
          <w:color w:val="auto"/>
        </w:rPr>
      </w:pPr>
    </w:p>
    <w:p>
      <w:pPr>
        <w:jc w:val="both"/>
        <w:ind w:left="600" w:hanging="122"/>
        <w:spacing w:after="0" w:line="270"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Enterprise Inkjet Systems, the legacy Versamark business is expected to continue to decline as a percentage of the segment’s total revenue as the Prosper business scales up. Kodak’s Prosper Inkjet Systems business is early in its lifecycle but is expected to build scale and profitability, placing equipment with direct customers as well as a growing base of original equipment manufacturer (“OEM”) partners. Revenues from the Kodak Prosper portfolio increased 27% for the third quarter and 25% for the first nine months of 2015 versus the prior year periods. Enterprise Inkjet Systems’ revenue declined $4 million and $15 million compared with the third quarter and first nine months of 2014, respectively, with approximately $4 million and $12 million declines in the third quarter and first nine months, respectively, attributable to the adverse impact of foreign currency.</w:t>
      </w:r>
    </w:p>
    <w:p>
      <w:pPr>
        <w:spacing w:after="0" w:line="191" w:lineRule="exact"/>
        <w:rPr>
          <w:rFonts w:ascii="Arial" w:cs="Arial" w:eastAsia="Arial" w:hAnsi="Arial"/>
          <w:sz w:val="16"/>
          <w:szCs w:val="16"/>
          <w:color w:val="auto"/>
        </w:rPr>
      </w:pPr>
    </w:p>
    <w:p>
      <w:pPr>
        <w:jc w:val="both"/>
        <w:ind w:left="600" w:hanging="122"/>
        <w:spacing w:after="0" w:line="267"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Micro 3D Printing and Packaging, the earnings contribution from Packaging offsets the cost of developing the Micro 3D Printing business. Within Micro 3D Printing, Kodak is developing solutions in two technologies – silver halide mesh and copper mesh. Following the end of its partnership with Unipixel, Kodak is moving forward independently with development of copper mesh touch sensor technology. Kodak is actively developing the market and sales opportunities for this technology. Kodak expects that continued growth in Packaging, as well as the transition from investment to commercialization of product in Micro 3D Printing, will result in revenue and earnings growth in this segment. Growth in Packaging revenue is driven by an increasing installed base of Flexcel NX Systems which drives growth in Flexcel NX plate volumes. Flexcel NX plate volume improved by 32% and 33% in the third quarter and first nine months of 2015, respectively, versus the prior year periods. Micro 3D Printing and Packaging revenue was flat compared to the third quarter of 2014 and grew $3 million compared with the first nine months of 2014 despite adverse impacts of foreign currency of approximately $4 million and $11 million compared to the third quarter and first nine months of 2014, respectively.</w:t>
      </w:r>
    </w:p>
    <w:p>
      <w:pPr>
        <w:spacing w:after="0" w:line="194" w:lineRule="exact"/>
        <w:rPr>
          <w:rFonts w:ascii="Arial" w:cs="Arial" w:eastAsia="Arial" w:hAnsi="Arial"/>
          <w:sz w:val="16"/>
          <w:szCs w:val="16"/>
          <w:color w:val="auto"/>
        </w:rPr>
      </w:pPr>
    </w:p>
    <w:p>
      <w:pPr>
        <w:jc w:val="both"/>
        <w:ind w:left="600" w:hanging="122"/>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technologies and intellectual property in new applications. These business initiatives generally do not require substantial additional investment, and Kodak expects that they will grow in contribution to earnings.</w:t>
      </w:r>
    </w:p>
    <w:p>
      <w:pPr>
        <w:spacing w:after="0" w:line="203" w:lineRule="exact"/>
        <w:rPr>
          <w:rFonts w:ascii="Arial" w:cs="Arial" w:eastAsia="Arial" w:hAnsi="Arial"/>
          <w:sz w:val="17"/>
          <w:szCs w:val="17"/>
          <w:color w:val="auto"/>
        </w:rPr>
      </w:pPr>
    </w:p>
    <w:p>
      <w:pPr>
        <w:ind w:left="600" w:hanging="122"/>
        <w:spacing w:after="0" w:line="268"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Consumer and Film segment’s revenues are expected to continue to decline. Consumer and Film’s revenue declined $28 million and $63 million compared with the third quarter and first nine months of 2014, respectively.</w:t>
      </w:r>
    </w:p>
    <w:p>
      <w:pPr>
        <w:spacing w:after="0" w:line="191" w:lineRule="exact"/>
        <w:rPr>
          <w:rFonts w:ascii="Arial" w:cs="Arial" w:eastAsia="Arial" w:hAnsi="Arial"/>
          <w:sz w:val="17"/>
          <w:szCs w:val="17"/>
          <w:color w:val="auto"/>
        </w:rPr>
      </w:pPr>
    </w:p>
    <w:p>
      <w:pPr>
        <w:jc w:val="both"/>
        <w:ind w:left="600" w:hanging="122"/>
        <w:spacing w:after="0" w:line="257"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Selling, general and administrative expenses ("SG&amp;A") and research and development (“R&amp;D”) expenses declined a combined $13 million and $83 million compared with the third quarter and first nine months of 2014, respectively, as the result of a number of actions including headcount reductions, reduced overhead costs, savings from global benefit changes, facilities consolidations and renegotiations of vendor contracts.</w:t>
      </w:r>
    </w:p>
    <w:p>
      <w:pPr>
        <w:spacing w:after="0" w:line="201" w:lineRule="exact"/>
        <w:rPr>
          <w:rFonts w:ascii="Arial" w:cs="Arial" w:eastAsia="Arial" w:hAnsi="Arial"/>
          <w:sz w:val="17"/>
          <w:szCs w:val="17"/>
          <w:color w:val="auto"/>
        </w:rPr>
      </w:pPr>
    </w:p>
    <w:p>
      <w:pPr>
        <w:ind w:left="600" w:hanging="122"/>
        <w:spacing w:after="0" w:line="268"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Kodak plans to continue to pursue monetization of its asset base, including selling and licensing intellectual property, selling and leasing excess capacity in its properties, and pursuing rights to earn-outs from a previous divestiture.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CURRENT KODAK OPERATING MODEL AND REPORTING STRUCTURE</w:t>
      </w:r>
    </w:p>
    <w:p>
      <w:pPr>
        <w:spacing w:after="0" w:line="2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Effective January 1, 2015, Kodak implemented a new organizational structure to make the company faster-moving, more competitive and more entrepreneurial. Financial information is reported for seven segments: Print Systems, Enterprise Inkjet Systems, Micro 3D Printing and Packaging, Software and Solutions, Consumer and Film, Intellectual Property Solutions and Eastman Business Park.</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Kodak’s segment measure of profit and loss is an adjusted earnings before interest, taxes, depreciation and amortization (“Operational EBITDA”). Operational EBITDA represents the income (loss) from continuing operations excluding the provision (benefit) for income taxes; Reorganization items, net; Other charges (income), net; Other operating income (expense), net (unless otherwise indicated); Restructuring costs; depreciation and amortization expense; corporate components of pension and OPEB income, stock based compensation expense, consulting and other costs, idle costs, interest expense and; in prior periods, indirect costs previously allocated to discontinued operations and the impact of certain fresh start accounting adjustments.</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SG&amp;A. The segment earnings measure reported is after allocation of corporate SG&amp;A as this most closely aligns with U.S. GAAP. R&amp;D activities not directly related to the other segments are reported within the Intellectual Property Solutions segment.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continued innovations in Kodak product lines that can command premium prices, as well as continued increases in unit volumes, offset some of the long term market price erosion.</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The Print Systems segment capitalizes on a contract-based, stable and recurring cash flow-generative business model. The average duration of customer contracts is two to three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The Company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78" w:lineRule="exact"/>
        <w:rPr>
          <w:sz w:val="20"/>
          <w:szCs w:val="20"/>
          <w:color w:val="auto"/>
        </w:rPr>
      </w:pPr>
    </w:p>
    <w:p>
      <w:pPr>
        <w:ind w:right="260"/>
        <w:spacing w:after="0" w:line="336" w:lineRule="auto"/>
        <w:rPr>
          <w:sz w:val="20"/>
          <w:szCs w:val="20"/>
          <w:color w:val="auto"/>
        </w:rPr>
      </w:pPr>
      <w:r>
        <w:rPr>
          <w:rFonts w:ascii="Arial" w:cs="Arial" w:eastAsia="Arial" w:hAnsi="Arial"/>
          <w:sz w:val="15"/>
          <w:szCs w:val="15"/>
          <w:color w:val="auto"/>
        </w:rPr>
        <w:t>The Print Systems products and services are sold globally to customers through both a direct sales team as well as indirectly through dealers. Kodak expects to benefit from current industry trends, including customers’ increasing focus on sustainability initiatives, which strengthens demand for Kodak’s process-free solutions.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17"/>
          <w:szCs w:val="17"/>
          <w:color w:val="auto"/>
        </w:rPr>
        <w:t>Print Systems product offerings include:</w:t>
      </w:r>
    </w:p>
    <w:p>
      <w:pPr>
        <w:spacing w:after="0" w:line="232" w:lineRule="exact"/>
        <w:rPr>
          <w:sz w:val="20"/>
          <w:szCs w:val="20"/>
          <w:color w:val="auto"/>
        </w:rPr>
      </w:pPr>
    </w:p>
    <w:p>
      <w:pPr>
        <w:ind w:left="320" w:hanging="299"/>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Prepress Solutions:</w:t>
      </w:r>
    </w:p>
    <w:p>
      <w:pPr>
        <w:spacing w:after="0" w:line="231" w:lineRule="exact"/>
        <w:rPr>
          <w:rFonts w:ascii="Arial" w:cs="Arial" w:eastAsia="Arial" w:hAnsi="Arial"/>
          <w:sz w:val="17"/>
          <w:szCs w:val="17"/>
          <w:color w:val="auto"/>
        </w:rPr>
      </w:pPr>
    </w:p>
    <w:p>
      <w:pPr>
        <w:ind w:left="720" w:right="160" w:hanging="297"/>
        <w:spacing w:after="0" w:line="257"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Digital offset plates, including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201" w:lineRule="exact"/>
        <w:rPr>
          <w:rFonts w:ascii="Arial" w:cs="Arial" w:eastAsia="Arial" w:hAnsi="Arial"/>
          <w:sz w:val="17"/>
          <w:szCs w:val="17"/>
          <w:color w:val="auto"/>
        </w:rPr>
      </w:pPr>
    </w:p>
    <w:p>
      <w:pPr>
        <w:ind w:left="720" w:right="60" w:hanging="297"/>
        <w:spacing w:after="0" w:line="281" w:lineRule="auto"/>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CTP output devices that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183" w:lineRule="exact"/>
        <w:rPr>
          <w:rFonts w:ascii="Arial" w:cs="Arial" w:eastAsia="Arial" w:hAnsi="Arial"/>
          <w:sz w:val="16"/>
          <w:szCs w:val="16"/>
          <w:color w:val="auto"/>
        </w:rPr>
      </w:pPr>
    </w:p>
    <w:p>
      <w:pPr>
        <w:ind w:left="320" w:hanging="299"/>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Electrophotographic Printing Solutions:</w:t>
      </w:r>
    </w:p>
    <w:p>
      <w:pPr>
        <w:spacing w:after="0" w:line="231" w:lineRule="exact"/>
        <w:rPr>
          <w:rFonts w:ascii="Arial" w:cs="Arial" w:eastAsia="Arial" w:hAnsi="Arial"/>
          <w:sz w:val="17"/>
          <w:szCs w:val="17"/>
          <w:color w:val="auto"/>
        </w:rPr>
      </w:pPr>
    </w:p>
    <w:p>
      <w:pPr>
        <w:ind w:left="720" w:right="120" w:hanging="297"/>
        <w:spacing w:after="0" w:line="26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NEXPRESS printers produce high-quality, differentiated printing of short-run, personalized print applications, such as direct mail, books, marketing collateral and photo products.</w:t>
      </w:r>
    </w:p>
    <w:p>
      <w:pPr>
        <w:spacing w:after="0" w:line="191" w:lineRule="exact"/>
        <w:rPr>
          <w:rFonts w:ascii="Arial" w:cs="Arial" w:eastAsia="Arial" w:hAnsi="Arial"/>
          <w:sz w:val="17"/>
          <w:szCs w:val="17"/>
          <w:color w:val="auto"/>
        </w:rPr>
      </w:pPr>
    </w:p>
    <w:p>
      <w:pPr>
        <w:ind w:left="720" w:right="560" w:hanging="297"/>
        <w:spacing w:after="0" w:line="26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DIGIMASTER printers use monochrome electrophotographic printing technology for transactional printing, short-run books, corporate documentation, manuals and direct mail.</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Print Systems segment also provides service and support related to these products.</w:t>
      </w:r>
    </w:p>
    <w:p>
      <w:pPr>
        <w:spacing w:after="0" w:line="224" w:lineRule="exact"/>
        <w:rPr>
          <w:sz w:val="20"/>
          <w:szCs w:val="20"/>
          <w:color w:val="auto"/>
        </w:rPr>
      </w:pPr>
    </w:p>
    <w:p>
      <w:pPr>
        <w:spacing w:after="0"/>
        <w:rPr>
          <w:sz w:val="20"/>
          <w:szCs w:val="20"/>
          <w:color w:val="auto"/>
        </w:rPr>
      </w:pPr>
      <w:r>
        <w:rPr>
          <w:sz w:val="1"/>
          <w:szCs w:val="1"/>
          <w:color w:val="auto"/>
        </w:rPr>
        <w:drawing>
          <wp:inline distT="0" distB="0" distL="0" distR="0">
            <wp:extent cx="25400" cy="3365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33655"/>
                    </a:xfrm>
                    <a:prstGeom prst="rect">
                      <a:avLst/>
                    </a:prstGeom>
                    <a:noFill/>
                    <a:ln>
                      <a:noFill/>
                    </a:ln>
                  </pic:spPr>
                </pic:pic>
              </a:graphicData>
            </a:graphic>
          </wp:inline>
        </w:drawing>
      </w:r>
      <w:r>
        <w:rPr>
          <w:rFonts w:ascii="Arial" w:cs="Arial" w:eastAsia="Arial" w:hAnsi="Arial"/>
          <w:sz w:val="17"/>
          <w:szCs w:val="17"/>
          <w:b w:val="1"/>
          <w:bCs w:val="1"/>
          <w:color w:val="auto"/>
        </w:rPr>
        <w:t>Enterprise Inkjet Systems</w:t>
      </w:r>
    </w:p>
    <w:p>
      <w:pPr>
        <w:spacing w:after="0" w:line="228" w:lineRule="exact"/>
        <w:rPr>
          <w:sz w:val="20"/>
          <w:szCs w:val="20"/>
          <w:color w:val="auto"/>
        </w:rPr>
      </w:pPr>
    </w:p>
    <w:p>
      <w:pPr>
        <w:ind w:left="20"/>
        <w:spacing w:after="0" w:line="268" w:lineRule="auto"/>
        <w:rPr>
          <w:sz w:val="20"/>
          <w:szCs w:val="20"/>
          <w:color w:val="auto"/>
        </w:rPr>
      </w:pPr>
      <w:r>
        <w:rPr>
          <w:rFonts w:ascii="Arial" w:cs="Arial" w:eastAsia="Arial" w:hAnsi="Arial"/>
          <w:sz w:val="17"/>
          <w:szCs w:val="17"/>
          <w:color w:val="auto"/>
        </w:rPr>
        <w:t>The Enterprise Inkjet Systems segment contains commercial inkjet printing solutions and digital front-end controllers for use in the inkjet printing process. The Enterprise Inkjet Systems products include production press systems, consumables (primarily ink), inkjet components and services.</w:t>
      </w:r>
    </w:p>
    <w:p>
      <w:pPr>
        <w:spacing w:after="0" w:line="192" w:lineRule="exact"/>
        <w:rPr>
          <w:sz w:val="20"/>
          <w:szCs w:val="20"/>
          <w:color w:val="auto"/>
        </w:rPr>
      </w:pPr>
    </w:p>
    <w:p>
      <w:pPr>
        <w:ind w:left="20"/>
        <w:spacing w:after="0" w:line="251" w:lineRule="auto"/>
        <w:rPr>
          <w:sz w:val="20"/>
          <w:szCs w:val="20"/>
          <w:color w:val="auto"/>
        </w:rPr>
      </w:pPr>
      <w:r>
        <w:rPr>
          <w:rFonts w:ascii="Arial" w:cs="Arial" w:eastAsia="Arial" w:hAnsi="Arial"/>
          <w:sz w:val="17"/>
          <w:szCs w:val="17"/>
          <w:color w:val="auto"/>
        </w:rPr>
        <w:t>Enterprise Inkjet Systems product offerings, including the PROSPER Press systems and PROSPER Components, feature ultrafast inkjet droplet generation. Kodak is developing a higher resolution and improved functionality version of this droplet generation system.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The business also includes a large base of customers who continue to use KODAK VERSAMARK Products, the predecessor products to the PROSPER Press. Users of KODAK VERSAMARK Products continue to purchase ink and other consumables as well as service from Kodak.</w:t>
      </w:r>
    </w:p>
    <w:p>
      <w:pPr>
        <w:spacing w:after="0" w:line="206" w:lineRule="exact"/>
        <w:rPr>
          <w:sz w:val="20"/>
          <w:szCs w:val="20"/>
          <w:color w:val="auto"/>
        </w:rPr>
      </w:pPr>
    </w:p>
    <w:p>
      <w:pPr>
        <w:ind w:left="20"/>
        <w:spacing w:after="0" w:line="281" w:lineRule="auto"/>
        <w:rPr>
          <w:sz w:val="20"/>
          <w:szCs w:val="20"/>
          <w:color w:val="auto"/>
        </w:rPr>
      </w:pPr>
      <w:r>
        <w:rPr>
          <w:rFonts w:ascii="Arial" w:cs="Arial" w:eastAsia="Arial" w:hAnsi="Arial"/>
          <w:sz w:val="16"/>
          <w:szCs w:val="16"/>
          <w:color w:val="auto"/>
        </w:rPr>
        <w:t>PROSPER System Components are integrated into original equipment manufacturer partner products and systems. Sales of equipment that incorporates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Digital front-end controllers manage the delivery of personalized content to digital presses while controlling color and print consistency.</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Micro 3D Printing and Packaging</w:t>
      </w:r>
    </w:p>
    <w:p>
      <w:pPr>
        <w:spacing w:after="0" w:line="236" w:lineRule="exact"/>
        <w:rPr>
          <w:sz w:val="20"/>
          <w:szCs w:val="20"/>
          <w:color w:val="auto"/>
        </w:rPr>
      </w:pPr>
    </w:p>
    <w:p>
      <w:pPr>
        <w:ind w:left="20" w:right="200"/>
        <w:spacing w:after="0" w:line="252" w:lineRule="auto"/>
        <w:rPr>
          <w:sz w:val="20"/>
          <w:szCs w:val="20"/>
          <w:color w:val="auto"/>
        </w:rPr>
      </w:pPr>
      <w:r>
        <w:rPr>
          <w:rFonts w:ascii="Arial" w:cs="Arial" w:eastAsia="Arial" w:hAnsi="Arial"/>
          <w:sz w:val="17"/>
          <w:szCs w:val="17"/>
          <w:color w:val="auto"/>
        </w:rPr>
        <w:t>The Micro 3D Printing and Packaging segment includes flexographic printing equipment and plates and related consumables and services, as well as printed functional materials and components. Micro 3D Printing is a new line of business that seeks to provide innovative printing techniques to customers for both premium marketing applications and manufacturing applications. Because Micro 3D Printing is a new line of business, the Micro 3D Printing and Packaging segment currently requires a higher degree of investment and has a lower contribution to earnings than other segments. Micro 3D Printing and Packaging products are sold directly by Kodak and indirectly through dealers.</w:t>
      </w:r>
    </w:p>
    <w:p>
      <w:pPr>
        <w:spacing w:after="0" w:line="206" w:lineRule="exact"/>
        <w:rPr>
          <w:sz w:val="20"/>
          <w:szCs w:val="20"/>
          <w:color w:val="auto"/>
        </w:rPr>
      </w:pPr>
    </w:p>
    <w:p>
      <w:pPr>
        <w:jc w:val="both"/>
        <w:ind w:left="480" w:hanging="132"/>
        <w:spacing w:after="0" w:line="251"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Micro 3D Printing products offer many advantages over traditionally manufactured products, including lower cost points and reduced adverse environmental impact. Traditionally manufactured products require higher material costs, additional manufacturing steps and the mining of a rare metal. Within Micro 3D printing, Kodak is developing solutions in two touch screen technologies—Silver Halide Mesh and Copper Mesh. Modest levels of revenue have been recognized in 2015, the bulk of which was from Silver Halide technology. In addition, Silver Halide production lines are being added in a facility in Asia. Following the end of its partnership with Unipixel, Kodak is moving forward independently with development of Copper Mesh touch sensor technology. Kodak is actively developing the market and sales opportunities for this technology.</w:t>
      </w:r>
    </w:p>
    <w:p>
      <w:pPr>
        <w:spacing w:after="0" w:line="206" w:lineRule="exact"/>
        <w:rPr>
          <w:rFonts w:ascii="Arial" w:cs="Arial" w:eastAsia="Arial" w:hAnsi="Arial"/>
          <w:sz w:val="17"/>
          <w:szCs w:val="17"/>
          <w:color w:val="auto"/>
        </w:rPr>
      </w:pPr>
    </w:p>
    <w:p>
      <w:pPr>
        <w:jc w:val="both"/>
        <w:ind w:left="620" w:hanging="122"/>
        <w:spacing w:after="0" w:line="254" w:lineRule="auto"/>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Packaging business consists of flexographic printing equipment and related consumables and services, which enable graphic customization of a wide variety of packaging materials. The flagship FLEXCEL NX system provides imaging devices to deliver high productivity and consistency, as well as a full tonal range for flexographic printing. The new FLEXCEL Direct System is a next generation platform that significantly reduces the steps needed to produce flexographic plates.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73025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40"/>
          </w:cols>
          <w:pgMar w:left="220" w:top="492" w:right="239" w:bottom="1440" w:gutter="0" w:footer="0" w:header="0"/>
        </w:sectPr>
      </w:pPr>
    </w:p>
    <w:bookmarkStart w:id="28" w:name="page29"/>
    <w:bookmarkEnd w:id="28"/>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w:t>
      </w:r>
    </w:p>
    <w:p>
      <w:pPr>
        <w:spacing w:after="0" w:line="236"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Kodak technologies and IP in new applications. These business initiatives generally do not require substantial additional investment and it is expected that they will grow in contribution to earnings.</w:t>
      </w:r>
    </w:p>
    <w:p>
      <w:pPr>
        <w:spacing w:after="0" w:line="203" w:lineRule="exact"/>
        <w:rPr>
          <w:sz w:val="20"/>
          <w:szCs w:val="20"/>
          <w:color w:val="auto"/>
        </w:rPr>
      </w:pPr>
    </w:p>
    <w:p>
      <w:pPr>
        <w:ind w:right="400"/>
        <w:spacing w:after="0" w:line="294" w:lineRule="auto"/>
        <w:rPr>
          <w:sz w:val="20"/>
          <w:szCs w:val="20"/>
          <w:color w:val="auto"/>
        </w:rPr>
      </w:pPr>
      <w:r>
        <w:rPr>
          <w:rFonts w:ascii="Arial" w:cs="Arial" w:eastAsia="Arial" w:hAnsi="Arial"/>
          <w:sz w:val="15"/>
          <w:szCs w:val="15"/>
          <w:color w:val="auto"/>
        </w:rPr>
        <w:t>The Software and Solutions segment offers a leading suite of solutions for print production workflow, including the PRINERGY workflow production software, by providing customer value through automation, web integration and integration with other Kodak systems and third-party offerings. Kodak believes it is a leader in production workflow solutions for the commercial print and packaging industries with over 13,000 systems installed in some of the largest printing and packaging establishments around the world. Production workflow software is used by customers to manage digital and conventional print content from file creation to output. Production workflow software manages content and color, reduces manual errors and helps customers manage the collaborative creative process.</w:t>
      </w:r>
    </w:p>
    <w:p>
      <w:pPr>
        <w:spacing w:after="0" w:line="175"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The Software and Solutions segment also assists organizations with challenges and opportunities created by the worldwide digital transformation. It provides print and managed media services that assist customers with solutions for their printing requirements, including services to help brand owners combat counterfeiters and diverters; and document management services, including expertise in the capture, archiving, retrieval and delivery of documents. Software and Solutions serves enterprise customers in numerous sectors, including governments, pharmaceuticals and life sciences, consumer and luxury product goods and retail and financial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and Film</w:t>
      </w:r>
    </w:p>
    <w:p>
      <w:pPr>
        <w:spacing w:after="0" w:line="236"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Consumer and Film segment includes the motion picture film business serving the entertainment and advertising industries. Motion picture products are sold directly to studios, laboratories and independent filmmakers. The group also offers industrial films, including films used by the electronics industry to produce printed circuit boards. The Consumer and Film segment also includes related component businesses: Polyester Film; Solvent Recovery; and Specialty Chemicals, Inks and Dispersions.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Sales of motion picture film have continued to decline significantly. In view of this decline, Kodak has engaged in extensive discussions about film’s future with filmmakers, leading studios and others who recognize the artistic and archival qualities of film. The industry has shown support for a plan to extend film’s future, which enables Kodak to maintain production of film for the entertainment industry while it prepares products for new growth markets such as touch screen sensors that also utilize film technology.</w:t>
      </w:r>
    </w:p>
    <w:p>
      <w:pPr>
        <w:spacing w:after="0" w:line="203"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color w:val="auto"/>
        </w:rPr>
        <w:t>The Consumer and Film segment also includes the sale of ink to the existing installed base of consumer inkjet printers and the licensing of Kodak brands to third parties for certain branded products that Kodak no longer produces. Kodak views the Consumer and Film segment as a declining/mature group of businesses.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With respect to Brand Licensing, Kodak currently licenses its brand for use with a range of consumer products including batteries, cameras and camera accessories and recordable media. Kodak intends to continue efforts to grow its portfolio of consumer product licenses in order to generate both ongoing royalty streams and upfront payments.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w:t>
      </w:r>
    </w:p>
    <w:p>
      <w:pPr>
        <w:spacing w:after="0" w:line="23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Intellectual Property Solutions segment includes licensing and research and development activities related to Kodak’s patents and proprietary technology. Through this segment Kodak conducts research and files patent applications with fundamental invention claims. Additionally, Kodak continues to file significant numbers of new patent applications in areas aligned with its core businesses, as well as patents pertaining to Kodak Research Laboratories, and it maintains a large worldwide portfolio of pending applications and issued patents. Kodak actively seeks opportunities to leverage its patents and associated technology in licensing and/or cross-licensing deals to support both revenue growth and its ongoing businesses. While revenues from this segment tend to be unpredictable in nature, this segment still carries significant potential for material revenue generation.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w:t>
      </w:r>
    </w:p>
    <w:p>
      <w:pPr>
        <w:spacing w:after="0" w:line="23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Eastman Business Park segment includes the operations of the Eastman Business Park, a more than 1,200 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where components of current year segments were reported in the prior period’s segment structure:</w:t>
      </w:r>
    </w:p>
    <w:p>
      <w:pPr>
        <w:spacing w:after="0" w:line="200" w:lineRule="exact"/>
        <w:rPr>
          <w:sz w:val="20"/>
          <w:szCs w:val="20"/>
          <w:color w:val="auto"/>
        </w:rPr>
      </w:pPr>
    </w:p>
    <w:p>
      <w:pPr>
        <w:spacing w:after="0" w:line="251" w:lineRule="exact"/>
        <w:rPr>
          <w:sz w:val="20"/>
          <w:szCs w:val="20"/>
          <w:color w:val="auto"/>
        </w:rPr>
      </w:pPr>
    </w:p>
    <w:tbl>
      <w:tblPr>
        <w:tblLayout w:type="fixed"/>
        <w:tblInd w:w="1500" w:type="dxa"/>
        <w:tblCellMar>
          <w:top w:w="0" w:type="dxa"/>
          <w:left w:w="0" w:type="dxa"/>
          <w:bottom w:w="0" w:type="dxa"/>
          <w:right w:w="0" w:type="dxa"/>
        </w:tblCellMar>
      </w:tblPr>
      <w:tr>
        <w:trPr>
          <w:trHeight w:val="242"/>
        </w:trPr>
        <w:tc>
          <w:tcPr>
            <w:tcW w:w="40" w:type="dxa"/>
            <w:vAlign w:val="bottom"/>
            <w:tcBorders>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New Segment</w:t>
            </w:r>
          </w:p>
        </w:tc>
        <w:tc>
          <w:tcPr>
            <w:tcW w:w="41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7"/>
                <w:szCs w:val="17"/>
                <w:b w:val="1"/>
                <w:bCs w:val="1"/>
                <w:color w:val="auto"/>
              </w:rPr>
              <w:t>Where Reported Under Former Segments</w:t>
            </w:r>
          </w:p>
        </w:tc>
        <w:tc>
          <w:tcPr>
            <w:tcW w:w="0" w:type="dxa"/>
            <w:vAlign w:val="bottom"/>
          </w:tcPr>
          <w:p>
            <w:pPr>
              <w:spacing w:after="0"/>
              <w:rPr>
                <w:sz w:val="1"/>
                <w:szCs w:val="1"/>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gridSpan w:val="2"/>
          </w:tcPr>
          <w:p>
            <w:pPr>
              <w:spacing w:after="0"/>
              <w:rPr>
                <w:sz w:val="18"/>
                <w:szCs w:val="18"/>
                <w:color w:val="auto"/>
              </w:rPr>
            </w:pPr>
          </w:p>
        </w:tc>
        <w:tc>
          <w:tcPr>
            <w:tcW w:w="4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shd w:val="clear" w:color="auto" w:fill="000000"/>
          </w:tcPr>
          <w:p>
            <w:pPr>
              <w:spacing w:after="0"/>
              <w:rPr>
                <w:sz w:val="16"/>
                <w:szCs w:val="16"/>
                <w:color w:val="auto"/>
              </w:rPr>
            </w:pPr>
          </w:p>
        </w:tc>
        <w:tc>
          <w:tcPr>
            <w:tcW w:w="3220" w:type="dxa"/>
            <w:vAlign w:val="bottom"/>
            <w:tcBorders>
              <w:right w:val="single" w:sz="8" w:color="auto"/>
            </w:tcBorders>
            <w:gridSpan w:val="2"/>
          </w:tcPr>
          <w:p>
            <w:pPr>
              <w:ind w:left="920"/>
              <w:spacing w:after="0" w:line="194" w:lineRule="exact"/>
              <w:rPr>
                <w:sz w:val="20"/>
                <w:szCs w:val="20"/>
                <w:color w:val="auto"/>
              </w:rPr>
            </w:pPr>
            <w:r>
              <w:rPr>
                <w:rFonts w:ascii="Arial" w:cs="Arial" w:eastAsia="Arial" w:hAnsi="Arial"/>
                <w:sz w:val="17"/>
                <w:szCs w:val="17"/>
                <w:color w:val="auto"/>
              </w:rPr>
              <w:t>Print Systems:</w:t>
            </w:r>
          </w:p>
        </w:tc>
        <w:tc>
          <w:tcPr>
            <w:tcW w:w="418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7"/>
                <w:szCs w:val="17"/>
                <w:color w:val="auto"/>
                <w:w w:val="93"/>
              </w:rPr>
              <w:t>Graphics,  Entertainment  and  Commercial</w:t>
            </w:r>
          </w:p>
        </w:tc>
        <w:tc>
          <w:tcPr>
            <w:tcW w:w="0" w:type="dxa"/>
            <w:vAlign w:val="bottom"/>
          </w:tcPr>
          <w:p>
            <w:pPr>
              <w:spacing w:after="0"/>
              <w:rPr>
                <w:sz w:val="1"/>
                <w:szCs w:val="1"/>
                <w:color w:val="auto"/>
              </w:rPr>
            </w:pPr>
          </w:p>
        </w:tc>
      </w:tr>
      <w:tr>
        <w:trPr>
          <w:trHeight w:val="342"/>
        </w:trPr>
        <w:tc>
          <w:tcPr>
            <w:tcW w:w="40" w:type="dxa"/>
            <w:vAlign w:val="bottom"/>
            <w:tcBorders>
              <w:right w:val="single" w:sz="8" w:color="auto"/>
            </w:tcBorders>
            <w:shd w:val="clear" w:color="auto" w:fill="000000"/>
          </w:tcPr>
          <w:p>
            <w:pPr>
              <w:spacing w:after="0"/>
              <w:rPr>
                <w:sz w:val="24"/>
                <w:szCs w:val="24"/>
                <w:color w:val="auto"/>
              </w:rPr>
            </w:pPr>
          </w:p>
        </w:tc>
        <w:tc>
          <w:tcPr>
            <w:tcW w:w="1020" w:type="dxa"/>
            <w:vAlign w:val="bottom"/>
          </w:tcPr>
          <w:p>
            <w:pPr>
              <w:ind w:left="900"/>
              <w:spacing w:after="0"/>
              <w:rPr>
                <w:sz w:val="20"/>
                <w:szCs w:val="20"/>
                <w:color w:val="auto"/>
              </w:rPr>
            </w:pPr>
            <w:r>
              <w:rPr>
                <w:rFonts w:ascii="Arial" w:cs="Arial" w:eastAsia="Arial" w:hAnsi="Arial"/>
                <w:sz w:val="17"/>
                <w:szCs w:val="17"/>
                <w:color w:val="auto"/>
              </w:rPr>
              <w:t>·</w:t>
            </w:r>
          </w:p>
        </w:tc>
        <w:tc>
          <w:tcPr>
            <w:tcW w:w="220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Prepress Solutions</w:t>
            </w:r>
          </w:p>
        </w:tc>
        <w:tc>
          <w:tcPr>
            <w:tcW w:w="41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shd w:val="clear" w:color="auto" w:fill="000000"/>
          </w:tcPr>
          <w:p>
            <w:pPr>
              <w:spacing w:after="0"/>
              <w:rPr>
                <w:sz w:val="17"/>
                <w:szCs w:val="17"/>
                <w:color w:val="auto"/>
              </w:rPr>
            </w:pPr>
          </w:p>
        </w:tc>
        <w:tc>
          <w:tcPr>
            <w:tcW w:w="1020" w:type="dxa"/>
            <w:vAlign w:val="bottom"/>
          </w:tcPr>
          <w:p>
            <w:pPr>
              <w:ind w:left="900"/>
              <w:spacing w:after="0"/>
              <w:rPr>
                <w:sz w:val="20"/>
                <w:szCs w:val="20"/>
                <w:color w:val="auto"/>
              </w:rPr>
            </w:pPr>
            <w:r>
              <w:rPr>
                <w:rFonts w:ascii="Arial" w:cs="Arial" w:eastAsia="Arial" w:hAnsi="Arial"/>
                <w:sz w:val="17"/>
                <w:szCs w:val="17"/>
                <w:color w:val="auto"/>
              </w:rPr>
              <w:t>·</w:t>
            </w:r>
          </w:p>
        </w:tc>
        <w:tc>
          <w:tcPr>
            <w:tcW w:w="220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w w:val="95"/>
              </w:rPr>
              <w:t>Electrophotographic Printing</w:t>
            </w:r>
          </w:p>
        </w:tc>
        <w:tc>
          <w:tcPr>
            <w:tcW w:w="4180" w:type="dxa"/>
            <w:vAlign w:val="bottom"/>
            <w:tcBorders>
              <w:right w:val="single" w:sz="8" w:color="auto"/>
            </w:tcBorders>
          </w:tcPr>
          <w:p>
            <w:pPr>
              <w:ind w:left="1100"/>
              <w:spacing w:after="0"/>
              <w:rPr>
                <w:sz w:val="20"/>
                <w:szCs w:val="20"/>
                <w:color w:val="auto"/>
              </w:rPr>
            </w:pPr>
            <w:r>
              <w:rPr>
                <w:rFonts w:ascii="Arial" w:cs="Arial" w:eastAsia="Arial" w:hAnsi="Arial"/>
                <w:sz w:val="17"/>
                <w:szCs w:val="17"/>
                <w:color w:val="auto"/>
              </w:rPr>
              <w:t>Films</w:t>
            </w:r>
          </w:p>
        </w:tc>
        <w:tc>
          <w:tcPr>
            <w:tcW w:w="0" w:type="dxa"/>
            <w:vAlign w:val="bottom"/>
          </w:tcPr>
          <w:p>
            <w:pPr>
              <w:spacing w:after="0"/>
              <w:rPr>
                <w:sz w:val="1"/>
                <w:szCs w:val="1"/>
                <w:color w:val="auto"/>
              </w:rPr>
            </w:pPr>
          </w:p>
        </w:tc>
      </w:tr>
      <w:tr>
        <w:trPr>
          <w:trHeight w:val="251"/>
        </w:trPr>
        <w:tc>
          <w:tcPr>
            <w:tcW w:w="40" w:type="dxa"/>
            <w:vAlign w:val="bottom"/>
            <w:tcBorders>
              <w:right w:val="single" w:sz="8" w:color="auto"/>
            </w:tcBorders>
            <w:shd w:val="clear" w:color="auto" w:fill="000000"/>
          </w:tcPr>
          <w:p>
            <w:pPr>
              <w:spacing w:after="0"/>
              <w:rPr>
                <w:sz w:val="21"/>
                <w:szCs w:val="21"/>
                <w:color w:val="auto"/>
              </w:rPr>
            </w:pPr>
          </w:p>
        </w:tc>
        <w:tc>
          <w:tcPr>
            <w:tcW w:w="3220" w:type="dxa"/>
            <w:vAlign w:val="bottom"/>
            <w:tcBorders>
              <w:right w:val="single" w:sz="8" w:color="auto"/>
            </w:tcBorders>
            <w:gridSpan w:val="2"/>
          </w:tcPr>
          <w:p>
            <w:pPr>
              <w:ind w:left="600"/>
              <w:spacing w:after="0"/>
              <w:rPr>
                <w:sz w:val="20"/>
                <w:szCs w:val="20"/>
                <w:color w:val="auto"/>
              </w:rPr>
            </w:pPr>
            <w:r>
              <w:rPr>
                <w:rFonts w:ascii="Arial" w:cs="Arial" w:eastAsia="Arial" w:hAnsi="Arial"/>
                <w:sz w:val="17"/>
                <w:szCs w:val="17"/>
                <w:color w:val="auto"/>
              </w:rPr>
              <w:t>Solutions</w:t>
            </w:r>
          </w:p>
        </w:tc>
        <w:tc>
          <w:tcPr>
            <w:tcW w:w="4180" w:type="dxa"/>
            <w:vAlign w:val="bottom"/>
            <w:tcBorders>
              <w:right w:val="single" w:sz="8" w:color="auto"/>
            </w:tcBorders>
          </w:tcPr>
          <w:p>
            <w:pPr>
              <w:ind w:left="1100"/>
              <w:spacing w:after="0"/>
              <w:rPr>
                <w:sz w:val="20"/>
                <w:szCs w:val="20"/>
                <w:color w:val="auto"/>
              </w:rPr>
            </w:pPr>
            <w:r>
              <w:rPr>
                <w:rFonts w:ascii="Arial" w:cs="Arial" w:eastAsia="Arial" w:hAnsi="Arial"/>
                <w:sz w:val="17"/>
                <w:szCs w:val="17"/>
                <w:color w:val="auto"/>
              </w:rPr>
              <w:t>Digital Printing and Enterprise</w:t>
            </w:r>
          </w:p>
        </w:tc>
        <w:tc>
          <w:tcPr>
            <w:tcW w:w="0" w:type="dxa"/>
            <w:vAlign w:val="bottom"/>
          </w:tcPr>
          <w:p>
            <w:pPr>
              <w:spacing w:after="0"/>
              <w:rPr>
                <w:sz w:val="1"/>
                <w:szCs w:val="1"/>
                <w:color w:val="auto"/>
              </w:rPr>
            </w:pPr>
          </w:p>
        </w:tc>
      </w:tr>
      <w:tr>
        <w:trPr>
          <w:trHeight w:val="144"/>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3220" w:type="dxa"/>
            <w:vAlign w:val="bottom"/>
            <w:tcBorders>
              <w:bottom w:val="single" w:sz="8" w:color="auto"/>
              <w:right w:val="single" w:sz="8" w:color="auto"/>
            </w:tcBorders>
            <w:gridSpan w:val="2"/>
          </w:tcPr>
          <w:p>
            <w:pPr>
              <w:spacing w:after="0"/>
              <w:rPr>
                <w:sz w:val="12"/>
                <w:szCs w:val="12"/>
                <w:color w:val="auto"/>
              </w:rPr>
            </w:pPr>
          </w:p>
        </w:tc>
        <w:tc>
          <w:tcPr>
            <w:tcW w:w="4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3220" w:type="dxa"/>
            <w:vAlign w:val="bottom"/>
            <w:tcBorders>
              <w:right w:val="single" w:sz="8" w:color="auto"/>
            </w:tcBorders>
            <w:gridSpan w:val="2"/>
          </w:tcPr>
          <w:p>
            <w:pPr>
              <w:ind w:left="920"/>
              <w:spacing w:after="0"/>
              <w:rPr>
                <w:sz w:val="20"/>
                <w:szCs w:val="20"/>
                <w:color w:val="auto"/>
              </w:rPr>
            </w:pPr>
            <w:r>
              <w:rPr>
                <w:rFonts w:ascii="Arial" w:cs="Arial" w:eastAsia="Arial" w:hAnsi="Arial"/>
                <w:sz w:val="17"/>
                <w:szCs w:val="17"/>
                <w:color w:val="auto"/>
              </w:rPr>
              <w:t>Enterprise Inkjet Systems:</w:t>
            </w:r>
          </w:p>
        </w:tc>
        <w:tc>
          <w:tcPr>
            <w:tcW w:w="4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0" w:type="dxa"/>
            <w:vAlign w:val="bottom"/>
            <w:tcBorders>
              <w:right w:val="single" w:sz="8" w:color="auto"/>
            </w:tcBorders>
            <w:shd w:val="clear" w:color="auto" w:fill="000000"/>
          </w:tcPr>
          <w:p>
            <w:pPr>
              <w:spacing w:after="0"/>
              <w:rPr>
                <w:sz w:val="24"/>
                <w:szCs w:val="24"/>
                <w:color w:val="auto"/>
              </w:rPr>
            </w:pPr>
          </w:p>
        </w:tc>
        <w:tc>
          <w:tcPr>
            <w:tcW w:w="1020" w:type="dxa"/>
            <w:vAlign w:val="bottom"/>
          </w:tcPr>
          <w:p>
            <w:pPr>
              <w:ind w:left="900"/>
              <w:spacing w:after="0"/>
              <w:rPr>
                <w:sz w:val="20"/>
                <w:szCs w:val="20"/>
                <w:color w:val="auto"/>
              </w:rPr>
            </w:pPr>
            <w:r>
              <w:rPr>
                <w:rFonts w:ascii="Arial" w:cs="Arial" w:eastAsia="Arial" w:hAnsi="Arial"/>
                <w:sz w:val="17"/>
                <w:szCs w:val="17"/>
                <w:color w:val="auto"/>
              </w:rPr>
              <w:t>·</w:t>
            </w:r>
          </w:p>
        </w:tc>
        <w:tc>
          <w:tcPr>
            <w:tcW w:w="220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Inkjet Printing Systems</w:t>
            </w:r>
          </w:p>
        </w:tc>
        <w:tc>
          <w:tcPr>
            <w:tcW w:w="4180" w:type="dxa"/>
            <w:vAlign w:val="bottom"/>
            <w:tcBorders>
              <w:right w:val="single" w:sz="8" w:color="auto"/>
            </w:tcBorders>
          </w:tcPr>
          <w:p>
            <w:pPr>
              <w:ind w:left="900"/>
              <w:spacing w:after="0"/>
              <w:rPr>
                <w:sz w:val="20"/>
                <w:szCs w:val="20"/>
                <w:color w:val="auto"/>
              </w:rPr>
            </w:pPr>
            <w:r>
              <w:rPr>
                <w:rFonts w:ascii="Arial" w:cs="Arial" w:eastAsia="Arial" w:hAnsi="Arial"/>
                <w:sz w:val="17"/>
                <w:szCs w:val="17"/>
                <w:color w:val="auto"/>
              </w:rPr>
              <w:t>·  Digital Printing and Enterprise</w:t>
            </w: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shd w:val="clear" w:color="auto" w:fill="000000"/>
          </w:tcPr>
          <w:p>
            <w:pPr>
              <w:spacing w:after="0"/>
              <w:rPr>
                <w:sz w:val="17"/>
                <w:szCs w:val="17"/>
                <w:color w:val="auto"/>
              </w:rPr>
            </w:pPr>
          </w:p>
        </w:tc>
        <w:tc>
          <w:tcPr>
            <w:tcW w:w="322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  Digital Front End Controllers</w:t>
            </w:r>
          </w:p>
        </w:tc>
        <w:tc>
          <w:tcPr>
            <w:tcW w:w="4180" w:type="dxa"/>
            <w:vAlign w:val="bottom"/>
            <w:tcBorders>
              <w:right w:val="single" w:sz="8" w:color="auto"/>
            </w:tcBorders>
          </w:tcPr>
          <w:p>
            <w:pPr>
              <w:ind w:left="900"/>
              <w:spacing w:after="0"/>
              <w:rPr>
                <w:sz w:val="20"/>
                <w:szCs w:val="20"/>
                <w:color w:val="auto"/>
              </w:rPr>
            </w:pPr>
            <w:r>
              <w:rPr>
                <w:rFonts w:ascii="Arial" w:cs="Arial" w:eastAsia="Arial" w:hAnsi="Arial"/>
                <w:sz w:val="17"/>
                <w:szCs w:val="17"/>
                <w:color w:val="auto"/>
                <w:w w:val="99"/>
              </w:rPr>
              <w:t>·  Graphics, Entertainment and Commercial</w:t>
            </w:r>
          </w:p>
        </w:tc>
        <w:tc>
          <w:tcPr>
            <w:tcW w:w="0" w:type="dxa"/>
            <w:vAlign w:val="bottom"/>
          </w:tcPr>
          <w:p>
            <w:pPr>
              <w:spacing w:after="0"/>
              <w:rPr>
                <w:sz w:val="1"/>
                <w:szCs w:val="1"/>
                <w:color w:val="auto"/>
              </w:rPr>
            </w:pPr>
          </w:p>
        </w:tc>
      </w:tr>
      <w:tr>
        <w:trPr>
          <w:trHeight w:val="219"/>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Films</w:t>
            </w: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3220" w:type="dxa"/>
            <w:vAlign w:val="bottom"/>
            <w:tcBorders>
              <w:right w:val="single" w:sz="8" w:color="auto"/>
            </w:tcBorders>
            <w:gridSpan w:val="2"/>
          </w:tcPr>
          <w:p>
            <w:pPr>
              <w:ind w:left="920"/>
              <w:spacing w:after="0"/>
              <w:rPr>
                <w:sz w:val="20"/>
                <w:szCs w:val="20"/>
                <w:color w:val="auto"/>
              </w:rPr>
            </w:pPr>
            <w:r>
              <w:rPr>
                <w:rFonts w:ascii="Arial" w:cs="Arial" w:eastAsia="Arial" w:hAnsi="Arial"/>
                <w:sz w:val="17"/>
                <w:szCs w:val="17"/>
                <w:color w:val="auto"/>
                <w:w w:val="91"/>
              </w:rPr>
              <w:t>Micro 3D Printing and Packaging</w:t>
            </w:r>
          </w:p>
        </w:tc>
        <w:tc>
          <w:tcPr>
            <w:tcW w:w="4180" w:type="dxa"/>
            <w:vAlign w:val="bottom"/>
            <w:tcBorders>
              <w:right w:val="single" w:sz="8" w:color="auto"/>
            </w:tcBorders>
          </w:tcPr>
          <w:p>
            <w:pPr>
              <w:ind w:left="920"/>
              <w:spacing w:after="0"/>
              <w:rPr>
                <w:sz w:val="20"/>
                <w:szCs w:val="20"/>
                <w:color w:val="auto"/>
              </w:rPr>
            </w:pPr>
            <w:r>
              <w:rPr>
                <w:rFonts w:ascii="Arial" w:cs="Arial" w:eastAsia="Arial" w:hAnsi="Arial"/>
                <w:sz w:val="17"/>
                <w:szCs w:val="17"/>
                <w:color w:val="auto"/>
              </w:rPr>
              <w:t>Digital Printing and Enterprise</w:t>
            </w: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3220" w:type="dxa"/>
            <w:vAlign w:val="bottom"/>
            <w:tcBorders>
              <w:bottom w:val="single" w:sz="8" w:color="auto"/>
              <w:right w:val="single" w:sz="8" w:color="auto"/>
            </w:tcBorders>
            <w:gridSpan w:val="2"/>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3220" w:type="dxa"/>
            <w:vAlign w:val="bottom"/>
            <w:tcBorders>
              <w:right w:val="single" w:sz="8" w:color="auto"/>
            </w:tcBorders>
            <w:gridSpan w:val="2"/>
          </w:tcPr>
          <w:p>
            <w:pPr>
              <w:ind w:left="920"/>
              <w:spacing w:after="0"/>
              <w:rPr>
                <w:sz w:val="20"/>
                <w:szCs w:val="20"/>
                <w:color w:val="auto"/>
              </w:rPr>
            </w:pPr>
            <w:r>
              <w:rPr>
                <w:rFonts w:ascii="Arial" w:cs="Arial" w:eastAsia="Arial" w:hAnsi="Arial"/>
                <w:sz w:val="17"/>
                <w:szCs w:val="17"/>
                <w:color w:val="auto"/>
              </w:rPr>
              <w:t>Software and Solutions:</w:t>
            </w:r>
          </w:p>
        </w:tc>
        <w:tc>
          <w:tcPr>
            <w:tcW w:w="4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0" w:type="dxa"/>
            <w:vAlign w:val="bottom"/>
            <w:tcBorders>
              <w:right w:val="single" w:sz="8" w:color="auto"/>
            </w:tcBorders>
            <w:shd w:val="clear" w:color="auto" w:fill="000000"/>
          </w:tcPr>
          <w:p>
            <w:pPr>
              <w:spacing w:after="0"/>
              <w:rPr>
                <w:sz w:val="24"/>
                <w:szCs w:val="24"/>
                <w:color w:val="auto"/>
              </w:rPr>
            </w:pPr>
          </w:p>
        </w:tc>
        <w:tc>
          <w:tcPr>
            <w:tcW w:w="1020" w:type="dxa"/>
            <w:vAlign w:val="bottom"/>
          </w:tcPr>
          <w:p>
            <w:pPr>
              <w:ind w:left="900"/>
              <w:spacing w:after="0"/>
              <w:rPr>
                <w:sz w:val="20"/>
                <w:szCs w:val="20"/>
                <w:color w:val="auto"/>
              </w:rPr>
            </w:pPr>
            <w:r>
              <w:rPr>
                <w:rFonts w:ascii="Arial" w:cs="Arial" w:eastAsia="Arial" w:hAnsi="Arial"/>
                <w:sz w:val="17"/>
                <w:szCs w:val="17"/>
                <w:color w:val="auto"/>
              </w:rPr>
              <w:t>·</w:t>
            </w:r>
          </w:p>
        </w:tc>
        <w:tc>
          <w:tcPr>
            <w:tcW w:w="220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w w:val="94"/>
              </w:rPr>
              <w:t>Kodak Technology Solutions</w:t>
            </w:r>
          </w:p>
        </w:tc>
        <w:tc>
          <w:tcPr>
            <w:tcW w:w="4180" w:type="dxa"/>
            <w:vAlign w:val="bottom"/>
            <w:tcBorders>
              <w:right w:val="single" w:sz="8" w:color="auto"/>
            </w:tcBorders>
          </w:tcPr>
          <w:p>
            <w:pPr>
              <w:ind w:left="900"/>
              <w:spacing w:after="0"/>
              <w:rPr>
                <w:sz w:val="20"/>
                <w:szCs w:val="20"/>
                <w:color w:val="auto"/>
              </w:rPr>
            </w:pPr>
            <w:r>
              <w:rPr>
                <w:rFonts w:ascii="Arial" w:cs="Arial" w:eastAsia="Arial" w:hAnsi="Arial"/>
                <w:sz w:val="17"/>
                <w:szCs w:val="17"/>
                <w:color w:val="auto"/>
              </w:rPr>
              <w:t>·  Digital Printing and Enterprise</w:t>
            </w: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shd w:val="clear" w:color="auto" w:fill="000000"/>
          </w:tcPr>
          <w:p>
            <w:pPr>
              <w:spacing w:after="0"/>
              <w:rPr>
                <w:sz w:val="17"/>
                <w:szCs w:val="17"/>
                <w:color w:val="auto"/>
              </w:rPr>
            </w:pPr>
          </w:p>
        </w:tc>
        <w:tc>
          <w:tcPr>
            <w:tcW w:w="1020" w:type="dxa"/>
            <w:vAlign w:val="bottom"/>
          </w:tcPr>
          <w:p>
            <w:pPr>
              <w:ind w:left="900"/>
              <w:spacing w:after="0"/>
              <w:rPr>
                <w:sz w:val="20"/>
                <w:szCs w:val="20"/>
                <w:color w:val="auto"/>
              </w:rPr>
            </w:pPr>
            <w:r>
              <w:rPr>
                <w:rFonts w:ascii="Arial" w:cs="Arial" w:eastAsia="Arial" w:hAnsi="Arial"/>
                <w:sz w:val="17"/>
                <w:szCs w:val="17"/>
                <w:color w:val="auto"/>
              </w:rPr>
              <w:t>·</w:t>
            </w:r>
          </w:p>
        </w:tc>
        <w:tc>
          <w:tcPr>
            <w:tcW w:w="220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Unified Workflow Solutions</w:t>
            </w:r>
          </w:p>
        </w:tc>
        <w:tc>
          <w:tcPr>
            <w:tcW w:w="4180" w:type="dxa"/>
            <w:vAlign w:val="bottom"/>
            <w:tcBorders>
              <w:right w:val="single" w:sz="8" w:color="auto"/>
            </w:tcBorders>
          </w:tcPr>
          <w:p>
            <w:pPr>
              <w:ind w:left="900"/>
              <w:spacing w:after="0"/>
              <w:rPr>
                <w:sz w:val="20"/>
                <w:szCs w:val="20"/>
                <w:color w:val="auto"/>
              </w:rPr>
            </w:pPr>
            <w:r>
              <w:rPr>
                <w:rFonts w:ascii="Arial" w:cs="Arial" w:eastAsia="Arial" w:hAnsi="Arial"/>
                <w:sz w:val="17"/>
                <w:szCs w:val="17"/>
                <w:color w:val="auto"/>
                <w:w w:val="99"/>
              </w:rPr>
              <w:t>·  Graphics, Entertainment and Commercial</w:t>
            </w:r>
          </w:p>
        </w:tc>
        <w:tc>
          <w:tcPr>
            <w:tcW w:w="0" w:type="dxa"/>
            <w:vAlign w:val="bottom"/>
          </w:tcPr>
          <w:p>
            <w:pPr>
              <w:spacing w:after="0"/>
              <w:rPr>
                <w:sz w:val="1"/>
                <w:szCs w:val="1"/>
                <w:color w:val="auto"/>
              </w:rPr>
            </w:pPr>
          </w:p>
        </w:tc>
      </w:tr>
      <w:tr>
        <w:trPr>
          <w:trHeight w:val="219"/>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Films</w:t>
            </w:r>
          </w:p>
        </w:tc>
        <w:tc>
          <w:tcPr>
            <w:tcW w:w="0" w:type="dxa"/>
            <w:vAlign w:val="bottom"/>
          </w:tcPr>
          <w:p>
            <w:pPr>
              <w:spacing w:after="0"/>
              <w:rPr>
                <w:sz w:val="1"/>
                <w:szCs w:val="1"/>
                <w:color w:val="auto"/>
              </w:rPr>
            </w:pPr>
          </w:p>
        </w:tc>
      </w:tr>
      <w:tr>
        <w:trPr>
          <w:trHeight w:val="20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3220" w:type="dxa"/>
            <w:vAlign w:val="bottom"/>
            <w:tcBorders>
              <w:bottom w:val="single" w:sz="8" w:color="auto"/>
              <w:right w:val="single" w:sz="8" w:color="auto"/>
            </w:tcBorders>
            <w:gridSpan w:val="2"/>
          </w:tcPr>
          <w:p>
            <w:pPr>
              <w:ind w:left="920"/>
              <w:spacing w:after="0"/>
              <w:rPr>
                <w:sz w:val="20"/>
                <w:szCs w:val="20"/>
                <w:color w:val="auto"/>
              </w:rPr>
            </w:pPr>
            <w:r>
              <w:rPr>
                <w:rFonts w:ascii="Arial" w:cs="Arial" w:eastAsia="Arial" w:hAnsi="Arial"/>
                <w:sz w:val="17"/>
                <w:szCs w:val="17"/>
                <w:color w:val="auto"/>
              </w:rPr>
              <w:t>Consumer and Film</w:t>
            </w:r>
          </w:p>
        </w:tc>
        <w:tc>
          <w:tcPr>
            <w:tcW w:w="41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7"/>
                <w:szCs w:val="17"/>
                <w:color w:val="auto"/>
                <w:w w:val="90"/>
              </w:rPr>
              <w:t>Graphics, Entertainment and Commercial Films</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220" w:type="dxa"/>
            <w:vAlign w:val="bottom"/>
            <w:tcBorders>
              <w:right w:val="single" w:sz="8" w:color="auto"/>
            </w:tcBorders>
            <w:gridSpan w:val="2"/>
          </w:tcPr>
          <w:p>
            <w:pPr>
              <w:ind w:left="920"/>
              <w:spacing w:after="0" w:line="189" w:lineRule="exact"/>
              <w:rPr>
                <w:sz w:val="20"/>
                <w:szCs w:val="20"/>
                <w:color w:val="auto"/>
              </w:rPr>
            </w:pPr>
            <w:r>
              <w:rPr>
                <w:rFonts w:ascii="Arial" w:cs="Arial" w:eastAsia="Arial" w:hAnsi="Arial"/>
                <w:sz w:val="17"/>
                <w:szCs w:val="17"/>
                <w:color w:val="auto"/>
              </w:rPr>
              <w:t>Intellectual Property Solutions</w:t>
            </w:r>
          </w:p>
        </w:tc>
        <w:tc>
          <w:tcPr>
            <w:tcW w:w="4180" w:type="dxa"/>
            <w:vAlign w:val="bottom"/>
            <w:tcBorders>
              <w:right w:val="single" w:sz="8" w:color="auto"/>
            </w:tcBorders>
          </w:tcPr>
          <w:p>
            <w:pPr>
              <w:ind w:left="900"/>
              <w:spacing w:after="0" w:line="189" w:lineRule="exact"/>
              <w:rPr>
                <w:sz w:val="20"/>
                <w:szCs w:val="20"/>
                <w:color w:val="auto"/>
              </w:rPr>
            </w:pPr>
            <w:r>
              <w:rPr>
                <w:rFonts w:ascii="Arial" w:cs="Arial" w:eastAsia="Arial" w:hAnsi="Arial"/>
                <w:sz w:val="17"/>
                <w:szCs w:val="17"/>
                <w:color w:val="auto"/>
                <w:w w:val="90"/>
              </w:rPr>
              <w:t>Graphics, Entertainment and Commercial Films</w:t>
            </w: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ind w:left="900"/>
              <w:spacing w:after="0"/>
              <w:rPr>
                <w:sz w:val="20"/>
                <w:szCs w:val="20"/>
                <w:color w:val="auto"/>
              </w:rPr>
            </w:pPr>
            <w:r>
              <w:rPr>
                <w:rFonts w:ascii="Arial" w:cs="Arial" w:eastAsia="Arial" w:hAnsi="Arial"/>
                <w:sz w:val="17"/>
                <w:szCs w:val="17"/>
                <w:color w:val="auto"/>
                <w:w w:val="96"/>
              </w:rPr>
              <w:t>(other than R&amp;D not directly related to one of</w:t>
            </w: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20" w:type="dxa"/>
            <w:vAlign w:val="bottom"/>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4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-2609215</wp:posOffset>
            </wp:positionV>
            <wp:extent cx="57150" cy="57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-2353945</wp:posOffset>
            </wp:positionV>
            <wp:extent cx="57150" cy="57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ectPr>
          <w:pgSz w:w="11900" w:h="16900" w:orient="portrait"/>
          <w:cols w:equalWidth="0" w:num="1">
            <w:col w:w="11360"/>
          </w:cols>
          <w:pgMar w:left="240" w:top="462" w:right="2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1540" w:type="dxa"/>
            <w:vAlign w:val="bottom"/>
            <w:tcBorders>
              <w:right w:val="single" w:sz="8" w:color="auto"/>
            </w:tcBorders>
          </w:tcPr>
          <w:p>
            <w:pPr>
              <w:spacing w:after="0"/>
              <w:rPr>
                <w:sz w:val="16"/>
                <w:szCs w:val="16"/>
                <w:color w:val="auto"/>
              </w:rPr>
            </w:pPr>
          </w:p>
        </w:tc>
        <w:tc>
          <w:tcPr>
            <w:tcW w:w="3220" w:type="dxa"/>
            <w:vAlign w:val="bottom"/>
            <w:tcBorders>
              <w:right w:val="single" w:sz="8" w:color="auto"/>
            </w:tcBorders>
          </w:tcPr>
          <w:p>
            <w:pPr>
              <w:spacing w:after="0"/>
              <w:rPr>
                <w:sz w:val="16"/>
                <w:szCs w:val="16"/>
                <w:color w:val="auto"/>
              </w:rPr>
            </w:pPr>
          </w:p>
        </w:tc>
        <w:tc>
          <w:tcPr>
            <w:tcW w:w="4180" w:type="dxa"/>
            <w:vAlign w:val="bottom"/>
            <w:tcBorders>
              <w:right w:val="single" w:sz="8" w:color="auto"/>
            </w:tcBorders>
          </w:tcPr>
          <w:p>
            <w:pPr>
              <w:ind w:left="900"/>
              <w:spacing w:after="0"/>
              <w:rPr>
                <w:sz w:val="20"/>
                <w:szCs w:val="20"/>
                <w:color w:val="auto"/>
              </w:rPr>
            </w:pPr>
            <w:r>
              <w:rPr>
                <w:rFonts w:ascii="Arial" w:cs="Arial" w:eastAsia="Arial" w:hAnsi="Arial"/>
                <w:sz w:val="17"/>
                <w:szCs w:val="17"/>
                <w:color w:val="auto"/>
                <w:w w:val="94"/>
              </w:rPr>
              <w:t>the segments, which was allocated to each of</w:t>
            </w:r>
          </w:p>
        </w:tc>
        <w:tc>
          <w:tcPr>
            <w:tcW w:w="2480" w:type="dxa"/>
            <w:vAlign w:val="bottom"/>
          </w:tcPr>
          <w:p>
            <w:pPr>
              <w:spacing w:after="0"/>
              <w:rPr>
                <w:sz w:val="16"/>
                <w:szCs w:val="16"/>
                <w:color w:val="auto"/>
              </w:rPr>
            </w:pPr>
          </w:p>
        </w:tc>
      </w:tr>
      <w:tr>
        <w:trPr>
          <w:trHeight w:val="219"/>
        </w:trPr>
        <w:tc>
          <w:tcPr>
            <w:tcW w:w="154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7"/>
                <w:szCs w:val="17"/>
                <w:color w:val="auto"/>
              </w:rPr>
              <w:t>the segments)</w:t>
            </w:r>
          </w:p>
        </w:tc>
        <w:tc>
          <w:tcPr>
            <w:tcW w:w="2480" w:type="dxa"/>
            <w:vAlign w:val="bottom"/>
          </w:tcPr>
          <w:p>
            <w:pPr>
              <w:spacing w:after="0"/>
              <w:rPr>
                <w:sz w:val="19"/>
                <w:szCs w:val="19"/>
                <w:color w:val="auto"/>
              </w:rPr>
            </w:pPr>
          </w:p>
        </w:tc>
      </w:tr>
      <w:tr>
        <w:trPr>
          <w:trHeight w:val="206"/>
        </w:trPr>
        <w:tc>
          <w:tcPr>
            <w:tcW w:w="1540" w:type="dxa"/>
            <w:vAlign w:val="bottom"/>
            <w:tcBorders>
              <w:right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7"/>
                <w:szCs w:val="17"/>
                <w:color w:val="auto"/>
              </w:rPr>
              <w:t>Eastman Business Park</w:t>
            </w:r>
          </w:p>
        </w:tc>
        <w:tc>
          <w:tcPr>
            <w:tcW w:w="41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7"/>
                <w:szCs w:val="17"/>
                <w:color w:val="auto"/>
                <w:w w:val="90"/>
              </w:rPr>
              <w:t>Graphics, Entertainment and Commercial Films</w:t>
            </w:r>
          </w:p>
        </w:tc>
        <w:tc>
          <w:tcPr>
            <w:tcW w:w="2480" w:type="dxa"/>
            <w:vAlign w:val="bottom"/>
          </w:tcPr>
          <w:p>
            <w:pPr>
              <w:spacing w:after="0"/>
              <w:rPr>
                <w:sz w:val="17"/>
                <w:szCs w:val="17"/>
                <w:color w:val="auto"/>
              </w:rPr>
            </w:pPr>
          </w:p>
        </w:tc>
      </w:tr>
      <w:tr>
        <w:trPr>
          <w:trHeight w:val="565"/>
        </w:trPr>
        <w:tc>
          <w:tcPr>
            <w:tcW w:w="1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80" w:type="dxa"/>
            <w:vAlign w:val="bottom"/>
          </w:tcPr>
          <w:p>
            <w:pPr>
              <w:jc w:val="right"/>
              <w:ind w:right="3056"/>
              <w:spacing w:after="0"/>
              <w:rPr>
                <w:sz w:val="20"/>
                <w:szCs w:val="20"/>
                <w:color w:val="auto"/>
              </w:rPr>
            </w:pPr>
            <w:r>
              <w:rPr>
                <w:rFonts w:ascii="Arial" w:cs="Arial" w:eastAsia="Arial" w:hAnsi="Arial"/>
                <w:sz w:val="17"/>
                <w:szCs w:val="17"/>
                <w:color w:val="auto"/>
              </w:rPr>
              <w:t>29</w:t>
            </w:r>
          </w:p>
        </w:tc>
        <w:tc>
          <w:tcPr>
            <w:tcW w:w="2480" w:type="dxa"/>
            <w:vAlign w:val="bottom"/>
          </w:tcPr>
          <w:p>
            <w:pPr>
              <w:spacing w:after="0"/>
              <w:rPr>
                <w:sz w:val="24"/>
                <w:szCs w:val="24"/>
                <w:color w:val="auto"/>
              </w:rPr>
            </w:pPr>
          </w:p>
        </w:tc>
      </w:tr>
      <w:tr>
        <w:trPr>
          <w:trHeight w:val="110"/>
        </w:trPr>
        <w:tc>
          <w:tcPr>
            <w:tcW w:w="154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 by Reportable Segment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vMerge w:val="restart"/>
          </w:tcPr>
          <w:p>
            <w:pPr>
              <w:jc w:val="center"/>
              <w:ind w:right="380"/>
              <w:spacing w:after="0"/>
              <w:rPr>
                <w:sz w:val="20"/>
                <w:szCs w:val="20"/>
                <w:color w:val="auto"/>
              </w:rPr>
            </w:pPr>
            <w:r>
              <w:rPr>
                <w:rFonts w:ascii="Arial" w:cs="Arial" w:eastAsia="Arial" w:hAnsi="Arial"/>
                <w:sz w:val="17"/>
                <w:szCs w:val="17"/>
                <w:b w:val="1"/>
                <w:bCs w:val="1"/>
                <w:color w:val="auto"/>
                <w:w w:val="90"/>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vMerge w:val="restart"/>
          </w:tcPr>
          <w:p>
            <w:pPr>
              <w:jc w:val="center"/>
              <w:ind w:right="340"/>
              <w:spacing w:after="0"/>
              <w:rPr>
                <w:sz w:val="20"/>
                <w:szCs w:val="20"/>
                <w:color w:val="auto"/>
              </w:rPr>
            </w:pPr>
            <w:r>
              <w:rPr>
                <w:rFonts w:ascii="Arial" w:cs="Arial" w:eastAsia="Arial" w:hAnsi="Arial"/>
                <w:sz w:val="17"/>
                <w:szCs w:val="17"/>
                <w:b w:val="1"/>
                <w:bCs w:val="1"/>
                <w:color w:val="auto"/>
                <w:w w:val="89"/>
              </w:rPr>
              <w:t>Nine Months Ended</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7"/>
                <w:szCs w:val="17"/>
                <w:b w:val="1"/>
                <w:bCs w:val="1"/>
                <w:color w:val="auto"/>
                <w:w w:val="87"/>
              </w:rPr>
              <w:t>September 30,</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7"/>
                <w:szCs w:val="17"/>
                <w:b w:val="1"/>
                <w:bCs w:val="1"/>
                <w:color w:val="auto"/>
                <w:w w:val="87"/>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123</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Software and Solutions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94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446</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568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1,331</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1,584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80" w:type="dxa"/>
            <w:vAlign w:val="bottom"/>
            <w:gridSpan w:val="2"/>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7860" w:type="dxa"/>
            <w:vAlign w:val="bottom"/>
            <w:gridSpan w:val="7"/>
          </w:tcPr>
          <w:p>
            <w:pPr>
              <w:spacing w:after="0"/>
              <w:rPr>
                <w:sz w:val="20"/>
                <w:szCs w:val="20"/>
                <w:color w:val="auto"/>
              </w:rPr>
            </w:pPr>
            <w:r>
              <w:rPr>
                <w:rFonts w:ascii="Arial" w:cs="Arial" w:eastAsia="Arial" w:hAnsi="Arial"/>
                <w:sz w:val="17"/>
                <w:szCs w:val="17"/>
                <w:b w:val="1"/>
                <w:bCs w:val="1"/>
                <w:color w:val="auto"/>
                <w:w w:val="93"/>
              </w:rPr>
              <w:t>Segment Operational EBITDA and Consolidated Loss from Continuing Operations Before Income Taxes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7"/>
                <w:szCs w:val="17"/>
                <w:b w:val="1"/>
                <w:bCs w:val="1"/>
                <w:color w:val="auto"/>
                <w:w w:val="90"/>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9"/>
              </w:rPr>
              <w:t>Nine Months Ended</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7"/>
                <w:szCs w:val="17"/>
                <w:b w:val="1"/>
                <w:bCs w:val="1"/>
                <w:color w:val="auto"/>
                <w:w w:val="87"/>
              </w:rPr>
              <w:t>September 30,</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7"/>
                <w:szCs w:val="17"/>
                <w:b w:val="1"/>
                <w:bCs w:val="1"/>
                <w:color w:val="auto"/>
                <w:w w:val="87"/>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line="185" w:lineRule="exact"/>
              <w:rPr>
                <w:sz w:val="20"/>
                <w:szCs w:val="20"/>
                <w:color w:val="auto"/>
              </w:rPr>
            </w:pPr>
            <w:r>
              <w:rPr>
                <w:rFonts w:ascii="Arial" w:cs="Arial" w:eastAsia="Arial" w:hAnsi="Arial"/>
                <w:sz w:val="17"/>
                <w:szCs w:val="17"/>
                <w:b w:val="1"/>
                <w:bCs w:val="1"/>
                <w:color w:val="auto"/>
                <w:w w:val="90"/>
              </w:rPr>
              <w:t>Segment Operational EBITDA and Consolidated loss from continuing operations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rPr>
              <w:t>before income taxes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Micro 3D Printing and Packaging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Software and Solutions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940" w:type="dxa"/>
            <w:vAlign w:val="bottom"/>
          </w:tcPr>
          <w:p>
            <w:pPr>
              <w:ind w:left="80"/>
              <w:spacing w:after="0"/>
              <w:rPr>
                <w:sz w:val="20"/>
                <w:szCs w:val="20"/>
                <w:color w:val="auto"/>
              </w:rPr>
            </w:pPr>
            <w:r>
              <w:rPr>
                <w:rFonts w:ascii="Arial" w:cs="Arial" w:eastAsia="Arial" w:hAnsi="Arial"/>
                <w:sz w:val="17"/>
                <w:szCs w:val="17"/>
                <w:color w:val="auto"/>
              </w:rPr>
              <w:t>Total of reportable segments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7"/>
        </w:trPr>
        <w:tc>
          <w:tcPr>
            <w:tcW w:w="5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(113)</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Stock based compensation</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5940" w:type="dxa"/>
            <w:vAlign w:val="bottom"/>
          </w:tcPr>
          <w:p>
            <w:pPr>
              <w:spacing w:after="0" w:line="20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3"/>
                <w:szCs w:val="23"/>
                <w:color w:val="auto"/>
                <w:vertAlign w:val="superscript"/>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Costs previously allocated to discontinued operations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7"/>
        </w:trPr>
        <w:tc>
          <w:tcPr>
            <w:tcW w:w="5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operating income (expense), net excluding gain related to</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120"/>
              <w:spacing w:after="0" w:line="215" w:lineRule="exact"/>
              <w:rPr>
                <w:sz w:val="20"/>
                <w:szCs w:val="20"/>
                <w:color w:val="auto"/>
              </w:rPr>
            </w:pPr>
            <w:r>
              <w:rPr>
                <w:rFonts w:ascii="Arial" w:cs="Arial" w:eastAsia="Arial" w:hAnsi="Arial"/>
                <w:sz w:val="17"/>
                <w:szCs w:val="17"/>
                <w:color w:val="auto"/>
              </w:rPr>
              <w:t xml:space="preserve">Unipixel termination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Consolidated income (loss) from continuing</w:t>
            </w: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operations before income taxes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16" w:lineRule="auto"/>
        <w:tabs>
          <w:tab w:leader="none" w:pos="4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214" w:lineRule="exact"/>
        <w:rPr>
          <w:rFonts w:ascii="Arial" w:cs="Arial" w:eastAsia="Arial" w:hAnsi="Arial"/>
          <w:sz w:val="23"/>
          <w:szCs w:val="23"/>
          <w:color w:val="auto"/>
          <w:vertAlign w:val="superscript"/>
        </w:rPr>
      </w:pPr>
    </w:p>
    <w:p>
      <w:pPr>
        <w:jc w:val="both"/>
        <w:ind w:left="460" w:hanging="227"/>
        <w:spacing w:after="0" w:line="225" w:lineRule="auto"/>
        <w:tabs>
          <w:tab w:leader="none" w:pos="4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Consulting and other costs are primarily related to professional services provided for corporate strategic initiatives in the current year periods. The prior year periods primarily represent the cost of AlixPartners filling interim executive positions which are not captured within “Reorganization items, net” as well as consulting services provided by former executives during transitional periods.</w:t>
      </w:r>
    </w:p>
    <w:p>
      <w:pPr>
        <w:spacing w:after="0" w:line="215" w:lineRule="exact"/>
        <w:rPr>
          <w:rFonts w:ascii="Arial" w:cs="Arial" w:eastAsia="Arial" w:hAnsi="Arial"/>
          <w:sz w:val="23"/>
          <w:szCs w:val="23"/>
          <w:color w:val="auto"/>
          <w:vertAlign w:val="superscript"/>
        </w:rPr>
      </w:pPr>
    </w:p>
    <w:p>
      <w:pPr>
        <w:ind w:left="460" w:hanging="227"/>
        <w:spacing w:after="0" w:line="216" w:lineRule="auto"/>
        <w:tabs>
          <w:tab w:leader="none" w:pos="4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214" w:lineRule="exact"/>
        <w:rPr>
          <w:rFonts w:ascii="Arial" w:cs="Arial" w:eastAsia="Arial" w:hAnsi="Arial"/>
          <w:sz w:val="23"/>
          <w:szCs w:val="23"/>
          <w:color w:val="auto"/>
          <w:vertAlign w:val="superscript"/>
        </w:rPr>
      </w:pPr>
    </w:p>
    <w:p>
      <w:pPr>
        <w:jc w:val="both"/>
        <w:ind w:left="460" w:hanging="227"/>
        <w:spacing w:after="0" w:line="230" w:lineRule="auto"/>
        <w:tabs>
          <w:tab w:leader="none" w:pos="4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In the third quarter of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for the third quarter of 2015.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2015 COMPARED WITH 2014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AND YEAR TO DATE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3460" w:type="dxa"/>
            <w:vAlign w:val="bottom"/>
            <w:gridSpan w:val="10"/>
          </w:tcPr>
          <w:p>
            <w:pPr>
              <w:jc w:val="right"/>
              <w:ind w:right="720"/>
              <w:spacing w:after="0"/>
              <w:rPr>
                <w:sz w:val="20"/>
                <w:szCs w:val="20"/>
                <w:color w:val="auto"/>
              </w:rPr>
            </w:pPr>
            <w:r>
              <w:rPr>
                <w:rFonts w:ascii="Arial" w:cs="Arial" w:eastAsia="Arial" w:hAnsi="Arial"/>
                <w:sz w:val="17"/>
                <w:szCs w:val="17"/>
                <w:b w:val="1"/>
                <w:bCs w:val="1"/>
                <w:color w:val="auto"/>
                <w:w w:val="94"/>
              </w:rPr>
              <w:t>Three Months Ended September 30,</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gridSpan w:val="9"/>
          </w:tcPr>
          <w:p>
            <w:pPr>
              <w:jc w:val="right"/>
              <w:ind w:right="800"/>
              <w:spacing w:after="0"/>
              <w:rPr>
                <w:sz w:val="20"/>
                <w:szCs w:val="20"/>
                <w:color w:val="auto"/>
              </w:rPr>
            </w:pPr>
            <w:r>
              <w:rPr>
                <w:rFonts w:ascii="Arial" w:cs="Arial" w:eastAsia="Arial" w:hAnsi="Arial"/>
                <w:sz w:val="17"/>
                <w:szCs w:val="17"/>
                <w:b w:val="1"/>
                <w:bCs w:val="1"/>
                <w:color w:val="auto"/>
                <w:w w:val="95"/>
              </w:rPr>
              <w:t>Nine Months Ended September 30,</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85"/>
        </w:trPr>
        <w:tc>
          <w:tcPr>
            <w:tcW w:w="2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360"/>
              <w:spacing w:after="0" w:line="185" w:lineRule="exact"/>
              <w:rPr>
                <w:sz w:val="20"/>
                <w:szCs w:val="20"/>
                <w:color w:val="auto"/>
              </w:rPr>
            </w:pPr>
            <w:r>
              <w:rPr>
                <w:rFonts w:ascii="Arial" w:cs="Arial" w:eastAsia="Arial" w:hAnsi="Arial"/>
                <w:sz w:val="17"/>
                <w:szCs w:val="17"/>
                <w:b w:val="1"/>
                <w:bCs w:val="1"/>
                <w:color w:val="auto"/>
              </w:rPr>
              <w:t>% of</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b w:val="1"/>
                <w:bCs w:val="1"/>
                <w:color w:val="auto"/>
              </w:rPr>
              <w:t>% of</w:t>
            </w:r>
          </w:p>
        </w:tc>
        <w:tc>
          <w:tcPr>
            <w:tcW w:w="440" w:type="dxa"/>
            <w:vAlign w:val="bottom"/>
          </w:tcPr>
          <w:p>
            <w:pPr>
              <w:spacing w:after="0"/>
              <w:rPr>
                <w:sz w:val="16"/>
                <w:szCs w:val="16"/>
                <w:color w:val="auto"/>
              </w:rPr>
            </w:pPr>
          </w:p>
        </w:tc>
        <w:tc>
          <w:tcPr>
            <w:tcW w:w="560" w:type="dxa"/>
            <w:vAlign w:val="bottom"/>
          </w:tcPr>
          <w:p>
            <w:pPr>
              <w:jc w:val="right"/>
              <w:ind w:right="116"/>
              <w:spacing w:after="0" w:line="185" w:lineRule="exact"/>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500"/>
              <w:spacing w:after="0" w:line="185" w:lineRule="exact"/>
              <w:rPr>
                <w:sz w:val="20"/>
                <w:szCs w:val="20"/>
                <w:color w:val="auto"/>
              </w:rPr>
            </w:pPr>
            <w:r>
              <w:rPr>
                <w:rFonts w:ascii="Arial" w:cs="Arial" w:eastAsia="Arial" w:hAnsi="Arial"/>
                <w:sz w:val="17"/>
                <w:szCs w:val="17"/>
                <w:b w:val="1"/>
                <w:bCs w:val="1"/>
                <w:color w:val="auto"/>
              </w:rPr>
              <w:t>% of</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60"/>
              <w:spacing w:after="0" w:line="185" w:lineRule="exact"/>
              <w:rPr>
                <w:sz w:val="20"/>
                <w:szCs w:val="20"/>
                <w:color w:val="auto"/>
              </w:rPr>
            </w:pPr>
            <w:r>
              <w:rPr>
                <w:rFonts w:ascii="Arial" w:cs="Arial" w:eastAsia="Arial" w:hAnsi="Arial"/>
                <w:sz w:val="17"/>
                <w:szCs w:val="17"/>
                <w:b w:val="1"/>
                <w:bCs w:val="1"/>
                <w:color w:val="auto"/>
              </w:rPr>
              <w:t>% of</w:t>
            </w:r>
          </w:p>
        </w:tc>
        <w:tc>
          <w:tcPr>
            <w:tcW w:w="460" w:type="dxa"/>
            <w:vAlign w:val="bottom"/>
          </w:tcPr>
          <w:p>
            <w:pPr>
              <w:spacing w:after="0"/>
              <w:rPr>
                <w:sz w:val="16"/>
                <w:szCs w:val="16"/>
                <w:color w:val="auto"/>
              </w:rPr>
            </w:pPr>
          </w:p>
        </w:tc>
        <w:tc>
          <w:tcPr>
            <w:tcW w:w="540" w:type="dxa"/>
            <w:vAlign w:val="bottom"/>
          </w:tcPr>
          <w:p>
            <w:pPr>
              <w:jc w:val="right"/>
              <w:ind w:right="96"/>
              <w:spacing w:after="0" w:line="185" w:lineRule="exact"/>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6"/>
                <w:szCs w:val="16"/>
                <w:color w:val="auto"/>
              </w:rPr>
            </w:pPr>
          </w:p>
        </w:tc>
      </w:tr>
      <w:tr>
        <w:trPr>
          <w:trHeight w:val="223"/>
        </w:trPr>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7"/>
                <w:szCs w:val="17"/>
                <w:b w:val="1"/>
                <w:bCs w:val="1"/>
                <w:color w:val="auto"/>
                <w:w w:val="95"/>
              </w:rPr>
              <w:t>2015</w:t>
            </w:r>
          </w:p>
        </w:tc>
        <w:tc>
          <w:tcPr>
            <w:tcW w:w="2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9"/>
              </w:rPr>
              <w:t>Sales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7"/>
                <w:szCs w:val="17"/>
                <w:b w:val="1"/>
                <w:bCs w:val="1"/>
                <w:color w:val="auto"/>
                <w:w w:val="95"/>
              </w:rPr>
              <w:t>2014</w:t>
            </w:r>
          </w:p>
        </w:tc>
        <w:tc>
          <w:tcPr>
            <w:tcW w:w="2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89"/>
              </w:rPr>
              <w:t>Sales</w:t>
            </w:r>
          </w:p>
        </w:tc>
        <w:tc>
          <w:tcPr>
            <w:tcW w:w="102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6"/>
              </w:rPr>
              <w:t>Change</w:t>
            </w:r>
          </w:p>
        </w:tc>
        <w:tc>
          <w:tcPr>
            <w:tcW w:w="120" w:type="dxa"/>
            <w:vAlign w:val="bottom"/>
          </w:tcPr>
          <w:p>
            <w:pPr>
              <w:spacing w:after="0"/>
              <w:rPr>
                <w:sz w:val="19"/>
                <w:szCs w:val="19"/>
                <w:color w:val="auto"/>
              </w:rPr>
            </w:pPr>
          </w:p>
        </w:tc>
        <w:tc>
          <w:tcPr>
            <w:tcW w:w="560" w:type="dxa"/>
            <w:vAlign w:val="bottom"/>
          </w:tcPr>
          <w:p>
            <w:pPr>
              <w:jc w:val="right"/>
              <w:ind w:right="96"/>
              <w:spacing w:after="0"/>
              <w:rPr>
                <w:sz w:val="20"/>
                <w:szCs w:val="20"/>
                <w:color w:val="auto"/>
              </w:rPr>
            </w:pPr>
            <w:r>
              <w:rPr>
                <w:rFonts w:ascii="Arial" w:cs="Arial" w:eastAsia="Arial" w:hAnsi="Arial"/>
                <w:sz w:val="17"/>
                <w:szCs w:val="17"/>
                <w:b w:val="1"/>
                <w:bCs w:val="1"/>
                <w:color w:val="auto"/>
                <w:w w:val="95"/>
              </w:rPr>
              <w:t>2015</w:t>
            </w:r>
          </w:p>
        </w:tc>
        <w:tc>
          <w:tcPr>
            <w:tcW w:w="22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85"/>
              </w:rPr>
              <w:t>Sales</w:t>
            </w:r>
          </w:p>
        </w:tc>
        <w:tc>
          <w:tcPr>
            <w:tcW w:w="14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7"/>
                <w:szCs w:val="17"/>
                <w:b w:val="1"/>
                <w:bCs w:val="1"/>
                <w:color w:val="auto"/>
                <w:w w:val="95"/>
              </w:rPr>
              <w:t>2014</w:t>
            </w:r>
          </w:p>
        </w:tc>
        <w:tc>
          <w:tcPr>
            <w:tcW w:w="22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7"/>
                <w:szCs w:val="17"/>
                <w:b w:val="1"/>
                <w:bCs w:val="1"/>
                <w:color w:val="auto"/>
              </w:rPr>
              <w:t>Sales</w:t>
            </w:r>
          </w:p>
        </w:tc>
        <w:tc>
          <w:tcPr>
            <w:tcW w:w="8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Change</w:t>
            </w:r>
          </w:p>
        </w:tc>
      </w:tr>
      <w:tr>
        <w:trPr>
          <w:trHeight w:val="201"/>
        </w:trPr>
        <w:tc>
          <w:tcPr>
            <w:tcW w:w="2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446</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568</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1,331</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1,584</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Cost of revenues</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1,069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1,237</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r>
      <w:tr>
        <w:trPr>
          <w:trHeight w:val="25"/>
        </w:trPr>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01"/>
        </w:trPr>
        <w:tc>
          <w:tcPr>
            <w:tcW w:w="2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w:t>
            </w:r>
          </w:p>
        </w:tc>
      </w:tr>
      <w:tr>
        <w:trPr>
          <w:trHeight w:val="189"/>
        </w:trPr>
        <w:tc>
          <w:tcPr>
            <w:tcW w:w="2320" w:type="dxa"/>
            <w:vAlign w:val="bottom"/>
          </w:tcPr>
          <w:p>
            <w:pPr>
              <w:spacing w:after="0" w:line="189" w:lineRule="exact"/>
              <w:rPr>
                <w:sz w:val="20"/>
                <w:szCs w:val="20"/>
                <w:color w:val="auto"/>
              </w:rPr>
            </w:pPr>
            <w:r>
              <w:rPr>
                <w:rFonts w:ascii="Arial" w:cs="Arial" w:eastAsia="Arial" w:hAnsi="Arial"/>
                <w:sz w:val="17"/>
                <w:szCs w:val="17"/>
                <w:color w:val="auto"/>
              </w:rPr>
              <w:t>Selling, general and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administrative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12%</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179</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239</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15%</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25%</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w w:val="91"/>
              </w:rPr>
              <w:t>Research and development costs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2%</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29</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3%</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31%</w:t>
            </w:r>
          </w:p>
        </w:tc>
      </w:tr>
      <w:tr>
        <w:trPr>
          <w:trHeight w:val="189"/>
        </w:trPr>
        <w:tc>
          <w:tcPr>
            <w:tcW w:w="2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operating (income)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14"/>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expense,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189"/>
        </w:trPr>
        <w:tc>
          <w:tcPr>
            <w:tcW w:w="2320" w:type="dxa"/>
            <w:vAlign w:val="bottom"/>
          </w:tcPr>
          <w:p>
            <w:pPr>
              <w:spacing w:after="0" w:line="189" w:lineRule="exact"/>
              <w:rPr>
                <w:sz w:val="20"/>
                <w:szCs w:val="20"/>
                <w:color w:val="auto"/>
              </w:rPr>
            </w:pPr>
            <w:r>
              <w:rPr>
                <w:rFonts w:ascii="Arial" w:cs="Arial" w:eastAsia="Arial" w:hAnsi="Arial"/>
                <w:sz w:val="17"/>
                <w:szCs w:val="17"/>
                <w:color w:val="auto"/>
              </w:rPr>
              <w:t>Income (loss) from continuing</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operations before interest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expense, other charges, net,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reorganization items, net and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income taxes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w:t>
            </w:r>
          </w:p>
        </w:tc>
        <w:tc>
          <w:tcPr>
            <w:tcW w:w="2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10%</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144%</w:t>
            </w: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Other charges, net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6"/>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89"/>
        </w:trPr>
        <w:tc>
          <w:tcPr>
            <w:tcW w:w="23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Income (loss) from continuing</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w w:val="96"/>
              </w:rPr>
              <w:t>operations before income taxes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(62)</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-4%</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r>
      <w:tr>
        <w:trPr>
          <w:trHeight w:val="206"/>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w:t>
            </w:r>
          </w:p>
        </w:tc>
      </w:tr>
      <w:tr>
        <w:trPr>
          <w:trHeight w:val="189"/>
        </w:trPr>
        <w:tc>
          <w:tcPr>
            <w:tcW w:w="23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(Loss) income from continuing</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operations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5%</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(90)</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(82)</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r>
      <w:tr>
        <w:trPr>
          <w:trHeight w:val="189"/>
        </w:trPr>
        <w:tc>
          <w:tcPr>
            <w:tcW w:w="2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earnings from</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w w:val="99"/>
              </w:rPr>
              <w:t>discontinued operations, net of</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-260%</w:t>
            </w:r>
          </w:p>
        </w:tc>
      </w:tr>
      <w:tr>
        <w:trPr>
          <w:trHeight w:val="25"/>
        </w:trPr>
        <w:tc>
          <w:tcPr>
            <w:tcW w:w="2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Net (loss) income</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3%</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(77)</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-27%</w:t>
            </w:r>
          </w:p>
        </w:tc>
      </w:tr>
      <w:tr>
        <w:trPr>
          <w:trHeight w:val="189"/>
        </w:trPr>
        <w:tc>
          <w:tcPr>
            <w:tcW w:w="2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Less: Net earnings attributable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19"/>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to noncontrolling interests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189"/>
        </w:trPr>
        <w:tc>
          <w:tcPr>
            <w:tcW w:w="23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NET (LOSS) INCOME</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ATTRIBUTABLE TO</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EASTMAN KODAK</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COMPANY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3%</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-28%</w:t>
            </w: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2"/>
        </w:trPr>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For the three months ended September 30, 2015, revenues decreased by approximately $122 million compared with the same period in 2014. The decline in revenue was primarily driven by lower non-recurring Intellectual Property Solutions licensing revenue ($52 million) and unfavorable foreign currency rates ($41 million). Also contributing to the decline were volume declines in Consumer and Film ($24 million). See segment discussions for additional details.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For the nine months ended September 30, 2015, revenues decreased by approximately $253 million compared with the same period in 2014. The decline in revenue was primarily driven by unfavorable foreign currency rates ($120 million) and lower non-recurring Intellectual Property Solutions licensing revenue ($70 million). Also contributing to the decline were volume declines in Consumer and Film ($59 million) and unfavorable price/mix within Print Systems ($25 million) primarily due to pricing declines. Partially offsetting these declines were volume improvements in Micro 3D Printing and Packaging ($14 million) and Software and Solutions ($13 million). See segment discussions for additional details.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Gross profit for the three months ended September 30, 2015 decreased by approximately $57 million. The decrease was driven by lower non-recurring licensing revenues in Intellectual Property Solutions ($52 million) and unfavorable foreign currency rates ($11 million). Lower costs across all segments ($16 million) primarily due to lower depreciation expense in Consumer and Film and Print Systems, were offset by volume declines in Consumer and Film ($7 million) and pricing declines in Print Systems ($7 million). See segment discussions for additional details.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Gross profit for the nine months ended September 30, 2015 decreased by approximately $85 million. The decrease was driven by lower non-recurring licensing revenues in Intellectual Property Solutions ($70 million), lower volumes in Consumer and Film ($25 million), unfavorable foreign currency rates ($30 million), and pricing declines within Print Systems ($27 million). Offsetting these declines were lower costs across all segments ($60 million), primarily due to lower depreciation expense in Consumer and Film and Print Systems, and volume improvements in Micro 3D Printing and Packaging ($6 million). See segment discussions for additional details.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87"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Consolidated SG&amp;A decreased by $8 million and $60 million for the three and nine months ended September 30, 2015, respectively, as compared with the prior year periods primarily due to cost reduction actions.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36" w:lineRule="exact"/>
        <w:rPr>
          <w:sz w:val="20"/>
          <w:szCs w:val="20"/>
          <w:color w:val="auto"/>
        </w:rPr>
      </w:pPr>
    </w:p>
    <w:p>
      <w:pPr>
        <w:ind w:right="140"/>
        <w:spacing w:after="0" w:line="336" w:lineRule="auto"/>
        <w:rPr>
          <w:sz w:val="20"/>
          <w:szCs w:val="20"/>
          <w:color w:val="auto"/>
        </w:rPr>
      </w:pPr>
      <w:r>
        <w:rPr>
          <w:rFonts w:ascii="Arial" w:cs="Arial" w:eastAsia="Arial" w:hAnsi="Arial"/>
          <w:sz w:val="15"/>
          <w:szCs w:val="15"/>
          <w:color w:val="auto"/>
        </w:rPr>
        <w:t>Consolidated R&amp;D expenses decreased by $5 million and $23 million for the three and nine months ended September 30, 2015, respectively, as compared with the prior year periods primarily due to focusing development activities on prioritized projects and certain products reaching or completing the commercialization phase.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Pr>
          <w:p>
            <w:pPr>
              <w:spacing w:after="0"/>
              <w:rPr>
                <w:sz w:val="20"/>
                <w:szCs w:val="20"/>
                <w:color w:val="auto"/>
              </w:rPr>
            </w:pPr>
            <w:r>
              <w:rPr>
                <w:rFonts w:ascii="Arial" w:cs="Arial" w:eastAsia="Arial" w:hAnsi="Arial"/>
                <w:sz w:val="17"/>
                <w:szCs w:val="17"/>
                <w:b w:val="1"/>
                <w:bCs w:val="1"/>
                <w:color w:val="auto"/>
              </w:rPr>
              <w:t>PRINT SYSTEMS SEGMENT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10"/>
          </w:tcPr>
          <w:p>
            <w:pPr>
              <w:jc w:val="center"/>
              <w:ind w:right="500"/>
              <w:spacing w:after="0"/>
              <w:rPr>
                <w:sz w:val="20"/>
                <w:szCs w:val="20"/>
                <w:color w:val="auto"/>
              </w:rPr>
            </w:pPr>
            <w:r>
              <w:rPr>
                <w:rFonts w:ascii="Arial" w:cs="Arial" w:eastAsia="Arial" w:hAnsi="Arial"/>
                <w:sz w:val="17"/>
                <w:szCs w:val="17"/>
                <w:b w:val="1"/>
                <w:bCs w:val="1"/>
                <w:color w:val="auto"/>
                <w:w w:val="89"/>
              </w:rPr>
              <w:t>Three Months Ended September 30,</w:t>
            </w:r>
          </w:p>
        </w:tc>
        <w:tc>
          <w:tcPr>
            <w:tcW w:w="38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rPr>
              <w:t>Nine Months Ended September 30,</w:t>
            </w:r>
          </w:p>
        </w:tc>
      </w:tr>
      <w:tr>
        <w:trPr>
          <w:trHeight w:val="20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2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278</w:t>
            </w:r>
          </w:p>
        </w:tc>
        <w:tc>
          <w:tcPr>
            <w:tcW w:w="86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319</w:t>
            </w:r>
          </w:p>
        </w:tc>
        <w:tc>
          <w:tcPr>
            <w:tcW w:w="1640" w:type="dxa"/>
            <w:vAlign w:val="bottom"/>
            <w:gridSpan w:val="3"/>
            <w:shd w:val="clear" w:color="auto" w:fill="CCEEFF"/>
          </w:tcPr>
          <w:p>
            <w:pPr>
              <w:ind w:left="920"/>
              <w:spacing w:after="0"/>
              <w:rPr>
                <w:sz w:val="20"/>
                <w:szCs w:val="20"/>
                <w:color w:val="auto"/>
              </w:rPr>
            </w:pPr>
            <w:r>
              <w:rPr>
                <w:rFonts w:ascii="Arial" w:cs="Arial" w:eastAsia="Arial" w:hAnsi="Arial"/>
                <w:sz w:val="17"/>
                <w:szCs w:val="17"/>
                <w:color w:val="auto"/>
              </w:rPr>
              <w:t>-13%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191"/>
        </w:trPr>
        <w:tc>
          <w:tcPr>
            <w:tcW w:w="3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89"/>
        </w:trPr>
        <w:tc>
          <w:tcPr>
            <w:tcW w:w="3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8"/>
              </w:rPr>
              <w:t>Operational EBITDA before allocation of</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corporate SG&amp;A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6"/>
        </w:trPr>
        <w:tc>
          <w:tcPr>
            <w:tcW w:w="300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7"/>
                <w:szCs w:val="17"/>
                <w:color w:val="auto"/>
              </w:rPr>
            </w:pPr>
          </w:p>
        </w:tc>
        <w:tc>
          <w:tcPr>
            <w:tcW w:w="1400" w:type="dxa"/>
            <w:vAlign w:val="bottom"/>
            <w:gridSpan w:val="2"/>
          </w:tcPr>
          <w:p>
            <w:pPr>
              <w:ind w:left="920"/>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-28%</w:t>
            </w:r>
          </w:p>
        </w:tc>
      </w:tr>
      <w:tr>
        <w:trPr>
          <w:trHeight w:val="241"/>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3000" w:type="dxa"/>
            <w:vAlign w:val="bottom"/>
          </w:tcPr>
          <w:p>
            <w:pPr>
              <w:spacing w:after="0"/>
              <w:rPr>
                <w:sz w:val="20"/>
                <w:szCs w:val="20"/>
                <w:color w:val="auto"/>
              </w:rPr>
            </w:pPr>
            <w:r>
              <w:rPr>
                <w:rFonts w:ascii="Arial" w:cs="Arial" w:eastAsia="Arial" w:hAnsi="Arial"/>
                <w:sz w:val="17"/>
                <w:szCs w:val="17"/>
                <w:color w:val="auto"/>
                <w:w w:val="97"/>
              </w:rPr>
              <w:t>Operational EBITDA as a % of revenues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decrease in Print Systems revenues of approximately $41 million reflected unfavorable currency rates ($29 million) and unfavorable volume within Electrophotographic Printing Solutions ($5 million). Also contributing to the decline were lower pricing and volume declines ($7 million) within Prepress Solutions as a result of competitive pressures in the industry.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11"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The decrease in Print Systems revenues of approximately $114 million reflected unfavorable currency rates ($85 million) and unfavorable price/mix within Prepress Solutions ($24 million) primarily due to pricing declines as a result of competitive pressures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Print Systems Operational EBITDA decreased approximately $3 million as a result of competitive pricing pressures within Prepress Solutions ($7 million) and unfavorable currency rates ($4 million), mitigated by SG&amp;A cost reductions ($6 million) and lower cost of sales due to improvements in manufacturing efficiency ($3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Print Systems Operational EBITDA decreased approximately $2 million as a result of competitive pricing pressures within Prepress Solutions ($28 million) and unfavorable currency rates ($7 million), mitigated by SG&amp;A cost reductions ($30 million). Increased raw material costs were offset by improvements in manufacturing efficiency.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7"/>
        </w:trPr>
        <w:tc>
          <w:tcPr>
            <w:tcW w:w="4040" w:type="dxa"/>
            <w:vAlign w:val="bottom"/>
            <w:gridSpan w:val="3"/>
          </w:tcPr>
          <w:p>
            <w:pPr>
              <w:spacing w:after="0"/>
              <w:rPr>
                <w:sz w:val="20"/>
                <w:szCs w:val="20"/>
                <w:color w:val="auto"/>
              </w:rPr>
            </w:pPr>
            <w:r>
              <w:rPr>
                <w:rFonts w:ascii="Arial" w:cs="Arial" w:eastAsia="Arial" w:hAnsi="Arial"/>
                <w:sz w:val="17"/>
                <w:szCs w:val="17"/>
                <w:b w:val="1"/>
                <w:bCs w:val="1"/>
                <w:color w:val="auto"/>
              </w:rPr>
              <w:t>ENTERPRISE INKJET SYSTEMS SEGMENT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9"/>
          </w:tcPr>
          <w:p>
            <w:pPr>
              <w:jc w:val="center"/>
              <w:ind w:right="520"/>
              <w:spacing w:after="0"/>
              <w:rPr>
                <w:sz w:val="20"/>
                <w:szCs w:val="20"/>
                <w:color w:val="auto"/>
              </w:rPr>
            </w:pPr>
            <w:r>
              <w:rPr>
                <w:rFonts w:ascii="Arial" w:cs="Arial" w:eastAsia="Arial" w:hAnsi="Arial"/>
                <w:sz w:val="17"/>
                <w:szCs w:val="17"/>
                <w:b w:val="1"/>
                <w:bCs w:val="1"/>
                <w:color w:val="auto"/>
                <w:w w:val="89"/>
              </w:rPr>
              <w:t>Three Months Ended September 30,</w:t>
            </w:r>
          </w:p>
        </w:tc>
        <w:tc>
          <w:tcPr>
            <w:tcW w:w="3800" w:type="dxa"/>
            <w:vAlign w:val="bottom"/>
            <w:gridSpan w:val="7"/>
          </w:tcPr>
          <w:p>
            <w:pPr>
              <w:jc w:val="center"/>
              <w:ind w:right="380"/>
              <w:spacing w:after="0"/>
              <w:rPr>
                <w:sz w:val="20"/>
                <w:szCs w:val="20"/>
                <w:color w:val="auto"/>
              </w:rPr>
            </w:pPr>
            <w:r>
              <w:rPr>
                <w:rFonts w:ascii="Arial" w:cs="Arial" w:eastAsia="Arial" w:hAnsi="Arial"/>
                <w:sz w:val="17"/>
                <w:szCs w:val="17"/>
                <w:b w:val="1"/>
                <w:bCs w:val="1"/>
                <w:color w:val="auto"/>
                <w:w w:val="89"/>
              </w:rPr>
              <w:t>Nine Months Ended September 30,</w:t>
            </w:r>
          </w:p>
        </w:tc>
      </w:tr>
      <w:tr>
        <w:trPr>
          <w:trHeight w:val="206"/>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2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60" w:type="dxa"/>
            <w:vAlign w:val="bottom"/>
            <w:tcBorders>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  $</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191"/>
        </w:trPr>
        <w:tc>
          <w:tcPr>
            <w:tcW w:w="3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Operational EBITDA before allocation of</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corporate SG&amp;A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-27%</w:t>
            </w:r>
          </w:p>
        </w:tc>
      </w:tr>
      <w:tr>
        <w:trPr>
          <w:trHeight w:val="25"/>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w:t>
            </w: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3020" w:type="dxa"/>
            <w:vAlign w:val="bottom"/>
          </w:tcPr>
          <w:p>
            <w:pPr>
              <w:spacing w:after="0"/>
              <w:rPr>
                <w:sz w:val="20"/>
                <w:szCs w:val="20"/>
                <w:color w:val="auto"/>
              </w:rPr>
            </w:pPr>
            <w:r>
              <w:rPr>
                <w:rFonts w:ascii="Arial" w:cs="Arial" w:eastAsia="Arial" w:hAnsi="Arial"/>
                <w:sz w:val="17"/>
                <w:szCs w:val="17"/>
                <w:color w:val="auto"/>
                <w:w w:val="98"/>
              </w:rPr>
              <w:t>Operational EBITDA as a % of revenues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8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Enterprise Inkjet Systems revenues of approximately $4 million reflected unfavorable currency rates ($4 million).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decrease in Enterprise Inkjet Systems revenues of approximately $15 million reflected unfavorable currency rates ($12 million) and lower volume in service and consumables ($4 million) due to declines in the installed base of legacy systems and components.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The Enterprise Inkjet Systems Operational EBITDA improved by $8 million primarily due to favorable volume in PROSPER Components ($5 million) and lower cost of sales ($3 million) due to increased service productivity and improved inventory management. Also contributing to the improvement was R&amp;D cost reductions ($2 million) primarily from completing commercialization of the PROSPER 6000 Press and focusing development activities on prioritized projects. These improvements were mitigated by lower volume in service and consumables ($2 million) due to declines in the installed base of legacy systems and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The Enterprise Inkjet Systems Operational EBITDA improvement of $14 million was driven by lower SG&amp;A ($9 million) primarily due to cost reduction actions, and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R&amp;D cost reductions ($9 million) primarily from completing commercialization of the PROSPER 6000 Press and focusing development activities on prioritized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projects. Also contributing to the improvement was favorable volume in PROSPER Components ($3 million) and lower cost of revenues ($4 million) driven by increased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service productivity. Partially offsetting these improvements were the unfavorable impact of reduced revenues from service and consumables ($5 million)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unfavorable currency rates ($4 million).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7"/>
        </w:trPr>
        <w:tc>
          <w:tcPr>
            <w:tcW w:w="4140" w:type="dxa"/>
            <w:vAlign w:val="bottom"/>
            <w:gridSpan w:val="3"/>
          </w:tcPr>
          <w:p>
            <w:pPr>
              <w:spacing w:after="0"/>
              <w:rPr>
                <w:sz w:val="20"/>
                <w:szCs w:val="20"/>
                <w:color w:val="auto"/>
              </w:rPr>
            </w:pPr>
            <w:r>
              <w:rPr>
                <w:rFonts w:ascii="Arial" w:cs="Arial" w:eastAsia="Arial" w:hAnsi="Arial"/>
                <w:sz w:val="17"/>
                <w:szCs w:val="17"/>
                <w:b w:val="1"/>
                <w:bCs w:val="1"/>
                <w:color w:val="auto"/>
              </w:rPr>
              <w:t>MICRO 3D PRINTING AND PACKAGING SEGMENT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8"/>
          </w:tcPr>
          <w:p>
            <w:pPr>
              <w:jc w:val="center"/>
              <w:ind w:right="280"/>
              <w:spacing w:after="0"/>
              <w:rPr>
                <w:sz w:val="20"/>
                <w:szCs w:val="20"/>
                <w:color w:val="auto"/>
              </w:rPr>
            </w:pPr>
            <w:r>
              <w:rPr>
                <w:rFonts w:ascii="Arial" w:cs="Arial" w:eastAsia="Arial" w:hAnsi="Arial"/>
                <w:sz w:val="17"/>
                <w:szCs w:val="17"/>
                <w:b w:val="1"/>
                <w:bCs w:val="1"/>
                <w:color w:val="auto"/>
                <w:w w:val="89"/>
              </w:rPr>
              <w:t>Three Months Ended September 30,</w:t>
            </w:r>
          </w:p>
        </w:tc>
        <w:tc>
          <w:tcPr>
            <w:tcW w:w="240" w:type="dxa"/>
            <w:vAlign w:val="bottom"/>
          </w:tcPr>
          <w:p>
            <w:pPr>
              <w:spacing w:after="0"/>
              <w:rPr>
                <w:sz w:val="24"/>
                <w:szCs w:val="24"/>
                <w:color w:val="auto"/>
              </w:rPr>
            </w:pPr>
          </w:p>
        </w:tc>
        <w:tc>
          <w:tcPr>
            <w:tcW w:w="3800" w:type="dxa"/>
            <w:vAlign w:val="bottom"/>
            <w:gridSpan w:val="7"/>
          </w:tcPr>
          <w:p>
            <w:pPr>
              <w:jc w:val="right"/>
              <w:ind w:right="840"/>
              <w:spacing w:after="0"/>
              <w:rPr>
                <w:sz w:val="20"/>
                <w:szCs w:val="20"/>
                <w:color w:val="auto"/>
              </w:rPr>
            </w:pPr>
            <w:r>
              <w:rPr>
                <w:rFonts w:ascii="Arial" w:cs="Arial" w:eastAsia="Arial" w:hAnsi="Arial"/>
                <w:sz w:val="17"/>
                <w:szCs w:val="17"/>
                <w:b w:val="1"/>
                <w:bCs w:val="1"/>
                <w:color w:val="auto"/>
              </w:rPr>
              <w:t>Nine Months Ended September 30,</w:t>
            </w:r>
          </w:p>
        </w:tc>
      </w:tr>
      <w:tr>
        <w:trPr>
          <w:trHeight w:val="206"/>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12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191"/>
        </w:trPr>
        <w:tc>
          <w:tcPr>
            <w:tcW w:w="3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Operational EBITDA before allocation of</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corporate SG&amp;A costs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01"/>
        </w:trPr>
        <w:tc>
          <w:tcPr>
            <w:tcW w:w="302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w:t>
            </w:r>
          </w:p>
        </w:tc>
      </w:tr>
      <w:tr>
        <w:trPr>
          <w:trHeight w:val="25"/>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60" w:type="dxa"/>
            <w:vAlign w:val="bottom"/>
            <w:tcBorders>
              <w:right w:val="single" w:sz="8" w:color="CCEEFF"/>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3020" w:type="dxa"/>
            <w:vAlign w:val="bottom"/>
          </w:tcPr>
          <w:p>
            <w:pPr>
              <w:spacing w:after="0"/>
              <w:rPr>
                <w:sz w:val="20"/>
                <w:szCs w:val="20"/>
                <w:color w:val="auto"/>
              </w:rPr>
            </w:pPr>
            <w:r>
              <w:rPr>
                <w:rFonts w:ascii="Arial" w:cs="Arial" w:eastAsia="Arial" w:hAnsi="Arial"/>
                <w:sz w:val="17"/>
                <w:szCs w:val="17"/>
                <w:color w:val="auto"/>
                <w:w w:val="98"/>
              </w:rPr>
              <w:t>Operational EBITDA as a % of revenues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16%</w:t>
            </w:r>
          </w:p>
        </w:tc>
        <w:tc>
          <w:tcPr>
            <w:tcW w:w="8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280"/>
        <w:spacing w:after="0" w:line="300" w:lineRule="auto"/>
        <w:rPr>
          <w:sz w:val="20"/>
          <w:szCs w:val="20"/>
          <w:color w:val="auto"/>
        </w:rPr>
      </w:pPr>
      <w:r>
        <w:rPr>
          <w:rFonts w:ascii="Arial" w:cs="Arial" w:eastAsia="Arial" w:hAnsi="Arial"/>
          <w:sz w:val="16"/>
          <w:szCs w:val="16"/>
          <w:color w:val="auto"/>
        </w:rPr>
        <w:t>Micro 3D Printing and Packaging revenues were flat year-over-year as volume improvements within Packaging ($4 million) primarily due to a larger installed base of Flexcel NX systems driving growth in revenues from Flexcel NX consumables were offset by unfavorable currency rates ($4 million).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increase in Micro 3D Printing and Packaging revenues of approximately $3 million was driven by volume improvements within Packaging ($13 million) primarily due to a larger installed base of Flexcel NX systems driving growth in revenues from Flexcel NX consumables. This increase was partially offset by unfavorable currency rates ($11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The $4 million improvement in the Micro 3D Printing and Packaging Operational EBITDA was driven by increased sales of Flexcel NX consumables ($3 million), partially offset by unfavorable currency rates ($1 million). Also included in Operational EBITDA is a gain related to assets that were acquired for no monetary consideration as a part of the termination of the relationship with Unipixel ($3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$10 million improvement in the Micro 3D Printing and Packaging Operational EBITDA was driven by increased sales of Flexcel NX consumables ($8 million), as well as R&amp;D cost reductions ($1 million) primarily from focusing development activities on Flexcel NX and Flexcel Direct products, and SG&amp;A cost reductions ($1 million). These improvements were partially offset by unfavorable currency rates ($3 million). Also included in Operational EBITDA is a gain related to assets that were acquired for no monetary consideration as a part of the termination of the relationship with Unipixel ($3 million).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7"/>
        </w:trPr>
        <w:tc>
          <w:tcPr>
            <w:tcW w:w="4080" w:type="dxa"/>
            <w:vAlign w:val="bottom"/>
            <w:gridSpan w:val="3"/>
          </w:tcPr>
          <w:p>
            <w:pPr>
              <w:spacing w:after="0"/>
              <w:rPr>
                <w:sz w:val="20"/>
                <w:szCs w:val="20"/>
                <w:color w:val="auto"/>
              </w:rPr>
            </w:pPr>
            <w:r>
              <w:rPr>
                <w:rFonts w:ascii="Arial" w:cs="Arial" w:eastAsia="Arial" w:hAnsi="Arial"/>
                <w:sz w:val="17"/>
                <w:szCs w:val="17"/>
                <w:b w:val="1"/>
                <w:bCs w:val="1"/>
                <w:color w:val="auto"/>
              </w:rPr>
              <w:t>SOFTWARE AND SOLUTIONS SEGMENT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9"/>
          </w:tcPr>
          <w:p>
            <w:pPr>
              <w:jc w:val="center"/>
              <w:ind w:right="220"/>
              <w:spacing w:after="0"/>
              <w:rPr>
                <w:sz w:val="20"/>
                <w:szCs w:val="20"/>
                <w:color w:val="auto"/>
              </w:rPr>
            </w:pPr>
            <w:r>
              <w:rPr>
                <w:rFonts w:ascii="Arial" w:cs="Arial" w:eastAsia="Arial" w:hAnsi="Arial"/>
                <w:sz w:val="17"/>
                <w:szCs w:val="17"/>
                <w:b w:val="1"/>
                <w:bCs w:val="1"/>
                <w:color w:val="auto"/>
                <w:w w:val="89"/>
              </w:rPr>
              <w:t>Three Months Ended September 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rPr>
              <w:t>Nine Months Ended September 30,</w:t>
            </w:r>
          </w:p>
        </w:tc>
      </w:tr>
      <w:tr>
        <w:trPr>
          <w:trHeight w:val="206"/>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 Change</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6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191"/>
        </w:trPr>
        <w:tc>
          <w:tcPr>
            <w:tcW w:w="3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Operational EBITDA before allocation of</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corporate SG&amp;A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06"/>
        </w:trPr>
        <w:tc>
          <w:tcPr>
            <w:tcW w:w="302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41"/>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3020" w:type="dxa"/>
            <w:vAlign w:val="bottom"/>
          </w:tcPr>
          <w:p>
            <w:pPr>
              <w:spacing w:after="0"/>
              <w:rPr>
                <w:sz w:val="20"/>
                <w:szCs w:val="20"/>
                <w:color w:val="auto"/>
              </w:rPr>
            </w:pPr>
            <w:r>
              <w:rPr>
                <w:rFonts w:ascii="Arial" w:cs="Arial" w:eastAsia="Arial" w:hAnsi="Arial"/>
                <w:sz w:val="17"/>
                <w:szCs w:val="17"/>
                <w:color w:val="auto"/>
                <w:w w:val="98"/>
              </w:rPr>
              <w:t>Operational EBITDA as a % of revenues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The increase in Software and Solutions revenues of approximately $3 million was driven by volume improvements within Kodak Technology Solutions ($7 million) primarily due to higher revenues from government contracts, partially offset by unfavorable currency rates ($3 million) and volume declines in Unified Workflow Solutions ($1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increase in Software and Solutions revenues of approximately $7 million reflected volume improvements within Kodak Technology Solutions ($15 million) primarily due to higher revenues from government contracts. Partially offsetting this improvement were unfavorable currency rates ($7 million) and volume declines in Unified Workflow Solutions ($1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 $1 million improvement in the Software and Solutions Operational EBITDA was primarily due to volume improvements within Kodak Technology Solutions ($2 million) as a result of higher revenues from government contracts, partially offset by unfavorable currency rates ($1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jc w:val="both"/>
        <w:ind w:right="360"/>
        <w:spacing w:after="0" w:line="257" w:lineRule="auto"/>
        <w:rPr>
          <w:sz w:val="20"/>
          <w:szCs w:val="20"/>
          <w:color w:val="auto"/>
        </w:rPr>
      </w:pPr>
      <w:r>
        <w:rPr>
          <w:rFonts w:ascii="Arial" w:cs="Arial" w:eastAsia="Arial" w:hAnsi="Arial"/>
          <w:sz w:val="17"/>
          <w:szCs w:val="17"/>
          <w:color w:val="auto"/>
        </w:rPr>
        <w:t>The $5 million improvement in the Software and Solutions Operational EBITDA was due to volume improvements within Kodak Technology Solutions ($2 million) primarily due to higher revenues from government contracts, SG&amp;A cost reductions ($2 million), and favorable product mix within Unified Workflow Solutions ($3 million). Partially offsetting these gross profit improvements were unfavorable currency rates ($3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20"/>
                <w:szCs w:val="20"/>
                <w:color w:val="auto"/>
              </w:rPr>
            </w:pPr>
            <w:r>
              <w:rPr>
                <w:rFonts w:ascii="Arial" w:cs="Arial" w:eastAsia="Arial" w:hAnsi="Arial"/>
                <w:sz w:val="17"/>
                <w:szCs w:val="17"/>
                <w:b w:val="1"/>
                <w:bCs w:val="1"/>
                <w:color w:val="auto"/>
              </w:rPr>
              <w:t>CONSUMER AND FILM SEGMENT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10"/>
          </w:tcPr>
          <w:p>
            <w:pPr>
              <w:jc w:val="center"/>
              <w:ind w:right="520"/>
              <w:spacing w:after="0"/>
              <w:rPr>
                <w:sz w:val="20"/>
                <w:szCs w:val="20"/>
                <w:color w:val="auto"/>
              </w:rPr>
            </w:pPr>
            <w:r>
              <w:rPr>
                <w:rFonts w:ascii="Arial" w:cs="Arial" w:eastAsia="Arial" w:hAnsi="Arial"/>
                <w:sz w:val="17"/>
                <w:szCs w:val="17"/>
                <w:b w:val="1"/>
                <w:bCs w:val="1"/>
                <w:color w:val="auto"/>
                <w:w w:val="89"/>
              </w:rPr>
              <w:t>Three Months Ended September 30,</w:t>
            </w:r>
          </w:p>
        </w:tc>
        <w:tc>
          <w:tcPr>
            <w:tcW w:w="38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rPr>
              <w:t>Nine Months Ended September 30,</w:t>
            </w:r>
          </w:p>
        </w:tc>
      </w:tr>
      <w:tr>
        <w:trPr>
          <w:trHeight w:val="206"/>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 Change</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6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ind w:left="900"/>
              <w:spacing w:after="0"/>
              <w:rPr>
                <w:sz w:val="20"/>
                <w:szCs w:val="20"/>
                <w:color w:val="auto"/>
              </w:rPr>
            </w:pPr>
            <w:r>
              <w:rPr>
                <w:rFonts w:ascii="Arial" w:cs="Arial" w:eastAsia="Arial" w:hAnsi="Arial"/>
                <w:sz w:val="17"/>
                <w:szCs w:val="17"/>
                <w:color w:val="auto"/>
              </w:rPr>
              <w:t>-30%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191"/>
        </w:trPr>
        <w:tc>
          <w:tcPr>
            <w:tcW w:w="3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Operational EBITDA before allocation of</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corporate SG&amp;A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-50%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06"/>
        </w:trPr>
        <w:tc>
          <w:tcPr>
            <w:tcW w:w="302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1380" w:type="dxa"/>
            <w:vAlign w:val="bottom"/>
            <w:gridSpan w:val="2"/>
          </w:tcPr>
          <w:p>
            <w:pPr>
              <w:ind w:left="900"/>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-47%</w:t>
            </w:r>
          </w:p>
        </w:tc>
      </w:tr>
      <w:tr>
        <w:trPr>
          <w:trHeight w:val="241"/>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-50%</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04"/>
        </w:trPr>
        <w:tc>
          <w:tcPr>
            <w:tcW w:w="3020" w:type="dxa"/>
            <w:vAlign w:val="bottom"/>
          </w:tcPr>
          <w:p>
            <w:pPr>
              <w:spacing w:after="0"/>
              <w:rPr>
                <w:sz w:val="20"/>
                <w:szCs w:val="20"/>
                <w:color w:val="auto"/>
              </w:rPr>
            </w:pPr>
            <w:r>
              <w:rPr>
                <w:rFonts w:ascii="Arial" w:cs="Arial" w:eastAsia="Arial" w:hAnsi="Arial"/>
                <w:sz w:val="17"/>
                <w:szCs w:val="17"/>
                <w:color w:val="auto"/>
                <w:w w:val="98"/>
              </w:rPr>
              <w:t>Operational EBITDA as a % of revenues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jc w:val="both"/>
        <w:ind w:right="20"/>
        <w:spacing w:after="0" w:line="336" w:lineRule="auto"/>
        <w:rPr>
          <w:sz w:val="20"/>
          <w:szCs w:val="20"/>
          <w:color w:val="auto"/>
        </w:rPr>
      </w:pPr>
      <w:r>
        <w:rPr>
          <w:rFonts w:ascii="Arial" w:cs="Arial" w:eastAsia="Arial" w:hAnsi="Arial"/>
          <w:sz w:val="15"/>
          <w:szCs w:val="15"/>
          <w:color w:val="auto"/>
        </w:rPr>
        <w:t>The decrease in Consumer and Film revenues of approximately $28 million reflected volume declines within Entertainment Imaging and Commercial Films ($13 million) due to declining demand for film products and within Consumer Inkjet Systems ($11 million) driven by lower sales of ink to the existing installed base of printers.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decrease in Consumer and Film revenues of approximately $63 million reflected volume declines within Consumer Inkjet Systems ($36 million) driven by lower sales of ink to the existing installed base of printers, and within Entertainment Imaging and Commercial Films ($23 million) due to declining demand for film products. Also contributing to the decrease are unfavorable currency rates ($5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Quarter</w:t>
      </w:r>
    </w:p>
    <w:p>
      <w:pPr>
        <w:spacing w:after="0" w:line="236" w:lineRule="exact"/>
        <w:rPr>
          <w:sz w:val="20"/>
          <w:szCs w:val="20"/>
          <w:color w:val="auto"/>
        </w:rPr>
      </w:pPr>
    </w:p>
    <w:p>
      <w:pPr>
        <w:jc w:val="both"/>
        <w:ind w:right="120"/>
        <w:spacing w:after="0" w:line="308" w:lineRule="auto"/>
        <w:rPr>
          <w:sz w:val="20"/>
          <w:szCs w:val="20"/>
          <w:color w:val="auto"/>
        </w:rPr>
      </w:pPr>
      <w:r>
        <w:rPr>
          <w:rFonts w:ascii="Arial" w:cs="Arial" w:eastAsia="Arial" w:hAnsi="Arial"/>
          <w:sz w:val="15"/>
          <w:szCs w:val="15"/>
          <w:color w:val="auto"/>
        </w:rPr>
        <w:t>The $12 million decrease in the Consumer and Film Operational EBITDA was driven by an unfavorable volume impact from Consumer Inkjet Systems ($9 million) due to lower consumer ink sales, and unfavorable cost in Entertainment and Commercial Films ($7 million) due to unfavorable manufacturing overhead. Partially offsetting this impact was lower SG&amp;A ($2 million) due to cost reductions and favorable volume in Entertainment Imaging and Commercial Films ($2 million).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to Date</w:t>
      </w:r>
    </w:p>
    <w:p>
      <w:pPr>
        <w:spacing w:after="0" w:line="23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$11 million decrease in the Consumer and Film Operational EBITDA was mainly due to the impact of lower consumer ink sales ($29 million) and unfavorable currency rates ($4 million). These items were offset by lower SG&amp;A costs ($12 million) driven by cost reduction actions, favorable product mix in Entertainment and Commercial Films ($9 million ) due to a shift in sales to higher margin products as well as price increases, and lower manufacturing costs due to increased efficiency and improved inventory management ($3 million).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INTELLECTUAL PROPERTY SOLUTIONS SEGMENT</w:t>
      </w:r>
    </w:p>
    <w:p>
      <w:pPr>
        <w:spacing w:after="0" w:line="23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Revenues in the Intellectual Property Solutions segment declined $52 million and $70 million in the third quarter and first nine months of 2015 compared to the prior year periods as there was no revenue from non-recurring intellectual property licensing arrangements recognized in the current year periods. R&amp;D not directly related to other segments is included in the Intellectual Property Solutions segment. Operating expenses declined by $2 million and $6 million in the third quarter and first nine months from the prior year periods due to SG&amp;A cost reductions and focusing R&amp;D development activities on prioritized projects.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 SEGMENT</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There were no significant changes in the results of operations of the Eastman Business Park segment in the third quarter or first nine months of 2015 compared to the prior year periods.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23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Kodak recorded $7 million and $35 million of charges for the three and nine months ended September 30, 2015 respectively, of which $6 million and $29 million, respectively, were reported as Restructuring costs and other in the accompanying Consolidated Statement of Operations and $1 million and $6 million, respectively, were reported as Cost of revenues.</w:t>
      </w:r>
    </w:p>
    <w:p>
      <w:pPr>
        <w:spacing w:after="0" w:line="202" w:lineRule="exact"/>
        <w:rPr>
          <w:sz w:val="20"/>
          <w:szCs w:val="20"/>
          <w:color w:val="auto"/>
        </w:rPr>
      </w:pPr>
    </w:p>
    <w:p>
      <w:pPr>
        <w:ind w:right="680"/>
        <w:spacing w:after="0" w:line="268" w:lineRule="auto"/>
        <w:rPr>
          <w:sz w:val="20"/>
          <w:szCs w:val="20"/>
          <w:color w:val="auto"/>
        </w:rPr>
      </w:pPr>
      <w:r>
        <w:rPr>
          <w:rFonts w:ascii="Arial" w:cs="Arial" w:eastAsia="Arial" w:hAnsi="Arial"/>
          <w:sz w:val="17"/>
          <w:szCs w:val="17"/>
          <w:color w:val="auto"/>
        </w:rPr>
        <w:t>Kodak made cash payments related to restructuring of approximately $7 million and $29 million during the quarter and nine months ended September 30, 2015, respectively.</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The restructuring actions implemented in the first nine months of 2015 are expected to generate future annual cash savings of approximately $40 million. These savings are expected to reduce future annual Cost of revenues, SG&amp;A and R&amp;D expenses by $17 million, $18 million, and $5 million, respectively. Kodak began realizing a portion of these savings in the first half, and expects the majority of the annual savings to be in effect by the end of 2015 as actions are completed.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4"/>
              </w:rPr>
              <w:t>As of</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As of</w:t>
            </w:r>
          </w:p>
        </w:tc>
        <w:tc>
          <w:tcPr>
            <w:tcW w:w="0" w:type="dxa"/>
            <w:vAlign w:val="bottom"/>
          </w:tcPr>
          <w:p>
            <w:pPr>
              <w:spacing w:after="0"/>
              <w:rPr>
                <w:sz w:val="1"/>
                <w:szCs w:val="1"/>
                <w:color w:val="auto"/>
              </w:rPr>
            </w:pPr>
          </w:p>
        </w:tc>
      </w:tr>
      <w:tr>
        <w:trPr>
          <w:trHeight w:val="201"/>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7"/>
              </w:rPr>
              <w:t>September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45"/>
        </w:trPr>
        <w:tc>
          <w:tcPr>
            <w:tcW w:w="7320" w:type="dxa"/>
            <w:vAlign w:val="bottom"/>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vMerge w:val="restart"/>
          </w:tcPr>
          <w:p>
            <w:pPr>
              <w:jc w:val="right"/>
              <w:ind w:right="760"/>
              <w:spacing w:after="0"/>
              <w:rPr>
                <w:sz w:val="20"/>
                <w:szCs w:val="20"/>
                <w:color w:val="auto"/>
              </w:rPr>
            </w:pPr>
            <w:r>
              <w:rPr>
                <w:rFonts w:ascii="Arial" w:cs="Arial" w:eastAsia="Arial" w:hAnsi="Arial"/>
                <w:sz w:val="17"/>
                <w:szCs w:val="17"/>
                <w:b w:val="1"/>
                <w:bCs w:val="1"/>
                <w:color w:val="auto"/>
              </w:rPr>
              <w:t>Nine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right"/>
              <w:ind w:right="960"/>
              <w:spacing w:after="0"/>
              <w:rPr>
                <w:sz w:val="20"/>
                <w:szCs w:val="20"/>
                <w:color w:val="auto"/>
              </w:rPr>
            </w:pPr>
            <w:r>
              <w:rPr>
                <w:rFonts w:ascii="Arial" w:cs="Arial" w:eastAsia="Arial" w:hAnsi="Arial"/>
                <w:sz w:val="17"/>
                <w:szCs w:val="17"/>
                <w:b w:val="1"/>
                <w:bCs w:val="1"/>
                <w:color w:val="auto"/>
              </w:rPr>
              <w:t>September 30,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Change</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32"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Net cash used in operating activities increased $7 million for the nine months ended September 30, 2015 as compared with the corresponding period in 2014. The impact of a lower net loss in the prior year, which benefited from $70 million of Intellectual Property revenue, was mitigated by less cash used to satisfy obligations compared to the prior year period.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3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Net cash used in investing activities increased $83 million for the nine months ended September 30, 2015 as compared with the corresponding period in 2014 primarily due to the use of restricted cash and the payment of incremental consideration from the KPP Purchasing Parties in 2014.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essentially flat for the nine months ended September 30, 2015 as compared with the corresponding period in 2014.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2"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Available liquidity includes cash balances and the unused portion of the Asset Based Revolving Credit Agreement (the “ABL Credit Agreement”). The ABL Credit Agreement had $26 million of net availability as of September 30, 2015. The amount of available liquidity is subject to fluctuations and includes cash balances held by various entities worldwide. At September 30, 2015 and December 31, 2014, approximately $266 million and $214 million, respectively, of cash and cash equivalents were held within the U.S. and approximately $255 million and $498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$119 million of cash and cash equivalents was held as of September 30, 2015, there are limitations related to net asset balances that may impact the ability to make cash available to other jurisdictions in the world. Under the terms of the Senior Secured First Lien Term Credit Agreement, Senior Secured Second Lien Term Credit Agreement and the ABL Credit Agreement, the Company is permitted to invest up to $100 million in subsidiaries and joint ventures that are not party to these loan agreements.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7"/>
          <w:szCs w:val="17"/>
          <w:color w:val="auto"/>
        </w:rPr>
        <w:t>Kodak made net contributions (funded plans) or paid benefits (unfunded plans) totaling approximately $16 million to its defined benefit pension and postretirement benefit plans in the first nine months of 2015. For the balance of 2015, the forecasted contribution (funded plans) and benefit payment (unfunded plans) requirements for its major U.S. and non-U.S. pension and postretirement plans are approximately $9 million.</w:t>
      </w:r>
    </w:p>
    <w:p>
      <w:pPr>
        <w:spacing w:after="0" w:line="20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Cash flow from investing activities included $25 million of capital expenditures for nine months ended September 30, 2015. Kodak expects approximately $38 million of total capital expenditures for 2015. Additionally, Kodak intends to utilize a variety of methods to finance customer equipment purchases in the future, including expansion of existing third party finance programs and internal financing through both leasing and installment loans.</w:t>
      </w:r>
    </w:p>
    <w:p>
      <w:pPr>
        <w:spacing w:after="0" w:line="183"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Under the terms of the Senior Secured First Lien Term Credit Agreement and the Senior Secured Second Lien Term Credit Agreement, Kodak is required to maintain a secured leverage ratio not to exceed specified levels. Under the ABL Credit Agreement, Kodak would be required to maintain a minimum fixed charge coverage ratio under certain circumstances. Kodak is in compliance with all covenants under the Senior Secured First Lien Term Credit Agreement, the Senior Secured Second Lien Term Credit Agreement and the ABL Credit Agreement as of September 30, 2015.</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secured leverage ratio under the term credit agreements is tested at the end of each quarter based on the prior four quarters and is generally determined by dividing secured debt, net of U.S. cash and cash equivalents, by consolidated EBITDA, as calculated under the credit agreements. The maximum secured leverage ratio permitted under the Senior Secured First Lien Term Credit Agreement (which is more restrictive than the corresponding ratio permitted under the Senior Secured Second Lien Term Credit Agreement) declined on June 30, 2015 from 3.75:1 to 3.25:1 and will decline again on December 31, 2015 from 3.25:1 to 2.75:1, with no further adjustments. At the end of the third quarter, Kodak’s EBITDA, as calculated under the credit agreements, exceeded the EBITDA necessary to satisfy the covenant ratios by approximately $18 million.</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combination of the stricter covenant requirements, Kodak’s ongoing investment in growth businesses, and softening and volatility of global economic conditions and foreign currency exchange rates could make it difficult for Kodak to satisfy the leverage covenants on an on-going basis. Kodak intends to conduct its operations in a manner that will result in continued compliance with the secured leverage ratio covenants; however, compliance for future quarters, particularly the first quarter of 2016, may depend on Kodak undertaking one or more non-operational transactions, such as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credit agreements to be immediately due and payable.</w:t>
      </w:r>
    </w:p>
    <w:p>
      <w:pPr>
        <w:spacing w:after="0" w:line="196"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Kodak believes its liquidity position is adequate to fund its operating and investing needs and to provide the flexibility to respond to further changes in the business environment, subject to no acceleration of Kodak’s obligations under its credit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variations of such words or similar expressions, as well as statements that do not relate strictly to historical or current facts, are intended to identify forward–looking statements. All forward–looking statements, including, without limitation, management’s examination of historical operating trends and data, are based upon Kodak’s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Annual Report on Form 10–K for the year ended December 31, 2014, under the headings “Business,” “Risk Factors,” “Legal Proceedings” and/or “Management’s Discussion and Analysis of Financial Condition and Results of Operations–Liquidity and Capital Resources”, in the corresponding sections of the report on Form 10-Q for the quarters ended March 31, 2015, June 30, 2015, and this report on Form 10-Q, and in other filings the Company makes with the SEC from time to time, as well as the following:</w:t>
      </w:r>
    </w:p>
    <w:p>
      <w:pPr>
        <w:spacing w:after="0" w:line="196" w:lineRule="exact"/>
        <w:rPr>
          <w:sz w:val="20"/>
          <w:szCs w:val="20"/>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financial results and profitability;</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Kodak to achieve cash forecasts, financial projections, and projected growth;</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discontinue, sell or spin-off certain non-core businesses or operations, or otherwise monetize assets;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credit facilities;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obtain additional financing if and as needed;</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potential adverse effects of the concluded Chapter 11 proceedings on Kodak’s brand or business prospects;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fund continued investments, capital needs and restructuring payments and service its debt;</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resolution of claims against Kodak;</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attract and retain key executives, managers and employees;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maintain product reliability and quality and growth in relevant markets;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ability to effectively anticipate technology trends and develop and market new products, solutions and technologies; and</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the global economic environment on Kodak.</w:t>
      </w:r>
    </w:p>
    <w:p>
      <w:pPr>
        <w:spacing w:after="0" w:line="232" w:lineRule="exact"/>
        <w:rPr>
          <w:sz w:val="20"/>
          <w:szCs w:val="20"/>
          <w:color w:val="auto"/>
        </w:rPr>
      </w:pPr>
    </w:p>
    <w:p>
      <w:pPr>
        <w:ind w:right="20"/>
        <w:spacing w:after="0" w:line="336" w:lineRule="auto"/>
        <w:rPr>
          <w:sz w:val="20"/>
          <w:szCs w:val="20"/>
          <w:color w:val="auto"/>
        </w:rPr>
      </w:pPr>
      <w:r>
        <w:rPr>
          <w:rFonts w:ascii="Arial" w:cs="Arial" w:eastAsia="Arial" w:hAnsi="Arial"/>
          <w:sz w:val="15"/>
          <w:szCs w:val="15"/>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w:t>
      </w:r>
    </w:p>
    <w:p>
      <w:pPr>
        <w:sectPr>
          <w:pgSz w:w="11900" w:h="16838" w:orient="portrait"/>
          <w:cols w:equalWidth="0" w:num="1">
            <w:col w:w="11420"/>
          </w:cols>
          <w:pgMar w:left="240" w:top="492" w:right="239" w:bottom="0" w:gutter="0" w:footer="0" w:header="0"/>
        </w:sectPr>
      </w:pPr>
    </w:p>
    <w:bookmarkStart w:id="40" w:name="page41"/>
    <w:bookmarkEnd w:id="40"/>
    <w:p>
      <w:pPr>
        <w:spacing w:after="0" w:line="268" w:lineRule="auto"/>
        <w:rPr>
          <w:sz w:val="20"/>
          <w:szCs w:val="20"/>
          <w:color w:val="auto"/>
        </w:rPr>
      </w:pPr>
      <w:r>
        <w:rPr>
          <w:rFonts w:ascii="Arial" w:cs="Arial" w:eastAsia="Arial" w:hAnsi="Arial"/>
          <w:sz w:val="17"/>
          <w:szCs w:val="17"/>
          <w:color w:val="auto"/>
        </w:rPr>
        <w:t>included in this document. Kodak undertakes no obligation to update or revise forward–looking statements to reflect events or circumstances that arise after the date made or to reflect the occurrence of unanticipated events.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9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September 30, 2015, the fair value of open forward contracts would have decreased $12 million. If the U.S. dollar had been 10% weaker as of December 31, 2014, the fair value of open forward contracts would have decreased $2 million. Such changes in fair value would be substantially offset by the revaluation or settlement of the underlying positions hedged.</w:t>
      </w:r>
    </w:p>
    <w:p>
      <w:pPr>
        <w:spacing w:after="0" w:line="20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Kodak is exposed to interest rate risk primarily through its borrowing activities and, to a lesser extent, through investments in marketable securities. Kodak may utilize borrowings to fund its working capital and investment needs.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6"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Kodak’s Senior Secured First Lien Term Credit Agreement, Senior Secured Second Lien Term Credit Agreement and ABL Credit Agreement bear interest at the LIBOR rate with a LIBOR floor. At September 30, 2015 and December 31, 2014, the one-month LIBOR rate was approximately 0.19% and 0.17%, respectively. If LIBOR rates were to rise above the 1% and 1.25% floors, interest expense would increase approximately $7 million for each 1% of LIBOR above the floor.</w:t>
      </w:r>
    </w:p>
    <w:p>
      <w:pPr>
        <w:spacing w:after="0" w:line="183"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September 30, 2015 was not significant to Kodak.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On January 19, 2012, the Company and its U.S. subsidiaries filed voluntary petitions for relief (the “Bankruptcy Filing”) under chapter 11 of the United States Bankruptcy Code in the United States Bankruptcy Court for the Southern District of New York. 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denied on December 17, 2014 and the case is proceeding. On behalf of the defendants in this case, the Company believes that the case is without merit and will vigorously defend the defendants on their behalf.</w:t>
      </w:r>
    </w:p>
    <w:p>
      <w:pPr>
        <w:spacing w:after="0" w:line="194"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2015, Kodak maintained accruals of approximately $11 million for claims aggregating approximately $161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its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2014 Form 10-K. The Risk Factors remain applicable from the 2014 Form 10-K.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Securities and Use of Proceeds</w:t>
      </w:r>
    </w:p>
    <w:p>
      <w:pPr>
        <w:spacing w:after="0" w:line="257" w:lineRule="exact"/>
        <w:rPr>
          <w:sz w:val="20"/>
          <w:szCs w:val="20"/>
          <w:color w:val="auto"/>
        </w:rPr>
      </w:pPr>
    </w:p>
    <w:p>
      <w:pPr>
        <w:ind w:left="460" w:right="5540" w:hanging="459"/>
        <w:spacing w:after="0" w:line="540" w:lineRule="auto"/>
        <w:tabs>
          <w:tab w:leader="none" w:pos="40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Sales of unregistered securities during the quarter ended September 30, 2015 </w:t>
      </w:r>
      <w:r>
        <w:rPr>
          <w:rFonts w:ascii="Arial" w:cs="Arial" w:eastAsia="Arial" w:hAnsi="Arial"/>
          <w:sz w:val="17"/>
          <w:szCs w:val="17"/>
          <w:color w:val="auto"/>
        </w:rPr>
        <w:t>Not Applicable</w:t>
      </w:r>
    </w:p>
    <w:p>
      <w:pPr>
        <w:ind w:left="460" w:right="5140" w:hanging="459"/>
        <w:spacing w:after="0" w:line="337" w:lineRule="auto"/>
        <w:tabs>
          <w:tab w:leader="none" w:pos="413"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during the quarter ended September 30, 2015 </w:t>
      </w:r>
      <w:r>
        <w:rPr>
          <w:rFonts w:ascii="Arial" w:cs="Arial" w:eastAsia="Arial" w:hAnsi="Arial"/>
          <w:sz w:val="17"/>
          <w:szCs w:val="17"/>
          <w:color w:val="auto"/>
        </w:rPr>
        <w:t xml:space="preserve">Repurchases related to Stock Compensation Plans </w:t>
      </w:r>
      <w:r>
        <w:rPr>
          <w:rFonts w:ascii="Arial" w:cs="Arial" w:eastAsia="Arial" w:hAnsi="Arial"/>
          <w:sz w:val="23"/>
          <w:szCs w:val="23"/>
          <w:color w:val="auto"/>
          <w:vertAlign w:val="superscript"/>
        </w:rPr>
        <w:t>(1)</w:t>
      </w:r>
      <w:r>
        <w:rPr>
          <w:rFonts w:ascii="Arial" w:cs="Arial" w:eastAsia="Arial" w:hAnsi="Arial"/>
          <w:sz w:val="17"/>
          <w:szCs w:val="17"/>
          <w:color w:val="auto"/>
        </w:rPr>
        <w:t>:</w:t>
      </w: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line="184" w:lineRule="exact"/>
              <w:rPr>
                <w:sz w:val="20"/>
                <w:szCs w:val="20"/>
                <w:color w:val="auto"/>
              </w:rPr>
            </w:pPr>
            <w:r>
              <w:rPr>
                <w:rFonts w:ascii="Arial" w:cs="Arial" w:eastAsia="Arial" w:hAnsi="Arial"/>
                <w:sz w:val="17"/>
                <w:szCs w:val="17"/>
                <w:b w:val="1"/>
                <w:bCs w:val="1"/>
                <w:color w:val="auto"/>
                <w:w w:val="93"/>
              </w:rPr>
              <w:t>Total Number</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of Shares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Purchased as</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Maximum That</w:t>
            </w: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May Be</w:t>
            </w:r>
          </w:p>
        </w:tc>
      </w:tr>
      <w:tr>
        <w:trPr>
          <w:trHeight w:val="201"/>
        </w:trPr>
        <w:tc>
          <w:tcPr>
            <w:tcW w:w="60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Total Number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Purchased</w:t>
            </w:r>
          </w:p>
        </w:tc>
      </w:tr>
      <w:tr>
        <w:trPr>
          <w:trHeight w:val="201"/>
        </w:trPr>
        <w:tc>
          <w:tcPr>
            <w:tcW w:w="60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of Shares</w:t>
            </w:r>
          </w:p>
        </w:tc>
        <w:tc>
          <w:tcPr>
            <w:tcW w:w="1360" w:type="dxa"/>
            <w:vAlign w:val="bottom"/>
            <w:gridSpan w:val="2"/>
          </w:tcPr>
          <w:p>
            <w:pPr>
              <w:ind w:left="80"/>
              <w:spacing w:after="0"/>
              <w:rPr>
                <w:sz w:val="20"/>
                <w:szCs w:val="20"/>
                <w:color w:val="auto"/>
              </w:rPr>
            </w:pPr>
            <w:r>
              <w:rPr>
                <w:rFonts w:ascii="Arial" w:cs="Arial" w:eastAsia="Arial" w:hAnsi="Arial"/>
                <w:sz w:val="17"/>
                <w:szCs w:val="17"/>
                <w:b w:val="1"/>
                <w:bCs w:val="1"/>
                <w:color w:val="auto"/>
              </w:rPr>
              <w:t>Average Price</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under the Plans</w:t>
            </w:r>
          </w:p>
        </w:tc>
      </w:tr>
      <w:tr>
        <w:trPr>
          <w:trHeight w:val="223"/>
        </w:trPr>
        <w:tc>
          <w:tcPr>
            <w:tcW w:w="60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Purchased</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Paid per Share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Programs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or Programs</w:t>
            </w:r>
          </w:p>
        </w:tc>
        <w:tc>
          <w:tcPr>
            <w:tcW w:w="100" w:type="dxa"/>
            <w:vAlign w:val="bottom"/>
          </w:tcPr>
          <w:p>
            <w:pPr>
              <w:spacing w:after="0"/>
              <w:rPr>
                <w:sz w:val="19"/>
                <w:szCs w:val="19"/>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August 1 through 31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n/a</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September 1 through 30</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33,706</w:t>
            </w:r>
          </w:p>
        </w:tc>
        <w:tc>
          <w:tcPr>
            <w:tcW w:w="1140" w:type="dxa"/>
            <w:vAlign w:val="bottom"/>
          </w:tcPr>
          <w:p>
            <w:pPr>
              <w:jc w:val="right"/>
              <w:spacing w:after="0"/>
              <w:rPr>
                <w:sz w:val="20"/>
                <w:szCs w:val="20"/>
                <w:color w:val="auto"/>
              </w:rPr>
            </w:pPr>
            <w:r>
              <w:rPr>
                <w:rFonts w:ascii="Arial" w:cs="Arial" w:eastAsia="Arial" w:hAnsi="Arial"/>
                <w:sz w:val="17"/>
                <w:szCs w:val="17"/>
                <w:color w:val="auto"/>
              </w:rPr>
              <w:t>13.76</w:t>
            </w:r>
          </w:p>
        </w:tc>
        <w:tc>
          <w:tcPr>
            <w:tcW w:w="22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7"/>
                <w:szCs w:val="17"/>
                <w:color w:val="auto"/>
              </w:rPr>
              <w:t>n/a</w:t>
            </w: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n/a</w:t>
            </w:r>
          </w:p>
        </w:tc>
      </w:tr>
      <w:tr>
        <w:trPr>
          <w:trHeight w:val="25"/>
        </w:trPr>
        <w:tc>
          <w:tcPr>
            <w:tcW w:w="60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35,122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14.33</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600" w:hanging="216"/>
        <w:spacing w:after="0" w:line="216" w:lineRule="auto"/>
        <w:tabs>
          <w:tab w:leader="none" w:pos="6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These repurchases are made pursuant to the terms of the 2013 Omnibus Incentive Plan providing the Company the right to withhold amounts deliverable under the plan in order to satisfy minimum statutory tax withholding requirements.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Items 3 and 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Pursuant to Section 219 of the Iran Threat Reduction and Syria Human Rights Act of 2012, which added Section 13(r) to the Securities Exchange Act of 1934, as amended (the “Exchange Act”), Kodak hereby incorporates by reference herein Exhibit 99.1 to this report. Exhibit 99.1 includes disclosure publicly filed by an entity that may be considered an “affiliate” (as such term is defined in Rule 12b-2 of the Exchange Act) of Kodak.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5640" w:right="5600" w:hanging="5639"/>
        <w:spacing w:after="0" w:line="580" w:lineRule="auto"/>
        <w:tabs>
          <w:tab w:leader="none" w:pos="463"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Exhibits required as part of this report are listed in the index appearing below.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26059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44" w:name="page45"/>
    <w:bookmarkEnd w:id="44"/>
    <w:p>
      <w:pPr>
        <w:jc w:val="center"/>
        <w:ind w:right="-339"/>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jc w:val="center"/>
        <w:ind w:left="4020"/>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ind w:left="408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393" w:lineRule="exact"/>
        <w:rPr>
          <w:sz w:val="20"/>
          <w:szCs w:val="20"/>
          <w:color w:val="auto"/>
        </w:rPr>
      </w:pPr>
    </w:p>
    <w:p>
      <w:pPr>
        <w:spacing w:after="0"/>
        <w:tabs>
          <w:tab w:leader="none" w:pos="6500" w:val="left"/>
        </w:tabs>
        <w:rPr>
          <w:sz w:val="20"/>
          <w:szCs w:val="20"/>
          <w:color w:val="auto"/>
        </w:rPr>
      </w:pPr>
      <w:r>
        <w:rPr>
          <w:rFonts w:ascii="Arial" w:cs="Arial" w:eastAsia="Arial" w:hAnsi="Arial"/>
          <w:sz w:val="17"/>
          <w:szCs w:val="17"/>
          <w:b w:val="1"/>
          <w:bCs w:val="1"/>
          <w:color w:val="auto"/>
        </w:rPr>
        <w:t>Date: October 22, 2015</w:t>
      </w:r>
      <w:r>
        <w:rPr>
          <w:sz w:val="20"/>
          <w:szCs w:val="20"/>
          <w:color w:val="auto"/>
        </w:rPr>
        <w:tab/>
      </w:r>
      <w:r>
        <w:rPr>
          <w:rFonts w:ascii="Arial" w:cs="Arial" w:eastAsia="Arial" w:hAnsi="Arial"/>
          <w:sz w:val="14"/>
          <w:szCs w:val="14"/>
          <w:b w:val="1"/>
          <w:bCs w:val="1"/>
          <w:color w:val="auto"/>
        </w:rPr>
        <w:t>/s/ Eric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13970</wp:posOffset>
            </wp:positionV>
            <wp:extent cx="312102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21025" cy="15875"/>
                    </a:xfrm>
                    <a:prstGeom prst="rect">
                      <a:avLst/>
                    </a:prstGeom>
                    <a:noFill/>
                  </pic:spPr>
                </pic:pic>
              </a:graphicData>
            </a:graphic>
          </wp:anchor>
        </w:drawing>
      </w:r>
    </w:p>
    <w:p>
      <w:pPr>
        <w:spacing w:after="0" w:line="11"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Eric Samuels</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Chief Accounting Officer and Corporate Controller</w:t>
      </w:r>
    </w:p>
    <w:p>
      <w:pPr>
        <w:spacing w:after="0" w:line="6"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(Chief Accounting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240" w:top="714" w:right="5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ind w:left="4240"/>
              <w:spacing w:after="0"/>
              <w:rPr>
                <w:sz w:val="20"/>
                <w:szCs w:val="20"/>
                <w:color w:val="auto"/>
              </w:rPr>
            </w:pPr>
            <w:r>
              <w:rPr>
                <w:rFonts w:ascii="Arial" w:cs="Arial" w:eastAsia="Arial" w:hAnsi="Arial"/>
                <w:sz w:val="17"/>
                <w:szCs w:val="17"/>
                <w:b w:val="1"/>
                <w:bCs w:val="1"/>
                <w:color w:val="auto"/>
              </w:rPr>
              <w:t>Eastman Kodak Company</w:t>
            </w:r>
          </w:p>
        </w:tc>
        <w:tc>
          <w:tcPr>
            <w:tcW w:w="0" w:type="dxa"/>
            <w:vAlign w:val="bottom"/>
          </w:tcPr>
          <w:p>
            <w:pPr>
              <w:spacing w:after="0"/>
              <w:rPr>
                <w:sz w:val="1"/>
                <w:szCs w:val="1"/>
                <w:color w:val="auto"/>
              </w:rPr>
            </w:pPr>
          </w:p>
        </w:tc>
      </w:tr>
      <w:tr>
        <w:trPr>
          <w:trHeight w:val="217"/>
        </w:trPr>
        <w:tc>
          <w:tcPr>
            <w:tcW w:w="124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ind w:left="458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185"/>
        </w:trPr>
        <w:tc>
          <w:tcPr>
            <w:tcW w:w="1240" w:type="dxa"/>
            <w:vAlign w:val="bottom"/>
            <w:vMerge w:val="continue"/>
          </w:tcPr>
          <w:p>
            <w:pPr>
              <w:spacing w:after="0"/>
              <w:rPr>
                <w:sz w:val="16"/>
                <w:szCs w:val="16"/>
                <w:color w:val="auto"/>
              </w:rPr>
            </w:pPr>
          </w:p>
        </w:tc>
        <w:tc>
          <w:tcPr>
            <w:tcW w:w="10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Jeffrey J. Clarke,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John N. McMullen,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(32.1)</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3"/>
              </w:rPr>
              <w:t>Certification Pursuant to 18 U.S.C. Section 1350, as Adopted Pursuant to Section 906 of the Sarbanes-Oxley Act of 2002, signed by Jeffrey J.</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Clarke,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4"/>
              </w:rPr>
              <w:t>Certification Pursuant to 18 U.S.C. Section 1350, as Adopted Pursuant to Section 906 of the Sarbanes-Oxley Act of 2002 signed by John N.</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McMullen,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(99.1)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Section 13(r) Disclosure,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Schema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0460"/>
        <w:spacing w:after="0"/>
        <w:rPr>
          <w:sz w:val="20"/>
          <w:szCs w:val="20"/>
          <w:color w:val="auto"/>
        </w:rPr>
      </w:pPr>
      <w:r>
        <w:rPr>
          <w:rFonts w:ascii="Arial" w:cs="Arial" w:eastAsia="Arial" w:hAnsi="Arial"/>
          <w:sz w:val="17"/>
          <w:szCs w:val="17"/>
          <w:b w:val="1"/>
          <w:bCs w:val="1"/>
          <w:color w:val="auto"/>
        </w:rPr>
        <w:t>Exhibit (31.1)</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Jeffrey J. Clarke, certify that:</w:t>
      </w:r>
    </w:p>
    <w:p>
      <w:pPr>
        <w:spacing w:after="0" w:line="232" w:lineRule="exact"/>
        <w:rPr>
          <w:sz w:val="20"/>
          <w:szCs w:val="20"/>
          <w:color w:val="auto"/>
        </w:rPr>
      </w:pPr>
    </w:p>
    <w:p>
      <w:pPr>
        <w:ind w:left="300" w:hanging="221"/>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right="100" w:hanging="221"/>
        <w:spacing w:after="0" w:line="300"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00" w:right="100" w:hanging="221"/>
        <w:spacing w:after="0" w:line="268"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left="300" w:hanging="221"/>
        <w:spacing w:after="0"/>
        <w:tabs>
          <w:tab w:leader="none" w:pos="3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ind w:left="300" w:firstLine="2"/>
        <w:spacing w:after="0" w:line="257" w:lineRule="auto"/>
        <w:tabs>
          <w:tab w:leader="none" w:pos="514"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 relating to the registrant, including its consolidated subsidiaries, is made known to us by others within those entities, particularly during the period in which this report prepared;</w:t>
      </w:r>
    </w:p>
    <w:p>
      <w:pPr>
        <w:spacing w:after="0" w:line="201" w:lineRule="exact"/>
        <w:rPr>
          <w:rFonts w:ascii="Arial" w:cs="Arial" w:eastAsia="Arial" w:hAnsi="Arial"/>
          <w:sz w:val="17"/>
          <w:szCs w:val="17"/>
          <w:color w:val="auto"/>
        </w:rPr>
      </w:pPr>
    </w:p>
    <w:p>
      <w:pPr>
        <w:jc w:val="both"/>
        <w:ind w:left="300" w:right="20" w:firstLine="2"/>
        <w:spacing w:after="0" w:line="257" w:lineRule="auto"/>
        <w:tabs>
          <w:tab w:leader="none" w:pos="52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 assurance regarding the reliability of financial reporting and the preparation of financial statements for external purposes in accordance with generally accepted accoun principles;</w:t>
      </w:r>
    </w:p>
    <w:p>
      <w:pPr>
        <w:spacing w:after="0" w:line="201" w:lineRule="exact"/>
        <w:rPr>
          <w:rFonts w:ascii="Arial" w:cs="Arial" w:eastAsia="Arial" w:hAnsi="Arial"/>
          <w:sz w:val="17"/>
          <w:szCs w:val="17"/>
          <w:color w:val="auto"/>
        </w:rPr>
      </w:pPr>
    </w:p>
    <w:p>
      <w:pPr>
        <w:ind w:left="300" w:firstLine="2"/>
        <w:spacing w:after="0" w:line="268" w:lineRule="auto"/>
        <w:tabs>
          <w:tab w:leader="none" w:pos="514"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left="300" w:firstLine="2"/>
        <w:spacing w:after="0" w:line="257" w:lineRule="auto"/>
        <w:tabs>
          <w:tab w:leader="none" w:pos="52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 fourth fiscal quarter in the case of an annual report) that has materially affected, or is reasonably likely to materially affect, the registrant's internal control over financia and</w:t>
      </w:r>
    </w:p>
    <w:p>
      <w:pPr>
        <w:spacing w:after="0" w:line="201" w:lineRule="exact"/>
        <w:rPr>
          <w:rFonts w:ascii="Arial" w:cs="Arial" w:eastAsia="Arial" w:hAnsi="Arial"/>
          <w:sz w:val="17"/>
          <w:szCs w:val="17"/>
          <w:color w:val="auto"/>
        </w:rPr>
      </w:pPr>
    </w:p>
    <w:p>
      <w:pPr>
        <w:ind w:left="300" w:right="100" w:hanging="221"/>
        <w:spacing w:after="0" w:line="268"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left="300" w:right="20" w:firstLine="2"/>
        <w:spacing w:after="0" w:line="268" w:lineRule="auto"/>
        <w:tabs>
          <w:tab w:leader="none" w:pos="50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 registrant's ability to record, process, summarize and report financial information; and</w:t>
      </w:r>
    </w:p>
    <w:p>
      <w:pPr>
        <w:spacing w:after="0" w:line="191" w:lineRule="exact"/>
        <w:rPr>
          <w:rFonts w:ascii="Arial" w:cs="Arial" w:eastAsia="Arial" w:hAnsi="Arial"/>
          <w:sz w:val="17"/>
          <w:szCs w:val="17"/>
          <w:color w:val="auto"/>
        </w:rPr>
      </w:pPr>
    </w:p>
    <w:p>
      <w:pPr>
        <w:ind w:left="520" w:hanging="218"/>
        <w:spacing w:after="0"/>
        <w:tabs>
          <w:tab w:leader="none" w:pos="52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October 22, 2015</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520"/>
          </w:cols>
          <w:pgMar w:left="240" w:top="349" w:right="1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John N. McMullen, certify that:</w:t>
      </w:r>
    </w:p>
    <w:p>
      <w:pPr>
        <w:spacing w:after="0" w:line="232" w:lineRule="exact"/>
        <w:rPr>
          <w:sz w:val="20"/>
          <w:szCs w:val="20"/>
          <w:color w:val="auto"/>
        </w:rPr>
      </w:pPr>
    </w:p>
    <w:p>
      <w:pPr>
        <w:ind w:left="300" w:hanging="21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hanging="219"/>
        <w:spacing w:after="0" w:line="336" w:lineRule="auto"/>
        <w:tabs>
          <w:tab w:leader="none" w:pos="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300" w:hanging="219"/>
        <w:spacing w:after="0" w:line="268"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300" w:hanging="219"/>
        <w:spacing w:after="0" w:line="257"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left="300" w:right="480" w:firstLine="4"/>
        <w:spacing w:after="0" w:line="257" w:lineRule="auto"/>
        <w:tabs>
          <w:tab w:leader="none" w:pos="514"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300" w:right="420" w:firstLine="4"/>
        <w:spacing w:after="0" w:line="257" w:lineRule="auto"/>
        <w:tabs>
          <w:tab w:leader="none" w:pos="52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300" w:right="500" w:firstLine="4"/>
        <w:spacing w:after="0" w:line="300" w:lineRule="auto"/>
        <w:tabs>
          <w:tab w:leader="none" w:pos="51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300" w:right="720" w:firstLine="4"/>
        <w:spacing w:after="0" w:line="257" w:lineRule="auto"/>
        <w:tabs>
          <w:tab w:leader="none" w:pos="52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300" w:hanging="219"/>
        <w:spacing w:after="0" w:line="268" w:lineRule="auto"/>
        <w:tabs>
          <w:tab w:leader="none" w:pos="3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left="460" w:right="400" w:hanging="5"/>
        <w:spacing w:after="0" w:line="268" w:lineRule="auto"/>
        <w:tabs>
          <w:tab w:leader="none" w:pos="6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460" w:right="500" w:hanging="5"/>
        <w:spacing w:after="0" w:line="268" w:lineRule="auto"/>
        <w:tabs>
          <w:tab w:leader="none" w:pos="67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October 22, 2015</w:t>
      </w:r>
    </w:p>
    <w:p>
      <w:pPr>
        <w:spacing w:after="0" w:line="37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73025</wp:posOffset>
            </wp:positionV>
            <wp:extent cx="726059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20"/>
          </w:cols>
          <w:pgMar w:left="540" w:top="349"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2015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380" w:hanging="229"/>
        <w:spacing w:after="0"/>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380" w:hanging="229"/>
        <w:spacing w:after="0"/>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October 22, 2015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(32.2)</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2015 as filed with the Securities and Exchange Commission on the date hereof (the "Report"), I, John N. McMullen,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520" w:hanging="218"/>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520" w:hanging="218"/>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October 22, 2015</w:t>
      </w: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60"/>
          </w:cols>
          <w:pgMar w:left="240" w:top="576" w:right="59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firstLine="603"/>
        <w:spacing w:after="0" w:line="294" w:lineRule="auto"/>
        <w:rPr>
          <w:sz w:val="20"/>
          <w:szCs w:val="20"/>
          <w:color w:val="auto"/>
        </w:rPr>
      </w:pPr>
      <w:r>
        <w:rPr>
          <w:rFonts w:ascii="Arial" w:cs="Arial" w:eastAsia="Arial" w:hAnsi="Arial"/>
          <w:sz w:val="15"/>
          <w:szCs w:val="15"/>
          <w:color w:val="auto"/>
        </w:rPr>
        <w:t>Blackstone Holdings I L.P., which may be considered an “affiliate” (as such term is defined in Rule 12b-2 of the Securities in Exchange Act of 1934, as amended) of The Blackstone Group L.P., is a holder of approximately 20% of the outstanding common stock of Kodak and has a representative on Kodak’s Board of Directors. Accordingly, The Blackstone Group L.P. may be deemed an "affiliate" of Kodak. The Blackstone Group L.P. has indicated in its public filings that it may also be considered an affiliate of Travelport Worldwide Limited (“Travelport”). Travelport included the disclosure reproduced below in its Form 10-Q for the fiscal quarter ended June 30, 2015. Kodak has neither independently verified nor has it participated in the preparation of the disclosure reproduced below:</w:t>
      </w:r>
    </w:p>
    <w:p>
      <w:pPr>
        <w:spacing w:after="0" w:line="175" w:lineRule="exact"/>
        <w:rPr>
          <w:sz w:val="20"/>
          <w:szCs w:val="20"/>
          <w:color w:val="auto"/>
        </w:rPr>
      </w:pPr>
    </w:p>
    <w:p>
      <w:pPr>
        <w:jc w:val="both"/>
        <w:ind w:firstLine="453"/>
        <w:spacing w:after="0" w:line="252" w:lineRule="auto"/>
        <w:rPr>
          <w:sz w:val="20"/>
          <w:szCs w:val="20"/>
          <w:color w:val="auto"/>
        </w:rPr>
      </w:pPr>
      <w:r>
        <w:rPr>
          <w:rFonts w:ascii="Arial" w:cs="Arial" w:eastAsia="Arial" w:hAnsi="Arial"/>
          <w:sz w:val="17"/>
          <w:szCs w:val="17"/>
          <w:color w:val="auto"/>
        </w:rPr>
        <w:t>“As part of our global business in the travel industry, we provide certain passenger travel related Travel Commerce Platform and Technology Services to Iran Air. We also provide certain Technology Services to Iran Air Tours. All of these services are either exempt from applicable sanctions prohibitions pursuant to a statutory exemption permitting transactions ordinarily incident to travel or, to the extent not otherwise exempt, specifically licensed by the U.S. Office of Foreign Assets Control. Subject to any changes in the exempt/licensed status of such activities, we intend to continue these business activities, which are directly related to and promote the arrangement of travel for individuals.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gross revenue and net profit attributable to these activities in the quarter ended June 30, 2015 were approximately $145,000 and $104,000,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5"/>
    </w:lvl>
    <w:lvl w:ilvl="1">
      <w:lvlJc w:val="left"/>
      <w:lvlText w:val="%2"/>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2019-12-05T09:37:08Z</dcterms:created>
  <dcterms:modified xsi:type="dcterms:W3CDTF">2019-12-05T09:37:08Z</dcterms:modified>
</cp:coreProperties>
</file>