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207645</wp:posOffset>
            </wp:positionH>
            <wp:positionV relativeFrom="page">
              <wp:posOffset>318135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335280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104"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10-Q</w:t>
      </w:r>
    </w:p>
    <w:p>
      <w:pPr>
        <w:spacing w:after="0" w:line="166" w:lineRule="exact"/>
        <w:rPr>
          <w:sz w:val="24"/>
          <w:szCs w:val="24"/>
          <w:color w:val="auto"/>
        </w:rPr>
      </w:pPr>
    </w:p>
    <w:p>
      <w:pPr>
        <w:ind w:left="840" w:hanging="833"/>
        <w:spacing w:after="0"/>
        <w:tabs>
          <w:tab w:leader="none" w:pos="8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39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or</w:t>
      </w:r>
    </w:p>
    <w:p>
      <w:pPr>
        <w:ind w:left="840" w:hanging="833"/>
        <w:spacing w:after="0"/>
        <w:tabs>
          <w:tab w:leader="none" w:pos="8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218"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r>
      <w:tr>
        <w:trPr>
          <w:trHeight w:val="20"/>
        </w:trPr>
        <w:tc>
          <w:tcPr>
            <w:tcW w:w="230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510"/>
        </w:trPr>
        <w:tc>
          <w:tcPr>
            <w:tcW w:w="2840" w:type="dxa"/>
            <w:vAlign w:val="bottom"/>
            <w:gridSpan w:val="2"/>
          </w:tcPr>
          <w:p>
            <w:pPr>
              <w:jc w:val="center"/>
              <w:ind w:left="591"/>
              <w:spacing w:after="0"/>
              <w:rPr>
                <w:sz w:val="20"/>
                <w:szCs w:val="20"/>
                <w:color w:val="auto"/>
              </w:rPr>
            </w:pPr>
            <w:r>
              <w:rPr>
                <w:rFonts w:ascii="Arial" w:cs="Arial" w:eastAsia="Arial" w:hAnsi="Arial"/>
                <w:sz w:val="18"/>
                <w:szCs w:val="18"/>
                <w:b w:val="1"/>
                <w:bCs w:val="1"/>
                <w:color w:val="auto"/>
                <w:w w:val="90"/>
              </w:rPr>
              <w:t>Commission File Number</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1"/>
        </w:trPr>
        <w:tc>
          <w:tcPr>
            <w:tcW w:w="2300" w:type="dxa"/>
            <w:vAlign w:val="bottom"/>
          </w:tcPr>
          <w:p>
            <w:pPr>
              <w:jc w:val="right"/>
              <w:ind w:right="151"/>
              <w:spacing w:after="0"/>
              <w:rPr>
                <w:sz w:val="20"/>
                <w:szCs w:val="20"/>
                <w:color w:val="auto"/>
              </w:rPr>
            </w:pPr>
            <w:r>
              <w:rPr>
                <w:rFonts w:ascii="Arial" w:cs="Arial" w:eastAsia="Arial" w:hAnsi="Arial"/>
                <w:sz w:val="18"/>
                <w:szCs w:val="18"/>
                <w:b w:val="1"/>
                <w:bCs w:val="1"/>
                <w:color w:val="auto"/>
              </w:rPr>
              <w:t>1-00087</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EASTMAN KODAK COMPANY</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7" w:lineRule="exact"/>
        <w:rPr>
          <w:sz w:val="24"/>
          <w:szCs w:val="24"/>
          <w:color w:val="auto"/>
        </w:rPr>
      </w:pPr>
    </w:p>
    <w:tbl>
      <w:tblPr>
        <w:tblLayout w:type="fixed"/>
        <w:tblInd w:w="1220" w:type="dxa"/>
        <w:tblCellMar>
          <w:top w:w="0" w:type="dxa"/>
          <w:left w:w="0" w:type="dxa"/>
          <w:bottom w:w="0" w:type="dxa"/>
          <w:right w:w="0" w:type="dxa"/>
        </w:tblCellMar>
      </w:tblPr>
      <w:tr>
        <w:trPr>
          <w:trHeight w:val="231"/>
        </w:trPr>
        <w:tc>
          <w:tcPr>
            <w:tcW w:w="4920" w:type="dxa"/>
            <w:vAlign w:val="bottom"/>
          </w:tcPr>
          <w:p>
            <w:pPr>
              <w:jc w:val="center"/>
              <w:ind w:right="940"/>
              <w:spacing w:after="0"/>
              <w:rPr>
                <w:sz w:val="20"/>
                <w:szCs w:val="20"/>
                <w:color w:val="auto"/>
              </w:rPr>
            </w:pPr>
            <w:r>
              <w:rPr>
                <w:rFonts w:ascii="Arial" w:cs="Arial" w:eastAsia="Arial" w:hAnsi="Arial"/>
                <w:sz w:val="18"/>
                <w:szCs w:val="18"/>
                <w:b w:val="1"/>
                <w:bCs w:val="1"/>
                <w:color w:val="auto"/>
                <w:w w:val="96"/>
              </w:rPr>
              <w:t>NEW JERSEY</w:t>
            </w:r>
          </w:p>
        </w:tc>
        <w:tc>
          <w:tcPr>
            <w:tcW w:w="2960" w:type="dxa"/>
            <w:vAlign w:val="bottom"/>
          </w:tcPr>
          <w:p>
            <w:pPr>
              <w:jc w:val="right"/>
              <w:ind w:right="460"/>
              <w:spacing w:after="0"/>
              <w:rPr>
                <w:sz w:val="20"/>
                <w:szCs w:val="20"/>
                <w:color w:val="auto"/>
              </w:rPr>
            </w:pPr>
            <w:r>
              <w:rPr>
                <w:rFonts w:ascii="Arial" w:cs="Arial" w:eastAsia="Arial" w:hAnsi="Arial"/>
                <w:sz w:val="18"/>
                <w:szCs w:val="18"/>
                <w:b w:val="1"/>
                <w:bCs w:val="1"/>
                <w:color w:val="auto"/>
              </w:rPr>
              <w:t>16-0417150</w:t>
            </w:r>
          </w:p>
        </w:tc>
      </w:tr>
      <w:tr>
        <w:trPr>
          <w:trHeight w:val="191"/>
        </w:trPr>
        <w:tc>
          <w:tcPr>
            <w:tcW w:w="4920" w:type="dxa"/>
            <w:vAlign w:val="bottom"/>
          </w:tcPr>
          <w:p>
            <w:pPr>
              <w:jc w:val="center"/>
              <w:ind w:right="940"/>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2960" w:type="dxa"/>
            <w:vAlign w:val="bottom"/>
          </w:tcPr>
          <w:p>
            <w:pPr>
              <w:jc w:val="center"/>
              <w:ind w:left="920"/>
              <w:spacing w:after="0"/>
              <w:rPr>
                <w:sz w:val="20"/>
                <w:szCs w:val="20"/>
                <w:color w:val="auto"/>
              </w:rPr>
            </w:pPr>
            <w:r>
              <w:rPr>
                <w:rFonts w:ascii="Arial" w:cs="Arial" w:eastAsia="Arial" w:hAnsi="Arial"/>
                <w:sz w:val="14"/>
                <w:szCs w:val="14"/>
                <w:color w:val="auto"/>
                <w:w w:val="96"/>
              </w:rPr>
              <w:t>(IRS Employer Identification No.)</w:t>
            </w:r>
          </w:p>
        </w:tc>
      </w:tr>
      <w:tr>
        <w:trPr>
          <w:trHeight w:val="318"/>
        </w:trPr>
        <w:tc>
          <w:tcPr>
            <w:tcW w:w="4920" w:type="dxa"/>
            <w:vAlign w:val="bottom"/>
          </w:tcPr>
          <w:p>
            <w:pPr>
              <w:jc w:val="center"/>
              <w:ind w:right="940"/>
              <w:spacing w:after="0"/>
              <w:rPr>
                <w:sz w:val="20"/>
                <w:szCs w:val="20"/>
                <w:color w:val="auto"/>
              </w:rPr>
            </w:pPr>
            <w:r>
              <w:rPr>
                <w:rFonts w:ascii="Arial" w:cs="Arial" w:eastAsia="Arial" w:hAnsi="Arial"/>
                <w:sz w:val="18"/>
                <w:szCs w:val="18"/>
                <w:b w:val="1"/>
                <w:bCs w:val="1"/>
                <w:color w:val="auto"/>
                <w:w w:val="96"/>
              </w:rPr>
              <w:t>343 STATE STREET, ROCHESTER, NEW YORK</w:t>
            </w:r>
          </w:p>
        </w:tc>
        <w:tc>
          <w:tcPr>
            <w:tcW w:w="2960" w:type="dxa"/>
            <w:vAlign w:val="bottom"/>
          </w:tcPr>
          <w:p>
            <w:pPr>
              <w:jc w:val="right"/>
              <w:ind w:right="680"/>
              <w:spacing w:after="0"/>
              <w:rPr>
                <w:sz w:val="20"/>
                <w:szCs w:val="20"/>
                <w:color w:val="auto"/>
              </w:rPr>
            </w:pPr>
            <w:r>
              <w:rPr>
                <w:rFonts w:ascii="Arial" w:cs="Arial" w:eastAsia="Arial" w:hAnsi="Arial"/>
                <w:sz w:val="18"/>
                <w:szCs w:val="18"/>
                <w:b w:val="1"/>
                <w:bCs w:val="1"/>
                <w:color w:val="auto"/>
              </w:rPr>
              <w:t>14650</w:t>
            </w:r>
          </w:p>
        </w:tc>
      </w:tr>
      <w:tr>
        <w:trPr>
          <w:trHeight w:val="177"/>
        </w:trPr>
        <w:tc>
          <w:tcPr>
            <w:tcW w:w="4920" w:type="dxa"/>
            <w:vAlign w:val="bottom"/>
          </w:tcPr>
          <w:p>
            <w:pPr>
              <w:jc w:val="center"/>
              <w:ind w:right="940"/>
              <w:spacing w:after="0"/>
              <w:rPr>
                <w:sz w:val="20"/>
                <w:szCs w:val="20"/>
                <w:color w:val="auto"/>
              </w:rPr>
            </w:pPr>
            <w:r>
              <w:rPr>
                <w:rFonts w:ascii="Arial" w:cs="Arial" w:eastAsia="Arial" w:hAnsi="Arial"/>
                <w:sz w:val="14"/>
                <w:szCs w:val="14"/>
                <w:color w:val="auto"/>
                <w:w w:val="94"/>
              </w:rPr>
              <w:t>(Address of principal executive offices)</w:t>
            </w:r>
          </w:p>
        </w:tc>
        <w:tc>
          <w:tcPr>
            <w:tcW w:w="2960" w:type="dxa"/>
            <w:vAlign w:val="bottom"/>
          </w:tcPr>
          <w:p>
            <w:pPr>
              <w:jc w:val="center"/>
              <w:ind w:left="940"/>
              <w:spacing w:after="0"/>
              <w:rPr>
                <w:sz w:val="20"/>
                <w:szCs w:val="20"/>
                <w:color w:val="auto"/>
              </w:rPr>
            </w:pPr>
            <w:r>
              <w:rPr>
                <w:rFonts w:ascii="Arial" w:cs="Arial" w:eastAsia="Arial" w:hAnsi="Arial"/>
                <w:sz w:val="14"/>
                <w:szCs w:val="14"/>
                <w:color w:val="auto"/>
                <w:w w:val="93"/>
              </w:rPr>
              <w:t>(Zip Code)</w:t>
            </w:r>
          </w:p>
        </w:tc>
      </w:tr>
    </w:tbl>
    <w:p>
      <w:pPr>
        <w:jc w:val="center"/>
        <w:ind w:right="-79"/>
        <w:spacing w:after="0"/>
        <w:rPr>
          <w:sz w:val="20"/>
          <w:szCs w:val="20"/>
          <w:color w:val="auto"/>
        </w:rPr>
      </w:pPr>
      <w:r>
        <w:rPr>
          <w:rFonts w:ascii="Arial" w:cs="Arial" w:eastAsia="Arial" w:hAnsi="Arial"/>
          <w:sz w:val="18"/>
          <w:szCs w:val="18"/>
          <w:b w:val="1"/>
          <w:bCs w:val="1"/>
          <w:color w:val="auto"/>
        </w:rPr>
        <w:t>(585) 724-4000</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15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4560" w:type="dxa"/>
            <w:vAlign w:val="bottom"/>
            <w:gridSpan w:val="5"/>
          </w:tcPr>
          <w:p>
            <w:pPr>
              <w:jc w:val="center"/>
              <w:ind w:right="1580"/>
              <w:spacing w:after="0"/>
              <w:rPr>
                <w:sz w:val="20"/>
                <w:szCs w:val="20"/>
                <w:color w:val="auto"/>
              </w:rPr>
            </w:pPr>
            <w:r>
              <w:rPr>
                <w:rFonts w:ascii="Arial" w:cs="Arial" w:eastAsia="Arial" w:hAnsi="Arial"/>
                <w:sz w:val="18"/>
                <w:szCs w:val="18"/>
                <w:b w:val="1"/>
                <w:bCs w:val="1"/>
                <w:color w:val="auto"/>
                <w:w w:val="86"/>
              </w:rPr>
              <w:t>Title of each class</w:t>
            </w:r>
          </w:p>
        </w:tc>
        <w:tc>
          <w:tcPr>
            <w:tcW w:w="276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89"/>
              </w:rPr>
              <w:t>Trading Symbol(s)</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35"/>
        </w:trPr>
        <w:tc>
          <w:tcPr>
            <w:tcW w:w="820" w:type="dxa"/>
            <w:vAlign w:val="bottom"/>
          </w:tcPr>
          <w:p>
            <w:pPr>
              <w:spacing w:after="0"/>
              <w:rPr>
                <w:sz w:val="24"/>
                <w:szCs w:val="24"/>
                <w:color w:val="auto"/>
              </w:rPr>
            </w:pPr>
          </w:p>
        </w:tc>
        <w:tc>
          <w:tcPr>
            <w:tcW w:w="13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Common</w:t>
            </w:r>
          </w:p>
        </w:tc>
        <w:tc>
          <w:tcPr>
            <w:tcW w:w="240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r>
      <w:tr>
        <w:trPr>
          <w:trHeight w:val="20"/>
        </w:trPr>
        <w:tc>
          <w:tcPr>
            <w:tcW w:w="11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33"/>
        </w:trPr>
        <w:tc>
          <w:tcPr>
            <w:tcW w:w="4560" w:type="dxa"/>
            <w:vAlign w:val="bottom"/>
            <w:gridSpan w:val="5"/>
          </w:tcPr>
          <w:p>
            <w:pPr>
              <w:jc w:val="center"/>
              <w:ind w:right="1580"/>
              <w:spacing w:after="0"/>
              <w:rPr>
                <w:sz w:val="20"/>
                <w:szCs w:val="20"/>
                <w:color w:val="auto"/>
              </w:rPr>
            </w:pPr>
            <w:r>
              <w:rPr>
                <w:rFonts w:ascii="Arial" w:cs="Arial" w:eastAsia="Arial" w:hAnsi="Arial"/>
                <w:sz w:val="18"/>
                <w:szCs w:val="18"/>
                <w:color w:val="auto"/>
                <w:w w:val="88"/>
              </w:rPr>
              <w:t>Common stock, par value $0.01 per share</w:t>
            </w:r>
          </w:p>
        </w:tc>
        <w:tc>
          <w:tcPr>
            <w:tcW w:w="2760" w:type="dxa"/>
            <w:vAlign w:val="bottom"/>
            <w:gridSpan w:val="2"/>
          </w:tcPr>
          <w:p>
            <w:pPr>
              <w:jc w:val="center"/>
              <w:ind w:right="1340"/>
              <w:spacing w:after="0"/>
              <w:rPr>
                <w:sz w:val="20"/>
                <w:szCs w:val="20"/>
                <w:color w:val="auto"/>
              </w:rPr>
            </w:pPr>
            <w:r>
              <w:rPr>
                <w:rFonts w:ascii="Arial" w:cs="Arial" w:eastAsia="Arial" w:hAnsi="Arial"/>
                <w:sz w:val="18"/>
                <w:szCs w:val="18"/>
                <w:color w:val="auto"/>
                <w:w w:val="97"/>
              </w:rPr>
              <w:t>KODK</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New York Stock Exchange</w:t>
            </w:r>
          </w:p>
        </w:tc>
      </w:tr>
    </w:tbl>
    <w:p>
      <w:pPr>
        <w:spacing w:after="0" w:line="134" w:lineRule="exact"/>
        <w:rPr>
          <w:sz w:val="24"/>
          <w:szCs w:val="24"/>
          <w:color w:val="auto"/>
        </w:rPr>
      </w:pPr>
    </w:p>
    <w:p>
      <w:pPr>
        <w:ind w:right="320"/>
        <w:spacing w:after="0" w:line="24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94" w:lineRule="exact"/>
        <w:rPr>
          <w:sz w:val="24"/>
          <w:szCs w:val="24"/>
          <w:color w:val="auto"/>
        </w:rPr>
      </w:pPr>
    </w:p>
    <w:p>
      <w:pPr>
        <w:ind w:right="160"/>
        <w:spacing w:after="0" w:line="24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94"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9" w:lineRule="exact"/>
        <w:rPr>
          <w:sz w:val="24"/>
          <w:szCs w:val="24"/>
          <w:color w:val="auto"/>
        </w:rPr>
      </w:pPr>
    </w:p>
    <w:tbl>
      <w:tblPr>
        <w:tblLayout w:type="fixed"/>
        <w:tblInd w:w="760" w:type="dxa"/>
        <w:tblCellMar>
          <w:top w:w="0" w:type="dxa"/>
          <w:left w:w="0" w:type="dxa"/>
          <w:bottom w:w="0" w:type="dxa"/>
          <w:right w:w="0" w:type="dxa"/>
        </w:tblCellMar>
      </w:tblPr>
      <w:tr>
        <w:trPr>
          <w:trHeight w:val="267"/>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40" w:type="dxa"/>
            <w:vAlign w:val="bottom"/>
          </w:tcPr>
          <w:p>
            <w:pPr>
              <w:ind w:left="420"/>
              <w:spacing w:after="0" w:line="211" w:lineRule="exact"/>
              <w:rPr>
                <w:sz w:val="20"/>
                <w:szCs w:val="20"/>
                <w:color w:val="auto"/>
              </w:rPr>
            </w:pPr>
            <w:r>
              <w:rPr>
                <w:rFonts w:ascii="MS PGothic" w:cs="MS PGothic" w:eastAsia="MS PGothic" w:hAnsi="MS PGothic"/>
                <w:sz w:val="21"/>
                <w:szCs w:val="21"/>
                <w:color w:val="auto"/>
              </w:rPr>
              <w:t>☐</w:t>
            </w:r>
          </w:p>
        </w:tc>
        <w:tc>
          <w:tcPr>
            <w:tcW w:w="328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211" w:lineRule="exact"/>
              <w:rPr>
                <w:sz w:val="20"/>
                <w:szCs w:val="20"/>
                <w:color w:val="auto"/>
              </w:rPr>
            </w:pPr>
            <w:r>
              <w:rPr>
                <w:rFonts w:ascii="MS PGothic" w:cs="MS PGothic" w:eastAsia="MS PGothic" w:hAnsi="MS PGothic"/>
                <w:sz w:val="21"/>
                <w:szCs w:val="21"/>
                <w:color w:val="auto"/>
              </w:rPr>
              <w:t>☐</w:t>
            </w:r>
          </w:p>
        </w:tc>
      </w:tr>
      <w:tr>
        <w:trPr>
          <w:trHeight w:val="254"/>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420"/>
              <w:spacing w:after="0" w:line="211" w:lineRule="exact"/>
              <w:rPr>
                <w:sz w:val="20"/>
                <w:szCs w:val="20"/>
                <w:color w:val="auto"/>
              </w:rPr>
            </w:pPr>
            <w:r>
              <w:rPr>
                <w:rFonts w:ascii="MS PGothic" w:cs="MS PGothic" w:eastAsia="MS PGothic" w:hAnsi="MS PGothic"/>
                <w:sz w:val="21"/>
                <w:szCs w:val="21"/>
                <w:color w:val="auto"/>
              </w:rPr>
              <w:t>☒</w:t>
            </w:r>
          </w:p>
        </w:tc>
        <w:tc>
          <w:tcPr>
            <w:tcW w:w="3860" w:type="dxa"/>
            <w:vAlign w:val="bottom"/>
            <w:gridSpan w:val="2"/>
          </w:tcPr>
          <w:p>
            <w:pPr>
              <w:jc w:val="right"/>
              <w:spacing w:after="0" w:line="242" w:lineRule="exact"/>
              <w:rPr>
                <w:sz w:val="20"/>
                <w:szCs w:val="20"/>
                <w:color w:val="auto"/>
              </w:rPr>
            </w:pPr>
            <w:r>
              <w:rPr>
                <w:rFonts w:ascii="Arial" w:cs="Arial" w:eastAsia="Arial" w:hAnsi="Arial"/>
                <w:sz w:val="18"/>
                <w:szCs w:val="18"/>
                <w:color w:val="auto"/>
              </w:rPr>
              <w:t>Smaller reporting company</w:t>
            </w:r>
            <w:r>
              <w:rPr>
                <w:rFonts w:ascii="MS PGothic" w:cs="MS PGothic" w:eastAsia="MS PGothic" w:hAnsi="MS PGothic"/>
                <w:sz w:val="21"/>
                <w:szCs w:val="21"/>
                <w:color w:val="auto"/>
              </w:rPr>
              <w:t>☒</w:t>
            </w:r>
          </w:p>
        </w:tc>
      </w:tr>
      <w:tr>
        <w:trPr>
          <w:trHeight w:val="337"/>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40" w:type="dxa"/>
            <w:vAlign w:val="bottom"/>
          </w:tcPr>
          <w:p>
            <w:pPr>
              <w:ind w:left="420"/>
              <w:spacing w:after="0" w:line="211" w:lineRule="exact"/>
              <w:rPr>
                <w:sz w:val="20"/>
                <w:szCs w:val="20"/>
                <w:color w:val="auto"/>
              </w:rPr>
            </w:pPr>
            <w:r>
              <w:rPr>
                <w:rFonts w:ascii="MS PGothic" w:cs="MS PGothic" w:eastAsia="MS PGothic" w:hAnsi="MS PGothic"/>
                <w:sz w:val="21"/>
                <w:szCs w:val="21"/>
                <w:color w:val="auto"/>
              </w:rPr>
              <w:t>☐</w:t>
            </w:r>
          </w:p>
        </w:tc>
        <w:tc>
          <w:tcPr>
            <w:tcW w:w="3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85"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980"/>
        <w:spacing w:after="0" w:line="30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August 6, 2021, the registrant had 78,573,655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86360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602"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Item 2.</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Item 4.</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Part I.—Financial Information</w:t>
            </w:r>
          </w:p>
        </w:tc>
        <w:tc>
          <w:tcPr>
            <w:tcW w:w="1740" w:type="dxa"/>
            <w:vAlign w:val="bottom"/>
          </w:tcPr>
          <w:p>
            <w:pPr>
              <w:ind w:left="14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7"/>
        </w:trPr>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60" w:type="dxa"/>
            <w:vAlign w:val="bottom"/>
            <w:gridSpan w:val="5"/>
            <w:vMerge w:val="continue"/>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50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340" w:type="dxa"/>
            <w:vAlign w:val="bottom"/>
            <w:gridSpan w:val="10"/>
          </w:tcPr>
          <w:p>
            <w:pPr>
              <w:spacing w:after="0"/>
              <w:rPr>
                <w:sz w:val="24"/>
                <w:szCs w:val="24"/>
                <w:color w:val="auto"/>
              </w:rPr>
            </w:pPr>
          </w:p>
        </w:tc>
        <w:tc>
          <w:tcPr>
            <w:tcW w:w="1740" w:type="dxa"/>
            <w:vAlign w:val="bottom"/>
          </w:tcPr>
          <w:p>
            <w:pPr>
              <w:jc w:val="center"/>
              <w:ind w:left="145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21"/>
        </w:trPr>
        <w:tc>
          <w:tcPr>
            <w:tcW w:w="784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w:t>
              </w:r>
            </w:hyperlink>
          </w:p>
        </w:tc>
        <w:tc>
          <w:tcPr>
            <w:tcW w:w="1740" w:type="dxa"/>
            <w:vAlign w:val="bottom"/>
          </w:tcPr>
          <w:p>
            <w:pPr>
              <w:jc w:val="center"/>
              <w:ind w:left="145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4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(Loss) (Unaudited)</w:t>
              </w:r>
            </w:hyperlink>
          </w:p>
        </w:tc>
        <w:tc>
          <w:tcPr>
            <w:tcW w:w="1740" w:type="dxa"/>
            <w:vAlign w:val="bottom"/>
          </w:tcPr>
          <w:p>
            <w:pPr>
              <w:jc w:val="center"/>
              <w:ind w:left="14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21"/>
        </w:trPr>
        <w:tc>
          <w:tcPr>
            <w:tcW w:w="41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Financial Position (Unaudited)</w:t>
              </w:r>
            </w:hyperlink>
          </w:p>
        </w:tc>
        <w:tc>
          <w:tcPr>
            <w:tcW w:w="900" w:type="dxa"/>
            <w:vAlign w:val="bottom"/>
            <w:tcBorders>
              <w:top w:val="single" w:sz="8" w:color="0000EE"/>
            </w:tcBorders>
          </w:tcPr>
          <w:p>
            <w:pPr>
              <w:spacing w:after="0"/>
              <w:rPr>
                <w:sz w:val="19"/>
                <w:szCs w:val="19"/>
                <w:color w:val="auto"/>
              </w:rPr>
            </w:pPr>
          </w:p>
        </w:tc>
        <w:tc>
          <w:tcPr>
            <w:tcW w:w="2800" w:type="dxa"/>
            <w:vAlign w:val="bottom"/>
            <w:gridSpan w:val="2"/>
          </w:tcPr>
          <w:p>
            <w:pPr>
              <w:spacing w:after="0"/>
              <w:rPr>
                <w:sz w:val="19"/>
                <w:szCs w:val="19"/>
                <w:color w:val="auto"/>
              </w:rPr>
            </w:pPr>
          </w:p>
        </w:tc>
        <w:tc>
          <w:tcPr>
            <w:tcW w:w="1740" w:type="dxa"/>
            <w:vAlign w:val="bottom"/>
          </w:tcPr>
          <w:p>
            <w:pPr>
              <w:jc w:val="center"/>
              <w:ind w:left="145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1"/>
        </w:trPr>
        <w:tc>
          <w:tcPr>
            <w:tcW w:w="784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w:t>
              </w:r>
            </w:hyperlink>
          </w:p>
        </w:tc>
        <w:tc>
          <w:tcPr>
            <w:tcW w:w="1740" w:type="dxa"/>
            <w:vAlign w:val="bottom"/>
          </w:tcPr>
          <w:p>
            <w:pPr>
              <w:jc w:val="center"/>
              <w:ind w:left="145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 of Equity (Deficit) (Unaudited)</w:t>
              </w:r>
            </w:hyperlink>
          </w:p>
        </w:tc>
        <w:tc>
          <w:tcPr>
            <w:tcW w:w="3860" w:type="dxa"/>
            <w:vAlign w:val="bottom"/>
            <w:gridSpan w:val="4"/>
          </w:tcPr>
          <w:p>
            <w:pPr>
              <w:spacing w:after="0"/>
              <w:rPr>
                <w:sz w:val="19"/>
                <w:szCs w:val="19"/>
                <w:color w:val="auto"/>
              </w:rPr>
            </w:pPr>
          </w:p>
        </w:tc>
        <w:tc>
          <w:tcPr>
            <w:tcW w:w="1740" w:type="dxa"/>
            <w:vAlign w:val="bottom"/>
          </w:tcPr>
          <w:p>
            <w:pPr>
              <w:jc w:val="center"/>
              <w:ind w:left="145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1"/>
        </w:trPr>
        <w:tc>
          <w:tcPr>
            <w:tcW w:w="7840" w:type="dxa"/>
            <w:vAlign w:val="bottom"/>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Financial Statements (Unaudited)</w:t>
              </w:r>
            </w:hyperlink>
          </w:p>
        </w:tc>
        <w:tc>
          <w:tcPr>
            <w:tcW w:w="1740" w:type="dxa"/>
            <w:vAlign w:val="bottom"/>
          </w:tcPr>
          <w:p>
            <w:pPr>
              <w:jc w:val="center"/>
              <w:ind w:left="1452"/>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1440" w:type="dxa"/>
            <w:vAlign w:val="bottom"/>
          </w:tcPr>
          <w:p>
            <w:pPr>
              <w:spacing w:after="0"/>
              <w:rPr>
                <w:sz w:val="19"/>
                <w:szCs w:val="19"/>
                <w:color w:val="auto"/>
              </w:rPr>
            </w:pPr>
          </w:p>
        </w:tc>
        <w:tc>
          <w:tcPr>
            <w:tcW w:w="1740" w:type="dxa"/>
            <w:vAlign w:val="bottom"/>
          </w:tcPr>
          <w:p>
            <w:pPr>
              <w:jc w:val="center"/>
              <w:ind w:left="1472"/>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21"/>
        </w:trPr>
        <w:tc>
          <w:tcPr>
            <w:tcW w:w="7840" w:type="dxa"/>
            <w:vAlign w:val="bottom"/>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Liquidity and Capital Resources</w:t>
              </w:r>
            </w:hyperlink>
          </w:p>
        </w:tc>
        <w:tc>
          <w:tcPr>
            <w:tcW w:w="1740" w:type="dxa"/>
            <w:vAlign w:val="bottom"/>
          </w:tcPr>
          <w:p>
            <w:pPr>
              <w:jc w:val="center"/>
              <w:ind w:left="1472"/>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21"/>
        </w:trPr>
        <w:tc>
          <w:tcPr>
            <w:tcW w:w="1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Controls and Procedures</w:t>
              </w:r>
            </w:hyperlink>
          </w:p>
        </w:tc>
        <w:tc>
          <w:tcPr>
            <w:tcW w:w="540" w:type="dxa"/>
            <w:vAlign w:val="bottom"/>
            <w:tcBorders>
              <w:top w:val="single" w:sz="8" w:color="0000EE"/>
            </w:tcBorders>
          </w:tcPr>
          <w:p>
            <w:pPr>
              <w:spacing w:after="0"/>
              <w:rPr>
                <w:sz w:val="19"/>
                <w:szCs w:val="19"/>
                <w:color w:val="auto"/>
              </w:rPr>
            </w:pPr>
          </w:p>
        </w:tc>
        <w:tc>
          <w:tcPr>
            <w:tcW w:w="5540" w:type="dxa"/>
            <w:vAlign w:val="bottom"/>
            <w:gridSpan w:val="8"/>
          </w:tcPr>
          <w:p>
            <w:pPr>
              <w:spacing w:after="0"/>
              <w:rPr>
                <w:sz w:val="19"/>
                <w:szCs w:val="19"/>
                <w:color w:val="auto"/>
              </w:rPr>
            </w:pPr>
          </w:p>
        </w:tc>
        <w:tc>
          <w:tcPr>
            <w:tcW w:w="1740" w:type="dxa"/>
            <w:vAlign w:val="bottom"/>
          </w:tcPr>
          <w:p>
            <w:pPr>
              <w:jc w:val="center"/>
              <w:ind w:left="1472"/>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ectPr>
          <w:pgSz w:w="11900" w:h="16838" w:orient="portrait"/>
          <w:cols w:equalWidth="0" w:num="2">
            <w:col w:w="520" w:space="180"/>
            <w:col w:w="10540"/>
          </w:cols>
          <w:pgMar w:left="320" w:top="549" w:right="339" w:bottom="1440" w:gutter="0" w:footer="0" w:header="0"/>
          <w:type w:val="continuous"/>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456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5980" w:type="dxa"/>
            <w:vAlign w:val="bottom"/>
          </w:tcPr>
          <w:p>
            <w:pPr>
              <w:jc w:val="right"/>
              <w:ind w:right="871"/>
              <w:spacing w:after="0"/>
              <w:rPr>
                <w:sz w:val="20"/>
                <w:szCs w:val="20"/>
                <w:color w:val="auto"/>
              </w:rPr>
            </w:pPr>
            <w:r>
              <w:rPr>
                <w:rFonts w:ascii="Arial" w:cs="Arial" w:eastAsia="Arial" w:hAnsi="Arial"/>
                <w:sz w:val="18"/>
                <w:szCs w:val="18"/>
                <w:color w:val="auto"/>
              </w:rPr>
              <w:t>46</w:t>
            </w:r>
          </w:p>
        </w:tc>
      </w:tr>
      <w:tr>
        <w:trPr>
          <w:trHeight w:val="221"/>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9"/>
                <w:szCs w:val="19"/>
                <w:color w:val="auto"/>
              </w:rPr>
            </w:pPr>
          </w:p>
        </w:tc>
        <w:tc>
          <w:tcPr>
            <w:tcW w:w="3240" w:type="dxa"/>
            <w:vAlign w:val="bottom"/>
            <w:gridSpan w:val="2"/>
          </w:tcPr>
          <w:p>
            <w:pPr>
              <w:spacing w:after="0"/>
              <w:rPr>
                <w:sz w:val="19"/>
                <w:szCs w:val="19"/>
                <w:color w:val="auto"/>
              </w:rPr>
            </w:pPr>
          </w:p>
        </w:tc>
        <w:tc>
          <w:tcPr>
            <w:tcW w:w="5980" w:type="dxa"/>
            <w:vAlign w:val="bottom"/>
          </w:tcPr>
          <w:p>
            <w:pPr>
              <w:jc w:val="right"/>
              <w:ind w:right="871"/>
              <w:spacing w:after="0"/>
              <w:rPr>
                <w:sz w:val="20"/>
                <w:szCs w:val="20"/>
                <w:color w:val="auto"/>
              </w:rPr>
            </w:pPr>
            <w:r>
              <w:rPr>
                <w:rFonts w:ascii="Arial" w:cs="Arial" w:eastAsia="Arial" w:hAnsi="Arial"/>
                <w:sz w:val="18"/>
                <w:szCs w:val="18"/>
                <w:color w:val="auto"/>
              </w:rPr>
              <w:t>47</w:t>
            </w:r>
          </w:p>
        </w:tc>
      </w:tr>
      <w:tr>
        <w:trPr>
          <w:trHeight w:val="221"/>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4560" w:type="dxa"/>
            <w:vAlign w:val="bottom"/>
            <w:gridSpan w:val="7"/>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Unregistered Sales of Equity Securities and Use of Proceeds</w:t>
              </w:r>
            </w:hyperlink>
          </w:p>
        </w:tc>
        <w:tc>
          <w:tcPr>
            <w:tcW w:w="5980" w:type="dxa"/>
            <w:vAlign w:val="bottom"/>
          </w:tcPr>
          <w:p>
            <w:pPr>
              <w:jc w:val="right"/>
              <w:ind w:right="871"/>
              <w:spacing w:after="0"/>
              <w:rPr>
                <w:sz w:val="20"/>
                <w:szCs w:val="20"/>
                <w:color w:val="auto"/>
              </w:rPr>
            </w:pPr>
            <w:r>
              <w:rPr>
                <w:rFonts w:ascii="Arial" w:cs="Arial" w:eastAsia="Arial" w:hAnsi="Arial"/>
                <w:sz w:val="18"/>
                <w:szCs w:val="18"/>
                <w:color w:val="auto"/>
              </w:rPr>
              <w:t>47</w:t>
            </w:r>
          </w:p>
        </w:tc>
      </w:tr>
      <w:tr>
        <w:trPr>
          <w:trHeight w:val="221"/>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3700" w:type="dxa"/>
            <w:vAlign w:val="bottom"/>
            <w:tcBorders>
              <w:top w:val="single" w:sz="8" w:color="0000EE"/>
            </w:tcBorders>
            <w:gridSpan w:val="5"/>
          </w:tcPr>
          <w:p>
            <w:pPr>
              <w:spacing w:after="0"/>
              <w:rPr>
                <w:sz w:val="19"/>
                <w:szCs w:val="19"/>
                <w:color w:val="auto"/>
              </w:rPr>
            </w:pPr>
          </w:p>
        </w:tc>
        <w:tc>
          <w:tcPr>
            <w:tcW w:w="260" w:type="dxa"/>
            <w:vAlign w:val="bottom"/>
          </w:tcPr>
          <w:p>
            <w:pPr>
              <w:spacing w:after="0"/>
              <w:rPr>
                <w:sz w:val="19"/>
                <w:szCs w:val="19"/>
                <w:color w:val="auto"/>
              </w:rPr>
            </w:pPr>
          </w:p>
        </w:tc>
        <w:tc>
          <w:tcPr>
            <w:tcW w:w="5980" w:type="dxa"/>
            <w:vAlign w:val="bottom"/>
          </w:tcPr>
          <w:p>
            <w:pPr>
              <w:jc w:val="right"/>
              <w:ind w:right="871"/>
              <w:spacing w:after="0"/>
              <w:rPr>
                <w:sz w:val="20"/>
                <w:szCs w:val="20"/>
                <w:color w:val="auto"/>
              </w:rPr>
            </w:pPr>
            <w:r>
              <w:rPr>
                <w:rFonts w:ascii="Arial" w:cs="Arial" w:eastAsia="Arial" w:hAnsi="Arial"/>
                <w:sz w:val="18"/>
                <w:szCs w:val="18"/>
                <w:color w:val="auto"/>
              </w:rPr>
              <w:t>48</w:t>
            </w:r>
          </w:p>
        </w:tc>
      </w:tr>
      <w:tr>
        <w:trPr>
          <w:trHeight w:val="461"/>
        </w:trPr>
        <w:tc>
          <w:tcPr>
            <w:tcW w:w="70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Index to Exhibits</w:t>
              </w:r>
            </w:hyperlink>
          </w:p>
        </w:tc>
        <w:tc>
          <w:tcPr>
            <w:tcW w:w="3320" w:type="dxa"/>
            <w:vAlign w:val="bottom"/>
            <w:gridSpan w:val="3"/>
          </w:tcPr>
          <w:p>
            <w:pPr>
              <w:spacing w:after="0"/>
              <w:rPr>
                <w:sz w:val="24"/>
                <w:szCs w:val="24"/>
                <w:color w:val="auto"/>
              </w:rPr>
            </w:pPr>
          </w:p>
        </w:tc>
        <w:tc>
          <w:tcPr>
            <w:tcW w:w="5980" w:type="dxa"/>
            <w:vAlign w:val="bottom"/>
          </w:tcPr>
          <w:p>
            <w:pPr>
              <w:jc w:val="right"/>
              <w:ind w:right="871"/>
              <w:spacing w:after="0"/>
              <w:rPr>
                <w:sz w:val="20"/>
                <w:szCs w:val="20"/>
                <w:color w:val="auto"/>
              </w:rPr>
            </w:pPr>
            <w:r>
              <w:rPr>
                <w:rFonts w:ascii="Arial" w:cs="Arial" w:eastAsia="Arial" w:hAnsi="Arial"/>
                <w:sz w:val="18"/>
                <w:szCs w:val="18"/>
                <w:color w:val="auto"/>
              </w:rPr>
              <w:t>48</w:t>
            </w:r>
          </w:p>
        </w:tc>
      </w:tr>
      <w:tr>
        <w:trPr>
          <w:trHeight w:val="221"/>
        </w:trPr>
        <w:tc>
          <w:tcPr>
            <w:tcW w:w="700" w:type="dxa"/>
            <w:vAlign w:val="bottom"/>
          </w:tcPr>
          <w:p>
            <w:pPr>
              <w:spacing w:after="0"/>
              <w:rPr>
                <w:sz w:val="19"/>
                <w:szCs w:val="19"/>
                <w:color w:val="auto"/>
              </w:rPr>
            </w:pPr>
          </w:p>
        </w:tc>
        <w:tc>
          <w:tcPr>
            <w:tcW w:w="456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5980" w:type="dxa"/>
            <w:vAlign w:val="bottom"/>
          </w:tcPr>
          <w:p>
            <w:pPr>
              <w:jc w:val="right"/>
              <w:ind w:right="871"/>
              <w:spacing w:after="0"/>
              <w:rPr>
                <w:sz w:val="20"/>
                <w:szCs w:val="20"/>
                <w:color w:val="auto"/>
              </w:rPr>
            </w:pPr>
            <w:r>
              <w:rPr>
                <w:rFonts w:ascii="Arial" w:cs="Arial" w:eastAsia="Arial" w:hAnsi="Arial"/>
                <w:sz w:val="18"/>
                <w:szCs w:val="18"/>
                <w:color w:val="auto"/>
              </w:rPr>
              <w:t>49</w:t>
            </w:r>
          </w:p>
        </w:tc>
      </w:tr>
      <w:tr>
        <w:trPr>
          <w:trHeight w:val="928"/>
        </w:trPr>
        <w:tc>
          <w:tcPr>
            <w:tcW w:w="7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80" w:type="dxa"/>
            <w:vAlign w:val="bottom"/>
          </w:tcPr>
          <w:p>
            <w:pPr>
              <w:jc w:val="right"/>
              <w:ind w:right="5431"/>
              <w:spacing w:after="0"/>
              <w:rPr>
                <w:sz w:val="20"/>
                <w:szCs w:val="20"/>
                <w:color w:val="auto"/>
              </w:rPr>
            </w:pPr>
            <w:r>
              <w:rPr>
                <w:rFonts w:ascii="Arial" w:cs="Arial" w:eastAsia="Arial" w:hAnsi="Arial"/>
                <w:sz w:val="18"/>
                <w:szCs w:val="18"/>
                <w:color w:val="auto"/>
              </w:rPr>
              <w:t>[2]</w:t>
            </w:r>
          </w:p>
        </w:tc>
      </w:tr>
      <w:tr>
        <w:trPr>
          <w:trHeight w:val="115"/>
        </w:trPr>
        <w:tc>
          <w:tcPr>
            <w:tcW w:w="7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360" w:type="dxa"/>
            <w:vAlign w:val="bottom"/>
          </w:tcPr>
          <w:p>
            <w:pPr>
              <w:spacing w:after="0"/>
              <w:rPr>
                <w:sz w:val="19"/>
                <w:szCs w:val="19"/>
                <w:color w:val="auto"/>
              </w:rPr>
            </w:pPr>
          </w:p>
        </w:tc>
        <w:tc>
          <w:tcPr>
            <w:tcW w:w="2620" w:type="dxa"/>
            <w:vAlign w:val="bottom"/>
            <w:gridSpan w:val="4"/>
            <w:vMerge w:val="restart"/>
          </w:tcPr>
          <w:p>
            <w:pPr>
              <w:jc w:val="right"/>
              <w:ind w:right="204"/>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5"/>
            <w:vMerge w:val="restart"/>
          </w:tcPr>
          <w:p>
            <w:pPr>
              <w:jc w:val="right"/>
              <w:ind w:right="9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4"/>
        </w:trPr>
        <w:tc>
          <w:tcPr>
            <w:tcW w:w="4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gridSpan w:val="4"/>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04"/>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4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40" w:type="dxa"/>
            <w:vAlign w:val="bottom"/>
          </w:tcPr>
          <w:p>
            <w:pPr>
              <w:ind w:left="500"/>
              <w:spacing w:after="0"/>
              <w:rPr>
                <w:sz w:val="20"/>
                <w:szCs w:val="20"/>
                <w:color w:val="auto"/>
              </w:rPr>
            </w:pPr>
            <w:r>
              <w:rPr>
                <w:rFonts w:ascii="Arial" w:cs="Arial" w:eastAsia="Arial" w:hAnsi="Arial"/>
                <w:sz w:val="18"/>
                <w:szCs w:val="18"/>
                <w:color w:val="auto"/>
              </w:rPr>
              <w:t>Sales</w:t>
            </w:r>
          </w:p>
        </w:tc>
        <w:tc>
          <w:tcPr>
            <w:tcW w:w="1280" w:type="dxa"/>
            <w:vAlign w:val="bottom"/>
            <w:gridSpan w:val="2"/>
          </w:tcPr>
          <w:p>
            <w:pPr>
              <w:jc w:val="right"/>
              <w:ind w:right="731"/>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960" w:type="dxa"/>
            <w:vAlign w:val="bottom"/>
          </w:tcPr>
          <w:p>
            <w:pPr>
              <w:jc w:val="right"/>
              <w:ind w:right="804"/>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40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40" w:type="dxa"/>
            <w:vAlign w:val="bottom"/>
          </w:tcPr>
          <w:p>
            <w:pPr>
              <w:ind w:left="50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8"/>
                <w:szCs w:val="18"/>
                <w:color w:val="auto"/>
                <w:w w:val="96"/>
              </w:rPr>
              <w:t>Earnings (loss) from operations before interest expense,</w:t>
            </w:r>
          </w:p>
        </w:tc>
        <w:tc>
          <w:tcPr>
            <w:tcW w:w="3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40" w:type="dxa"/>
            <w:vAlign w:val="bottom"/>
          </w:tcPr>
          <w:p>
            <w:pPr>
              <w:ind w:left="140"/>
              <w:spacing w:after="0"/>
              <w:rPr>
                <w:sz w:val="20"/>
                <w:szCs w:val="20"/>
                <w:color w:val="auto"/>
              </w:rPr>
            </w:pPr>
            <w:r>
              <w:rPr>
                <w:rFonts w:ascii="Arial" w:cs="Arial" w:eastAsia="Arial" w:hAnsi="Arial"/>
                <w:sz w:val="18"/>
                <w:szCs w:val="18"/>
                <w:color w:val="auto"/>
              </w:rPr>
              <w:t>pension income excluding service cost component,</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140"/>
              <w:spacing w:after="0"/>
              <w:rPr>
                <w:sz w:val="20"/>
                <w:szCs w:val="20"/>
                <w:color w:val="auto"/>
              </w:rPr>
            </w:pPr>
            <w:r>
              <w:rPr>
                <w:rFonts w:ascii="Arial" w:cs="Arial" w:eastAsia="Arial" w:hAnsi="Arial"/>
                <w:sz w:val="18"/>
                <w:szCs w:val="18"/>
                <w:color w:val="auto"/>
              </w:rPr>
              <w:t>other charges (income), net and income taxes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4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charges (income), net</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Earnings (loss) from operations before income taxes</w:t>
            </w: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2"/>
                <w:szCs w:val="22"/>
                <w:color w:val="auto"/>
              </w:rPr>
            </w:pPr>
          </w:p>
        </w:tc>
        <w:tc>
          <w:tcPr>
            <w:tcW w:w="920" w:type="dxa"/>
            <w:vAlign w:val="bottom"/>
          </w:tcPr>
          <w:p>
            <w:pPr>
              <w:jc w:val="right"/>
              <w:ind w:right="731"/>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2"/>
                <w:szCs w:val="22"/>
                <w:color w:val="auto"/>
              </w:rPr>
            </w:pPr>
          </w:p>
        </w:tc>
        <w:tc>
          <w:tcPr>
            <w:tcW w:w="960" w:type="dxa"/>
            <w:vAlign w:val="bottom"/>
          </w:tcPr>
          <w:p>
            <w:pPr>
              <w:jc w:val="right"/>
              <w:ind w:right="804"/>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2"/>
                <w:szCs w:val="22"/>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3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8"/>
                <w:szCs w:val="18"/>
                <w:color w:val="auto"/>
              </w:rPr>
              <w:t>Basic net income (loss) per share attributable to</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4340" w:type="dxa"/>
            <w:vAlign w:val="bottom"/>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1280" w:type="dxa"/>
            <w:vAlign w:val="bottom"/>
            <w:gridSpan w:val="2"/>
          </w:tcPr>
          <w:p>
            <w:pPr>
              <w:jc w:val="right"/>
              <w:ind w:right="731"/>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Pr>
          <w:p>
            <w:pPr>
              <w:spacing w:after="0"/>
              <w:rPr>
                <w:sz w:val="23"/>
                <w:szCs w:val="23"/>
                <w:color w:val="auto"/>
              </w:rPr>
            </w:pPr>
          </w:p>
        </w:tc>
        <w:tc>
          <w:tcPr>
            <w:tcW w:w="960" w:type="dxa"/>
            <w:vAlign w:val="bottom"/>
          </w:tcPr>
          <w:p>
            <w:pPr>
              <w:jc w:val="right"/>
              <w:ind w:right="804"/>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40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23"/>
                <w:szCs w:val="23"/>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94"/>
        </w:trPr>
        <w:tc>
          <w:tcPr>
            <w:tcW w:w="434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color w:val="auto"/>
              </w:rPr>
              <w:t>Diluted net income (loss) per share attributable to</w:t>
            </w:r>
          </w:p>
        </w:tc>
        <w:tc>
          <w:tcPr>
            <w:tcW w:w="36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1280" w:type="dxa"/>
            <w:vAlign w:val="bottom"/>
            <w:gridSpan w:val="2"/>
            <w:shd w:val="clear" w:color="auto" w:fill="CFF0FC"/>
          </w:tcPr>
          <w:p>
            <w:pPr>
              <w:jc w:val="right"/>
              <w:ind w:right="7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(0.23)</w:t>
            </w:r>
          </w:p>
        </w:tc>
        <w:tc>
          <w:tcPr>
            <w:tcW w:w="40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Number of common shares used in basic and diluted</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 (loss) per share</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4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78.5</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100.6</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40" w:type="dxa"/>
            <w:vAlign w:val="bottom"/>
          </w:tcPr>
          <w:p>
            <w:pPr>
              <w:spacing w:after="0"/>
              <w:rPr>
                <w:sz w:val="19"/>
                <w:szCs w:val="19"/>
                <w:color w:val="auto"/>
              </w:rPr>
            </w:pPr>
          </w:p>
        </w:tc>
        <w:tc>
          <w:tcPr>
            <w:tcW w:w="2300" w:type="dxa"/>
            <w:vAlign w:val="bottom"/>
            <w:gridSpan w:val="4"/>
          </w:tcPr>
          <w:p>
            <w:pPr>
              <w:jc w:val="right"/>
              <w:ind w:right="122"/>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4"/>
          </w:tcPr>
          <w:p>
            <w:pPr>
              <w:jc w:val="right"/>
              <w:ind w:right="162"/>
              <w:spacing w:after="0"/>
              <w:rPr>
                <w:sz w:val="20"/>
                <w:szCs w:val="20"/>
                <w:color w:val="auto"/>
              </w:rPr>
            </w:pPr>
            <w:r>
              <w:rPr>
                <w:rFonts w:ascii="Arial" w:cs="Arial" w:eastAsia="Arial" w:hAnsi="Arial"/>
                <w:sz w:val="18"/>
                <w:szCs w:val="18"/>
                <w:b w:val="1"/>
                <w:bCs w:val="1"/>
                <w:color w:val="auto"/>
              </w:rPr>
              <w:t>Six Months Ended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2"/>
        </w:trPr>
        <w:tc>
          <w:tcPr>
            <w:tcW w:w="56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1"/>
        </w:trPr>
        <w:tc>
          <w:tcPr>
            <w:tcW w:w="56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1"/>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CFF0FC"/>
          </w:tcPr>
          <w:p>
            <w:pPr>
              <w:jc w:val="right"/>
              <w:ind w:right="699"/>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2"/>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880" w:type="dxa"/>
            <w:vAlign w:val="bottom"/>
            <w:shd w:val="clear" w:color="auto" w:fill="CFF0FC"/>
          </w:tcPr>
          <w:p>
            <w:pPr>
              <w:jc w:val="right"/>
              <w:ind w:right="69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2"/>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(116)</w:t>
            </w:r>
          </w:p>
        </w:tc>
        <w:tc>
          <w:tcPr>
            <w:tcW w:w="120" w:type="dxa"/>
            <w:vAlign w:val="bottom"/>
            <w:shd w:val="clear" w:color="auto" w:fill="CFF0FC"/>
          </w:tcPr>
          <w:p>
            <w:pPr>
              <w:spacing w:after="0"/>
              <w:rPr>
                <w:sz w:val="19"/>
                <w:szCs w:val="19"/>
                <w:color w:val="auto"/>
              </w:rPr>
            </w:pPr>
          </w:p>
        </w:tc>
      </w:tr>
      <w:tr>
        <w:trPr>
          <w:trHeight w:val="227"/>
        </w:trPr>
        <w:tc>
          <w:tcPr>
            <w:tcW w:w="5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r>
      <w:tr>
        <w:trPr>
          <w:trHeight w:val="213"/>
        </w:trPr>
        <w:tc>
          <w:tcPr>
            <w:tcW w:w="564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5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of tax</w:t>
            </w: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r>
      <w:tr>
        <w:trPr>
          <w:trHeight w:val="221"/>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20"/>
        </w:trPr>
        <w:tc>
          <w:tcPr>
            <w:tcW w:w="564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8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(120)</w:t>
            </w:r>
          </w:p>
        </w:tc>
        <w:tc>
          <w:tcPr>
            <w:tcW w:w="12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r>
      <w:tr>
        <w:trPr>
          <w:trHeight w:val="232"/>
        </w:trPr>
        <w:tc>
          <w:tcPr>
            <w:tcW w:w="7580" w:type="dxa"/>
            <w:vAlign w:val="bottom"/>
          </w:tcPr>
          <w:p>
            <w:pPr>
              <w:spacing w:after="0"/>
              <w:rPr>
                <w:sz w:val="20"/>
                <w:szCs w:val="20"/>
                <w:color w:val="auto"/>
              </w:rPr>
            </w:pPr>
            <w:r>
              <w:rPr>
                <w:rFonts w:ascii="Arial" w:cs="Arial" w:eastAsia="Arial" w:hAnsi="Arial"/>
                <w:sz w:val="16"/>
                <w:szCs w:val="16"/>
                <w:color w:val="auto"/>
              </w:rPr>
              <w:t>(in millions)</w:t>
            </w:r>
          </w:p>
        </w:tc>
        <w:tc>
          <w:tcPr>
            <w:tcW w:w="126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r>
      <w:tr>
        <w:trPr>
          <w:trHeight w:val="221"/>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93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$9 and $10, respectively</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assets held for sale</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1"/>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19"/>
                <w:szCs w:val="19"/>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 of $438 and $430,</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758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9"/>
                <w:szCs w:val="19"/>
                <w:color w:val="auto"/>
              </w:rPr>
            </w:pPr>
          </w:p>
        </w:tc>
      </w:tr>
      <w:tr>
        <w:trPr>
          <w:trHeight w:val="261"/>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1,534</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1,248</w:t>
            </w:r>
          </w:p>
        </w:tc>
        <w:tc>
          <w:tcPr>
            <w:tcW w:w="120" w:type="dxa"/>
            <w:vAlign w:val="bottom"/>
            <w:tcBorders>
              <w:bottom w:val="single" w:sz="8" w:color="CFF0FC"/>
            </w:tcBorders>
          </w:tcPr>
          <w:p>
            <w:pPr>
              <w:spacing w:after="0"/>
              <w:rPr>
                <w:sz w:val="22"/>
                <w:szCs w:val="22"/>
                <w:color w:val="auto"/>
              </w:rPr>
            </w:pPr>
          </w:p>
        </w:tc>
      </w:tr>
      <w:tr>
        <w:trPr>
          <w:trHeight w:val="207"/>
        </w:trPr>
        <w:tc>
          <w:tcPr>
            <w:tcW w:w="7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trade</w:t>
            </w:r>
          </w:p>
        </w:tc>
        <w:tc>
          <w:tcPr>
            <w:tcW w:w="1260" w:type="dxa"/>
            <w:vAlign w:val="bottom"/>
            <w:gridSpan w:val="2"/>
            <w:shd w:val="clear" w:color="auto" w:fill="CFF0FC"/>
          </w:tcPr>
          <w:p>
            <w:pPr>
              <w:jc w:val="right"/>
              <w:ind w:right="931"/>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FF0FC"/>
            </w:tcBorders>
          </w:tcPr>
          <w:p>
            <w:pPr>
              <w:spacing w:after="0"/>
              <w:rPr>
                <w:sz w:val="19"/>
                <w:szCs w:val="19"/>
                <w:color w:val="auto"/>
              </w:rPr>
            </w:pPr>
          </w:p>
        </w:tc>
      </w:tr>
      <w:tr>
        <w:trPr>
          <w:trHeight w:val="221"/>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Operating leases, net of current portion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r>
      <w:tr>
        <w:trPr>
          <w:trHeight w:val="220"/>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1,211</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FF0FC"/>
            </w:tcBorders>
          </w:tcPr>
          <w:p>
            <w:pPr>
              <w:spacing w:after="0"/>
              <w:rPr>
                <w:sz w:val="19"/>
                <w:szCs w:val="19"/>
                <w:color w:val="auto"/>
              </w:rPr>
            </w:pPr>
          </w:p>
        </w:tc>
      </w:tr>
      <w:tr>
        <w:trPr>
          <w:trHeight w:val="221"/>
        </w:trPr>
        <w:tc>
          <w:tcPr>
            <w:tcW w:w="7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8"/>
                <w:szCs w:val="18"/>
                <w:color w:val="auto"/>
              </w:rPr>
              <w:t>Redeemable, convertible preferred stock, no par value, $100 per share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7580" w:type="dxa"/>
            <w:vAlign w:val="bottom"/>
          </w:tcPr>
          <w:p>
            <w:pPr>
              <w:ind w:left="140"/>
              <w:spacing w:after="0"/>
              <w:rPr>
                <w:sz w:val="20"/>
                <w:szCs w:val="20"/>
                <w:color w:val="auto"/>
              </w:rPr>
            </w:pPr>
            <w:r>
              <w:rPr>
                <w:rFonts w:ascii="Arial" w:cs="Arial" w:eastAsia="Arial" w:hAnsi="Arial"/>
                <w:sz w:val="18"/>
                <w:szCs w:val="18"/>
                <w:color w:val="auto"/>
              </w:rPr>
              <w:t>liquidation preference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1,167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w:t>
            </w:r>
          </w:p>
        </w:tc>
      </w:tr>
      <w:tr>
        <w:trPr>
          <w:trHeight w:val="220"/>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tcPr>
          <w:p>
            <w:pPr>
              <w:spacing w:after="0"/>
              <w:rPr>
                <w:sz w:val="19"/>
                <w:szCs w:val="19"/>
                <w:color w:val="auto"/>
              </w:rPr>
            </w:pPr>
          </w:p>
        </w:tc>
      </w:tr>
      <w:tr>
        <w:trPr>
          <w:trHeight w:val="221"/>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1,534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720" w:type="dxa"/>
            <w:vAlign w:val="bottom"/>
            <w:gridSpan w:val="2"/>
          </w:tcPr>
          <w:p>
            <w:pPr>
              <w:jc w:val="right"/>
              <w:ind w:right="41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3"/>
        </w:trPr>
        <w:tc>
          <w:tcPr>
            <w:tcW w:w="7500" w:type="dxa"/>
            <w:vAlign w:val="bottom"/>
          </w:tcPr>
          <w:p>
            <w:pPr>
              <w:ind w:left="260"/>
              <w:spacing w:after="0"/>
              <w:rPr>
                <w:sz w:val="20"/>
                <w:szCs w:val="20"/>
                <w:color w:val="auto"/>
              </w:rPr>
            </w:pPr>
            <w:r>
              <w:rPr>
                <w:rFonts w:ascii="Arial" w:cs="Arial" w:eastAsia="Arial" w:hAnsi="Arial"/>
                <w:sz w:val="18"/>
                <w:szCs w:val="18"/>
                <w:color w:val="auto"/>
              </w:rPr>
              <w:t>Change in fair value of embedded derivatives in the Series A, Series B and Series C</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380"/>
              <w:spacing w:after="0"/>
              <w:rPr>
                <w:sz w:val="20"/>
                <w:szCs w:val="20"/>
                <w:color w:val="auto"/>
              </w:rPr>
            </w:pPr>
            <w:r>
              <w:rPr>
                <w:rFonts w:ascii="Arial" w:cs="Arial" w:eastAsia="Arial" w:hAnsi="Arial"/>
                <w:sz w:val="18"/>
                <w:szCs w:val="18"/>
                <w:color w:val="auto"/>
              </w:rPr>
              <w:t>Preferred Stock and Convertible Notes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sales of assets</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Asset impairments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Non-cash changes in workers' compensation reserves</w:t>
            </w:r>
          </w:p>
        </w:tc>
        <w:tc>
          <w:tcPr>
            <w:tcW w:w="3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Decrease in trade receivables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Increase in trade payables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7"/>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sales of assets/businesses</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return on equity investment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75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Term Loan Credit Agreement</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Net proceeds from Convertible Notes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Series C Preferred Stock</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Proceeds from sale of common stock</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Series A Preferred Stock</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cash dividend payments</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7500" w:type="dxa"/>
            <w:vAlign w:val="bottom"/>
          </w:tcPr>
          <w:p>
            <w:pPr>
              <w:ind w:left="260"/>
              <w:spacing w:after="0"/>
              <w:rPr>
                <w:sz w:val="20"/>
                <w:szCs w:val="20"/>
                <w:color w:val="auto"/>
              </w:rPr>
            </w:pPr>
            <w:r>
              <w:rPr>
                <w:rFonts w:ascii="Arial" w:cs="Arial" w:eastAsia="Arial" w:hAnsi="Arial"/>
                <w:sz w:val="18"/>
                <w:szCs w:val="18"/>
                <w:color w:val="auto"/>
              </w:rPr>
              <w:t>Treasury stock purchases</w:t>
            </w:r>
          </w:p>
        </w:tc>
        <w:tc>
          <w:tcPr>
            <w:tcW w:w="3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5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0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5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1"/>
        </w:trPr>
        <w:tc>
          <w:tcPr>
            <w:tcW w:w="7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8"/>
          </w:tcPr>
          <w:p>
            <w:pPr>
              <w:jc w:val="center"/>
              <w:spacing w:after="0"/>
              <w:rPr>
                <w:sz w:val="20"/>
                <w:szCs w:val="20"/>
                <w:color w:val="auto"/>
              </w:rPr>
            </w:pPr>
            <w:r>
              <w:rPr>
                <w:rFonts w:ascii="Arial" w:cs="Arial" w:eastAsia="Arial" w:hAnsi="Arial"/>
                <w:sz w:val="17"/>
                <w:szCs w:val="17"/>
                <w:b w:val="1"/>
                <w:bCs w:val="1"/>
                <w:color w:val="auto"/>
                <w:w w:val="90"/>
              </w:rPr>
              <w:t>Six-Month Period Ending June 30, 2021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11"/>
          </w:tcPr>
          <w:p>
            <w:pPr>
              <w:jc w:val="right"/>
              <w:ind w:right="380"/>
              <w:spacing w:after="0"/>
              <w:rPr>
                <w:sz w:val="20"/>
                <w:szCs w:val="20"/>
                <w:color w:val="auto"/>
              </w:rPr>
            </w:pPr>
            <w:r>
              <w:rPr>
                <w:rFonts w:ascii="Arial" w:cs="Arial" w:eastAsia="Arial" w:hAnsi="Arial"/>
                <w:sz w:val="17"/>
                <w:szCs w:val="17"/>
                <w:b w:val="1"/>
                <w:bCs w:val="1"/>
                <w:color w:val="auto"/>
                <w:w w:val="92"/>
              </w:rPr>
              <w:t>Eastman Kodak Company Common Shareholders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1"/>
              </w:rPr>
              <w:t>Redeemable</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2"/>
                <w:szCs w:val="12"/>
                <w:color w:val="auto"/>
              </w:rPr>
            </w:pPr>
          </w:p>
        </w:tc>
        <w:tc>
          <w:tcPr>
            <w:tcW w:w="860" w:type="dxa"/>
            <w:vAlign w:val="bottom"/>
            <w:gridSpan w:val="2"/>
          </w:tcPr>
          <w:p>
            <w:pPr>
              <w:jc w:val="center"/>
              <w:ind w:right="360"/>
              <w:spacing w:after="0" w:line="148" w:lineRule="exact"/>
              <w:rPr>
                <w:sz w:val="20"/>
                <w:szCs w:val="20"/>
                <w:color w:val="auto"/>
              </w:rPr>
            </w:pPr>
            <w:r>
              <w:rPr>
                <w:rFonts w:ascii="Arial" w:cs="Arial" w:eastAsia="Arial" w:hAnsi="Arial"/>
                <w:sz w:val="13"/>
                <w:szCs w:val="13"/>
                <w:b w:val="1"/>
                <w:bCs w:val="1"/>
                <w:color w:val="auto"/>
                <w:w w:val="98"/>
              </w:rPr>
              <w:t>Paid in</w:t>
            </w:r>
          </w:p>
        </w:tc>
        <w:tc>
          <w:tcPr>
            <w:tcW w:w="80" w:type="dxa"/>
            <w:vAlign w:val="bottom"/>
          </w:tcPr>
          <w:p>
            <w:pPr>
              <w:spacing w:after="0"/>
              <w:rPr>
                <w:sz w:val="12"/>
                <w:szCs w:val="12"/>
                <w:color w:val="auto"/>
              </w:rPr>
            </w:pPr>
          </w:p>
        </w:tc>
        <w:tc>
          <w:tcPr>
            <w:tcW w:w="110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Accumulated</w:t>
            </w:r>
          </w:p>
        </w:tc>
        <w:tc>
          <w:tcPr>
            <w:tcW w:w="1180" w:type="dxa"/>
            <w:vAlign w:val="bottom"/>
            <w:gridSpan w:val="3"/>
          </w:tcPr>
          <w:p>
            <w:pPr>
              <w:jc w:val="center"/>
              <w:ind w:right="240"/>
              <w:spacing w:after="0" w:line="148" w:lineRule="exact"/>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60"/>
        </w:trPr>
        <w:tc>
          <w:tcPr>
            <w:tcW w:w="39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December 31, 2020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ind w:left="48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(loss) (net of tax):</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120"/>
              <w:spacing w:after="0"/>
              <w:rPr>
                <w:sz w:val="20"/>
                <w:szCs w:val="20"/>
                <w:color w:val="auto"/>
              </w:rPr>
            </w:pPr>
            <w:r>
              <w:rPr>
                <w:rFonts w:ascii="Arial" w:cs="Arial" w:eastAsia="Arial" w:hAnsi="Arial"/>
                <w:sz w:val="17"/>
                <w:szCs w:val="17"/>
                <w:color w:val="auto"/>
              </w:rPr>
              <w:t>Currency translation adjustments</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Pension and other postretirement</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liability adjustments</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Repurchase of Series A preferred stock</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4"/>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Exchange of Series A preferred stock</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7"/>
                <w:szCs w:val="17"/>
                <w:color w:val="auto"/>
              </w:rPr>
              <w:t>Expiration of Series A preferred stock embedded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140"/>
              <w:spacing w:after="0"/>
              <w:rPr>
                <w:sz w:val="20"/>
                <w:szCs w:val="20"/>
                <w:color w:val="auto"/>
              </w:rPr>
            </w:pPr>
            <w:r>
              <w:rPr>
                <w:rFonts w:ascii="Arial" w:cs="Arial" w:eastAsia="Arial" w:hAnsi="Arial"/>
                <w:sz w:val="17"/>
                <w:szCs w:val="17"/>
                <w:color w:val="auto"/>
              </w:rPr>
              <w:t>derivative</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Issuance of convertible, redeemable Series B</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preferred stock, net</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(95)</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Issuance of common stock</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Issuance of convertible, redeemable Series C</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preferred stock, net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Preferred stock cash dividends</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deemed dividends</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Series C Preferred stock in-kind dividends</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Purchase of treasury stock </w:t>
            </w:r>
            <w:r>
              <w:rPr>
                <w:rFonts w:ascii="Arial" w:cs="Arial" w:eastAsia="Arial" w:hAnsi="Arial"/>
                <w:sz w:val="14"/>
                <w:szCs w:val="14"/>
                <w:color w:val="auto"/>
              </w:rPr>
              <w:t>(1)</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Equity (deficit) as of March 31, 2021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7"/>
                <w:szCs w:val="17"/>
                <w:color w:val="auto"/>
                <w:w w:val="93"/>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480"/>
              <w:spacing w:after="0" w:line="194" w:lineRule="exact"/>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16</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income (net of tax):</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Series B Preferred stock cash dividends</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Series C Preferred stock in-kind dividends</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Equity (deficit) as of June 30, 2021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7"/>
                <w:szCs w:val="17"/>
                <w:color w:val="auto"/>
                <w:w w:val="93"/>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5520" w:right="4960" w:hanging="5152"/>
        <w:spacing w:after="0" w:line="793" w:lineRule="auto"/>
        <w:tabs>
          <w:tab w:leader="none" w:pos="729"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Represents purchases of common stock to satisfy tax withholding obligations.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-363855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 (cont’d)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0"/>
          </w:tcPr>
          <w:p>
            <w:pPr>
              <w:ind w:left="80"/>
              <w:spacing w:after="0"/>
              <w:rPr>
                <w:sz w:val="20"/>
                <w:szCs w:val="20"/>
                <w:color w:val="auto"/>
              </w:rPr>
            </w:pPr>
            <w:r>
              <w:rPr>
                <w:rFonts w:ascii="Arial" w:cs="Arial" w:eastAsia="Arial" w:hAnsi="Arial"/>
                <w:sz w:val="18"/>
                <w:szCs w:val="18"/>
                <w:b w:val="1"/>
                <w:bCs w:val="1"/>
                <w:color w:val="auto"/>
              </w:rPr>
              <w:t>Six-Month Period Ending June 30, 2020</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gridSpan w:val="14"/>
          </w:tcPr>
          <w:p>
            <w:pPr>
              <w:jc w:val="right"/>
              <w:ind w:right="600"/>
              <w:spacing w:after="0"/>
              <w:rPr>
                <w:sz w:val="20"/>
                <w:szCs w:val="20"/>
                <w:color w:val="auto"/>
              </w:rPr>
            </w:pPr>
            <w:r>
              <w:rPr>
                <w:rFonts w:ascii="Arial" w:cs="Arial" w:eastAsia="Arial" w:hAnsi="Arial"/>
                <w:sz w:val="18"/>
                <w:szCs w:val="18"/>
                <w:b w:val="1"/>
                <w:bCs w:val="1"/>
                <w:color w:val="auto"/>
                <w:w w:val="96"/>
              </w:rPr>
              <w:t>Eastman Kodak Company Common Shareholders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6"/>
              </w:rPr>
              <w:t>Redeemable</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Additional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Convertible</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Paid in</w:t>
            </w:r>
          </w:p>
        </w:tc>
        <w:tc>
          <w:tcPr>
            <w:tcW w:w="1220" w:type="dxa"/>
            <w:vAlign w:val="bottom"/>
            <w:gridSpan w:val="4"/>
          </w:tcPr>
          <w:p>
            <w:pPr>
              <w:ind w:left="60"/>
              <w:spacing w:after="0"/>
              <w:rPr>
                <w:sz w:val="20"/>
                <w:szCs w:val="20"/>
                <w:color w:val="auto"/>
              </w:rPr>
            </w:pPr>
            <w:r>
              <w:rPr>
                <w:rFonts w:ascii="Arial" w:cs="Arial" w:eastAsia="Arial" w:hAnsi="Arial"/>
                <w:sz w:val="18"/>
                <w:szCs w:val="18"/>
                <w:b w:val="1"/>
                <w:bCs w:val="1"/>
                <w:color w:val="auto"/>
              </w:rPr>
              <w:t>Accumulated</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Treasury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Preferred</w:t>
            </w:r>
          </w:p>
        </w:tc>
        <w:tc>
          <w:tcPr>
            <w:tcW w:w="0" w:type="dxa"/>
            <w:vAlign w:val="bottom"/>
          </w:tcPr>
          <w:p>
            <w:pPr>
              <w:spacing w:after="0"/>
              <w:rPr>
                <w:sz w:val="1"/>
                <w:szCs w:val="1"/>
                <w:color w:val="auto"/>
              </w:rPr>
            </w:pPr>
          </w:p>
        </w:tc>
      </w:tr>
      <w:tr>
        <w:trPr>
          <w:trHeight w:val="232"/>
        </w:trPr>
        <w:tc>
          <w:tcPr>
            <w:tcW w:w="30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Stock</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5"/>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Stock</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Stock</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w w:val="98"/>
              </w:rPr>
              <w:t>Equity (deficit) as of December 31, 2019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w w:val="98"/>
              </w:rPr>
              <w:t>Other comprehensive income (loss) (net</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rPr>
              <w:t>of tax):</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Pr>
          <w:p>
            <w:pPr>
              <w:ind w:left="120"/>
              <w:spacing w:after="0"/>
              <w:rPr>
                <w:sz w:val="20"/>
                <w:szCs w:val="20"/>
                <w:color w:val="auto"/>
              </w:rPr>
            </w:pPr>
            <w:r>
              <w:rPr>
                <w:rFonts w:ascii="Arial" w:cs="Arial" w:eastAsia="Arial" w:hAnsi="Arial"/>
                <w:sz w:val="17"/>
                <w:szCs w:val="17"/>
                <w:color w:val="auto"/>
              </w:rPr>
              <w:t>Currency translation adjustments</w:t>
            </w:r>
          </w:p>
        </w:tc>
        <w:tc>
          <w:tcPr>
            <w:tcW w:w="10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Pension and other postretirement</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liability adjustments</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20"/>
                <w:szCs w:val="20"/>
                <w:color w:val="auto"/>
              </w:rPr>
            </w:pPr>
            <w:r>
              <w:rPr>
                <w:rFonts w:ascii="Arial" w:cs="Arial" w:eastAsia="Arial" w:hAnsi="Arial"/>
                <w:sz w:val="17"/>
                <w:szCs w:val="17"/>
                <w:color w:val="auto"/>
                <w:w w:val="99"/>
              </w:rPr>
              <w:t>Series A preferred stock cash dividends</w:t>
            </w:r>
          </w:p>
        </w:tc>
        <w:tc>
          <w:tcPr>
            <w:tcW w:w="10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3000" w:type="dxa"/>
            <w:vAlign w:val="bottom"/>
            <w:tcBorders>
              <w:top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Equity (deficit) as of March 31,</w:t>
            </w: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(190)</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(426)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240" w:type="dxa"/>
            <w:vAlign w:val="bottom"/>
            <w:gridSpan w:val="2"/>
            <w:shd w:val="clear" w:color="auto" w:fill="CFF0FC"/>
          </w:tcPr>
          <w:p>
            <w:pPr>
              <w:jc w:val="right"/>
              <w:ind w:right="6"/>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w:t>
            </w:r>
          </w:p>
        </w:tc>
        <w:tc>
          <w:tcPr>
            <w:tcW w:w="80" w:type="dxa"/>
            <w:vAlign w:val="bottom"/>
            <w:gridSpan w:val="2"/>
            <w:shd w:val="clear" w:color="auto" w:fill="CFF0FC"/>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w w:val="95"/>
              </w:rPr>
              <w:t>Other comprehensive income (net of tax):</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10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20"/>
                <w:szCs w:val="20"/>
                <w:color w:val="auto"/>
              </w:rPr>
            </w:pPr>
            <w:r>
              <w:rPr>
                <w:rFonts w:ascii="Arial" w:cs="Arial" w:eastAsia="Arial" w:hAnsi="Arial"/>
                <w:sz w:val="17"/>
                <w:szCs w:val="17"/>
                <w:color w:val="auto"/>
              </w:rPr>
              <w:t>Series A preferred stock cash</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10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7"/>
                <w:szCs w:val="17"/>
                <w:color w:val="auto"/>
              </w:rPr>
              <w:t>Equity (deficit) as of June 30, 2020</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595</w:t>
            </w:r>
          </w:p>
        </w:tc>
        <w:tc>
          <w:tcPr>
            <w:tcW w:w="1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(195)</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(421)</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vMerge w:val="continue"/>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(30)</w:t>
            </w:r>
          </w:p>
        </w:tc>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2020 (the “2020 Form 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48"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in the disaggregated revenue information for the Advanced Materials and Chemicals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“Debt—Debt with Conversion and Other Options (Subtopic 470-20)” and “Derivatives and Hedging—Contracts in Entity’s Own Equity (Subtopic 815-40): Accounting for Convertible Instruments and Contracts in an Entity’s Own Equity”, which simplifies accounting for convertible instruments.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EPS calculation in certain circumstances. The ASU is effective January 1, 2024 for Kodak. Early adoption is permitted for all entities for fiscal years beginning after December 15, 2020. The ASU allows entities to use either a modified retrospective or full retrospective transition method. Kodak adopted this ASU on January 1, 2021 using the modified retrospective method, under which companies apply the guidance to all financial instruments that are outstanding as of the beginning of the year of adoption with the cumulative effect recognized as an adjustment to the opening balance of retained earnings. The adoption of this standard had no impact on Kodak’s financial statements.</w:t>
      </w:r>
    </w:p>
    <w:p>
      <w:pPr>
        <w:spacing w:after="0" w:line="21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removes certain exceptions related to intra-period tax allocations and deferred tax accounting on outside basis differences in foreign subsidiaries and equity method investments. Additionally, it provides other simplifying measures for the accounting for income taxes. The new standard is effective for fiscal years beginning after December 15, 2020 (January 1, 2021 for Kodak). Kodak adopted this ASU prospectively on January 1, 2021 and it did not have any impact on Kodak’s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July 2021, the FASB issued ASU 2021-05, “Leases (Topic 842): Lessors—Certain Leases with Variable Lease Payments”. Under this ASU, lessors should classify and account for a lease with variable lease payments that do not depend on a reference index or a rate as an operating lease if both of the following criteria are met: (1) the lease would have been classified as a sales-type lease or a direct financing lease in accordance with the classification criteria in Topic 842 and (2) the lessor would have otherwise recognized a day-one loss. The amendments are effective for fiscal years beginning after December 15, 2021 and interim periods within those fiscal years for all public business entities (January 1, 2022 for Kodak). Entities that have adopted Topic 842 before the issuance date of this Update have the option to apply the amendments in this Update either (1) retrospectively to leases that commenced or were modified on or after the adoption of ASU 2016-02, “Leases (Topic 842)” or (2) prospectively to leases that commence or are modified on or after the date that an entity first applies the amendments. Earlier application is permitted. Kodak is currently evaluating the impact of this ASU.</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w:t>
      </w:r>
    </w:p>
    <w:p>
      <w:pPr>
        <w:spacing w:after="0" w:line="43" w:lineRule="exact"/>
        <w:rPr>
          <w:sz w:val="20"/>
          <w:szCs w:val="20"/>
          <w:color w:val="auto"/>
        </w:rPr>
      </w:pPr>
    </w:p>
    <w:p>
      <w:pPr>
        <w:ind w:firstLine="7"/>
        <w:spacing w:after="0" w:line="288" w:lineRule="auto"/>
        <w:tabs>
          <w:tab w:leader="none" w:pos="124" w:val="left"/>
        </w:tabs>
        <w:numPr>
          <w:ilvl w:val="0"/>
          <w:numId w:val="4"/>
        </w:numPr>
        <w:rPr>
          <w:rFonts w:ascii="Arial" w:cs="Arial" w:eastAsia="Arial" w:hAnsi="Arial"/>
          <w:sz w:val="16"/>
          <w:szCs w:val="16"/>
          <w:color w:val="auto"/>
        </w:rPr>
      </w:pPr>
      <w:r>
        <w:rPr>
          <w:rFonts w:ascii="Arial" w:cs="Arial" w:eastAsia="Arial" w:hAnsi="Arial"/>
          <w:sz w:val="16"/>
          <w:szCs w:val="16"/>
          <w:color w:val="auto"/>
        </w:rPr>
        <w:t>ASU 2016-13 (as amended by ASUs 2018-19, 2019-04, 2019-05, 2019-10, 2019-11, 2020-02 and 2020-03)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January 1, 2023 for Kodak, and interim periods within that fiscal year. Early adoption is permitted. Kodak is currently evaluating the impact of this ASU.</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Statement of Financial Position that sums to the total of such amounts shown in the Statement of Cash Flows: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6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1"/>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99"/>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r>
      <w:tr>
        <w:trPr>
          <w:trHeight w:val="227"/>
        </w:trPr>
        <w:tc>
          <w:tcPr>
            <w:tcW w:w="6160" w:type="dxa"/>
            <w:vAlign w:val="bottom"/>
          </w:tcPr>
          <w:p>
            <w:pPr>
              <w:spacing w:after="0"/>
              <w:rPr>
                <w:sz w:val="20"/>
                <w:szCs w:val="20"/>
                <w:color w:val="auto"/>
              </w:rPr>
            </w:pPr>
            <w:r>
              <w:rPr>
                <w:rFonts w:ascii="Arial" w:cs="Arial" w:eastAsia="Arial" w:hAnsi="Arial"/>
                <w:sz w:val="18"/>
                <w:szCs w:val="18"/>
                <w:color w:val="auto"/>
              </w:rPr>
              <w:t>Restricted cash reported in Other current assets</w:t>
            </w: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8"/>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r>
        <w:trPr>
          <w:trHeight w:val="206"/>
        </w:trPr>
        <w:tc>
          <w:tcPr>
            <w:tcW w:w="6160" w:type="dxa"/>
            <w:vAlign w:val="bottom"/>
          </w:tcPr>
          <w:p>
            <w:pPr>
              <w:spacing w:after="0"/>
              <w:rPr>
                <w:sz w:val="20"/>
                <w:szCs w:val="20"/>
                <w:color w:val="auto"/>
              </w:rPr>
            </w:pPr>
            <w:r>
              <w:rPr>
                <w:rFonts w:ascii="Arial" w:cs="Arial" w:eastAsia="Arial" w:hAnsi="Arial"/>
                <w:sz w:val="18"/>
                <w:szCs w:val="18"/>
                <w:color w:val="auto"/>
              </w:rPr>
              <w:t>Total cash, cash equivalents and restricted cash shown in</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6160" w:type="dxa"/>
            <w:vAlign w:val="bottom"/>
          </w:tcPr>
          <w:p>
            <w:pPr>
              <w:ind w:left="120"/>
              <w:spacing w:after="0"/>
              <w:rPr>
                <w:sz w:val="20"/>
                <w:szCs w:val="20"/>
                <w:color w:val="auto"/>
              </w:rPr>
            </w:pPr>
            <w:r>
              <w:rPr>
                <w:rFonts w:ascii="Arial" w:cs="Arial" w:eastAsia="Arial" w:hAnsi="Arial"/>
                <w:sz w:val="18"/>
                <w:szCs w:val="18"/>
                <w:color w:val="auto"/>
              </w:rPr>
              <w:t>the Statement of Cash Flows</w:t>
            </w:r>
          </w:p>
        </w:tc>
        <w:tc>
          <w:tcPr>
            <w:tcW w:w="96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469</w:t>
            </w:r>
          </w:p>
        </w:tc>
        <w:tc>
          <w:tcPr>
            <w:tcW w:w="20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Restricted cash reported in Other current assets on the Consolidated Statement of Financial Position primarily represents amounts that support hedging activities.</w:t>
      </w:r>
    </w:p>
    <w:p>
      <w:pPr>
        <w:spacing w:after="0" w:line="20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Restricted cash includes $46 million as of June 30, 2021 representing the cash collateral required to be posted by the Company under the Letter of Credit Facility (“L/C Cash Collateral”). Restricted cash included $35 million as of December 31, 2020, supporting compliance with the Excess Availability threshold under the ABL Credit Agreement, as defined therein (Refer to Note 5, “Debt and Finance Leases” for information on the Restricted cash supporting the L/C Cash Collateral and the Excess Availability threshold). In addition, Restricted cash as of June 30, 2021 and December 31, 2020 includes an escrow of $15 million and $12 million, respectively, in China to secure various ongoing obligations under the agreements for the strategic relationship with Lucky HuaGuang Graphics Co. Ltd. Restricted cash also included $3 million and $4 million of security posted related to Brazilian legal contingencies as of June 30, 2021 and December 31, 2020,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1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jc w:val="center"/>
              <w:ind w:left="182"/>
              <w:spacing w:after="0"/>
              <w:rPr>
                <w:sz w:val="20"/>
                <w:szCs w:val="20"/>
                <w:color w:val="auto"/>
              </w:rPr>
            </w:pPr>
            <w:r>
              <w:rPr>
                <w:rFonts w:ascii="Arial" w:cs="Arial" w:eastAsia="Arial" w:hAnsi="Arial"/>
                <w:sz w:val="18"/>
                <w:szCs w:val="18"/>
                <w:b w:val="1"/>
                <w:bCs w:val="1"/>
                <w:color w:val="auto"/>
                <w:w w:val="85"/>
              </w:rPr>
              <w:t>June 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(in millions)</w:t>
            </w:r>
          </w:p>
        </w:tc>
        <w:tc>
          <w:tcPr>
            <w:tcW w:w="2460" w:type="dxa"/>
            <w:vAlign w:val="bottom"/>
            <w:gridSpan w:val="2"/>
          </w:tcPr>
          <w:p>
            <w:pPr>
              <w:jc w:val="center"/>
              <w:ind w:left="1671"/>
              <w:spacing w:after="0"/>
              <w:rPr>
                <w:sz w:val="20"/>
                <w:szCs w:val="20"/>
                <w:color w:val="auto"/>
              </w:rPr>
            </w:pPr>
            <w:r>
              <w:rPr>
                <w:rFonts w:ascii="Arial" w:cs="Arial" w:eastAsia="Arial" w:hAnsi="Arial"/>
                <w:sz w:val="18"/>
                <w:szCs w:val="18"/>
                <w:b w:val="1"/>
                <w:bCs w:val="1"/>
                <w:color w:val="auto"/>
                <w:w w:val="84"/>
              </w:rPr>
              <w:t>2021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5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2"/>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Work in process</w:t>
            </w:r>
          </w:p>
        </w:tc>
        <w:tc>
          <w:tcPr>
            <w:tcW w:w="1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5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96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OTHER LONG-TERM ASSETS</w:t>
            </w: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80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jc w:val="center"/>
              <w:ind w:left="202"/>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(in millions)</w:t>
            </w:r>
          </w:p>
        </w:tc>
        <w:tc>
          <w:tcPr>
            <w:tcW w:w="2460" w:type="dxa"/>
            <w:vAlign w:val="bottom"/>
            <w:gridSpan w:val="2"/>
          </w:tcPr>
          <w:p>
            <w:pPr>
              <w:jc w:val="center"/>
              <w:ind w:left="1691"/>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1"/>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assets</w:t>
            </w:r>
          </w:p>
        </w:tc>
        <w:tc>
          <w:tcPr>
            <w:tcW w:w="15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2"/>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319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Estimated workers' compensation recoveries</w:t>
            </w:r>
          </w:p>
        </w:tc>
        <w:tc>
          <w:tcPr>
            <w:tcW w:w="1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Long-term receivables</w:t>
            </w:r>
          </w:p>
        </w:tc>
        <w:tc>
          <w:tcPr>
            <w:tcW w:w="1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2"/>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375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color w:val="auto"/>
        </w:rPr>
        <w:t>The Other component above consists of other miscellaneous long-term assets that, individually, were less than 5% of the total assets component within the Consolidated Statement of Financial Position as of the end of the preceding year, and therefore have been aggregated in accordance with Regulation S-X.</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1"/>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w w:val="99"/>
              </w:rPr>
              <w:t>NOTE 5: DEBT AND FINANCE LEASES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8860" w:type="dxa"/>
            <w:vAlign w:val="bottom"/>
            <w:gridSpan w:val="11"/>
          </w:tcPr>
          <w:p>
            <w:pPr>
              <w:spacing w:after="0"/>
              <w:rPr>
                <w:sz w:val="20"/>
                <w:szCs w:val="20"/>
                <w:color w:val="auto"/>
              </w:rPr>
            </w:pPr>
            <w:r>
              <w:rPr>
                <w:rFonts w:ascii="Arial" w:cs="Arial" w:eastAsia="Arial" w:hAnsi="Arial"/>
                <w:sz w:val="18"/>
                <w:szCs w:val="18"/>
                <w:color w:val="auto"/>
                <w:w w:val="89"/>
              </w:rPr>
              <w:t>Debt and finance leases and related maturities and interest rates were as follows at June 30, 2021 and December 31, 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right"/>
              <w:ind w:right="91"/>
              <w:spacing w:after="0"/>
              <w:rPr>
                <w:sz w:val="20"/>
                <w:szCs w:val="20"/>
                <w:color w:val="auto"/>
              </w:rPr>
            </w:pPr>
            <w:r>
              <w:rPr>
                <w:rFonts w:ascii="Arial" w:cs="Arial" w:eastAsia="Arial" w:hAnsi="Arial"/>
                <w:sz w:val="18"/>
                <w:szCs w:val="18"/>
                <w:b w:val="1"/>
                <w:bCs w:val="1"/>
                <w:color w:val="auto"/>
                <w:w w:val="91"/>
              </w:rPr>
              <w:t>June 30,</w:t>
            </w:r>
          </w:p>
        </w:tc>
        <w:tc>
          <w:tcPr>
            <w:tcW w:w="26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63"/>
        </w:trPr>
        <w:tc>
          <w:tcPr>
            <w:tcW w:w="11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Type</w:t>
            </w:r>
          </w:p>
        </w:tc>
        <w:tc>
          <w:tcPr>
            <w:tcW w:w="16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1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restart"/>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74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Effective Interest Rate</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RED-Rochester, LLC</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2033</w:t>
            </w:r>
          </w:p>
        </w:tc>
        <w:tc>
          <w:tcPr>
            <w:tcW w:w="14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88"/>
              </w:rPr>
              <w:t>11.46%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5"/>
              </w:rPr>
              <w:t>Finance leases</w:t>
            </w:r>
          </w:p>
        </w:tc>
        <w:tc>
          <w:tcPr>
            <w:tcW w:w="16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Various</w:t>
            </w:r>
          </w:p>
        </w:tc>
        <w:tc>
          <w:tcPr>
            <w:tcW w:w="17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CFF0FC"/>
            </w:tcBorders>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Non-current portion:</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Term note</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4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88"/>
              </w:rPr>
              <w:t>13.91%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14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Convertible debt</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2026</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17.28%</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RED-Rochester, LLC</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2033</w:t>
            </w:r>
          </w:p>
        </w:tc>
        <w:tc>
          <w:tcPr>
            <w:tcW w:w="14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88"/>
              </w:rPr>
              <w:t>11.46%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5"/>
              </w:rPr>
              <w:t>Finance leases</w:t>
            </w:r>
          </w:p>
        </w:tc>
        <w:tc>
          <w:tcPr>
            <w:tcW w:w="16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Various</w:t>
            </w:r>
          </w:p>
        </w:tc>
        <w:tc>
          <w:tcPr>
            <w:tcW w:w="17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Borders>
              <w:bottom w:val="single" w:sz="8" w:color="CFF0FC"/>
            </w:tcBorders>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89"/>
              </w:rPr>
              <w:t>Other debt</w:t>
            </w:r>
          </w:p>
        </w:tc>
        <w:tc>
          <w:tcPr>
            <w:tcW w:w="160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8"/>
              </w:rPr>
              <w:t>Various</w:t>
            </w:r>
          </w:p>
        </w:tc>
        <w:tc>
          <w:tcPr>
            <w:tcW w:w="1780" w:type="dxa"/>
            <w:vAlign w:val="bottom"/>
            <w:tcBorders>
              <w:bottom w:val="single" w:sz="8" w:color="CFF0FC"/>
            </w:tcBorders>
            <w:gridSpan w:val="2"/>
          </w:tcPr>
          <w:p>
            <w:pPr>
              <w:jc w:val="center"/>
              <w:spacing w:after="0"/>
              <w:rPr>
                <w:sz w:val="20"/>
                <w:szCs w:val="20"/>
                <w:color w:val="auto"/>
              </w:rPr>
            </w:pPr>
            <w:r>
              <w:rPr>
                <w:rFonts w:ascii="Arial" w:cs="Arial" w:eastAsia="Arial" w:hAnsi="Arial"/>
                <w:sz w:val="18"/>
                <w:szCs w:val="18"/>
                <w:color w:val="auto"/>
                <w:w w:val="88"/>
              </w:rPr>
              <w:t>Various</w:t>
            </w: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6"/>
            <w:vMerge w:val="restart"/>
          </w:tcPr>
          <w:p>
            <w:pPr>
              <w:spacing w:after="0"/>
              <w:rPr>
                <w:sz w:val="20"/>
                <w:szCs w:val="20"/>
                <w:color w:val="auto"/>
              </w:rPr>
            </w:pPr>
            <w:r>
              <w:rPr>
                <w:rFonts w:ascii="Arial" w:cs="Arial" w:eastAsia="Arial" w:hAnsi="Arial"/>
                <w:sz w:val="18"/>
                <w:szCs w:val="18"/>
                <w:color w:val="auto"/>
                <w:w w:val="91"/>
              </w:rPr>
              <w:t>Annual maturities of debt and finance leases outstanding at June 30, 2021 were as follows:</w:t>
            </w: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660" w:type="dxa"/>
            <w:vAlign w:val="bottom"/>
            <w:gridSpan w:val="6"/>
            <w:vMerge w:val="continue"/>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gridSpan w:val="4"/>
          </w:tcPr>
          <w:p>
            <w:pPr>
              <w:jc w:val="right"/>
              <w:ind w:right="268"/>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8"/>
                <w:szCs w:val="18"/>
                <w:color w:val="auto"/>
              </w:rPr>
              <w:t>Maturity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Value</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Value</w:t>
            </w: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Q3 -Q4 2021</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59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60" w:type="dxa"/>
            <w:vAlign w:val="bottom"/>
            <w:gridSpan w:val="3"/>
          </w:tcPr>
          <w:p>
            <w:pPr>
              <w:jc w:val="right"/>
              <w:ind w:right="57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2023</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2025</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245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319</w:t>
            </w:r>
          </w:p>
        </w:tc>
        <w:tc>
          <w:tcPr>
            <w:tcW w:w="80" w:type="dxa"/>
            <w:vAlign w:val="bottom"/>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59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251</w:t>
            </w:r>
          </w:p>
        </w:tc>
        <w:tc>
          <w:tcPr>
            <w:tcW w:w="120" w:type="dxa"/>
            <w:vAlign w:val="bottom"/>
          </w:tcPr>
          <w:p>
            <w:pPr>
              <w:spacing w:after="0"/>
              <w:rPr>
                <w:sz w:val="20"/>
                <w:szCs w:val="20"/>
                <w:color w:val="auto"/>
              </w:rPr>
            </w:pPr>
          </w:p>
        </w:tc>
        <w:tc>
          <w:tcPr>
            <w:tcW w:w="860" w:type="dxa"/>
            <w:vAlign w:val="bottom"/>
            <w:gridSpan w:val="3"/>
          </w:tcPr>
          <w:p>
            <w:pPr>
              <w:jc w:val="right"/>
              <w:ind w:right="57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325</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Credit Agreement</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February 26, 2021, the Company entered into a Credit Agreement (the “Term Loan Credit Agreement”) with certain funds affiliated with Kennedy Lewis Investment Management LLC (“KLIM”) as lenders (the “Term Loan Lenders”) and Alter Domus (US) LLC, as administrative agent. Pursuant to the Term Loan Credit Agreement, the Term Loan Lenders provided the Company with (i) an initial term loan in the amount of $225 million, which was drawn in full on the same date, and (ii) a commitment to provide delayed draw term loans in an aggregate principal amount of up to $50 million on or before February 26, 2023 (collectively, the “Term Loans”). Net proceeds from the Term Loan Credit Agreement were $215 million ($225 million aggregate principal less $10 million in debt transaction costs). The Term Loans have a five-year maturity and are non-amortizing.</w:t>
      </w:r>
    </w:p>
    <w:p>
      <w:pPr>
        <w:spacing w:after="0" w:line="20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Term Loans bear interest at a rate of 8.5% per annum payable quarterly in cash and 4.0% per annum Paid-In-Kind interest (“PIK”) or in cash quarterly, at the Company’s option, for an aggregate interest rate of 12.5% per annum. The Company elected the 4.0% per annum in PIK which is being added to the carrying value of the debt through the term and interest expense will be recorded using the effective interest method. The Term Loans are guaranteed by the Company and certain of its domestic subsidiaries (the “Subsidiary Guarantors”), and are secured by (i) a first priority lien on substantially all assets of the Company and the Subsidiary Guarantors (subject to certain exceptions) not constituting ABL Priority Collateral or L/C Cash Collateral (see below for definitions of ABL Priority Collateral and L/C Cash Collateral), including 100% of the stock of material U.S. subsidiaries and 65% of the stock of material foreign subsidiaries (the “Term Loan Priority Collateral”) and (ii) a third priority lien on the ABL Priority Collateral and L/C Cash Collateral. The Term Loan Credit Agreement limits, among other things, the ability of the Company and its Restricted Subsidiaries (as defined in the Term Loan Credit Agreement) to (i) incur indebtedness, (ii) incur or create liens, (iii) dispose of assets, (iv) make restricted payments and (v) make investments, and also contains customary affirmative covenants including delivery of certain of the Company’s financial statements set forth therein. The Term Loan Credit Agreement does not include a financial maintenance covenant</w:t>
      </w:r>
      <w:r>
        <w:rPr>
          <w:rFonts w:ascii="Arial" w:cs="Arial" w:eastAsia="Arial" w:hAnsi="Arial"/>
          <w:sz w:val="17"/>
          <w:szCs w:val="17"/>
          <w:b w:val="1"/>
          <w:bCs w:val="1"/>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Board Rights Agreement</w:t>
      </w:r>
    </w:p>
    <w:p>
      <w:pPr>
        <w:spacing w:after="0" w:line="20"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On February 26, 2021, in connection with the execution of the Term Loan Credit Agreement, the Company entered into a letter agreement with KLIM (the “Board Rights Agreement”). Pursuant to the Board Rights Agreement, the Company’s Board of Directors (“Board”) appointed an individual designated by KLIM as a member of the Board effective April 1, 2021. The individual appointed was elected to serve a one-year term at the annual meeting on May 19, 2021. KLIM has the right to nominate one (1) director at each annual or special meeting of the Company’s shareholders until the third anniversary of the execution of the Board Rights Agreement or until KLIM ceases to hold at least 50% of the original principal amount of the Term Loans and commitments under the Term Loan Credit Agreement, whichever is earlier.</w:t>
      </w:r>
    </w:p>
    <w:p>
      <w:pPr>
        <w:spacing w:after="0" w:line="18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Until KLIM ceases to hold at least 50% of the original principal amount of the Term Loans and commitments under the Term Loan Credit Agreement, at any time that KLIM’s designated director is not serving on the Board, KLIM will have the right to designate a non-voting observer to the Board. Such observer will have the right to attend meetings of the Board and, under certain circumstances, committees and subcommittees of the Board and to receive information and materials made available to the Board, in each case, subject to certain restrictions and exceptions.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On February 26, 2021, the Company and the Term Loan Lenders (the “Buyers”), entered into a Securities Purchase Agreement (the</w:t>
      </w:r>
    </w:p>
    <w:p>
      <w:pPr>
        <w:spacing w:after="0" w:line="7"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“Securities Purchase Agreement”) pursuant to which the Company sold to the Buyers (i) an aggregate of 1,000,000 shares (the “Purchased Shares”) of the Company’s common stock (“Common Stock”) for a purchase price of $10.00 in cash per share for an aggregate purchase price of $10 million and (ii) $25 million aggregate principal amount of the Company’s newly issued 5.0% unsecured convertible promissory notes due May 28, 2026 (the “Convertible Notes”) in a private placement transaction. The issuance and sale of the Purchased Shares and Convertible Notes were consummated on February 26,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5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Convertible Notes bear interest at a rate of 5.0% per annum, which will be payable in cash on the maturity date and in additional shares of Common Stock on any conversion date. The payment of interest only at the maturity date has the same effect as delivering additional debt instruments to the Holders of the Convertible Notes and therefore is considered PIK. Therefore, PIK will be added to the carrying value of the debt through the term and interest expense will be recorded using the effective interest method. The maturity date of the Convertible Notes is May 28, 2026.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20"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Buyers will have the right to elect at any time to convert the Convertible Notes into shares of Common Stock at an initial conversion rate equal to 100 shares of Common Stock per each $1,000 principal amount of the Convertible Notes (based on an initial conversion price equal to $10.00 per share of Common Stock). The conversion rate and conversion price will be subject to certain customary anti-dilution adjustments.</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closing price of the Common Stock equals or exceeds $14.50 (subject to adjustment in the same manner as the conversion price) for 45 trading days within any period of 60 consecutive trading days, the Company will have the right to cause the mandatory conversion of the Convertible Notes into shares of Common Stock.</w:t>
      </w:r>
    </w:p>
    <w:p>
      <w:pPr>
        <w:spacing w:after="0" w:line="21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event of certain fundamental transactions, the Buyers will have the right, within a period of 30 days following the occurrence of such transaction (“Holder Fundamental Transaction Election Period”), to elect to either require prepayment of the Convertible Notes at par plus accrued and unpaid interest or convert all or a portion of the Convertible Notes into shares of Common Stock at the conversion rate then in effect plus any additional shares based on the price per share of Common Stock in connection with the fundamental transaction, or to receive the shares of a successor entity, if 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Convertible Notes were considered more akin to a debt-type instrument and the economic characteristics and risks of the embedded conversion features are not considered clearly and closely related to the Convertible Notes. Accordingly, these embedded features were bifurcated from the Convertible Notes and separately accounted for on a combined basis at fair value as a single derivative liability. Kodak allocated $12 million of the net proceeds received to a derivative liability based on the aggregate fair value of the embedded features on the date of issuance which reduced the net carrying value of the Convertible Notes. The derivative is being accounted for at fair value with subsequent changes in the fair value being reported as part of Other charges (income), net in the Consolidated Statement of Operations. The fair value of the Convertible Notes embedded derivative as of June 30, 2021 was a liability of $10 million and is included in Other long-term liabilities in the accompanying Consolidated Statement of Financial Position. Refer to Note 20, “Financial Instruments” for information on the valuation of the derivative.</w:t>
      </w:r>
    </w:p>
    <w:p>
      <w:pPr>
        <w:spacing w:after="0" w:line="175"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The carrying value of the Convertible Notes at the time of issuance and at June 30, 2021 was $13 million ($25 million aggregate gross proceeds less $12 million allocated to the derivative liability). The estimated fair value of the Convertible Notes as of June 30, 2021 was $25 million (Level 3). The carrying value is being accreted to the aggregate principal amount using the effective interest method from the date of issuance through the maturity date.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Securities Registration Rights Agreement</w:t>
      </w:r>
    </w:p>
    <w:p>
      <w:pPr>
        <w:spacing w:after="0" w:line="2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On February 26, 2021, the Company and the Buyers entered into a Registration Rights Agreement (the “Securities Registration Rights Agreement”) providing the Buyers with registration rights in respect of the Purchased Shares and the Common Stock issuable upon conversion of the Convertible Notes. The Securities Registration Rights Agreement contains other customary terms and conditions, including certain customary indemnification obligations; however, the Securities Registration Rights Agreement does not obligate the Company to facilitate an underwritten offering of the registered Common Stock by the Buyers.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ABL Credit Agreement</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February 26, 2021, the Company and the Subsidiary Guarantors entered into an amendment to the Amended and Restated Credit Agreement, dated as of May 26, 2016, among the Company, the Subsidiary Guarantors, the lenders party thereto, Bank of America, N.A., as agent (the “Agent”), and Bank of America, N.A. and JPMorgan Chase Bank, N.A., as arrangers (the “ABL Credit Agreement” and, as amended by the Amended ABL Credit Agreement, the “Amended ABL Credit Agreement”), with the Agent and the Required Lenders. Each of the capitalized and undefined terms has the meaning ascribed to such term in the ABL Credit Agreement.</w:t>
      </w:r>
    </w:p>
    <w:p>
      <w:pPr>
        <w:spacing w:after="0" w:line="22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Amended ABL Credit Agreement amends the ABL Credit Agreement to, among other things, (i) extend the maturity date to February 26, 2024 or the date that is 90 days prior to the earliest scheduled maturity date or mandatory redemption date of any of the Company’s Term Loan Credit Agreement, Convertible Notes, Series B Preferred Stock, Series C Preferred Stock or any refinancings of any of the foregoing and (ii) decrease the aggregate amount of commitments from $110 million to $90 million. Commitments under the Amended ABL Credit Agreement continue to be able to be used in the form of revolving loans or letters of credit. The Company had issued approximately $42 million letters of credit under the Amended ABL Credit Agreement as of June 30, 2021 and $90 million letters of credit under the ABL Credit Agreement as of December 31, 2020.</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revolving loans bear interest at the rate of LIBOR plus 3.50%-4.00% per annum (subject to provisions providing for a replacement benchmark rate upon the discontinuation of LIBOR) or a floating Base Rate (as defined in the Amended ABL Credit Agreement) plus 2.50%-3.00% per annum, based on Excess Availability (as defined in the Amended ABL Credit Agreement). The Company will pay an unused line fee of 37.5-50 basis points per annum, depending on whether the unused portion of the maximum amount available is less than or equal to 50% or greater than 50%, respectively. The Company will pay a letter of credit fee of 3.50%-4.00% per annum, based on Excess Availability, on issued and outstanding letters of credit, in addition to a fronting fee of 25 basis points on such letters of credit.</w:t>
      </w:r>
    </w:p>
    <w:p>
      <w:pPr>
        <w:spacing w:after="0" w:line="22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Obligations under the Amended ABL Credit Agreement continue to be secured by: (i) a first priority lien on assets of the Company and the Subsidiary Guarantors constituting cash (other than L/C Cash Collateral, as defined below), accounts receivable, inventory, machinery and equipment and certain other assets (the “ABL Priority Collateral”) and (ii) a second priority lien on substantially all assets of the Company and the Subsidiary Guarantors (subject to certain exceptions) other than the ABL Priority Collateral, including the L/C cash collateral and 100% of the stock of material U.S. subsidiaries and 65% of the stock of material foreign subsidiaries.</w:t>
      </w:r>
    </w:p>
    <w:p>
      <w:pPr>
        <w:spacing w:after="0" w:line="22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Amended ABL Credit Agreement continues to limit, among other things, the ability of the Company and its Restricted Subsidiaries (as defined in the Amended ABL Credit Agreement) to (i) incur indebtedness, (ii) incur or create liens, (iii) dispose of assets, (iv) make restricted payments and (v) make investments. The Amended ABL Credit Agreement leaves in place customary affirmative covenants, including delivery of certain of the Company’s financial statements set forth therein.</w:t>
      </w:r>
    </w:p>
    <w:p>
      <w:pPr>
        <w:spacing w:after="0" w:line="21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Under the Amended ABL Credit Agreement the Company is required to maintain Minimum Liquidity of at least $80 million, which is tested at the end of each quarter. Minimum Liquidity was $274 million at June 30, 2021. If Minimum Liquidity falls below $80 million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2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Under the Amended ABL Credit Agreement the Company is required to maintain Excess Availability above 12.5% of lender commitments ($11.25 million and $13.75 million as of June 30, 2021 and December 31, 2020, respectively), which is tested at the end of each month. Excess Availability was $39 million and $20 million as of June 30, 2021 and December 31, 2020, respectively. If Excess Availability falls below 12.5% of lender commitments a Fixed Charge Coverage Ratio Trigger Event would occur. During any Fixed Charge Coverage Ratio Trigger Event, the Company would be required to maintain a Fixed Charge Coverage Ratio of greater than or equal to 1.0 to 1.0. If Excess Availability falls below 12.5% of lender commitments, Kodak may, in addition to the requirement to be in compliance with the minimum Fixed Charge Coverage Ratio, become subject to cash dominion control. Since Excess Availability was greater than 12.5% of lender commitments at June 30, 2021 and December 31, 2020, Kodak was not required to have a minimum Fixed Charge Coverage Ratio of 1.0 to 1.0. The Amended ABL Credit Agreement also removed Eligible Cash from the Borrowing Base. Therefore, amounts funded into the Eligible Cash account will no longer increase Excess Availability for purposes of compliance reporting. As of December 31, 2020, to maintain Excess Availability of greater than 12.5% of lender commitments, Kodak funded $35 million to the Eligible Cash account held with the ABL Credit Agreement Administrative Agent, which was classified as Restricted Cash in the Consolidated Statement of Financial Position.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right="80"/>
        <w:spacing w:after="0" w:line="255" w:lineRule="auto"/>
        <w:rPr>
          <w:sz w:val="20"/>
          <w:szCs w:val="20"/>
          <w:color w:val="auto"/>
        </w:rPr>
      </w:pPr>
      <w:r>
        <w:rPr>
          <w:rFonts w:ascii="Arial" w:cs="Arial" w:eastAsia="Arial" w:hAnsi="Arial"/>
          <w:sz w:val="18"/>
          <w:szCs w:val="18"/>
          <w:color w:val="auto"/>
        </w:rPr>
        <w:t>If Excess Availability falls below 12.5% of lender commitments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Facility Agreement</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February 26, 2021, the Company and the Subsidiary Guarantors entered into a Letter of Credit Facility Agreement (the “L/C Facility Agreement”, and together with the Term Loan Credit Agreement and the Amended ABL Credit Agreement the “Credit Agreements”)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w:t>
      </w:r>
    </w:p>
    <w:p>
      <w:pPr>
        <w:spacing w:after="0" w:line="1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term of the L/C Facility Agreement is three years, subject to the same automatic springing maturity as the Amended ABL Credit Agreement. The Company had issued approximately $45 million letters of credit under the L/C Facility Agreement as of June 30, 2021. The current balance on deposit in the L/C Cash Collateral account is approximately $46 million, of which $14 million was deposited into the L/C Cash Collateral account from proceeds of the financing transactions described herein and the remainder of which was cash collateral previously used to secure letters of credit under the ABL Credit Agreement. The L/C Facility Agreement has the same requirement to maintain Minimum Liquidity of $80 million as is contained in the Amended ABL Credit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NOTE 6: REDEEMABLE, CONVERTIBLE PREFERRED STOCK</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5"/>
        </w:trPr>
        <w:tc>
          <w:tcPr>
            <w:tcW w:w="7300" w:type="dxa"/>
            <w:vAlign w:val="bottom"/>
            <w:gridSpan w:val="2"/>
          </w:tcPr>
          <w:p>
            <w:pPr>
              <w:spacing w:after="0"/>
              <w:rPr>
                <w:sz w:val="20"/>
                <w:szCs w:val="20"/>
                <w:color w:val="auto"/>
              </w:rPr>
            </w:pPr>
            <w:r>
              <w:rPr>
                <w:rFonts w:ascii="Arial" w:cs="Arial" w:eastAsia="Arial" w:hAnsi="Arial"/>
                <w:sz w:val="18"/>
                <w:szCs w:val="18"/>
                <w:color w:val="auto"/>
                <w:w w:val="93"/>
              </w:rPr>
              <w:t>Redeemable convertible preferred stock was as follows at June 30, 2021 and December 31, 2020:</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1140" w:type="dxa"/>
            <w:vAlign w:val="bottom"/>
          </w:tcPr>
          <w:p>
            <w:pPr>
              <w:spacing w:after="0"/>
              <w:rPr>
                <w:sz w:val="20"/>
                <w:szCs w:val="20"/>
                <w:color w:val="auto"/>
              </w:rPr>
            </w:pPr>
          </w:p>
        </w:tc>
        <w:tc>
          <w:tcPr>
            <w:tcW w:w="6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1"/>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stock</w:t>
            </w:r>
          </w:p>
        </w:tc>
        <w:tc>
          <w:tcPr>
            <w:tcW w:w="960" w:type="dxa"/>
            <w:vAlign w:val="bottom"/>
            <w:shd w:val="clear" w:color="auto" w:fill="CFF0FC"/>
          </w:tcPr>
          <w:p>
            <w:pPr>
              <w:jc w:val="right"/>
              <w:ind w:right="799"/>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8"/>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Series C preferred stock</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15, 2016, the Company issued 2,000,000 shares of Series A Preferred Stock for an aggregate purchase price of $200 million, or $100 per share, pursuant to a Series A Preferred Stock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classified the Series A Preferred Stock as temporary equity in the Consolidated Statement of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and Exchange Agreement</w:t>
      </w:r>
    </w:p>
    <w:p>
      <w:pPr>
        <w:spacing w:after="0" w:line="2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On February 26, 2021 the Company entered into a Series A Preferred Stock Repurchase and Exchange Agreement (the “Repurchase and Exchange Agreement”) with Southeastern and the Purchasers. The Company repurchased one million shares of the Series A Preferred Stock under the terms of the Repurchase and Exchange Agreement for $100,641,667, representing the liquidation value of the Series A Preferred Stock plus accrued and unpaid dividends. In addition, the Company and the Purchasers agreed to exchange the remaining one million shares of Series A Preferred Stock held by the Purchasers for shares of the Company’s newly created 4.0% Series B Convertible Preferred Stock, no par value (the “Series B Preferred Stock”) on a one-for-one basis plus accrued and unpaid dividends of $641,667. The exchange of shares of Series A Preferred Stock for shares of Series B Preferred Stock is a noncash financing activity.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2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Kodak allocated $43 million of the net proceeds from the issuance of the Series A Stock to a derivative liability based on the aggregate fair value of the embedded conversion features on the date of issuance, which reduced the net carrying value of the Series A Preferred Stock (see Note 20, “Financial Instruments”). The carrying value of the Series A Preferred Stock at the time of issuance, $155 million ($200 million aggregate gross proceeds less $43 million allocated to the derivative liability and $2 million in transaction costs), was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Extinguishment of Series A Preferred Stock</w:t>
      </w:r>
    </w:p>
    <w:p>
      <w:pPr>
        <w:spacing w:after="0" w:line="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carrying value, including the fair value of the embedded derivative liability, of the Series A Preferred Stock prior to extinguishment approximated $203 million. Upon repurchase and exchange of the Series A Preferred Stock, Kodak recorded $8 million as a deemed dividend to Additional paid in capital in the Consolidated Statement of Financial Position, representing the difference between the fair value of consideration transferred and the carrying value of the Series A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Series A Preferred Stock were entitled to cumulative dividends payable quarterly in cash at a rate of 5.50% per annum.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25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fair value of the Series B Preferred Stock at the time of issuance approximated $95 million. The Company has classified the Series B Preferred Stock as temporary equity in the Consolidated Statement of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2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Series B Preferred Stock which became effective upon filing. The Series B Preferred Stock ranks senior to the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C Preferred Stock with respect to dividend rights and rights on liquidation, winding-up and dissolution. The Series B Preferred Stock has a liquidation preference of $100 per share, and the holders of Series B Preferred Stock are entitled to cumulative dividends payable quarterly in cash at a rate of 4.0% per annum. 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 Dividends owed on the Series B Preferred Stock have been declared and paid when due. Holders of Series B Preferred Stock will have certain limited special approval rights, including with respect to the issuance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senior equity securities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20"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will be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2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The Company concluded that the Series B Preferred Stock is considered more akin to a debt-type instrument and that the economic characteristics and risks of the conversion option upon a fundamental change by the holder was not considered clearly and closely related to the Series B Preferred</w:t>
      </w:r>
    </w:p>
    <w:p>
      <w:pPr>
        <w:ind w:right="80"/>
        <w:spacing w:after="0" w:line="286" w:lineRule="auto"/>
        <w:rPr>
          <w:sz w:val="20"/>
          <w:szCs w:val="20"/>
          <w:color w:val="auto"/>
        </w:rPr>
      </w:pPr>
      <w:r>
        <w:rPr>
          <w:rFonts w:ascii="Arial" w:cs="Arial" w:eastAsia="Arial" w:hAnsi="Arial"/>
          <w:sz w:val="16"/>
          <w:szCs w:val="16"/>
          <w:color w:val="auto"/>
        </w:rPr>
        <w:t>Stock. Accordingly, this embedded conversion feature was bifurcated from the Series B Preferred Stock and separately accounted for at fair value as a derivative. The Company allocated $1 million to the derivative liability based on the aggregate fair value of the embedded conversion feature on the date of issuance which reduced the original carrying value of the Series B Preferred Stock. The derivative is being accounted for at fair value with subsequent changes in the fair value being reported as part of Other charges (income), net in the Consolidated Statement of Operations. The fair value of the Series B Preferred Stock embedded derivative as of June 30, 2021 was a liability of $1 million and is included in Other long-term liabilities in the accompanying Consolidated Statement of Financial Position. Refer to Note 20, “Financial Instruments” for information on the valuation of the derivative.</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carrying value of the Series B Preferred Stock at the time of issuance, $93 million ($95 million fair value of Series B Preferred Stock on February 26, 2021 less $1 million allocated to the derivative liability and $1 million of transaction costs)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Redemption Features</w:t>
      </w:r>
    </w:p>
    <w:p>
      <w:pPr>
        <w:spacing w:after="0" w:line="20"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If any shares of Series B Preferred Stock have not been converted prior to May 28, 2026 (the “Redemption Date”), the Company is required to redeem such shares at $100 per share plus the amount of accrued and unpaid dividends. As the Company concluded that the Series B Preferred Stock is considered more akin to a debt-type instrument, the redemption feature is considered to be clearly and closely related to the host contract and therefore was not required to be separated from the Series B Preferred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0"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w:t>
      </w:r>
    </w:p>
    <w:p>
      <w:pPr>
        <w:spacing w:after="0" w:line="2"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color w:val="auto"/>
        </w:rPr>
        <w:t>“Series C Preferred Stock”), for a purchase price of $100 per share, representing $100 million of gross proceeds to the Company. The initial issuance and sale of 750,000 shares ($75 million gross proceeds) closed on February 26, 2021, and the final issuance and sale of the remaining 250,000 shares ($25 million gross proceeds) closed on March 30, 2021 after expiration of the waiting period under the Hart-Scott-Rodino Antitrust Improvements Act. The Investor is a fund managed by Grand Oaks Capital. The Company intends to use the proceeds from the sale of the Series C Preferred Stock for general corporate purposes including the funding of growth initiatives. The Company has classified the Series C Preferred Stock as temporary equity in the Consolidated Statement of Financial Position.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2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On February 25, 2021, the Company filed with the Department of Treasury of the State of New Jersey a Certificate of Amendment to the Second Amended and Restated Certificate of Incorporation of the Company (the “Series C Certificate of Designations”) which established the designation, number of shares, rights, preferences and limitations of the Series C Preferred Stock and became effective upon filing. The Series C Preferred Stock ranks senior to the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B Preferred Stock with respect to dividend rights and rights on liquidation, winding-up and dissolution. The Series C Preferred Stock has an initial liquidation preference of $100 per share, and holders of Series C Preferred Stock are entitled to cumulative dividends payable quarterly “in-kind” in the form of additional shares of Series C Preferred Stock at a rate of 5.0% per annum. If dividends on the Series C Preferred Stock are not declared and paid for any given fiscal quarter, the liquidation preference is automatically increased by the amount of such unpaid dividends. Holders of the Series C Preferred Stock will also be entitled to participate in any dividends paid on the Common Stock (other than stock dividends) on an as-converted basis, with such dividends on any shares of the Series C Preferred Stock being payable upon conversion of such shares of Series C Preferred Stock to Common Stock. Dividends owed on the Series C Preferred Stock have been declared and additional Series C shares issued when due.</w:t>
      </w:r>
    </w:p>
    <w:p>
      <w:pPr>
        <w:spacing w:after="0" w:line="19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Holders of Series C Preferred Stock are entitled to vote together with the holders of the Common Stock as a single class, in each case, on an as-converted basis, except where a separate class vote is required by law. Holders of Series C Preferred Stock have certain limited special approval rights, including with respect to the issuance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senior equity securities of the Company.</w:t>
      </w:r>
    </w:p>
    <w:p>
      <w:pPr>
        <w:spacing w:after="0" w:line="21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Pursuant to the Purchase Agreement, the Investor has the right to nominate one (1) director at each annual or special meeting of the Company’s shareholders until the earlier of the third anniversary of the execution of the Purchase Agreement and such time as the Investor and its Affiliates (as defined in the Purchase Agreement) do not hold at least a majority of the Series C Preferred Stock purchased under the Purchase Agreement. The Investor’s nominee pursuant to this right was elected at the Company’s annual meeting held on May 19, 2021 to serve a one-year term.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2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Each share of Series C Preferred Stock is convertible, at the option of each holder at any time, into shares of Common Stock at the initial conversion price of $10 per share of Common Stock. The initial conversion price and the corresponding conversion rate will be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May 28, 2026, 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spacing w:after="0" w:line="20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will have the right to cause the mandatory conversion of the Series C Preferred Stock into shares of Common Stock (i) at any time after February 26, 2023 if the closing price of the Common Stock has equaled or exceeded 200% of the then-effective conversion price for 45 trading days within a period of 60 consecutive trading days, or (ii) at any time after February 26, 2024 if the closing price of the Common Stock has equaled or exceeded 150% of the then-effective conversion price for 45 trading days within a period of 60 consecutive trading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2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concluded that the Series C Preferred Stock is considered more akin to a debt-type instrument and that the economic characteristics and risks of the conversion option upon a fundamental change by the holder is not considered clearly and closely related to the Series C Preferred Stock. Accordingly, this embedded conversion feature was bifurcated from the Series C Preferred Stock and separately accounted for as a derivative. The Company allocated $2 million of the net proceeds received to the derivative liability based on the aggregate fair value of the embedded conversion features on the dates of issuance which reduced the original carrying value of the Series C Preferred Stock. The derivative is being accounted for at fair value with subsequent changes in the fair value being reported as part of Other charges (income), net in the Consolidated Statement of Operations. The fair value of the Series C Preferred Stock derivative as of June 30, 2021 was a liability of $2 million and is included in Other long-term liabilities in the accompanying Consolidated Statement of Financial Position. Refer to Note 20, “Financial Instruments” for information on the valuation of the derivative.</w:t>
      </w:r>
    </w:p>
    <w:p>
      <w:pPr>
        <w:spacing w:after="0" w:line="19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carrying value of the Series C Preferred Stock at the time of issuance, $97 million ($100 million aggregate gross proceeds less $2 million allocated to the derivative liability and $1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Features</w:t>
      </w:r>
    </w:p>
    <w:p>
      <w:pPr>
        <w:spacing w:after="0" w:line="20"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If any shares of Series C Preferred Stock have not been converted prior to the Redemption Date, the Company is required to redeem such shares at $100 per share plus the amount of accrued and unpaid dividends thereon; provided that the holders of the Series C Preferred Stock have the right to extend such redemption date by up to two years. As the Company concluded that the Series C Preferred Stock is considered more akin to a debt-type instrument, the redemption feature is considered to be clearly and closely related to the host contract and therefore was not required to be separated from the Series C Preferred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Registration Rights Agreement</w:t>
      </w:r>
    </w:p>
    <w:p>
      <w:pPr>
        <w:spacing w:after="0" w:line="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February 26, 2021, the Company and the Investor entered into a Registration Rights Agreement (the “Series C Registration Rights Agreement”) which provides the Investor with customary registration rights in respect of the shares of Common Stock issuable upon conversion of the Series C Preferred Stock. The Series C Registration Rights Agreement contains other customary terms and conditions, including certain customary indemnification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Income recognized on operating lease arrangements for the three and six months ended June 30, 2021 and 2020 is presented below. Income recognized for sales-type lease arrangements is $0 million and $1 million for the three and six months ended June 30, 2021, respectively and $0 million for both the three and six months ended June 30, 2020.</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1"/>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48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3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3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3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8"/>
                <w:szCs w:val="18"/>
                <w:color w:val="auto"/>
              </w:rPr>
              <w:t>Lease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r>
      <w:tr>
        <w:trPr>
          <w:trHeight w:val="241"/>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r>
      <w:tr>
        <w:trPr>
          <w:trHeight w:val="24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income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20"/>
                <w:szCs w:val="20"/>
                <w:color w:val="auto"/>
              </w:rPr>
            </w:pPr>
          </w:p>
        </w:tc>
      </w:tr>
      <w:tr>
        <w:trPr>
          <w:trHeight w:val="234"/>
        </w:trPr>
        <w:tc>
          <w:tcPr>
            <w:tcW w:w="3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lease income</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June 30, 2021, the Company had outstanding letters of credit of $42 million and $45 million issued under the Amended ABL Credit Agreement and the L/C Facility Agreement, respectively, as well as bank guarantees and letters of credit of $2 million, surety bonds in the amount of $29 million, and restricted cash of $74 million, primarily related to cash collateral for the outstanding letters of credit under the L/C Facility Agreement, to ensure payment of possible casualty and workers’ compensation claims, legal contingencies, hedging activities, environmental liabilities, rental payments and to support various customs, tax and trade activities.</w:t>
      </w:r>
    </w:p>
    <w:p>
      <w:pPr>
        <w:spacing w:after="0" w:line="22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 w:name="page18"/>
    <w:bookmarkEnd w:id="17"/>
    <w:p>
      <w:pPr>
        <w:spacing w:after="0" w:line="307" w:lineRule="auto"/>
        <w:rPr>
          <w:sz w:val="20"/>
          <w:szCs w:val="20"/>
          <w:color w:val="auto"/>
        </w:rPr>
      </w:pPr>
      <w:r>
        <w:rPr>
          <w:rFonts w:ascii="Arial" w:cs="Arial" w:eastAsia="Arial" w:hAnsi="Arial"/>
          <w:sz w:val="16"/>
          <w:szCs w:val="16"/>
          <w:color w:val="auto"/>
        </w:rPr>
        <w:t>Kodak routinely assesses all these matters as to the probability of ultimately incurring a liability in its Brazilian operations and records its best estimate of the ultimate loss in situations where it assesses the likelihood of loss as probable. As of June 30, 2021, the unreserved portion of these contingencies, inclusive of any related interest and penalties, for which there was at least a reasonable possibility that a loss may be incurred, amounted to approximately $4 million.</w:t>
      </w:r>
    </w:p>
    <w:p>
      <w:pPr>
        <w:spacing w:after="0" w:line="17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connection with assessments in Brazil, local regulations may require Kodak’s Brazilian operations to post security for a portion of the amounts in dispute. As of June 30, 2021, Kodak’s Brazilian operations have posted security composed of $3 million of pledged cash reported within Restricted cash in the Consolidated Statement of Financial Position and liens on certain Brazilian assets with a net book value of approximately $45 million. Generally, any encumbrances on the Brazilian assets would be removed to the extent the matter is resolved in Kodak's favor.</w:t>
      </w:r>
    </w:p>
    <w:p>
      <w:pPr>
        <w:spacing w:after="0" w:line="201" w:lineRule="exact"/>
        <w:rPr>
          <w:sz w:val="20"/>
          <w:szCs w:val="20"/>
          <w:color w:val="auto"/>
        </w:rPr>
      </w:pPr>
    </w:p>
    <w:p>
      <w:pPr>
        <w:jc w:val="both"/>
        <w:ind w:right="540"/>
        <w:spacing w:after="0" w:line="307" w:lineRule="auto"/>
        <w:rPr>
          <w:sz w:val="20"/>
          <w:szCs w:val="20"/>
          <w:color w:val="auto"/>
        </w:rPr>
      </w:pPr>
      <w:r>
        <w:rPr>
          <w:rFonts w:ascii="Arial" w:cs="Arial" w:eastAsia="Arial" w:hAnsi="Arial"/>
          <w:sz w:val="16"/>
          <w:szCs w:val="16"/>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DFC Announcement of the potential DFC Loan and DFC Pharmaceutical Project. The Securities Class Actions were transferred to the Federal District Court for the Western District of New York and were consolidated into a single proceeding (the “Consolidated Securities Class Action”) on June 22, 2021. On August 2, 2021, Les Investissements Kiz Inc. and UAT Trading Service, Inc. were appointed by the court to serve as lead plaintiff for the Consolidated Securities Class Action.</w:t>
      </w:r>
    </w:p>
    <w:p>
      <w:pPr>
        <w:spacing w:after="0" w:line="20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December 29, 2020 Robert Garfield commenced a class action lawsuit against the Company and current and former members of its Board of Directors in the Superior Court of Mercer County, New Jersey seeking equitable relief and damages in favor of the Company based on alleged breaches of fiduciary duty by the Company’s Board of Directors associated with alleged false and misleading proxy statement disclosures (the “Fiduciary Class Action”). The Company and each of the individual defendants filed motions to dismiss the Fiduciary Class Action on April 13, 2021. On May 26, 2021, the plaintiff in the Fiduciary Class Action voluntarily dismissed the Fiduciary Class Action without prejudice.</w:t>
      </w:r>
    </w:p>
    <w:p>
      <w:pPr>
        <w:spacing w:after="0" w:line="20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Company has also received four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(the “Derivative Demands”). On May 19, 2021 Louis Peters, one of the persons making a Derivative Demand,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“Derivative Lawsuit”). The parties have stipulated that the plaintiff will file an amended complaint, to which the Company and the individual defendants may respond within 60 days after its filing. Additional shareholder derivative lawsuits may be brought based on the other Derivative Demands (any such lawsuits, collectively with the Derivative Lawsuit and any successor to the Fiduciary Class Action, the “Fiduciary Matters”). The Company, acting through a Special Committee of Independent Directors, previously determined that there was no merit to the claims alleged by the Derivative Demands (except with respect to the charitable contribution, which was not fully considered by the Special Committee). See the Company’s Current Report on Form 8-K filed with the SEC on September 16, 2020.</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DFC Announcement has also prompted investigations by several congressional committees, the SEC and the New York Attorney General’s office.</w:t>
      </w:r>
    </w:p>
    <w:p>
      <w:pPr>
        <w:spacing w:after="0" w:line="2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previously reported, the Attorney General of the State of New York (the “NYAG”) has threatened to file a lawsuit against the Company and its Chief Executive Officer alleging violations of New York State’s Martin Act (the “Threatened Claim”). In connection with the Threatened Claim, on June 1, 2021 the NYAG filed an ex parte application in the Supreme Court of the State of New York in New York County seeking additional document production and the taking of investigative testimony of the Company’s Chief Executive Officer and General Counsel. This ex parte application was granted on June 15, 2021, as expected. The Company is producing the documents pursuant to the court order granting the application and intends to make its officers available to give testimony as required by such order. The Company intends to vigorously defend itself against the Threatened Claim should it be filed.</w:t>
      </w:r>
    </w:p>
    <w:p>
      <w:pPr>
        <w:spacing w:after="0" w:line="19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Securities Class Actions, Fiduciary Matters and investigations by several congressional committees, the SEC and the New York Attorney General’s office pertaining to the DFC Announcement remain ongoing. The Company intends to vigorously defend itself against the Securities Class Actions and Fiduciary Matters and is cooperating in the investigations related to the DFC Announcement.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right="20"/>
        <w:spacing w:after="0" w:line="286" w:lineRule="auto"/>
        <w:rPr>
          <w:sz w:val="20"/>
          <w:szCs w:val="20"/>
          <w:color w:val="auto"/>
        </w:rPr>
      </w:pPr>
      <w:r>
        <w:rPr>
          <w:rFonts w:ascii="Arial" w:cs="Arial" w:eastAsia="Arial" w:hAnsi="Arial"/>
          <w:sz w:val="16"/>
          <w:szCs w:val="16"/>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GUARANTEES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settlement of certain of the Company’s historical environmental liabilities at Eastman Business Park, a more than 1,200-</w:t>
      </w:r>
    </w:p>
    <w:p>
      <w:pPr>
        <w:spacing w:after="0" w:line="3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acre technology center and industrial complex in Rochester, New York,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2020 to June 30, 2021, which is reflected in Other current liabilities in the accompanying Consolidated Statement of Financial Position,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60" w:type="dxa"/>
            <w:vAlign w:val="bottom"/>
          </w:tcPr>
          <w:p>
            <w:pPr>
              <w:spacing w:after="0"/>
              <w:rPr>
                <w:sz w:val="14"/>
                <w:szCs w:val="14"/>
                <w:color w:val="auto"/>
              </w:rPr>
            </w:pPr>
          </w:p>
        </w:tc>
        <w:tc>
          <w:tcPr>
            <w:tcW w:w="5120" w:type="dxa"/>
            <w:vAlign w:val="bottom"/>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w w:val="94"/>
              </w:rPr>
              <w:t>Deferred revenue on extended warranties as of December 31, 2020</w:t>
            </w:r>
          </w:p>
        </w:tc>
        <w:tc>
          <w:tcPr>
            <w:tcW w:w="88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8"/>
              </w:rPr>
              <w:t>New extended warranty and maintenance arrangements deferred</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w w:val="98"/>
              </w:rPr>
              <w:t>Recognition of extended warranty and maintenance arrangement</w:t>
            </w: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5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revenue on extended warranties as of June 30, 2021</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120" w:type="dxa"/>
            <w:vAlign w:val="bottom"/>
            <w:vMerge w:val="restart"/>
          </w:tcPr>
          <w:p>
            <w:pPr>
              <w:ind w:left="322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22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7"/>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8"/>
        </w:trPr>
        <w:tc>
          <w:tcPr>
            <w:tcW w:w="3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5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r>
      <w:tr>
        <w:trPr>
          <w:trHeight w:val="227"/>
        </w:trPr>
        <w:tc>
          <w:tcPr>
            <w:tcW w:w="320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21"/>
        </w:trPr>
        <w:tc>
          <w:tcPr>
            <w:tcW w:w="320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Total annuities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28"/>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r>
      <w:tr>
        <w:trPr>
          <w:trHeight w:val="227"/>
        </w:trPr>
        <w:tc>
          <w:tcPr>
            <w:tcW w:w="3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1"/>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1"/>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89"/>
              </w:rPr>
              <w:t>Six Months Ended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center"/>
              <w:ind w:left="211"/>
              <w:spacing w:after="0"/>
              <w:rPr>
                <w:sz w:val="20"/>
                <w:szCs w:val="20"/>
                <w:color w:val="auto"/>
              </w:rPr>
            </w:pPr>
            <w:r>
              <w:rPr>
                <w:rFonts w:ascii="Arial" w:cs="Arial" w:eastAsia="Arial" w:hAnsi="Arial"/>
                <w:sz w:val="18"/>
                <w:szCs w:val="18"/>
                <w:b w:val="1"/>
                <w:bCs w:val="1"/>
                <w:color w:val="auto"/>
                <w:w w:val="88"/>
              </w:rPr>
              <w:t>June 30, 2021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7"/>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8"/>
        </w:trPr>
        <w:tc>
          <w:tcPr>
            <w:tcW w:w="3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5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r>
      <w:tr>
        <w:trPr>
          <w:trHeight w:val="227"/>
        </w:trPr>
        <w:tc>
          <w:tcPr>
            <w:tcW w:w="320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r>
        <w:trPr>
          <w:trHeight w:val="221"/>
        </w:trPr>
        <w:tc>
          <w:tcPr>
            <w:tcW w:w="320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Total annuities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28"/>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r>
      <w:tr>
        <w:trPr>
          <w:trHeight w:val="227"/>
        </w:trPr>
        <w:tc>
          <w:tcPr>
            <w:tcW w:w="3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0"/>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 w:name="page21"/>
    <w:bookmarkEnd w:id="20"/>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30,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1"/>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 consumables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20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21"/>
        </w:trPr>
        <w:tc>
          <w:tcPr>
            <w:tcW w:w="320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Total annuities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28"/>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7"/>
        </w:trPr>
        <w:tc>
          <w:tcPr>
            <w:tcW w:w="3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1"/>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3"/>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89"/>
              </w:rPr>
              <w:t>Six Months Ended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center"/>
              <w:ind w:left="211"/>
              <w:spacing w:after="0"/>
              <w:rPr>
                <w:sz w:val="20"/>
                <w:szCs w:val="20"/>
                <w:color w:val="auto"/>
              </w:rPr>
            </w:pPr>
            <w:r>
              <w:rPr>
                <w:rFonts w:ascii="Arial" w:cs="Arial" w:eastAsia="Arial" w:hAnsi="Arial"/>
                <w:sz w:val="18"/>
                <w:szCs w:val="18"/>
                <w:b w:val="1"/>
                <w:bCs w:val="1"/>
                <w:color w:val="auto"/>
                <w:w w:val="88"/>
              </w:rPr>
              <w:t>June 30, 2020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1"/>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 consumables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20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r>
      <w:tr>
        <w:trPr>
          <w:trHeight w:val="221"/>
        </w:trPr>
        <w:tc>
          <w:tcPr>
            <w:tcW w:w="320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Total annuities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28"/>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r>
      <w:tr>
        <w:trPr>
          <w:trHeight w:val="227"/>
        </w:trPr>
        <w:tc>
          <w:tcPr>
            <w:tcW w:w="3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21"/>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560" w:right="320" w:hanging="553"/>
        <w:spacing w:after="0" w:line="271"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201" w:lineRule="exact"/>
        <w:rPr>
          <w:rFonts w:ascii="Arial" w:cs="Arial" w:eastAsia="Arial" w:hAnsi="Arial"/>
          <w:sz w:val="15"/>
          <w:szCs w:val="15"/>
          <w:color w:val="auto"/>
        </w:rPr>
      </w:pPr>
    </w:p>
    <w:p>
      <w:pPr>
        <w:ind w:left="560" w:right="320" w:hanging="553"/>
        <w:spacing w:after="0" w:line="271"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print and managed media services, tenant rent and related property management services and licensing.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1"/>
        </w:trPr>
        <w:tc>
          <w:tcPr>
            <w:tcW w:w="3020" w:type="dxa"/>
            <w:vAlign w:val="bottom"/>
          </w:tcPr>
          <w:p>
            <w:pPr>
              <w:spacing w:after="0"/>
              <w:rPr>
                <w:sz w:val="20"/>
                <w:szCs w:val="20"/>
                <w:color w:val="auto"/>
              </w:rPr>
            </w:pPr>
            <w:r>
              <w:rPr>
                <w:rFonts w:ascii="Arial" w:cs="Arial" w:eastAsia="Arial" w:hAnsi="Arial"/>
                <w:sz w:val="18"/>
                <w:szCs w:val="18"/>
                <w:b w:val="1"/>
                <w:bCs w:val="1"/>
                <w:color w:val="auto"/>
              </w:rPr>
              <w:t>Product Portfolio Summary:</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5"/>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88"/>
              </w:rPr>
              <w:t>June 30, 2021</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Advanced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Digital</w:t>
            </w:r>
          </w:p>
        </w:tc>
        <w:tc>
          <w:tcPr>
            <w:tcW w:w="13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302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Printing</w:t>
            </w:r>
          </w:p>
        </w:tc>
        <w:tc>
          <w:tcPr>
            <w:tcW w:w="180" w:type="dxa"/>
            <w:vAlign w:val="bottom"/>
          </w:tcPr>
          <w:p>
            <w:pPr>
              <w:spacing w:after="0"/>
              <w:rPr>
                <w:sz w:val="20"/>
                <w:szCs w:val="20"/>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Printing</w:t>
            </w: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Chemicals</w:t>
            </w:r>
          </w:p>
        </w:tc>
        <w:tc>
          <w:tcPr>
            <w:tcW w:w="220" w:type="dxa"/>
            <w:vAlign w:val="bottom"/>
          </w:tcPr>
          <w:p>
            <w:pPr>
              <w:spacing w:after="0"/>
              <w:rPr>
                <w:sz w:val="20"/>
                <w:szCs w:val="20"/>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b w:val="1"/>
                <w:bCs w:val="1"/>
                <w:color w:val="auto"/>
              </w:rPr>
              <w:t>Brand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1"/>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1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2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89"/>
              </w:rPr>
              <w:t>Six Months Ended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88"/>
              </w:rPr>
              <w:t>June 30, 2021</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Advanced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Digital</w:t>
            </w:r>
          </w:p>
        </w:tc>
        <w:tc>
          <w:tcPr>
            <w:tcW w:w="13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302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Printing</w:t>
            </w:r>
          </w:p>
        </w:tc>
        <w:tc>
          <w:tcPr>
            <w:tcW w:w="180" w:type="dxa"/>
            <w:vAlign w:val="bottom"/>
          </w:tcPr>
          <w:p>
            <w:pPr>
              <w:spacing w:after="0"/>
              <w:rPr>
                <w:sz w:val="20"/>
                <w:szCs w:val="20"/>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Printing</w:t>
            </w: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Chemicals</w:t>
            </w:r>
          </w:p>
        </w:tc>
        <w:tc>
          <w:tcPr>
            <w:tcW w:w="220" w:type="dxa"/>
            <w:vAlign w:val="bottom"/>
          </w:tcPr>
          <w:p>
            <w:pPr>
              <w:spacing w:after="0"/>
              <w:rPr>
                <w:sz w:val="20"/>
                <w:szCs w:val="20"/>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b w:val="1"/>
                <w:bCs w:val="1"/>
                <w:color w:val="auto"/>
              </w:rPr>
              <w:t>Brand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1"/>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r>
      <w:tr>
        <w:trPr>
          <w:trHeight w:val="21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r>
        <w:trPr>
          <w:trHeight w:val="22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4"/>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88"/>
              </w:rPr>
              <w:t>June 30, 2020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Advanced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Digital</w:t>
            </w:r>
          </w:p>
        </w:tc>
        <w:tc>
          <w:tcPr>
            <w:tcW w:w="13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302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Printing</w:t>
            </w:r>
          </w:p>
        </w:tc>
        <w:tc>
          <w:tcPr>
            <w:tcW w:w="180" w:type="dxa"/>
            <w:vAlign w:val="bottom"/>
          </w:tcPr>
          <w:p>
            <w:pPr>
              <w:spacing w:after="0"/>
              <w:rPr>
                <w:sz w:val="20"/>
                <w:szCs w:val="20"/>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Printing</w:t>
            </w: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Chemicals</w:t>
            </w:r>
          </w:p>
        </w:tc>
        <w:tc>
          <w:tcPr>
            <w:tcW w:w="220" w:type="dxa"/>
            <w:vAlign w:val="bottom"/>
          </w:tcPr>
          <w:p>
            <w:pPr>
              <w:spacing w:after="0"/>
              <w:rPr>
                <w:sz w:val="20"/>
                <w:szCs w:val="20"/>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b w:val="1"/>
                <w:bCs w:val="1"/>
                <w:color w:val="auto"/>
              </w:rPr>
              <w:t>Brand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1"/>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r>
      <w:tr>
        <w:trPr>
          <w:trHeight w:val="21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89"/>
              </w:rPr>
              <w:t>Six Months Ended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88"/>
              </w:rPr>
              <w:t>June 30, 2020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Advanced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Digital</w:t>
            </w:r>
          </w:p>
        </w:tc>
        <w:tc>
          <w:tcPr>
            <w:tcW w:w="13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302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Printing</w:t>
            </w:r>
          </w:p>
        </w:tc>
        <w:tc>
          <w:tcPr>
            <w:tcW w:w="180" w:type="dxa"/>
            <w:vAlign w:val="bottom"/>
          </w:tcPr>
          <w:p>
            <w:pPr>
              <w:spacing w:after="0"/>
              <w:rPr>
                <w:sz w:val="20"/>
                <w:szCs w:val="20"/>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Printing</w:t>
            </w: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Chemicals</w:t>
            </w:r>
          </w:p>
        </w:tc>
        <w:tc>
          <w:tcPr>
            <w:tcW w:w="220" w:type="dxa"/>
            <w:vAlign w:val="bottom"/>
          </w:tcPr>
          <w:p>
            <w:pPr>
              <w:spacing w:after="0"/>
              <w:rPr>
                <w:sz w:val="20"/>
                <w:szCs w:val="20"/>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b w:val="1"/>
                <w:bCs w:val="1"/>
                <w:color w:val="auto"/>
              </w:rPr>
              <w:t>Brand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1"/>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r>
      <w:tr>
        <w:trPr>
          <w:trHeight w:val="21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2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2" w:name="page23"/>
    <w:bookmarkEnd w:id="22"/>
    <w:p>
      <w:pPr>
        <w:ind w:left="560" w:right="520" w:hanging="553"/>
        <w:spacing w:after="0" w:line="282" w:lineRule="auto"/>
        <w:tabs>
          <w:tab w:leader="none" w:pos="560" w:val="left"/>
        </w:tabs>
        <w:numPr>
          <w:ilvl w:val="0"/>
          <w:numId w:val="6"/>
        </w:numPr>
        <w:rPr>
          <w:rFonts w:ascii="Arial" w:cs="Arial" w:eastAsia="Arial" w:hAnsi="Arial"/>
          <w:sz w:val="13"/>
          <w:szCs w:val="13"/>
          <w:color w:val="auto"/>
        </w:rPr>
      </w:pPr>
      <w:r>
        <w:rPr>
          <w:rFonts w:ascii="Arial" w:cs="Arial" w:eastAsia="Arial" w:hAnsi="Arial"/>
          <w:sz w:val="16"/>
          <w:szCs w:val="16"/>
          <w:color w:val="auto"/>
        </w:rPr>
        <w:t>Growth engines consist of Sonora in the Traditional Printing segment, PROSPER and Software in the Digital Printing segment, and Advanced Materials and Functional Printing in the Advanced Materials and Chemicals segment, excluding intellectual property (“IP”) licensing.</w:t>
      </w:r>
    </w:p>
    <w:p>
      <w:pPr>
        <w:spacing w:after="0" w:line="89" w:lineRule="exact"/>
        <w:rPr>
          <w:rFonts w:ascii="Arial" w:cs="Arial" w:eastAsia="Arial" w:hAnsi="Arial"/>
          <w:sz w:val="13"/>
          <w:szCs w:val="13"/>
          <w:color w:val="auto"/>
        </w:rPr>
      </w:pPr>
    </w:p>
    <w:p>
      <w:pPr>
        <w:ind w:left="560" w:right="40" w:hanging="553"/>
        <w:spacing w:after="0" w:line="222" w:lineRule="auto"/>
        <w:tabs>
          <w:tab w:leader="none" w:pos="560" w:val="left"/>
        </w:tabs>
        <w:numPr>
          <w:ilvl w:val="0"/>
          <w:numId w:val="6"/>
        </w:numPr>
        <w:rPr>
          <w:rFonts w:ascii="Arial" w:cs="Arial" w:eastAsia="Arial" w:hAnsi="Arial"/>
          <w:sz w:val="15"/>
          <w:szCs w:val="15"/>
          <w:color w:val="auto"/>
        </w:rPr>
      </w:pPr>
      <w:r>
        <w:rPr>
          <w:rFonts w:ascii="Arial" w:cs="Arial" w:eastAsia="Arial" w:hAnsi="Arial"/>
          <w:sz w:val="18"/>
          <w:szCs w:val="18"/>
          <w:color w:val="auto"/>
        </w:rPr>
        <w:t>Strategic other businesses include plates in the Traditional Printing segment; Computer to Plate (“CTP”) equipment and related service and Nexpress and related toner business in the Digital Printing segment and Motion Picture and Industrial Film and Chemicals (including external inks) and IP licensing in the Advanced Materials and Chemicals segment and the Brand segment.</w:t>
      </w:r>
    </w:p>
    <w:p>
      <w:pPr>
        <w:spacing w:after="0" w:line="121" w:lineRule="exact"/>
        <w:rPr>
          <w:rFonts w:ascii="Arial" w:cs="Arial" w:eastAsia="Arial" w:hAnsi="Arial"/>
          <w:sz w:val="15"/>
          <w:szCs w:val="15"/>
          <w:color w:val="auto"/>
        </w:rPr>
      </w:pPr>
    </w:p>
    <w:p>
      <w:pPr>
        <w:ind w:left="560" w:right="120" w:hanging="553"/>
        <w:spacing w:after="0" w:line="254" w:lineRule="auto"/>
        <w:tabs>
          <w:tab w:leader="none" w:pos="560" w:val="left"/>
        </w:tabs>
        <w:numPr>
          <w:ilvl w:val="0"/>
          <w:numId w:val="6"/>
        </w:numPr>
        <w:rPr>
          <w:rFonts w:ascii="Arial" w:cs="Arial" w:eastAsia="Arial" w:hAnsi="Arial"/>
          <w:sz w:val="13"/>
          <w:szCs w:val="13"/>
          <w:color w:val="auto"/>
        </w:rPr>
      </w:pPr>
      <w:r>
        <w:rPr>
          <w:rFonts w:ascii="Arial" w:cs="Arial" w:eastAsia="Arial" w:hAnsi="Arial"/>
          <w:sz w:val="16"/>
          <w:szCs w:val="16"/>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Kodak Services for Business in the Advanced Materials and Chemicals segment and Versamark and Digimaster in the Digital Printing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Geography </w:t>
      </w:r>
      <w:r>
        <w:rPr>
          <w:rFonts w:ascii="Arial" w:cs="Arial" w:eastAsia="Arial" w:hAnsi="Arial"/>
          <w:sz w:val="15"/>
          <w:szCs w:val="15"/>
          <w:b w:val="1"/>
          <w:bCs w:val="1"/>
          <w:color w:val="auto"/>
        </w:rPr>
        <w:t>(1):</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Advanced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Traditional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b w:val="1"/>
                <w:bCs w:val="1"/>
                <w:color w:val="auto"/>
                <w:w w:val="90"/>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080" w:type="dxa"/>
            <w:vAlign w:val="bottom"/>
          </w:tcPr>
          <w:p>
            <w:pPr>
              <w:jc w:val="center"/>
              <w:ind w:right="71"/>
              <w:spacing w:after="0"/>
              <w:rPr>
                <w:sz w:val="20"/>
                <w:szCs w:val="20"/>
                <w:color w:val="auto"/>
              </w:rPr>
            </w:pPr>
            <w:r>
              <w:rPr>
                <w:rFonts w:ascii="Arial" w:cs="Arial" w:eastAsia="Arial" w:hAnsi="Arial"/>
                <w:sz w:val="18"/>
                <w:szCs w:val="18"/>
                <w:b w:val="1"/>
                <w:bCs w:val="1"/>
                <w:color w:val="auto"/>
                <w:w w:val="94"/>
              </w:rPr>
              <w:t>Printing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b w:val="1"/>
                <w:bCs w:val="1"/>
                <w:color w:val="auto"/>
                <w:w w:val="91"/>
              </w:rPr>
              <w:t>Printing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1"/>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1"/>
        </w:trPr>
        <w:tc>
          <w:tcPr>
            <w:tcW w:w="2860" w:type="dxa"/>
            <w:vAlign w:val="bottom"/>
            <w:tcBorders>
              <w:top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28"/>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r>
      <w:tr>
        <w:trPr>
          <w:trHeight w:val="227"/>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1"/>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9"/>
              </w:rPr>
              <w:t>Six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8"/>
              </w:rPr>
              <w:t>June 30, 2021</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Advanced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Traditional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b w:val="1"/>
                <w:bCs w:val="1"/>
                <w:color w:val="auto"/>
                <w:w w:val="90"/>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080" w:type="dxa"/>
            <w:vAlign w:val="bottom"/>
          </w:tcPr>
          <w:p>
            <w:pPr>
              <w:jc w:val="center"/>
              <w:ind w:right="71"/>
              <w:spacing w:after="0"/>
              <w:rPr>
                <w:sz w:val="20"/>
                <w:szCs w:val="20"/>
                <w:color w:val="auto"/>
              </w:rPr>
            </w:pPr>
            <w:r>
              <w:rPr>
                <w:rFonts w:ascii="Arial" w:cs="Arial" w:eastAsia="Arial" w:hAnsi="Arial"/>
                <w:sz w:val="18"/>
                <w:szCs w:val="18"/>
                <w:b w:val="1"/>
                <w:bCs w:val="1"/>
                <w:color w:val="auto"/>
                <w:w w:val="94"/>
              </w:rPr>
              <w:t>Printing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b w:val="1"/>
                <w:bCs w:val="1"/>
                <w:color w:val="auto"/>
                <w:w w:val="91"/>
              </w:rPr>
              <w:t>Printing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1"/>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1"/>
        </w:trPr>
        <w:tc>
          <w:tcPr>
            <w:tcW w:w="28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28"/>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r>
      <w:tr>
        <w:trPr>
          <w:trHeight w:val="227"/>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21"/>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w w:val="99"/>
              </w:rPr>
              <w:t>[23]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3" w:name="page24"/>
    <w:bookmarkEnd w:id="23"/>
    <w:p>
      <w:pPr>
        <w:jc w:val="center"/>
        <w:ind w:right="80"/>
        <w:spacing w:after="0"/>
        <w:rPr>
          <w:sz w:val="20"/>
          <w:szCs w:val="20"/>
          <w:color w:val="auto"/>
        </w:rPr>
      </w:pPr>
      <w:r>
        <w:rPr>
          <w:rFonts w:ascii="Arial" w:cs="Arial" w:eastAsia="Arial" w:hAnsi="Arial"/>
          <w:sz w:val="18"/>
          <w:szCs w:val="18"/>
          <w:b w:val="1"/>
          <w:bCs w:val="1"/>
          <w:color w:val="auto"/>
        </w:rPr>
        <w:t>Three Months Ended</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June 30,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98"/>
              <w:spacing w:after="0"/>
              <w:rPr>
                <w:sz w:val="20"/>
                <w:szCs w:val="20"/>
                <w:color w:val="auto"/>
              </w:rPr>
            </w:pPr>
            <w:r>
              <w:rPr>
                <w:rFonts w:ascii="Arial" w:cs="Arial" w:eastAsia="Arial" w:hAnsi="Arial"/>
                <w:sz w:val="18"/>
                <w:szCs w:val="18"/>
                <w:b w:val="1"/>
                <w:bCs w:val="1"/>
                <w:color w:val="auto"/>
                <w:w w:val="88"/>
              </w:rPr>
              <w:t>Advanced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Traditional</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Materials 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2"/>
        </w:trPr>
        <w:tc>
          <w:tcPr>
            <w:tcW w:w="2560" w:type="dxa"/>
            <w:vAlign w:val="bottom"/>
          </w:tcPr>
          <w:p>
            <w:pPr>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Printing</w:t>
            </w: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Digital Printing</w:t>
            </w:r>
          </w:p>
        </w:tc>
        <w:tc>
          <w:tcPr>
            <w:tcW w:w="980" w:type="dxa"/>
            <w:vAlign w:val="bottom"/>
          </w:tcPr>
          <w:p>
            <w:pPr>
              <w:jc w:val="center"/>
              <w:ind w:left="98"/>
              <w:spacing w:after="0"/>
              <w:rPr>
                <w:sz w:val="20"/>
                <w:szCs w:val="20"/>
                <w:color w:val="auto"/>
              </w:rPr>
            </w:pPr>
            <w:r>
              <w:rPr>
                <w:rFonts w:ascii="Arial" w:cs="Arial" w:eastAsia="Arial" w:hAnsi="Arial"/>
                <w:sz w:val="18"/>
                <w:szCs w:val="18"/>
                <w:b w:val="1"/>
                <w:bCs w:val="1"/>
                <w:color w:val="auto"/>
                <w:w w:val="88"/>
              </w:rPr>
              <w:t>Chemicals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1"/>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1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Canada</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FF0FC"/>
            </w:tcBorders>
          </w:tcPr>
          <w:p>
            <w:pPr>
              <w:spacing w:after="0"/>
              <w:rPr>
                <w:sz w:val="19"/>
                <w:szCs w:val="19"/>
                <w:color w:val="auto"/>
              </w:rPr>
            </w:pPr>
          </w:p>
        </w:tc>
      </w:tr>
      <w:tr>
        <w:trPr>
          <w:trHeight w:val="221"/>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19"/>
                <w:szCs w:val="19"/>
                <w:color w:val="auto"/>
              </w:rPr>
            </w:pPr>
          </w:p>
        </w:tc>
      </w:tr>
      <w:tr>
        <w:trPr>
          <w:trHeight w:val="220"/>
        </w:trPr>
        <w:tc>
          <w:tcPr>
            <w:tcW w:w="25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r>
      <w:tr>
        <w:trPr>
          <w:trHeight w:val="228"/>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FF0FC"/>
          </w:tcPr>
          <w:p>
            <w:pPr>
              <w:spacing w:after="0"/>
              <w:rPr>
                <w:sz w:val="19"/>
                <w:szCs w:val="19"/>
                <w:color w:val="auto"/>
              </w:rPr>
            </w:pPr>
          </w:p>
        </w:tc>
      </w:tr>
      <w:tr>
        <w:trPr>
          <w:trHeight w:val="227"/>
        </w:trPr>
        <w:tc>
          <w:tcPr>
            <w:tcW w:w="2560" w:type="dxa"/>
            <w:vAlign w:val="bottom"/>
          </w:tcPr>
          <w:p>
            <w:pPr>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221"/>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1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4"/>
          </w:tcPr>
          <w:p>
            <w:pPr>
              <w:jc w:val="right"/>
              <w:ind w:right="398"/>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1"/>
        </w:trPr>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gridSpan w:val="4"/>
          </w:tcPr>
          <w:p>
            <w:pPr>
              <w:jc w:val="right"/>
              <w:ind w:right="578"/>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8"/>
        </w:trPr>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left="98"/>
              <w:spacing w:after="0"/>
              <w:rPr>
                <w:sz w:val="20"/>
                <w:szCs w:val="20"/>
                <w:color w:val="auto"/>
              </w:rPr>
            </w:pPr>
            <w:r>
              <w:rPr>
                <w:rFonts w:ascii="Arial" w:cs="Arial" w:eastAsia="Arial" w:hAnsi="Arial"/>
                <w:sz w:val="18"/>
                <w:szCs w:val="18"/>
                <w:b w:val="1"/>
                <w:bCs w:val="1"/>
                <w:color w:val="auto"/>
                <w:w w:val="88"/>
              </w:rPr>
              <w:t>Advanced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Traditional</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Materials 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2"/>
        </w:trPr>
        <w:tc>
          <w:tcPr>
            <w:tcW w:w="2560" w:type="dxa"/>
            <w:vAlign w:val="bottom"/>
          </w:tcPr>
          <w:p>
            <w:pPr>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Printing</w:t>
            </w: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Digital Printing</w:t>
            </w:r>
          </w:p>
        </w:tc>
        <w:tc>
          <w:tcPr>
            <w:tcW w:w="980" w:type="dxa"/>
            <w:vAlign w:val="bottom"/>
          </w:tcPr>
          <w:p>
            <w:pPr>
              <w:jc w:val="center"/>
              <w:ind w:left="98"/>
              <w:spacing w:after="0"/>
              <w:rPr>
                <w:sz w:val="20"/>
                <w:szCs w:val="20"/>
                <w:color w:val="auto"/>
              </w:rPr>
            </w:pPr>
            <w:r>
              <w:rPr>
                <w:rFonts w:ascii="Arial" w:cs="Arial" w:eastAsia="Arial" w:hAnsi="Arial"/>
                <w:sz w:val="18"/>
                <w:szCs w:val="18"/>
                <w:b w:val="1"/>
                <w:bCs w:val="1"/>
                <w:color w:val="auto"/>
                <w:w w:val="88"/>
              </w:rPr>
              <w:t>Chemicals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1"/>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1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55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Canada</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FF0FC"/>
            </w:tcBorders>
          </w:tcPr>
          <w:p>
            <w:pPr>
              <w:spacing w:after="0"/>
              <w:rPr>
                <w:sz w:val="19"/>
                <w:szCs w:val="19"/>
                <w:color w:val="auto"/>
              </w:rPr>
            </w:pPr>
          </w:p>
        </w:tc>
      </w:tr>
      <w:tr>
        <w:trPr>
          <w:trHeight w:val="221"/>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19"/>
                <w:szCs w:val="19"/>
                <w:color w:val="auto"/>
              </w:rPr>
            </w:pPr>
          </w:p>
        </w:tc>
      </w:tr>
      <w:tr>
        <w:trPr>
          <w:trHeight w:val="220"/>
        </w:trPr>
        <w:tc>
          <w:tcPr>
            <w:tcW w:w="25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9"/>
                <w:szCs w:val="19"/>
                <w:color w:val="auto"/>
              </w:rPr>
            </w:pPr>
          </w:p>
        </w:tc>
      </w:tr>
      <w:tr>
        <w:trPr>
          <w:trHeight w:val="228"/>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FF0FC"/>
          </w:tcPr>
          <w:p>
            <w:pPr>
              <w:spacing w:after="0"/>
              <w:rPr>
                <w:sz w:val="19"/>
                <w:szCs w:val="19"/>
                <w:color w:val="auto"/>
              </w:rPr>
            </w:pPr>
          </w:p>
        </w:tc>
      </w:tr>
      <w:tr>
        <w:trPr>
          <w:trHeight w:val="227"/>
        </w:trPr>
        <w:tc>
          <w:tcPr>
            <w:tcW w:w="2560" w:type="dxa"/>
            <w:vAlign w:val="bottom"/>
          </w:tcPr>
          <w:p>
            <w:pPr>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21"/>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1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ind w:left="720" w:hanging="352"/>
        <w:spacing w:after="0"/>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Sales are reported in the geographic area in which they originate.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both June 30, 2021 and December 31, 2020 were $2 million and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June 30, 2021 and December 31, 2020 were $61 million and $64 million, respectively, of which $45 million and $47 million are reported in Other current liabilities, respectively, and $16 million and $17 million, respectively, are reported in Other long-term liabilities in the Consolidated Statement of Financial Position.</w:t>
      </w:r>
    </w:p>
    <w:p>
      <w:pPr>
        <w:spacing w:after="0" w:line="22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Revenue recognized for the three and six months ended June 30, 2021 and 2020 that was included in the contract liability balance at the beginning of the year was $6 million and $31 million in 2021, respectively, and $5 million and $31 million in 2020, respectively, and primarily represented revenue from prepaid service contracts and equipment revenue recognition. Contract liabilities as of June 30, 2021 included $22 million and $26 million of cash payments received during the three and six months ended June 30, 2021, respectively. Contract liabilities as of June 30, 2020 included $19 million and $21 million of cash payments received during the three and six months ended June 30, 2020,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4" w:name="page25"/>
    <w:bookmarkEnd w:id="24"/>
    <w:p>
      <w:pPr>
        <w:ind w:right="120"/>
        <w:spacing w:after="0" w:line="293" w:lineRule="auto"/>
        <w:rPr>
          <w:sz w:val="20"/>
          <w:szCs w:val="20"/>
          <w:color w:val="auto"/>
        </w:rPr>
      </w:pPr>
      <w:r>
        <w:rPr>
          <w:rFonts w:ascii="Arial" w:cs="Arial" w:eastAsia="Arial" w:hAnsi="Arial"/>
          <w:sz w:val="16"/>
          <w:szCs w:val="16"/>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June 30, 2021, there was approximately $70 million of unrecognized revenue from unsatisfied performance obligations. Approximately 15% of the revenue from unsatisfied performance obligations is expected to be recognized in the remainder of 2021, 30% in 2022, 30% in 2023 and 2024 and 25% thereafter.</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NOTE 11: OTHER OPERATING INCOME, NET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24"/>
                <w:szCs w:val="24"/>
                <w:color w:val="auto"/>
              </w:rPr>
            </w:pPr>
          </w:p>
        </w:tc>
        <w:tc>
          <w:tcPr>
            <w:tcW w:w="19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Legal settlements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15"/>
                <w:szCs w:val="15"/>
                <w:color w:val="auto"/>
              </w:rPr>
              <w:t>(1)</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5"/>
                <w:szCs w:val="15"/>
                <w:color w:val="auto"/>
              </w:rPr>
              <w:t>(2)</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 income</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vMerge w:val="continue"/>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1600" w:hanging="470"/>
        <w:spacing w:after="0"/>
        <w:tabs>
          <w:tab w:leader="none" w:pos="160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March 2020 Kodak sold a property in the U.S.</w:t>
      </w:r>
    </w:p>
    <w:p>
      <w:pPr>
        <w:spacing w:after="0" w:line="247" w:lineRule="exact"/>
        <w:rPr>
          <w:rFonts w:ascii="Arial" w:cs="Arial" w:eastAsia="Arial" w:hAnsi="Arial"/>
          <w:sz w:val="15"/>
          <w:szCs w:val="15"/>
          <w:color w:val="auto"/>
        </w:rPr>
      </w:pPr>
    </w:p>
    <w:p>
      <w:pPr>
        <w:ind w:left="1600" w:hanging="470"/>
        <w:spacing w:after="0"/>
        <w:tabs>
          <w:tab w:leader="none" w:pos="160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the first quarter of 2020 Kodak recorded a pre-tax impairment charge of the Kodak trade name.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6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12: OTHER CHARGES (INCOME), NET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6"/>
              </w:rPr>
              <w:t>Three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(in millions)</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foreign exchange transactions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9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Change in fair value of embedded conversion features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 xml:space="preserve">derivative liability </w:t>
            </w:r>
            <w:r>
              <w:rPr>
                <w:rFonts w:ascii="Arial" w:cs="Arial" w:eastAsia="Arial" w:hAnsi="Arial"/>
                <w:sz w:val="15"/>
                <w:szCs w:val="15"/>
                <w:color w:val="auto"/>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(1)</w:t>
            </w:r>
          </w:p>
        </w:tc>
        <w:tc>
          <w:tcPr>
            <w:tcW w:w="4200" w:type="dxa"/>
            <w:vAlign w:val="bottom"/>
            <w:vMerge w:val="restart"/>
          </w:tcPr>
          <w:p>
            <w:pPr>
              <w:ind w:left="320"/>
              <w:spacing w:after="0"/>
              <w:rPr>
                <w:sz w:val="20"/>
                <w:szCs w:val="20"/>
                <w:color w:val="auto"/>
              </w:rPr>
            </w:pPr>
            <w:r>
              <w:rPr>
                <w:rFonts w:ascii="Arial" w:cs="Arial" w:eastAsia="Arial" w:hAnsi="Arial"/>
                <w:sz w:val="18"/>
                <w:szCs w:val="18"/>
                <w:color w:val="auto"/>
              </w:rPr>
              <w:t>Refer to Note 20, “Financial Instruments”.</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260" w:type="dxa"/>
            <w:vAlign w:val="bottom"/>
            <w:gridSpan w:val="2"/>
            <w:vMerge w:val="continue"/>
          </w:tcPr>
          <w:p>
            <w:pPr>
              <w:spacing w:after="0"/>
              <w:rPr>
                <w:sz w:val="24"/>
                <w:szCs w:val="24"/>
                <w:color w:val="auto"/>
              </w:rPr>
            </w:pPr>
          </w:p>
        </w:tc>
        <w:tc>
          <w:tcPr>
            <w:tcW w:w="4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NOTE 13: INCOME TAXES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460" w:type="dxa"/>
            <w:vAlign w:val="bottom"/>
            <w:gridSpan w:val="3"/>
          </w:tcPr>
          <w:p>
            <w:pPr>
              <w:spacing w:after="0"/>
              <w:rPr>
                <w:sz w:val="20"/>
                <w:szCs w:val="20"/>
                <w:color w:val="auto"/>
              </w:rPr>
            </w:pPr>
            <w:r>
              <w:rPr>
                <w:rFonts w:ascii="Arial" w:cs="Arial" w:eastAsia="Arial" w:hAnsi="Arial"/>
                <w:sz w:val="18"/>
                <w:szCs w:val="18"/>
                <w:color w:val="auto"/>
              </w:rPr>
              <w:t>Kodak’s income tax provision and effective tax rate were as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8"/>
          </w:tcPr>
          <w:p>
            <w:pPr>
              <w:jc w:val="right"/>
              <w:ind w:right="50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w w:val="98"/>
              </w:rPr>
              <w:t>Six Months Ended</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(in millions)</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84"/>
              </w:rPr>
              <w:t>2020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(loss) from operations before income taxes</w:t>
            </w: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Provision (benefit) for income taxes at U.S. statutory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tax rate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1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40" w:type="dxa"/>
            <w:vAlign w:val="bottom"/>
          </w:tcPr>
          <w:p>
            <w:pPr>
              <w:spacing w:after="0"/>
              <w:rPr>
                <w:sz w:val="19"/>
                <w:szCs w:val="19"/>
                <w:color w:val="auto"/>
              </w:rPr>
            </w:pPr>
          </w:p>
        </w:tc>
        <w:tc>
          <w:tcPr>
            <w:tcW w:w="4320" w:type="dxa"/>
            <w:vAlign w:val="bottom"/>
            <w:gridSpan w:val="2"/>
            <w:vMerge w:val="continue"/>
            <w:shd w:val="clear" w:color="auto" w:fill="CFF0FC"/>
          </w:tcPr>
          <w:p>
            <w:pPr>
              <w:spacing w:after="0"/>
              <w:rPr>
                <w:sz w:val="19"/>
                <w:szCs w:val="19"/>
                <w:color w:val="auto"/>
              </w:rPr>
            </w:pP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FF0FC"/>
            </w:tcBorders>
            <w:shd w:val="clear" w:color="auto" w:fill="CFF0FC"/>
          </w:tcPr>
          <w:p>
            <w:pPr>
              <w:spacing w:after="0"/>
              <w:rPr>
                <w:sz w:val="19"/>
                <w:szCs w:val="19"/>
                <w:color w:val="auto"/>
              </w:rPr>
            </w:pPr>
          </w:p>
        </w:tc>
        <w:tc>
          <w:tcPr>
            <w:tcW w:w="2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2021, the difference between Kodak’s effective tax rate and the U.S. statutory rate of 21.0% is primarily attributable to:</w:t>
      </w:r>
    </w:p>
    <w:p>
      <w:pPr>
        <w:spacing w:after="0" w:line="43" w:lineRule="exact"/>
        <w:rPr>
          <w:sz w:val="20"/>
          <w:szCs w:val="20"/>
          <w:color w:val="auto"/>
        </w:rPr>
      </w:pPr>
    </w:p>
    <w:p>
      <w:pPr>
        <w:ind w:right="20" w:firstLine="7"/>
        <w:spacing w:after="0" w:line="256"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related to existing valuation allowances associated with changes in net deferred tax assets from current earnings and losses and (2) the results from operations in jurisdictions outside the U.S.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339" w:right="4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For the six months ended June 30, 2021, the difference between Kodak’s effective tax rate and the U.S. statutory rate of 21.0% is primarily attributable to:</w:t>
      </w:r>
    </w:p>
    <w:p>
      <w:pPr>
        <w:spacing w:after="0" w:line="43" w:lineRule="exact"/>
        <w:rPr>
          <w:sz w:val="20"/>
          <w:szCs w:val="20"/>
          <w:color w:val="auto"/>
        </w:rPr>
      </w:pPr>
    </w:p>
    <w:p>
      <w:pPr>
        <w:ind w:right="160" w:firstLine="7"/>
        <w:spacing w:after="0" w:line="252" w:lineRule="auto"/>
        <w:tabs>
          <w:tab w:leader="none" w:pos="2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quarter ended March 31, 2021, Kodak agreed to terms with a taxing authority outside the U.S. and settled open tax audits for years through 2014. For these years, Kodak originally recorded liabilities for unrecognized tax positions totaling $3 million (plus interest of approximately $4 million), which were substantially offset by pre-paid assets.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2020, the difference between Kodak’s effective tax rate and the U.S. statutory rate of 21.0% is primarily attributable to:</w:t>
      </w:r>
    </w:p>
    <w:p>
      <w:pPr>
        <w:spacing w:after="0" w:line="43" w:lineRule="exact"/>
        <w:rPr>
          <w:sz w:val="20"/>
          <w:szCs w:val="20"/>
          <w:color w:val="auto"/>
        </w:rPr>
      </w:pPr>
    </w:p>
    <w:p>
      <w:pPr>
        <w:ind w:right="320" w:firstLine="7"/>
        <w:spacing w:after="0" w:line="318" w:lineRule="auto"/>
        <w:tabs>
          <w:tab w:leader="none" w:pos="2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related to existing valuation allowances associated with changes in net deferred tax assets from current earnings and losses, (2) the results from operations in jurisdictions outside the U.S. and (3) a provision associated with foreign withholding taxes on undistributed earnings.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2020, the difference between Kodak’s effective tax rate and the U.S. statutory rate of 21.0% is primarily attributable to:</w:t>
      </w:r>
    </w:p>
    <w:p>
      <w:pPr>
        <w:spacing w:after="0" w:line="43" w:lineRule="exact"/>
        <w:rPr>
          <w:sz w:val="20"/>
          <w:szCs w:val="20"/>
          <w:color w:val="auto"/>
        </w:rPr>
      </w:pPr>
    </w:p>
    <w:p>
      <w:pPr>
        <w:jc w:val="both"/>
        <w:ind w:right="440" w:firstLine="7"/>
        <w:spacing w:after="0" w:line="252" w:lineRule="auto"/>
        <w:tabs>
          <w:tab w:leader="none" w:pos="2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provision of $167 million associated with the establishment of valuation allowances in certain outside U.S. jurisdictions, (2) the impact related to existing valuation allowances associated with changes in net deferred tax assets from current earnings and losses and (3) the results from operations in jurisdictions outside the U.S.</w:t>
      </w:r>
    </w:p>
    <w:p>
      <w:pPr>
        <w:spacing w:after="0" w:line="19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Kodak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Kodak considers the scheduled reversal of deferred tax liabilities and assets, available taxes in carryback periods, tax planning strategies and projected future taxable income in making this assessment.</w:t>
      </w:r>
    </w:p>
    <w:p>
      <w:pPr>
        <w:spacing w:after="0" w:line="22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217"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Additionally, on February 21, 2020, Kodak agreed to terms with the IRS and settled the federal audit for calendar years 2013 and 2014. For these years, Kodak originally recorded a federal unrecognized tax position totaling $41 million, which was fully offset by tax attributes. This settlement resulted in an increase in net deferred tax assets and was fully offset by a corresponding increase in Kodak’s U.S. valuation allowance, resulting in no net tax benefit.</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339"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1"/>
        </w:trPr>
        <w:tc>
          <w:tcPr>
            <w:tcW w:w="6540" w:type="dxa"/>
            <w:vAlign w:val="bottom"/>
            <w:gridSpan w:val="12"/>
          </w:tcPr>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5"/>
        </w:trPr>
        <w:tc>
          <w:tcPr>
            <w:tcW w:w="8080" w:type="dxa"/>
            <w:vAlign w:val="bottom"/>
            <w:gridSpan w:val="18"/>
          </w:tcPr>
          <w:p>
            <w:pPr>
              <w:spacing w:after="0"/>
              <w:rPr>
                <w:sz w:val="20"/>
                <w:szCs w:val="20"/>
                <w:color w:val="auto"/>
              </w:rPr>
            </w:pPr>
            <w:r>
              <w:rPr>
                <w:rFonts w:ascii="Arial" w:cs="Arial" w:eastAsia="Arial" w:hAnsi="Arial"/>
                <w:sz w:val="18"/>
                <w:szCs w:val="18"/>
                <w:color w:val="auto"/>
                <w:w w:val="90"/>
              </w:rPr>
              <w:t>Components of the net periodic benefit cost for all major U.S. and non-U.S. defined benefit plans are as follows: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6"/>
              </w:rPr>
              <w:t>Six Months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2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8"/>
                <w:szCs w:val="18"/>
                <w:b w:val="1"/>
                <w:bCs w:val="1"/>
                <w:color w:val="auto"/>
              </w:rPr>
              <w:t>June 30,</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2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2780" w:type="dxa"/>
            <w:vAlign w:val="bottom"/>
          </w:tcPr>
          <w:p>
            <w:pPr>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9"/>
                <w:szCs w:val="19"/>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U.S.</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Non-U.S.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U.S.</w:t>
            </w:r>
          </w:p>
        </w:tc>
        <w:tc>
          <w:tcPr>
            <w:tcW w:w="8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9"/>
              </w:rPr>
              <w:t>Non-U.S.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U.S.</w:t>
            </w:r>
          </w:p>
        </w:tc>
        <w:tc>
          <w:tcPr>
            <w:tcW w:w="8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9"/>
              </w:rPr>
              <w:t>Non-U.S.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w w:val="89"/>
              </w:rPr>
              <w:t>Non-U.S.</w:t>
            </w:r>
          </w:p>
        </w:tc>
        <w:tc>
          <w:tcPr>
            <w:tcW w:w="100" w:type="dxa"/>
            <w:vAlign w:val="bottom"/>
          </w:tcPr>
          <w:p>
            <w:pPr>
              <w:spacing w:after="0"/>
              <w:rPr>
                <w:sz w:val="19"/>
                <w:szCs w:val="19"/>
                <w:color w:val="auto"/>
              </w:rPr>
            </w:pPr>
          </w:p>
        </w:tc>
      </w:tr>
      <w:tr>
        <w:trPr>
          <w:trHeight w:val="221"/>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78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0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8"/>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7"/>
        </w:trPr>
        <w:tc>
          <w:tcPr>
            <w:tcW w:w="27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(98)</w:t>
            </w:r>
          </w:p>
        </w:tc>
        <w:tc>
          <w:tcPr>
            <w:tcW w:w="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28"/>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780" w:type="dxa"/>
            <w:vAlign w:val="bottom"/>
          </w:tcPr>
          <w:p>
            <w:pPr>
              <w:ind w:left="120"/>
              <w:spacing w:after="0"/>
              <w:rPr>
                <w:sz w:val="20"/>
                <w:szCs w:val="20"/>
                <w:color w:val="auto"/>
              </w:rPr>
            </w:pPr>
            <w:r>
              <w:rPr>
                <w:rFonts w:ascii="Arial" w:cs="Arial" w:eastAsia="Arial" w:hAnsi="Arial"/>
                <w:sz w:val="18"/>
                <w:szCs w:val="18"/>
                <w:color w:val="auto"/>
              </w:rPr>
              <w:t>Prior service credit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2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Actuarial loss</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06"/>
        </w:trPr>
        <w:tc>
          <w:tcPr>
            <w:tcW w:w="2780" w:type="dxa"/>
            <w:vAlign w:val="bottom"/>
          </w:tcPr>
          <w:p>
            <w:pPr>
              <w:spacing w:after="0"/>
              <w:rPr>
                <w:sz w:val="20"/>
                <w:szCs w:val="20"/>
                <w:color w:val="auto"/>
              </w:rPr>
            </w:pPr>
            <w:r>
              <w:rPr>
                <w:rFonts w:ascii="Arial" w:cs="Arial" w:eastAsia="Arial" w:hAnsi="Arial"/>
                <w:sz w:val="18"/>
                <w:szCs w:val="18"/>
                <w:color w:val="auto"/>
              </w:rPr>
              <w:t>Net pension (income) expense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780" w:type="dxa"/>
            <w:vAlign w:val="bottom"/>
          </w:tcPr>
          <w:p>
            <w:pPr>
              <w:ind w:left="140"/>
              <w:spacing w:after="0"/>
              <w:rPr>
                <w:sz w:val="20"/>
                <w:szCs w:val="20"/>
                <w:color w:val="auto"/>
              </w:rPr>
            </w:pPr>
            <w:r>
              <w:rPr>
                <w:rFonts w:ascii="Arial" w:cs="Arial" w:eastAsia="Arial" w:hAnsi="Arial"/>
                <w:sz w:val="18"/>
                <w:szCs w:val="18"/>
                <w:color w:val="auto"/>
              </w:rPr>
              <w:t>before special termination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780" w:type="dxa"/>
            <w:vAlign w:val="bottom"/>
          </w:tcPr>
          <w:p>
            <w:pPr>
              <w:ind w:left="140"/>
              <w:spacing w:after="0"/>
              <w:rPr>
                <w:sz w:val="20"/>
                <w:szCs w:val="20"/>
                <w:color w:val="auto"/>
              </w:rPr>
            </w:pPr>
            <w:r>
              <w:rPr>
                <w:rFonts w:ascii="Arial" w:cs="Arial" w:eastAsia="Arial" w:hAnsi="Arial"/>
                <w:sz w:val="18"/>
                <w:szCs w:val="18"/>
                <w:color w:val="auto"/>
              </w:rPr>
              <w:t>benefits</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(45)</w:t>
            </w: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6"/>
        </w:trPr>
        <w:tc>
          <w:tcPr>
            <w:tcW w:w="2780" w:type="dxa"/>
            <w:vAlign w:val="bottom"/>
          </w:tcPr>
          <w:p>
            <w:pPr>
              <w:spacing w:after="0"/>
              <w:rPr>
                <w:sz w:val="20"/>
                <w:szCs w:val="20"/>
                <w:color w:val="auto"/>
              </w:rPr>
            </w:pPr>
            <w:r>
              <w:rPr>
                <w:rFonts w:ascii="Arial" w:cs="Arial" w:eastAsia="Arial" w:hAnsi="Arial"/>
                <w:sz w:val="18"/>
                <w:szCs w:val="18"/>
                <w:color w:val="auto"/>
              </w:rPr>
              <w:t>Net pension (income) expense</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780" w:type="dxa"/>
            <w:vAlign w:val="bottom"/>
          </w:tcPr>
          <w:p>
            <w:pPr>
              <w:ind w:left="140"/>
              <w:spacing w:after="0"/>
              <w:rPr>
                <w:sz w:val="20"/>
                <w:szCs w:val="20"/>
                <w:color w:val="auto"/>
              </w:rPr>
            </w:pPr>
            <w:r>
              <w:rPr>
                <w:rFonts w:ascii="Arial" w:cs="Arial" w:eastAsia="Arial" w:hAnsi="Arial"/>
                <w:sz w:val="18"/>
                <w:szCs w:val="18"/>
                <w:color w:val="auto"/>
              </w:rPr>
              <w:t>from major plans</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(44)</w:t>
            </w: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Other plans</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06"/>
        </w:trPr>
        <w:tc>
          <w:tcPr>
            <w:tcW w:w="2780" w:type="dxa"/>
            <w:vAlign w:val="bottom"/>
          </w:tcPr>
          <w:p>
            <w:pPr>
              <w:spacing w:after="0"/>
              <w:rPr>
                <w:sz w:val="20"/>
                <w:szCs w:val="20"/>
                <w:color w:val="auto"/>
              </w:rPr>
            </w:pPr>
            <w:r>
              <w:rPr>
                <w:rFonts w:ascii="Arial" w:cs="Arial" w:eastAsia="Arial" w:hAnsi="Arial"/>
                <w:sz w:val="18"/>
                <w:szCs w:val="18"/>
                <w:color w:val="auto"/>
              </w:rPr>
              <w:t>Total net pension (income)</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780" w:type="dxa"/>
            <w:vAlign w:val="bottom"/>
          </w:tcPr>
          <w:p>
            <w:pPr>
              <w:ind w:left="140"/>
              <w:spacing w:after="0"/>
              <w:rPr>
                <w:sz w:val="20"/>
                <w:szCs w:val="20"/>
                <w:color w:val="auto"/>
              </w:rPr>
            </w:pPr>
            <w:r>
              <w:rPr>
                <w:rFonts w:ascii="Arial" w:cs="Arial" w:eastAsia="Arial" w:hAnsi="Arial"/>
                <w:sz w:val="18"/>
                <w:szCs w:val="18"/>
                <w:color w:val="auto"/>
              </w:rPr>
              <w:t>expense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0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For the six months ended June 30, 2020 the special termination benefits were incurred as a result of Kodak’s restructuring actions and have been included in Restructuring costs and other in the Consolidated Statement of Operations for that period.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1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Basic earnings per share computations are based on the weighted-average number of shares of common stock outstanding during the period. Diluted earnings per share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amounts used to calculate basic and diluted earnings per share for the three and six months ended June 30, 2021 and 2020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8"/>
                <w:szCs w:val="18"/>
                <w:b w:val="1"/>
                <w:bCs w:val="1"/>
                <w:color w:val="auto"/>
                <w:w w:val="97"/>
              </w:rPr>
              <w:t>June 30,</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6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2"/>
            <w:shd w:val="clear" w:color="auto" w:fill="CFF0FC"/>
          </w:tcPr>
          <w:p>
            <w:pPr>
              <w:jc w:val="right"/>
              <w:ind w:right="6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51"/>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FF0FC"/>
          </w:tcPr>
          <w:p>
            <w:pPr>
              <w:jc w:val="right"/>
              <w:ind w:right="57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w w:val="99"/>
              </w:rPr>
              <w:t>Less: Series B preferred stock cash and deemed dividends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0" w:type="dxa"/>
            <w:vAlign w:val="bottom"/>
          </w:tcPr>
          <w:p>
            <w:pPr>
              <w:spacing w:after="0"/>
              <w:rPr>
                <w:sz w:val="20"/>
                <w:szCs w:val="20"/>
                <w:color w:val="auto"/>
              </w:rPr>
            </w:pPr>
          </w:p>
        </w:tc>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Less: Series C preferred stock in-kind and deemed dividends</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8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w w:val="99"/>
              </w:rPr>
              <w:t>Less: Series A preferred stock cash and deemed dividends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0" w:type="dxa"/>
            <w:vAlign w:val="bottom"/>
          </w:tcPr>
          <w:p>
            <w:pPr>
              <w:spacing w:after="0"/>
              <w:rPr>
                <w:sz w:val="20"/>
                <w:szCs w:val="20"/>
                <w:color w:val="auto"/>
              </w:rPr>
            </w:pPr>
          </w:p>
        </w:tc>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Plus: Expiration of Series A preferred stock embedded derivative</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400" w:type="dxa"/>
            <w:vAlign w:val="bottom"/>
            <w:gridSpan w:val="2"/>
          </w:tcPr>
          <w:p>
            <w:pPr>
              <w:ind w:left="560"/>
              <w:spacing w:after="0"/>
              <w:rPr>
                <w:sz w:val="20"/>
                <w:szCs w:val="20"/>
                <w:color w:val="auto"/>
              </w:rPr>
            </w:pPr>
            <w:r>
              <w:rPr>
                <w:rFonts w:ascii="Arial" w:cs="Arial" w:eastAsia="Arial" w:hAnsi="Arial"/>
                <w:sz w:val="18"/>
                <w:szCs w:val="18"/>
                <w:color w:val="auto"/>
              </w:rPr>
              <w:t>Net income (loss) available to common shareholders</w:t>
            </w: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 basic</w:t>
            </w:r>
          </w:p>
        </w:tc>
        <w:tc>
          <w:tcPr>
            <w:tcW w:w="1080" w:type="dxa"/>
            <w:vAlign w:val="bottom"/>
            <w:gridSpan w:val="2"/>
          </w:tcPr>
          <w:p>
            <w:pPr>
              <w:jc w:val="right"/>
              <w:ind w:right="65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0" w:type="dxa"/>
            <w:vAlign w:val="bottom"/>
            <w:vMerge w:val="continue"/>
          </w:tcPr>
          <w:p>
            <w:pPr>
              <w:spacing w:after="0"/>
              <w:rPr>
                <w:sz w:val="20"/>
                <w:szCs w:val="20"/>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Add back: Series B preferred stock cash and deemed</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080" w:type="dxa"/>
            <w:vAlign w:val="bottom"/>
            <w:gridSpan w:val="2"/>
          </w:tcPr>
          <w:p>
            <w:pPr>
              <w:jc w:val="right"/>
              <w:ind w:right="65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 back: Series C preferred stock cash and deemed</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w:t>
            </w:r>
          </w:p>
        </w:tc>
        <w:tc>
          <w:tcPr>
            <w:tcW w:w="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00" w:type="dxa"/>
            <w:vAlign w:val="bottom"/>
            <w:gridSpan w:val="2"/>
          </w:tcPr>
          <w:p>
            <w:pPr>
              <w:ind w:left="560"/>
              <w:spacing w:after="0"/>
              <w:rPr>
                <w:sz w:val="20"/>
                <w:szCs w:val="20"/>
                <w:color w:val="auto"/>
              </w:rPr>
            </w:pPr>
            <w:r>
              <w:rPr>
                <w:rFonts w:ascii="Arial" w:cs="Arial" w:eastAsia="Arial" w:hAnsi="Arial"/>
                <w:sz w:val="18"/>
                <w:szCs w:val="18"/>
                <w:color w:val="auto"/>
                <w:w w:val="98"/>
              </w:rPr>
              <w:t>Net income (loss) available to common shareholders - diluted</w:t>
            </w:r>
          </w:p>
        </w:tc>
        <w:tc>
          <w:tcPr>
            <w:tcW w:w="1080" w:type="dxa"/>
            <w:vAlign w:val="bottom"/>
            <w:gridSpan w:val="2"/>
          </w:tcPr>
          <w:p>
            <w:pPr>
              <w:jc w:val="right"/>
              <w:ind w:right="65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80" w:type="dxa"/>
            <w:vAlign w:val="bottom"/>
            <w:gridSpan w:val="2"/>
          </w:tcPr>
          <w:p>
            <w:pPr>
              <w:jc w:val="right"/>
              <w:ind w:right="611"/>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7" w:name="page28"/>
    <w:bookmarkEnd w:id="27"/>
    <w:tbl>
      <w:tblPr>
        <w:tblLayout w:type="fixed"/>
        <w:tblInd w:w="560" w:type="dxa"/>
        <w:tblCellMar>
          <w:top w:w="0" w:type="dxa"/>
          <w:left w:w="0" w:type="dxa"/>
          <w:bottom w:w="0" w:type="dxa"/>
          <w:right w:w="0" w:type="dxa"/>
        </w:tblCellMar>
      </w:tblPr>
      <w:tr>
        <w:trPr>
          <w:trHeight w:val="227"/>
        </w:trPr>
        <w:tc>
          <w:tcPr>
            <w:tcW w:w="5260" w:type="dxa"/>
            <w:vAlign w:val="bottom"/>
          </w:tcPr>
          <w:p>
            <w:pPr>
              <w:spacing w:after="0"/>
              <w:rPr>
                <w:sz w:val="19"/>
                <w:szCs w:val="19"/>
                <w:color w:val="auto"/>
              </w:rPr>
            </w:pPr>
          </w:p>
        </w:tc>
        <w:tc>
          <w:tcPr>
            <w:tcW w:w="25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Three Months Ended</w:t>
            </w:r>
          </w:p>
        </w:tc>
        <w:tc>
          <w:tcPr>
            <w:tcW w:w="23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Six Months Ended</w:t>
            </w:r>
          </w:p>
        </w:tc>
      </w:tr>
      <w:tr>
        <w:trPr>
          <w:trHeight w:val="231"/>
        </w:trPr>
        <w:tc>
          <w:tcPr>
            <w:tcW w:w="5260" w:type="dxa"/>
            <w:vAlign w:val="bottom"/>
          </w:tcPr>
          <w:p>
            <w:pPr>
              <w:spacing w:after="0"/>
              <w:rPr>
                <w:sz w:val="20"/>
                <w:szCs w:val="20"/>
                <w:color w:val="auto"/>
              </w:rPr>
            </w:pPr>
          </w:p>
        </w:tc>
        <w:tc>
          <w:tcPr>
            <w:tcW w:w="1500" w:type="dxa"/>
            <w:vAlign w:val="bottom"/>
            <w:tcBorders>
              <w:bottom w:val="single" w:sz="8" w:color="auto"/>
            </w:tcBorders>
            <w:gridSpan w:val="3"/>
          </w:tcPr>
          <w:p>
            <w:pPr>
              <w:jc w:val="center"/>
              <w:ind w:left="651"/>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bottom w:val="single" w:sz="8" w:color="auto"/>
            </w:tcBorders>
            <w:gridSpan w:val="3"/>
          </w:tcPr>
          <w:p>
            <w:pPr>
              <w:jc w:val="center"/>
              <w:ind w:left="651"/>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 of shares)</w:t>
            </w: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FF0FC"/>
            </w:tcBorders>
          </w:tcPr>
          <w:p>
            <w:pPr>
              <w:spacing w:after="0"/>
              <w:rPr>
                <w:sz w:val="19"/>
                <w:szCs w:val="19"/>
                <w:color w:val="auto"/>
              </w:rPr>
            </w:pPr>
          </w:p>
        </w:tc>
      </w:tr>
      <w:tr>
        <w:trPr>
          <w:trHeight w:val="221"/>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FF0FC"/>
          </w:tcPr>
          <w:p>
            <w:pPr>
              <w:spacing w:after="0"/>
              <w:rPr>
                <w:sz w:val="19"/>
                <w:szCs w:val="19"/>
                <w:color w:val="auto"/>
              </w:rPr>
            </w:pPr>
          </w:p>
        </w:tc>
      </w:tr>
      <w:tr>
        <w:trPr>
          <w:trHeight w:val="227"/>
        </w:trPr>
        <w:tc>
          <w:tcPr>
            <w:tcW w:w="52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B preferred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260" w:type="dxa"/>
            <w:vAlign w:val="bottom"/>
          </w:tcPr>
          <w:p>
            <w:pPr>
              <w:ind w:left="140"/>
              <w:spacing w:after="0"/>
              <w:rPr>
                <w:sz w:val="20"/>
                <w:szCs w:val="20"/>
                <w:color w:val="auto"/>
              </w:rPr>
            </w:pPr>
            <w:r>
              <w:rPr>
                <w:rFonts w:ascii="Arial" w:cs="Arial" w:eastAsia="Arial" w:hAnsi="Arial"/>
                <w:sz w:val="18"/>
                <w:szCs w:val="18"/>
                <w:color w:val="auto"/>
              </w:rPr>
              <w:t>Series C preferred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Employee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260" w:type="dxa"/>
            <w:vAlign w:val="bottom"/>
          </w:tcPr>
          <w:p>
            <w:pPr>
              <w:ind w:left="140"/>
              <w:spacing w:after="0"/>
              <w:rPr>
                <w:sz w:val="20"/>
                <w:szCs w:val="20"/>
                <w:color w:val="auto"/>
              </w:rPr>
            </w:pPr>
            <w:r>
              <w:rPr>
                <w:rFonts w:ascii="Arial" w:cs="Arial" w:eastAsia="Arial" w:hAnsi="Arial"/>
                <w:sz w:val="18"/>
                <w:szCs w:val="18"/>
                <w:color w:val="auto"/>
              </w:rPr>
              <w:t>Unvested restricted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The computation of diluted earnings per share for the three and six months ended June 30, 2021 excluded the impact of (1) the assumed conversion of $25 million of Convertible Notes issued in 2021, (2) the assumed exercise of 3.2 million of outstanding employee stock options in both periods and (3) the assumed vesting of 0.3 million unvested restricted stock units in both periods because the effects would have been anti-dilutive.</w:t>
      </w:r>
    </w:p>
    <w:p>
      <w:pPr>
        <w:spacing w:after="0" w:line="177" w:lineRule="exact"/>
        <w:rPr>
          <w:sz w:val="20"/>
          <w:szCs w:val="20"/>
          <w:color w:val="auto"/>
        </w:rPr>
      </w:pPr>
    </w:p>
    <w:p>
      <w:pPr>
        <w:jc w:val="both"/>
        <w:ind w:right="140"/>
        <w:spacing w:after="0" w:line="307" w:lineRule="auto"/>
        <w:rPr>
          <w:sz w:val="20"/>
          <w:szCs w:val="20"/>
          <w:color w:val="auto"/>
        </w:rPr>
      </w:pPr>
      <w:r>
        <w:rPr>
          <w:rFonts w:ascii="Arial" w:cs="Arial" w:eastAsia="Arial" w:hAnsi="Arial"/>
          <w:sz w:val="16"/>
          <w:szCs w:val="16"/>
          <w:color w:val="auto"/>
        </w:rPr>
        <w:t>As a result of the net loss available to common shareholders for the three and six months ended June 30, 2020, Kodak calculated diluted earnings per share using weighted-average basic shares outstanding. If Kodak reported income available to common shareholders for the three and six months ended June 30, 2020 the calculation of diluted earnings per share for both periods would have included the assumed vesting of 0.5 million unvested restricted stock units.</w:t>
      </w:r>
    </w:p>
    <w:p>
      <w:pPr>
        <w:spacing w:after="0" w:line="177"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The computation of diluted earnings per share for the three and six months ended June 30, 2020 also excluded the impact of (1) the assumed conversion of 2.0 million shares of Series A Preferred Stock, (2) the assumed exercise of 7.1 million outstanding employee stock options in both periods and (3) the assumed conversion of $100 million of Convertible Notes issued in 2019 because the effects would have been anti-dilutive.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STOCK-BASED COMPENSATION</w:t>
      </w:r>
    </w:p>
    <w:p>
      <w:pPr>
        <w:spacing w:after="0" w:line="25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February 26, 2021 James V. Continenza, Executive Chairman and Chief Executive Officer of Kodak, and the Company entered into an Executive Chairman and CEO Agreement (the “New Employment Agreement”). The New Employment Agreement is effective for a three-year period beginning on February 26, 2021. Pursuant to the New Employment Agreement, Mr. Continenza will not have the right to exercise any stock options granted to him in February 2019 or July 2020 to the extent that, after giving effect to the issuance of the Company’s common stock resulting from such exercise, Mr. Continenza (together with his affiliates and any person acting as a group), would beneficially own more than 4.99% of the then issued and outstanding shares of Common Stock (the “Beneficial Ownership Limitation”). The Beneficial Ownership Limitation shall cease and be of no further force and effect upon a Change of Control (as such term is defined in the Company’s Amended and Restated 2013 Omnibus Incentive Plan). The restrictions on the exercisability of previous stock option awards is a modification of the original awards. As the February 2019 and July 2020 stock options were fully vested prior to the modification date and there was no incremental value provided in the modification, no additional compensation expense was recognized. Also pursuant to the New Employment Agreement, Mr. Continenza was granted 200,000 fully vested restricted stock units. The Company recognized $2 million of stock-based compensation expense associated with the grant of restricted stock units.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EQUITY</w:t>
      </w:r>
    </w:p>
    <w:p>
      <w:pPr>
        <w:spacing w:after="0" w:line="25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has 560 million shares of authorized stock, consisting of: (i) 500 million shares of common stock, par value $0.01 per share and (ii) 60 million shares of preferred stock, no par value, issuable in one or more series.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As of June 30, 2021 and December 31, 2020, there were 78.5 million and 77.2 million shares of common stock outstanding, respectively. In the three months ended March 31, 2021 the Company issued 1.0 million shares of common stock pursuant to the Securities Purchase Agreement. Refer to Note 5, “Debt and Finance Leases” for information on the Securities Purchase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Preferred stock issued and outstanding as of June 30, 2021 consisted of 1.0 million shares of Series B Preferred Stock and 1.0 million shares of Series C Preferred Stock. Preferred stock issued and outstanding as of December 31, 2020 consisted of 2.0 million shares of Series A Preferred Stock. Refer to Note 6, “Redeemable, Convertible Preferred Stock” for information on the changes in preferred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Treasury stock consisted of approximately 0.8 million shares and 0.7 million shares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1"/>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NOTE 18: OTHER COMPREHENSIVE INCOME (LOSS)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5"/>
        </w:trPr>
        <w:tc>
          <w:tcPr>
            <w:tcW w:w="6060" w:type="dxa"/>
            <w:vAlign w:val="bottom"/>
            <w:gridSpan w:val="4"/>
          </w:tcPr>
          <w:p>
            <w:pPr>
              <w:spacing w:after="0"/>
              <w:rPr>
                <w:sz w:val="20"/>
                <w:szCs w:val="20"/>
                <w:color w:val="auto"/>
              </w:rPr>
            </w:pPr>
            <w:r>
              <w:rPr>
                <w:rFonts w:ascii="Arial" w:cs="Arial" w:eastAsia="Arial" w:hAnsi="Arial"/>
                <w:sz w:val="18"/>
                <w:szCs w:val="18"/>
                <w:color w:val="auto"/>
                <w:w w:val="89"/>
              </w:rPr>
              <w:t>The changes in Other comprehensive income (loss), by component, were as follows: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5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1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232"/>
        </w:trPr>
        <w:tc>
          <w:tcPr>
            <w:tcW w:w="5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56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4"/>
              </w:rPr>
              <w:t>2021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FF0FC"/>
            </w:tcBorders>
          </w:tcPr>
          <w:p>
            <w:pPr>
              <w:spacing w:after="0"/>
              <w:rPr>
                <w:sz w:val="19"/>
                <w:szCs w:val="19"/>
                <w:color w:val="auto"/>
              </w:rPr>
            </w:pPr>
          </w:p>
        </w:tc>
      </w:tr>
      <w:tr>
        <w:trPr>
          <w:trHeight w:val="221"/>
        </w:trPr>
        <w:tc>
          <w:tcPr>
            <w:tcW w:w="56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20"/>
        </w:trPr>
        <w:tc>
          <w:tcPr>
            <w:tcW w:w="5320" w:type="dxa"/>
            <w:vAlign w:val="bottom"/>
            <w:gridSpan w:val="2"/>
          </w:tcPr>
          <w:p>
            <w:pPr>
              <w:ind w:left="560"/>
              <w:spacing w:after="0"/>
              <w:rPr>
                <w:sz w:val="20"/>
                <w:szCs w:val="20"/>
                <w:color w:val="auto"/>
              </w:rPr>
            </w:pPr>
            <w:r>
              <w:rPr>
                <w:rFonts w:ascii="Arial" w:cs="Arial" w:eastAsia="Arial" w:hAnsi="Arial"/>
                <w:sz w:val="18"/>
                <w:szCs w:val="18"/>
                <w:color w:val="auto"/>
              </w:rPr>
              <w:t>Pension and other postretirement benefit plan changes</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Newly established net actuarial (loss) gain</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Provision</w:t>
            </w:r>
          </w:p>
        </w:tc>
        <w:tc>
          <w:tcPr>
            <w:tcW w:w="4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1"/>
        </w:trPr>
        <w:tc>
          <w:tcPr>
            <w:tcW w:w="560" w:type="dxa"/>
            <w:vAlign w:val="bottom"/>
          </w:tcPr>
          <w:p>
            <w:pPr>
              <w:spacing w:after="0"/>
              <w:rPr>
                <w:sz w:val="19"/>
                <w:szCs w:val="19"/>
                <w:color w:val="auto"/>
              </w:rPr>
            </w:pPr>
          </w:p>
        </w:tc>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Newly established net actuarial (loss) gain, net of tax</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Reclassification adjustments: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4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5"/>
                <w:szCs w:val="15"/>
                <w:color w:val="auto"/>
              </w:rPr>
              <w:t>(1)</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7"/>
        </w:trPr>
        <w:tc>
          <w:tcPr>
            <w:tcW w:w="560" w:type="dxa"/>
            <w:vAlign w:val="bottom"/>
          </w:tcPr>
          <w:p>
            <w:pPr>
              <w:spacing w:after="0"/>
              <w:rPr>
                <w:sz w:val="19"/>
                <w:szCs w:val="19"/>
                <w:color w:val="auto"/>
              </w:rPr>
            </w:pPr>
          </w:p>
        </w:tc>
        <w:tc>
          <w:tcPr>
            <w:tcW w:w="4760" w:type="dxa"/>
            <w:vAlign w:val="bottom"/>
          </w:tcPr>
          <w:p>
            <w:pPr>
              <w:ind w:left="500"/>
              <w:spacing w:after="0"/>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3"/>
        </w:trPr>
        <w:tc>
          <w:tcPr>
            <w:tcW w:w="560" w:type="dxa"/>
            <w:vAlign w:val="bottom"/>
          </w:tcPr>
          <w:p>
            <w:pPr>
              <w:spacing w:after="0"/>
              <w:rPr>
                <w:sz w:val="18"/>
                <w:szCs w:val="18"/>
                <w:color w:val="auto"/>
              </w:rPr>
            </w:pPr>
          </w:p>
        </w:tc>
        <w:tc>
          <w:tcPr>
            <w:tcW w:w="4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Recognition of losses (gains) due to curtailments and</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560" w:type="dxa"/>
            <w:vAlign w:val="bottom"/>
          </w:tcPr>
          <w:p>
            <w:pPr>
              <w:spacing w:after="0"/>
              <w:rPr>
                <w:sz w:val="19"/>
                <w:szCs w:val="19"/>
                <w:color w:val="auto"/>
              </w:rPr>
            </w:pPr>
          </w:p>
        </w:tc>
        <w:tc>
          <w:tcPr>
            <w:tcW w:w="4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settlements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0"/>
        </w:trPr>
        <w:tc>
          <w:tcPr>
            <w:tcW w:w="560" w:type="dxa"/>
            <w:vAlign w:val="bottom"/>
          </w:tcPr>
          <w:p>
            <w:pPr>
              <w:spacing w:after="0"/>
              <w:rPr>
                <w:sz w:val="19"/>
                <w:szCs w:val="19"/>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Total reclassification adjustments</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provision</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0"/>
        </w:trPr>
        <w:tc>
          <w:tcPr>
            <w:tcW w:w="560" w:type="dxa"/>
            <w:vAlign w:val="bottom"/>
          </w:tcPr>
          <w:p>
            <w:pPr>
              <w:spacing w:after="0"/>
              <w:rPr>
                <w:sz w:val="19"/>
                <w:szCs w:val="19"/>
                <w:color w:val="auto"/>
              </w:rPr>
            </w:pPr>
          </w:p>
        </w:tc>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Reclassification adjustments, net of tax</w:t>
            </w:r>
          </w:p>
        </w:tc>
        <w:tc>
          <w:tcPr>
            <w:tcW w:w="4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tcPr>
          <w:p>
            <w:pPr>
              <w:spacing w:after="0"/>
              <w:rPr>
                <w:sz w:val="19"/>
                <w:szCs w:val="19"/>
                <w:color w:val="auto"/>
              </w:rPr>
            </w:pPr>
          </w:p>
        </w:tc>
      </w:tr>
      <w:tr>
        <w:trPr>
          <w:trHeight w:val="207"/>
        </w:trPr>
        <w:tc>
          <w:tcPr>
            <w:tcW w:w="560" w:type="dxa"/>
            <w:vAlign w:val="bottom"/>
          </w:tcPr>
          <w:p>
            <w:pPr>
              <w:spacing w:after="0"/>
              <w:rPr>
                <w:sz w:val="17"/>
                <w:szCs w:val="17"/>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8"/>
        </w:trPr>
        <w:tc>
          <w:tcPr>
            <w:tcW w:w="560" w:type="dxa"/>
            <w:vAlign w:val="bottom"/>
          </w:tcPr>
          <w:p>
            <w:pPr>
              <w:spacing w:after="0"/>
              <w:rPr>
                <w:sz w:val="19"/>
                <w:szCs w:val="19"/>
                <w:color w:val="auto"/>
              </w:rPr>
            </w:pPr>
          </w:p>
        </w:tc>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0"/>
        </w:trPr>
        <w:tc>
          <w:tcPr>
            <w:tcW w:w="5320" w:type="dxa"/>
            <w:vAlign w:val="bottom"/>
            <w:gridSpan w:val="2"/>
          </w:tcPr>
          <w:p>
            <w:pPr>
              <w:ind w:left="560"/>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5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6" w:lineRule="exact"/>
        <w:rPr>
          <w:sz w:val="20"/>
          <w:szCs w:val="20"/>
          <w:color w:val="auto"/>
        </w:rPr>
      </w:pPr>
    </w:p>
    <w:p>
      <w:pPr>
        <w:ind w:left="920" w:hanging="351"/>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225"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A description of Kodak’s reportable segments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Printing</w:t>
      </w:r>
      <w:r>
        <w:rPr>
          <w:rFonts w:ascii="Arial" w:cs="Arial" w:eastAsia="Arial" w:hAnsi="Arial"/>
          <w:sz w:val="18"/>
          <w:szCs w:val="18"/>
          <w:color w:val="auto"/>
        </w:rPr>
        <w:t>: The Traditional Printing segment is comprised of Prepress Solutions.</w:t>
      </w:r>
    </w:p>
    <w:p>
      <w:pPr>
        <w:spacing w:after="0" w:line="24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Digital Printing</w:t>
      </w:r>
      <w:r>
        <w:rPr>
          <w:rFonts w:ascii="Arial" w:cs="Arial" w:eastAsia="Arial" w:hAnsi="Arial"/>
          <w:sz w:val="18"/>
          <w:szCs w:val="18"/>
          <w:color w:val="auto"/>
        </w:rPr>
        <w:t>: The Digital Printing segment is comprised of four lines of business: the Electrophotographic Printing Solutions business, the Prosper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the Versamark business and the Kodak Software business.</w:t>
      </w:r>
    </w:p>
    <w:p>
      <w:pPr>
        <w:spacing w:after="0" w:line="19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Advanced Materials and Chemicals: </w:t>
      </w:r>
      <w:r>
        <w:rPr>
          <w:rFonts w:ascii="Arial" w:cs="Arial" w:eastAsia="Arial" w:hAnsi="Arial"/>
          <w:sz w:val="18"/>
          <w:szCs w:val="18"/>
          <w:color w:val="auto"/>
        </w:rPr>
        <w:t>The Advanced Materials and Chemicals segment is comprised of four lines of business: Industrial Film and</w:t>
      </w:r>
      <w:r>
        <w:rPr>
          <w:rFonts w:ascii="Arial" w:cs="Arial" w:eastAsia="Arial" w:hAnsi="Arial"/>
          <w:sz w:val="18"/>
          <w:szCs w:val="18"/>
          <w:b w:val="1"/>
          <w:bCs w:val="1"/>
          <w:color w:val="auto"/>
        </w:rPr>
        <w:t xml:space="preserve"> </w:t>
      </w:r>
      <w:r>
        <w:rPr>
          <w:rFonts w:ascii="Arial" w:cs="Arial" w:eastAsia="Arial" w:hAnsi="Arial"/>
          <w:sz w:val="18"/>
          <w:szCs w:val="18"/>
          <w:color w:val="auto"/>
        </w:rPr>
        <w:t>Chemicals, Motion Picture, Advanced Materials and Functional Printing and Kodak Services for Business. Kodak Services for Business was sold to Swiss Post Solutions in December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r>
        <w:rPr>
          <w:rFonts w:ascii="Arial" w:cs="Arial" w:eastAsia="Arial" w:hAnsi="Arial"/>
          <w:sz w:val="18"/>
          <w:szCs w:val="18"/>
          <w:color w:val="auto"/>
        </w:rPr>
        <w:t>: The Brand segment contains the brand licensing business.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Other</w:t>
      </w:r>
      <w:r>
        <w:rPr>
          <w:rFonts w:ascii="Arial" w:cs="Arial" w:eastAsia="Arial" w:hAnsi="Arial"/>
          <w:sz w:val="17"/>
          <w:szCs w:val="17"/>
          <w:color w:val="auto"/>
        </w:rPr>
        <w:t>: All Other is comprised of the operations of the Eastman Business Park, a more than 1,200-acre technology center and industrial complex</w:t>
      </w:r>
      <w:r>
        <w:rPr>
          <w:rFonts w:ascii="Arial" w:cs="Arial" w:eastAsia="Arial" w:hAnsi="Arial"/>
          <w:sz w:val="17"/>
          <w:szCs w:val="17"/>
          <w:b w:val="1"/>
          <w:bCs w:val="1"/>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18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gridSpan w:val="2"/>
          </w:tcPr>
          <w:p>
            <w:pPr>
              <w:ind w:left="560"/>
              <w:spacing w:after="0"/>
              <w:rPr>
                <w:sz w:val="20"/>
                <w:szCs w:val="20"/>
                <w:color w:val="auto"/>
              </w:rPr>
            </w:pPr>
            <w:r>
              <w:rPr>
                <w:rFonts w:ascii="Arial" w:cs="Arial" w:eastAsia="Arial" w:hAnsi="Arial"/>
                <w:sz w:val="16"/>
                <w:szCs w:val="16"/>
                <w:color w:val="auto"/>
              </w:rPr>
              <w:t>(in millions)</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51"/>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5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1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Digital Printing</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Brand</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15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ind w:left="560"/>
              <w:spacing w:after="0"/>
              <w:rPr>
                <w:sz w:val="20"/>
                <w:szCs w:val="20"/>
                <w:color w:val="auto"/>
              </w:rPr>
            </w:pPr>
            <w:r>
              <w:rPr>
                <w:rFonts w:ascii="Arial" w:cs="Arial" w:eastAsia="Arial" w:hAnsi="Arial"/>
                <w:sz w:val="18"/>
                <w:szCs w:val="18"/>
                <w:color w:val="auto"/>
              </w:rPr>
              <w:t>Consolidated total</w:t>
            </w:r>
          </w:p>
        </w:tc>
        <w:tc>
          <w:tcPr>
            <w:tcW w:w="152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Segment Operational EBITDA and Consolidated Income (Loss) from Operations Before Income Taxes</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6"/>
              </w:rPr>
              <w:t>Three Months Ended</w:t>
            </w:r>
          </w:p>
        </w:tc>
        <w:tc>
          <w:tcPr>
            <w:tcW w:w="220" w:type="dxa"/>
            <w:vAlign w:val="bottom"/>
          </w:tcPr>
          <w:p>
            <w:pPr>
              <w:spacing w:after="0"/>
              <w:rPr>
                <w:sz w:val="19"/>
                <w:szCs w:val="19"/>
                <w:color w:val="auto"/>
              </w:rPr>
            </w:pPr>
          </w:p>
        </w:tc>
        <w:tc>
          <w:tcPr>
            <w:tcW w:w="21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232"/>
        </w:trPr>
        <w:tc>
          <w:tcPr>
            <w:tcW w:w="4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4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FF0FC"/>
            </w:tcBorders>
          </w:tcPr>
          <w:p>
            <w:pPr>
              <w:spacing w:after="0"/>
              <w:rPr>
                <w:sz w:val="19"/>
                <w:szCs w:val="19"/>
                <w:color w:val="auto"/>
              </w:rPr>
            </w:pPr>
          </w:p>
        </w:tc>
      </w:tr>
      <w:tr>
        <w:trPr>
          <w:trHeight w:val="221"/>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7"/>
        </w:trPr>
        <w:tc>
          <w:tcPr>
            <w:tcW w:w="4540" w:type="dxa"/>
            <w:vAlign w:val="bottom"/>
          </w:tcPr>
          <w:p>
            <w:pPr>
              <w:spacing w:after="0"/>
              <w:rPr>
                <w:sz w:val="20"/>
                <w:szCs w:val="20"/>
                <w:color w:val="auto"/>
              </w:rPr>
            </w:pPr>
            <w:r>
              <w:rPr>
                <w:rFonts w:ascii="Arial" w:cs="Arial" w:eastAsia="Arial" w:hAnsi="Arial"/>
                <w:sz w:val="18"/>
                <w:szCs w:val="18"/>
                <w:color w:val="auto"/>
              </w:rPr>
              <w:t>Digital Printing</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28"/>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27"/>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Brand</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r>
      <w:tr>
        <w:trPr>
          <w:trHeight w:val="221"/>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of reportable segments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7"/>
        </w:trPr>
        <w:tc>
          <w:tcPr>
            <w:tcW w:w="4540" w:type="dxa"/>
            <w:vAlign w:val="bottom"/>
          </w:tcPr>
          <w:p>
            <w:pPr>
              <w:spacing w:after="0"/>
              <w:rPr>
                <w:sz w:val="20"/>
                <w:szCs w:val="20"/>
                <w:color w:val="auto"/>
              </w:rPr>
            </w:pPr>
            <w:r>
              <w:rPr>
                <w:rFonts w:ascii="Arial" w:cs="Arial" w:eastAsia="Arial" w:hAnsi="Arial"/>
                <w:sz w:val="18"/>
                <w:szCs w:val="18"/>
                <w:color w:val="auto"/>
              </w:rPr>
              <w:t>All Other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8"/>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r>
        <w:trPr>
          <w:trHeight w:val="227"/>
        </w:trPr>
        <w:tc>
          <w:tcPr>
            <w:tcW w:w="45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28"/>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7"/>
        </w:trPr>
        <w:tc>
          <w:tcPr>
            <w:tcW w:w="454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8"/>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13"/>
        </w:trPr>
        <w:tc>
          <w:tcPr>
            <w:tcW w:w="4540" w:type="dxa"/>
            <w:vAlign w:val="bottom"/>
          </w:tcPr>
          <w:p>
            <w:pPr>
              <w:spacing w:after="0"/>
              <w:rPr>
                <w:sz w:val="20"/>
                <w:szCs w:val="20"/>
                <w:color w:val="auto"/>
              </w:rPr>
            </w:pPr>
            <w:r>
              <w:rPr>
                <w:rFonts w:ascii="Arial" w:cs="Arial" w:eastAsia="Arial" w:hAnsi="Arial"/>
                <w:sz w:val="18"/>
                <w:szCs w:val="18"/>
                <w:color w:val="auto"/>
              </w:rPr>
              <w:t>Other operating income, net, excluding income from</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4540" w:type="dxa"/>
            <w:vAlign w:val="bottom"/>
          </w:tcPr>
          <w:p>
            <w:pPr>
              <w:ind w:left="140"/>
              <w:spacing w:after="0"/>
              <w:rPr>
                <w:sz w:val="20"/>
                <w:szCs w:val="20"/>
                <w:color w:val="auto"/>
              </w:rPr>
            </w:pPr>
            <w:r>
              <w:rPr>
                <w:rFonts w:ascii="Arial" w:cs="Arial" w:eastAsia="Arial" w:hAnsi="Arial"/>
                <w:sz w:val="18"/>
                <w:szCs w:val="18"/>
                <w:color w:val="auto"/>
              </w:rPr>
              <w:t xml:space="preserve">transition services agreement </w:t>
            </w:r>
            <w:r>
              <w:rPr>
                <w:rFonts w:ascii="Arial" w:cs="Arial" w:eastAsia="Arial" w:hAnsi="Arial"/>
                <w:sz w:val="15"/>
                <w:szCs w:val="15"/>
                <w:color w:val="auto"/>
              </w:rPr>
              <w:t>(3)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7"/>
        </w:trPr>
        <w:tc>
          <w:tcPr>
            <w:tcW w:w="454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28"/>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(4)</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06"/>
        </w:trPr>
        <w:tc>
          <w:tcPr>
            <w:tcW w:w="4540" w:type="dxa"/>
            <w:vAlign w:val="bottom"/>
          </w:tcPr>
          <w:p>
            <w:pPr>
              <w:spacing w:after="0"/>
              <w:rPr>
                <w:sz w:val="20"/>
                <w:szCs w:val="20"/>
                <w:color w:val="auto"/>
              </w:rPr>
            </w:pPr>
            <w:r>
              <w:rPr>
                <w:rFonts w:ascii="Arial" w:cs="Arial" w:eastAsia="Arial" w:hAnsi="Arial"/>
                <w:sz w:val="18"/>
                <w:szCs w:val="18"/>
                <w:color w:val="auto"/>
              </w:rPr>
              <w:t>Consolidated income (loss) from operations before</w:t>
            </w:r>
          </w:p>
        </w:tc>
        <w:tc>
          <w:tcPr>
            <w:tcW w:w="7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54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9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920" w:right="520" w:hanging="351"/>
        <w:spacing w:after="0" w:line="271"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 and investigations.</w:t>
      </w:r>
    </w:p>
    <w:p>
      <w:pPr>
        <w:spacing w:after="0" w:line="67" w:lineRule="exact"/>
        <w:rPr>
          <w:rFonts w:ascii="Arial" w:cs="Arial" w:eastAsia="Arial" w:hAnsi="Arial"/>
          <w:sz w:val="15"/>
          <w:szCs w:val="15"/>
          <w:color w:val="auto"/>
        </w:rPr>
      </w:pPr>
    </w:p>
    <w:p>
      <w:pPr>
        <w:ind w:left="920" w:right="160" w:hanging="351"/>
        <w:spacing w:after="0" w:line="271"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67" w:lineRule="exact"/>
        <w:rPr>
          <w:rFonts w:ascii="Arial" w:cs="Arial" w:eastAsia="Arial" w:hAnsi="Arial"/>
          <w:sz w:val="15"/>
          <w:szCs w:val="15"/>
          <w:color w:val="auto"/>
        </w:rPr>
      </w:pPr>
    </w:p>
    <w:p>
      <w:pPr>
        <w:ind w:left="920" w:hanging="351"/>
        <w:spacing w:after="0" w:line="297" w:lineRule="auto"/>
        <w:tabs>
          <w:tab w:leader="none" w:pos="920" w:val="left"/>
        </w:tabs>
        <w:numPr>
          <w:ilvl w:val="0"/>
          <w:numId w:val="14"/>
        </w:numPr>
        <w:rPr>
          <w:rFonts w:ascii="Arial" w:cs="Arial" w:eastAsia="Arial" w:hAnsi="Arial"/>
          <w:sz w:val="13"/>
          <w:szCs w:val="13"/>
          <w:color w:val="auto"/>
        </w:rPr>
      </w:pPr>
      <w:r>
        <w:rPr>
          <w:rFonts w:ascii="Arial" w:cs="Arial" w:eastAsia="Arial" w:hAnsi="Arial"/>
          <w:sz w:val="16"/>
          <w:szCs w:val="16"/>
          <w:color w:val="auto"/>
        </w:rPr>
        <w:t>$2 million and $4 million of income from the transition services agreement with the purchaser of Kodak’s Flexographic Packaging Business was recognized in the three and six months ended June 30, 2020, respectively. No income has been recognized in 2021.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52" w:lineRule="exact"/>
        <w:rPr>
          <w:rFonts w:ascii="Arial" w:cs="Arial" w:eastAsia="Arial" w:hAnsi="Arial"/>
          <w:sz w:val="13"/>
          <w:szCs w:val="13"/>
          <w:color w:val="auto"/>
        </w:rPr>
      </w:pPr>
    </w:p>
    <w:p>
      <w:pPr>
        <w:ind w:left="920" w:hanging="351"/>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55"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Kodak decreased workers’ compensation reserves by approximately $3 million in the second quarter of 2021 driven by changes in discount rates. The decrease in reserves in the second quarter of 2021 impacted gross profit by approximately $2 million and selling, general and administrative expenses (“SG&amp;A”) by approximately $1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w:t>
      </w:r>
    </w:p>
    <w:p>
      <w:pPr>
        <w:spacing w:after="0" w:line="2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demonstrated in the above table, Operational EBITDA represents the earnings (loss) from operations excluding the provision for income taxes; non-service cost components of pension and other postemployment benefits (“OPEB”) income; depreciation and amortization expense; restructuring costs; stock-based compensation expense; consulting and other costs; idle costs; other operating income, net (unless otherwise indicated); interest expense and other (charges) income, net.</w:t>
      </w: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Kodak’s segments are measured using Operational EBITDA both before and after allocation of corporate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20: FINANCIAL INSTRUMENTS</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22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income (loss) at the same time that the exposed assets and liabilities are remeasured through net income (loss) (both in Other income, net in the Consolidated Statement of Operations). The notional amount of such contracts open at June 30, 2021 and December 31, 2020 was approximately $330 million and $361 million, respectively. The majority of the contracts of this type held by Kodak as of June 30, 2021 and December 31, 2020 are denominated in euros, Chinese renminbi and Japanese yen.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gridSpan w:val="4"/>
          </w:tcPr>
          <w:p>
            <w:pPr>
              <w:ind w:left="320"/>
              <w:spacing w:after="0"/>
              <w:rPr>
                <w:sz w:val="20"/>
                <w:szCs w:val="20"/>
                <w:color w:val="auto"/>
              </w:rPr>
            </w:pPr>
            <w:r>
              <w:rPr>
                <w:rFonts w:ascii="Arial" w:cs="Arial" w:eastAsia="Arial" w:hAnsi="Arial"/>
                <w:sz w:val="18"/>
                <w:szCs w:val="18"/>
                <w:b w:val="1"/>
                <w:bCs w:val="1"/>
                <w:color w:val="auto"/>
                <w:w w:val="94"/>
              </w:rPr>
              <w:t>Three Months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Six Months Ended</w:t>
            </w:r>
          </w:p>
        </w:tc>
      </w:tr>
      <w:tr>
        <w:trPr>
          <w:trHeight w:val="232"/>
        </w:trPr>
        <w:tc>
          <w:tcPr>
            <w:tcW w:w="4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8"/>
                <w:szCs w:val="18"/>
                <w:b w:val="1"/>
                <w:bCs w:val="1"/>
                <w:color w:val="auto"/>
                <w:w w:val="94"/>
              </w:rPr>
              <w:t>June 30,</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left="471"/>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4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5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9"/>
              </w:rPr>
              <w:t>2021</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FF0FC"/>
            </w:tcBorders>
          </w:tcPr>
          <w:p>
            <w:pPr>
              <w:spacing w:after="0"/>
              <w:rPr>
                <w:sz w:val="19"/>
                <w:szCs w:val="19"/>
                <w:color w:val="auto"/>
              </w:rPr>
            </w:pPr>
          </w:p>
        </w:tc>
      </w:tr>
      <w:tr>
        <w:trPr>
          <w:trHeight w:val="20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(gain) loss from derivatives not designated as hedging</w:t>
            </w:r>
          </w:p>
        </w:tc>
        <w:tc>
          <w:tcPr>
            <w:tcW w:w="5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8"/>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1300" w:type="dxa"/>
            <w:vAlign w:val="bottom"/>
            <w:gridSpan w:val="2"/>
            <w:shd w:val="clear" w:color="auto" w:fill="CFF0FC"/>
          </w:tcPr>
          <w:p>
            <w:pPr>
              <w:jc w:val="right"/>
              <w:ind w:right="5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19"/>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and six months ended June 30, 2021 and 2020.</w:t>
      </w:r>
    </w:p>
    <w:p>
      <w:pPr>
        <w:spacing w:after="0" w:line="248"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5, “Debt and Finance Leases”, the Company concluded that the Convertible Notes are considered more akin to a debt-type instrument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and that the economic characteristics and risks of the embedded conversion features are not considered clearly and closely related to the Convertible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Notes. The embedded conversion features not considered clearly and closely related are the conversion at the option of the holder (“Optional Conversion”),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mandatory conversion by Kodak (“Mandatory Conversion”) and the conversion in the event of a fundamental transaction by the holder at the then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applicable conversion rate (“Fundamental Change”). Accordingly, these embedded conversion features were bifurcated from the Convertible Notes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separately accounted for on a combined basis as a single derivative asset or liability. The derivative was in a liability position at June 30, 2021 and was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reported in Other long-term liabilities in the Consolidated Statement of Financial Position. The derivative is being accounted for at fair value with changes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 fair value reported in Other charges (income), net in the Consolidated Statement of Operations.</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discussed in Note 6, “Redeemable, Convertible, Preferred Stock”, the Company concluded that the Series B Preferred Stock and the Series C Preferred Stock are considered more akin to a debt-type instrument and that the economic characteristics and risks of the conversion in the event of a Fundamental Change is not considered clearly and closely related to the Series B and Series C Preferred Stock. Accordingly, this embedded conversion feature was bifurcated from both the Series B and Series C Preferred Stock and both are separately accounted for as a single derivative asset or liability. Both derivatives were in a liability position at June 30, 2021 and were reported in Other long-term liabilities in the Consolidated Statement of Financial Position. The derivatives are being accounted for at fair value with changes in fair value reported in Other charges (income), net in the Consolidated Statement of Operations.</w:t>
      </w:r>
    </w:p>
    <w:p>
      <w:pPr>
        <w:spacing w:after="0" w:line="2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As discussed in Note 6, “Redeemable, Convertible, Preferred Stock”, the Company concluded that the Series A Preferred Stock was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embedded conversion features were revalued as of February 26, 2021 when the Company repurchased one million of the Series A Preferred Stock and exchanged the remaining one million shares of Series A Preferred Stock for Series B Preferred Stock. The revaluation as of February 26, 2021 resulted in the recognition of $2 million of net expense which was reported in Other charges (income), net in the Consolidated Statement of Operations. With the repurchase and exchange of the shares of the Series A Preferred Stock the embedded conversion features derivative liability expired.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31" w:name="page32"/>
    <w:bookmarkEnd w:id="31"/>
    <w:p>
      <w:pPr>
        <w:ind w:right="200"/>
        <w:spacing w:after="0" w:line="259" w:lineRule="auto"/>
        <w:rPr>
          <w:sz w:val="20"/>
          <w:szCs w:val="20"/>
          <w:color w:val="auto"/>
        </w:rPr>
      </w:pPr>
      <w:r>
        <w:rPr>
          <w:rFonts w:ascii="Arial" w:cs="Arial" w:eastAsia="Arial" w:hAnsi="Arial"/>
          <w:sz w:val="18"/>
          <w:szCs w:val="18"/>
          <w:color w:val="auto"/>
        </w:rPr>
        <w:t>The derivative was in a liability position at December 31, 2020 and was reported in Other current liabilities in the Consolidated Statement of Financial Position. The derivative was being accounted for at fair value with changes in fair value being reported in Other charges (income), net in the Consolidated Statement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June 30, 2021 and December 31, 2020 was $1 million for both periods. The gross fair value of foreign currency forward contracts in a liability position as of June 30, 2021 and December 31, 2020 was $1 million and $0 million, respectively.</w:t>
      </w:r>
    </w:p>
    <w:p>
      <w:pPr>
        <w:spacing w:after="0" w:line="223" w:lineRule="exact"/>
        <w:rPr>
          <w:sz w:val="20"/>
          <w:szCs w:val="20"/>
          <w:color w:val="auto"/>
        </w:rPr>
      </w:pPr>
    </w:p>
    <w:p>
      <w:pPr>
        <w:ind w:right="760"/>
        <w:spacing w:after="0" w:line="335"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three and six months ended June 30, 2021.</w:t>
      </w:r>
    </w:p>
    <w:p>
      <w:pPr>
        <w:spacing w:after="0" w:line="15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fair value of the embedded conversion features derivatives was calculated using unobservable inputs (Level 3 fair measurements). The value of the embedded derivatives associated with the Convertible Notes and Series A, Series B and Series C Preferred Stock were calculated using a binomial lattice model.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key inputs in the determination of fair value for the embedded conversion features: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2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65"/>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9"/>
          </w:tcPr>
          <w:p>
            <w:pPr>
              <w:jc w:val="right"/>
              <w:ind w:right="1020"/>
              <w:spacing w:after="0"/>
              <w:rPr>
                <w:sz w:val="20"/>
                <w:szCs w:val="20"/>
                <w:color w:val="auto"/>
              </w:rPr>
            </w:pPr>
            <w:r>
              <w:rPr>
                <w:rFonts w:ascii="Arial" w:cs="Arial" w:eastAsia="Arial" w:hAnsi="Arial"/>
                <w:sz w:val="18"/>
                <w:szCs w:val="18"/>
                <w:b w:val="1"/>
                <w:bCs w:val="1"/>
                <w:color w:val="auto"/>
              </w:rPr>
              <w:t>Valuation Date</w:t>
            </w:r>
          </w:p>
        </w:tc>
        <w:tc>
          <w:tcPr>
            <w:tcW w:w="1120" w:type="dxa"/>
            <w:vAlign w:val="bottom"/>
          </w:tcPr>
          <w:p>
            <w:pPr>
              <w:spacing w:after="0"/>
              <w:rPr>
                <w:sz w:val="24"/>
                <w:szCs w:val="24"/>
                <w:color w:val="auto"/>
              </w:rPr>
            </w:pPr>
          </w:p>
        </w:tc>
      </w:tr>
      <w:tr>
        <w:trPr>
          <w:trHeight w:val="227"/>
        </w:trPr>
        <w:tc>
          <w:tcPr>
            <w:tcW w:w="1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1"/>
              </w:rPr>
              <w:t>February 26,</w:t>
            </w:r>
          </w:p>
        </w:tc>
        <w:tc>
          <w:tcPr>
            <w:tcW w:w="1120" w:type="dxa"/>
            <w:vAlign w:val="bottom"/>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2"/>
        </w:trPr>
        <w:tc>
          <w:tcPr>
            <w:tcW w:w="11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(Inception)</w:t>
            </w:r>
          </w:p>
        </w:tc>
        <w:tc>
          <w:tcPr>
            <w:tcW w:w="1120" w:type="dxa"/>
            <w:vAlign w:val="bottom"/>
          </w:tcPr>
          <w:p>
            <w:pPr>
              <w:spacing w:after="0"/>
              <w:rPr>
                <w:sz w:val="20"/>
                <w:szCs w:val="20"/>
                <w:color w:val="auto"/>
              </w:rPr>
            </w:pPr>
          </w:p>
        </w:tc>
      </w:tr>
      <w:tr>
        <w:trPr>
          <w:trHeight w:val="221"/>
        </w:trPr>
        <w:tc>
          <w:tcPr>
            <w:tcW w:w="114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3"/>
              </w:rPr>
              <w:t>Total value of embedded derivative liability ($ millions)</w:t>
            </w:r>
          </w:p>
        </w:tc>
        <w:tc>
          <w:tcPr>
            <w:tcW w:w="17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8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8.32</w:t>
            </w:r>
          </w:p>
        </w:tc>
        <w:tc>
          <w:tcPr>
            <w:tcW w:w="60" w:type="dxa"/>
            <w:vAlign w:val="bottom"/>
          </w:tcPr>
          <w:p>
            <w:pPr>
              <w:spacing w:after="0"/>
              <w:rPr>
                <w:sz w:val="19"/>
                <w:szCs w:val="19"/>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114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70.00%</w:t>
            </w:r>
          </w:p>
        </w:tc>
        <w:tc>
          <w:tcPr>
            <w:tcW w:w="1120" w:type="dxa"/>
            <w:vAlign w:val="bottom"/>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1120" w:type="dxa"/>
            <w:vAlign w:val="bottom"/>
          </w:tcPr>
          <w:p>
            <w:pPr>
              <w:spacing w:after="0"/>
              <w:rPr>
                <w:sz w:val="19"/>
                <w:szCs w:val="19"/>
                <w:color w:val="auto"/>
              </w:rPr>
            </w:pPr>
          </w:p>
        </w:tc>
      </w:tr>
      <w:tr>
        <w:trPr>
          <w:trHeight w:val="228"/>
        </w:trPr>
        <w:tc>
          <w:tcPr>
            <w:tcW w:w="114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Convertible Notes</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18.25%</w:t>
            </w:r>
          </w:p>
        </w:tc>
        <w:tc>
          <w:tcPr>
            <w:tcW w:w="1120" w:type="dxa"/>
            <w:vAlign w:val="bottom"/>
          </w:tcPr>
          <w:p>
            <w:pPr>
              <w:spacing w:after="0"/>
              <w:rPr>
                <w:sz w:val="19"/>
                <w:szCs w:val="19"/>
                <w:color w:val="auto"/>
              </w:rPr>
            </w:pPr>
          </w:p>
        </w:tc>
      </w:tr>
      <w:tr>
        <w:trPr>
          <w:trHeight w:val="453"/>
        </w:trPr>
        <w:tc>
          <w:tcPr>
            <w:tcW w:w="5420" w:type="dxa"/>
            <w:vAlign w:val="bottom"/>
            <w:gridSpan w:val="2"/>
          </w:tcPr>
          <w:p>
            <w:pPr>
              <w:spacing w:after="0"/>
              <w:rPr>
                <w:sz w:val="20"/>
                <w:szCs w:val="20"/>
                <w:color w:val="auto"/>
              </w:rPr>
            </w:pPr>
            <w:r>
              <w:rPr>
                <w:rFonts w:ascii="Arial" w:cs="Arial" w:eastAsia="Arial" w:hAnsi="Arial"/>
                <w:sz w:val="18"/>
                <w:szCs w:val="18"/>
                <w:color w:val="auto"/>
              </w:rPr>
              <w:t>Series B Preferred Stock:</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65"/>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9"/>
          </w:tcPr>
          <w:p>
            <w:pPr>
              <w:jc w:val="right"/>
              <w:ind w:right="940"/>
              <w:spacing w:after="0"/>
              <w:rPr>
                <w:sz w:val="20"/>
                <w:szCs w:val="20"/>
                <w:color w:val="auto"/>
              </w:rPr>
            </w:pPr>
            <w:r>
              <w:rPr>
                <w:rFonts w:ascii="Arial" w:cs="Arial" w:eastAsia="Arial" w:hAnsi="Arial"/>
                <w:sz w:val="18"/>
                <w:szCs w:val="18"/>
                <w:b w:val="1"/>
                <w:bCs w:val="1"/>
                <w:color w:val="auto"/>
              </w:rPr>
              <w:t>Valuation Date</w:t>
            </w:r>
          </w:p>
        </w:tc>
        <w:tc>
          <w:tcPr>
            <w:tcW w:w="1120" w:type="dxa"/>
            <w:vAlign w:val="bottom"/>
          </w:tcPr>
          <w:p>
            <w:pPr>
              <w:spacing w:after="0"/>
              <w:rPr>
                <w:sz w:val="24"/>
                <w:szCs w:val="24"/>
                <w:color w:val="auto"/>
              </w:rPr>
            </w:pPr>
          </w:p>
        </w:tc>
      </w:tr>
      <w:tr>
        <w:trPr>
          <w:trHeight w:val="227"/>
        </w:trPr>
        <w:tc>
          <w:tcPr>
            <w:tcW w:w="1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February 26,</w:t>
            </w:r>
          </w:p>
        </w:tc>
        <w:tc>
          <w:tcPr>
            <w:tcW w:w="1120" w:type="dxa"/>
            <w:vAlign w:val="bottom"/>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2"/>
        </w:trPr>
        <w:tc>
          <w:tcPr>
            <w:tcW w:w="1140" w:type="dxa"/>
            <w:vAlign w:val="bottom"/>
          </w:tcPr>
          <w:p>
            <w:pPr>
              <w:spacing w:after="0"/>
              <w:rPr>
                <w:sz w:val="20"/>
                <w:szCs w:val="20"/>
                <w:color w:val="auto"/>
              </w:rPr>
            </w:pPr>
          </w:p>
        </w:tc>
        <w:tc>
          <w:tcPr>
            <w:tcW w:w="428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(Inception)</w:t>
            </w:r>
          </w:p>
        </w:tc>
        <w:tc>
          <w:tcPr>
            <w:tcW w:w="1120" w:type="dxa"/>
            <w:vAlign w:val="bottom"/>
          </w:tcPr>
          <w:p>
            <w:pPr>
              <w:spacing w:after="0"/>
              <w:rPr>
                <w:sz w:val="20"/>
                <w:szCs w:val="20"/>
                <w:color w:val="auto"/>
              </w:rPr>
            </w:pPr>
          </w:p>
        </w:tc>
      </w:tr>
      <w:tr>
        <w:trPr>
          <w:trHeight w:val="221"/>
        </w:trPr>
        <w:tc>
          <w:tcPr>
            <w:tcW w:w="114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Total value of embedded derivative liability ($ millions)</w:t>
            </w:r>
          </w:p>
        </w:tc>
        <w:tc>
          <w:tcPr>
            <w:tcW w:w="18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8.32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114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51.50%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70.00%</w:t>
            </w:r>
          </w:p>
        </w:tc>
        <w:tc>
          <w:tcPr>
            <w:tcW w:w="1120" w:type="dxa"/>
            <w:vAlign w:val="bottom"/>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0.86%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1120" w:type="dxa"/>
            <w:vAlign w:val="bottom"/>
          </w:tcPr>
          <w:p>
            <w:pPr>
              <w:spacing w:after="0"/>
              <w:rPr>
                <w:sz w:val="19"/>
                <w:szCs w:val="19"/>
                <w:color w:val="auto"/>
              </w:rPr>
            </w:pPr>
          </w:p>
        </w:tc>
      </w:tr>
      <w:tr>
        <w:trPr>
          <w:trHeight w:val="228"/>
        </w:trPr>
        <w:tc>
          <w:tcPr>
            <w:tcW w:w="114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preferred stock</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19.75%</w:t>
            </w:r>
          </w:p>
        </w:tc>
        <w:tc>
          <w:tcPr>
            <w:tcW w:w="1120" w:type="dxa"/>
            <w:vAlign w:val="bottom"/>
          </w:tcPr>
          <w:p>
            <w:pPr>
              <w:spacing w:after="0"/>
              <w:rPr>
                <w:sz w:val="19"/>
                <w:szCs w:val="19"/>
                <w:color w:val="auto"/>
              </w:rPr>
            </w:pPr>
          </w:p>
        </w:tc>
      </w:tr>
      <w:tr>
        <w:trPr>
          <w:trHeight w:val="426"/>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20" w:type="dxa"/>
            <w:vAlign w:val="bottom"/>
          </w:tcPr>
          <w:p>
            <w:pPr>
              <w:jc w:val="right"/>
              <w:ind w:right="1271"/>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7"/>
        </w:trPr>
        <w:tc>
          <w:tcPr>
            <w:tcW w:w="666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gridSpan w:val="5"/>
          </w:tcPr>
          <w:p>
            <w:pPr>
              <w:ind w:left="120"/>
              <w:spacing w:after="0"/>
              <w:rPr>
                <w:sz w:val="20"/>
                <w:szCs w:val="20"/>
                <w:color w:val="auto"/>
              </w:rPr>
            </w:pPr>
            <w:r>
              <w:rPr>
                <w:rFonts w:ascii="Arial" w:cs="Arial" w:eastAsia="Arial" w:hAnsi="Arial"/>
                <w:sz w:val="18"/>
                <w:szCs w:val="18"/>
                <w:b w:val="1"/>
                <w:bCs w:val="1"/>
                <w:color w:val="auto"/>
                <w:w w:val="94"/>
              </w:rPr>
              <w:t>Valuation Date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0"/>
              </w:rPr>
              <w:t>February</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jc w:val="center"/>
              <w:ind w:right="151"/>
              <w:spacing w:after="0"/>
              <w:rPr>
                <w:sz w:val="20"/>
                <w:szCs w:val="20"/>
                <w:color w:val="auto"/>
              </w:rPr>
            </w:pPr>
            <w:r>
              <w:rPr>
                <w:rFonts w:ascii="Arial" w:cs="Arial" w:eastAsia="Arial" w:hAnsi="Arial"/>
                <w:sz w:val="18"/>
                <w:szCs w:val="18"/>
                <w:b w:val="1"/>
                <w:bCs w:val="1"/>
                <w:color w:val="auto"/>
                <w:w w:val="93"/>
              </w:rPr>
              <w:t>March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71"/>
              <w:spacing w:after="0"/>
              <w:rPr>
                <w:sz w:val="20"/>
                <w:szCs w:val="20"/>
                <w:color w:val="auto"/>
              </w:rPr>
            </w:pPr>
            <w:r>
              <w:rPr>
                <w:rFonts w:ascii="Arial" w:cs="Arial" w:eastAsia="Arial" w:hAnsi="Arial"/>
                <w:sz w:val="18"/>
                <w:szCs w:val="18"/>
                <w:b w:val="1"/>
                <w:bCs w:val="1"/>
                <w:color w:val="auto"/>
              </w:rPr>
              <w:t>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40" w:type="dxa"/>
            <w:vAlign w:val="bottom"/>
            <w:gridSpan w:val="3"/>
          </w:tcPr>
          <w:p>
            <w:pPr>
              <w:jc w:val="right"/>
              <w:ind w:right="159"/>
              <w:spacing w:after="0"/>
              <w:rPr>
                <w:sz w:val="20"/>
                <w:szCs w:val="20"/>
                <w:color w:val="auto"/>
              </w:rPr>
            </w:pPr>
            <w:r>
              <w:rPr>
                <w:rFonts w:ascii="Arial" w:cs="Arial" w:eastAsia="Arial" w:hAnsi="Arial"/>
                <w:sz w:val="18"/>
                <w:szCs w:val="18"/>
                <w:b w:val="1"/>
                <w:bCs w:val="1"/>
                <w:color w:val="auto"/>
                <w:w w:val="94"/>
              </w:rPr>
              <w:t>June 30,</w:t>
            </w:r>
          </w:p>
        </w:tc>
        <w:tc>
          <w:tcPr>
            <w:tcW w:w="140" w:type="dxa"/>
            <w:vAlign w:val="bottom"/>
          </w:tcPr>
          <w:p>
            <w:pPr>
              <w:spacing w:after="0"/>
              <w:rPr>
                <w:sz w:val="18"/>
                <w:szCs w:val="18"/>
                <w:color w:val="auto"/>
              </w:rPr>
            </w:pPr>
          </w:p>
        </w:tc>
        <w:tc>
          <w:tcPr>
            <w:tcW w:w="1180" w:type="dxa"/>
            <w:vAlign w:val="bottom"/>
            <w:gridSpan w:val="4"/>
          </w:tcPr>
          <w:p>
            <w:pPr>
              <w:jc w:val="center"/>
              <w:ind w:right="171"/>
              <w:spacing w:after="0"/>
              <w:rPr>
                <w:sz w:val="20"/>
                <w:szCs w:val="20"/>
                <w:color w:val="auto"/>
              </w:rPr>
            </w:pPr>
            <w:r>
              <w:rPr>
                <w:rFonts w:ascii="Arial" w:cs="Arial" w:eastAsia="Arial" w:hAnsi="Arial"/>
                <w:sz w:val="18"/>
                <w:szCs w:val="18"/>
                <w:b w:val="1"/>
                <w:bCs w:val="1"/>
                <w:color w:val="auto"/>
                <w:w w:val="90"/>
              </w:rPr>
              <w:t>(Inception -</w:t>
            </w:r>
          </w:p>
        </w:tc>
        <w:tc>
          <w:tcPr>
            <w:tcW w:w="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(Inception -</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Pr>
          <w:p>
            <w:pPr>
              <w:spacing w:after="0"/>
              <w:rPr>
                <w:sz w:val="20"/>
                <w:szCs w:val="20"/>
                <w:color w:val="auto"/>
              </w:rPr>
            </w:pPr>
          </w:p>
        </w:tc>
        <w:tc>
          <w:tcPr>
            <w:tcW w:w="1180" w:type="dxa"/>
            <w:vAlign w:val="bottom"/>
            <w:gridSpan w:val="4"/>
          </w:tcPr>
          <w:p>
            <w:pPr>
              <w:jc w:val="center"/>
              <w:ind w:right="151"/>
              <w:spacing w:after="0"/>
              <w:rPr>
                <w:sz w:val="20"/>
                <w:szCs w:val="20"/>
                <w:color w:val="auto"/>
              </w:rPr>
            </w:pPr>
            <w:r>
              <w:rPr>
                <w:rFonts w:ascii="Arial" w:cs="Arial" w:eastAsia="Arial" w:hAnsi="Arial"/>
                <w:sz w:val="18"/>
                <w:szCs w:val="18"/>
                <w:b w:val="1"/>
                <w:bCs w:val="1"/>
                <w:color w:val="auto"/>
                <w:w w:val="91"/>
              </w:rPr>
              <w:t>Final Sale)</w:t>
            </w:r>
          </w:p>
        </w:tc>
        <w:tc>
          <w:tcPr>
            <w:tcW w:w="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Initial Sale)</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99"/>
              <w:spacing w:after="0"/>
              <w:rPr>
                <w:sz w:val="20"/>
                <w:szCs w:val="20"/>
                <w:color w:val="auto"/>
              </w:rPr>
            </w:pPr>
            <w:r>
              <w:rPr>
                <w:rFonts w:ascii="Arial" w:cs="Arial" w:eastAsia="Arial" w:hAnsi="Arial"/>
                <w:sz w:val="18"/>
                <w:szCs w:val="18"/>
                <w:color w:val="auto"/>
              </w:rPr>
              <w:t>8.32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51.50%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preferred stock</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453"/>
        </w:trPr>
        <w:tc>
          <w:tcPr>
            <w:tcW w:w="666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7"/>
              </w:rPr>
              <w:t>Valuation Date</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rPr>
              <w:t>February 26,</w:t>
            </w:r>
          </w:p>
        </w:tc>
        <w:tc>
          <w:tcPr>
            <w:tcW w:w="120" w:type="dxa"/>
            <w:vAlign w:val="bottom"/>
          </w:tcPr>
          <w:p>
            <w:pPr>
              <w:spacing w:after="0"/>
              <w:rPr>
                <w:sz w:val="19"/>
                <w:szCs w:val="19"/>
                <w:color w:val="auto"/>
              </w:rPr>
            </w:pPr>
          </w:p>
        </w:tc>
        <w:tc>
          <w:tcPr>
            <w:tcW w:w="1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5"/>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71"/>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99"/>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40" w:type="dxa"/>
            <w:vAlign w:val="bottom"/>
          </w:tcPr>
          <w:p>
            <w:pPr>
              <w:spacing w:after="0"/>
              <w:rPr>
                <w:sz w:val="19"/>
                <w:szCs w:val="19"/>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8.62</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137.53%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preferred stock</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Fundamental Change values at issuance were calculated as the difference between the total value of the Convertible Notes, Series B or Series C Preferred Stock, as applicable, and the sum of the net present value of the cash flows if the Convertible Notes are repaid at their maturity date or Series B and Series C Preferred Stock are redeemed on their redemption date and the values of the other embedded derivatives. The Fundamental Change values reduce the value of the embedded conversion features derivative liability. Other than events that alter the likelihood of a fundamental change or reorganization event, the value of the Fundamental Change reflects the value as of the issuance date, amortized for the passage of time.</w:t>
      </w:r>
    </w:p>
    <w:p>
      <w:pPr>
        <w:spacing w:after="0" w:line="17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$277 million and $17 million at June 30, 2021 and December 31, 2020, respectively.</w:t>
      </w:r>
    </w:p>
    <w:p>
      <w:pPr>
        <w:spacing w:after="0" w:line="21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carrying values of cash and cash equivalents, restricted cash and the current portion of long-term debt approximate their fair values at both June 30, 2021 and December 31, 2020.</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5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2020 under the headings “Business,” “Risk Factors,” “Legal Proceedings,” and/or “Management’s Discussion and Analysis of Financial Condition and Results of Operations–Liquidity and Capital Resources,” in the corresponding sections of this report on Form 10-Q and the Company’s quarterly report on Form 10-Q for the quarter ended March 31, 2021, and in other filings the Company makes with the SEC from time to time, as well as the following:</w:t>
      </w:r>
    </w:p>
    <w:p>
      <w:pPr>
        <w:spacing w:after="0" w:line="75" w:lineRule="exact"/>
        <w:rPr>
          <w:sz w:val="20"/>
          <w:szCs w:val="20"/>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3" w:lineRule="exact"/>
        <w:rPr>
          <w:rFonts w:ascii="Arial" w:cs="Arial" w:eastAsia="Arial" w:hAnsi="Arial"/>
          <w:sz w:val="18"/>
          <w:szCs w:val="18"/>
          <w:color w:val="auto"/>
        </w:rPr>
      </w:pPr>
    </w:p>
    <w:p>
      <w:pPr>
        <w:ind w:left="1020" w:right="80" w:hanging="505"/>
        <w:spacing w:after="0" w:line="27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fund continued investments, capital needs and restructuring payments and service its debt and Series B Preferred Stock and Series C Preferred Stock;</w:t>
      </w:r>
    </w:p>
    <w:p>
      <w:pPr>
        <w:spacing w:after="0" w:line="67" w:lineRule="exact"/>
        <w:rPr>
          <w:rFonts w:ascii="Arial" w:cs="Arial" w:eastAsia="Arial" w:hAnsi="Arial"/>
          <w:sz w:val="18"/>
          <w:szCs w:val="18"/>
          <w:color w:val="auto"/>
        </w:rPr>
      </w:pPr>
    </w:p>
    <w:p>
      <w:pPr>
        <w:ind w:left="1020" w:right="200" w:hanging="505"/>
        <w:spacing w:after="0" w:line="27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global economic environment or medical epidemics such as the COVID-19 pandemic, including the restrictions and other actions implemented to fight the COVID-19 pandemic;</w:t>
      </w:r>
    </w:p>
    <w:p>
      <w:pPr>
        <w:spacing w:after="0" w:line="67"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investigations, litigations and claims arising out of the circumstances surrounding the DFC Announcement;</w:t>
      </w:r>
    </w:p>
    <w:p>
      <w:pPr>
        <w:spacing w:after="0" w:line="113" w:lineRule="exact"/>
        <w:rPr>
          <w:rFonts w:ascii="Arial" w:cs="Arial" w:eastAsia="Arial" w:hAnsi="Arial"/>
          <w:sz w:val="18"/>
          <w:szCs w:val="18"/>
          <w:color w:val="auto"/>
        </w:rPr>
      </w:pPr>
    </w:p>
    <w:p>
      <w:pPr>
        <w:ind w:left="1020" w:right="280" w:hanging="505"/>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 the ability to address supply chain disruptions and continue to obtain raw materials and components available from single or limited sources of supply, which may be adversely affected by the COVID-19 pandemic;</w:t>
      </w:r>
    </w:p>
    <w:p>
      <w:pPr>
        <w:spacing w:after="0" w:line="78"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interest rates and tariff rates;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3" w:lineRule="exact"/>
        <w:rPr>
          <w:rFonts w:ascii="Arial" w:cs="Arial" w:eastAsia="Arial" w:hAnsi="Arial"/>
          <w:sz w:val="18"/>
          <w:szCs w:val="18"/>
          <w:color w:val="auto"/>
        </w:rPr>
      </w:pPr>
    </w:p>
    <w:p>
      <w:pPr>
        <w:ind w:left="1020" w:right="140" w:hanging="505"/>
        <w:spacing w:after="0" w:line="335"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Continued sufficient availability of borrowings and letters of credit under the Amended ABL Credit Agreement and L/C Facility Agreement, Kodak’s ability to obtain additional financing if and as needed and Kodak’s ability to provide or facilitate financing for its customers;</w:t>
      </w:r>
    </w:p>
    <w:p>
      <w:pPr>
        <w:spacing w:after="0" w:line="21" w:lineRule="exact"/>
        <w:rPr>
          <w:rFonts w:ascii="Arial" w:cs="Arial" w:eastAsia="Arial" w:hAnsi="Arial"/>
          <w:sz w:val="16"/>
          <w:szCs w:val="16"/>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impact of cyber-attacks and other data security incidents that disrupt Kodak’s operations; and</w:t>
      </w:r>
    </w:p>
    <w:p>
      <w:pPr>
        <w:spacing w:after="0" w:line="113" w:lineRule="exact"/>
        <w:rPr>
          <w:rFonts w:ascii="Arial" w:cs="Arial" w:eastAsia="Arial" w:hAnsi="Arial"/>
          <w:sz w:val="18"/>
          <w:szCs w:val="18"/>
          <w:color w:val="auto"/>
        </w:rPr>
      </w:pPr>
    </w:p>
    <w:p>
      <w:pPr>
        <w:ind w:left="1020" w:right="180" w:hanging="505"/>
        <w:spacing w:after="0" w:line="27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effect strategic transactions such as acquisitions, strategic alliances, divestitures and similar transactions, or to achieve the benefits sought to be achieved from such strategic transactions.</w:t>
      </w:r>
    </w:p>
    <w:p>
      <w:pPr>
        <w:spacing w:after="0" w:line="17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Kodak is a global technology company focused on print, advanced materials and chemicals. Kodak provides industry-leading hardware, software, consumables and services primarily to customers in commercial print, packaging, publishing, manufacturing and entertainment. Kodak is committed to environmental stewardship and ongoing leadership in developing sustainable solutions. Kodak’s broad portfolio of superior products, responsive support and world-class research and development (“R&amp;D”) make Kodak solutions a smart investment for customers looking to improve their profitability and drive growth.</w:t>
      </w:r>
    </w:p>
    <w:p>
      <w:pPr>
        <w:spacing w:after="0" w:line="220"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Revenue increased $78 million (37%) and $76 million (16%) when compared to the prior year quarter and year-to-date periods, respectively, including the favorable impact of currency ($10 million and $19 million) in the current year quarter and year-to-date periods,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film industry and segments within the print industry face competition from digital substitution. Kodak’s strategy is to:</w:t>
      </w:r>
    </w:p>
    <w:p>
      <w:pPr>
        <w:spacing w:after="0" w:line="248" w:lineRule="exact"/>
        <w:rPr>
          <w:sz w:val="20"/>
          <w:szCs w:val="20"/>
          <w:color w:val="auto"/>
        </w:rPr>
      </w:pPr>
    </w:p>
    <w:p>
      <w:pPr>
        <w:ind w:left="1000" w:right="240" w:hanging="364"/>
        <w:spacing w:after="0" w:line="301"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spacing w:after="0" w:line="178" w:lineRule="exact"/>
        <w:rPr>
          <w:rFonts w:ascii="Arial" w:cs="Arial" w:eastAsia="Arial" w:hAnsi="Arial"/>
          <w:sz w:val="17"/>
          <w:szCs w:val="17"/>
          <w:color w:val="auto"/>
        </w:rPr>
      </w:pPr>
    </w:p>
    <w:p>
      <w:pPr>
        <w:ind w:left="1000" w:hanging="364"/>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 revenues through a focus on customers across Kodak’s print divisions, increasing overall share;</w:t>
      </w:r>
    </w:p>
    <w:p>
      <w:pPr>
        <w:spacing w:after="0" w:line="247" w:lineRule="exact"/>
        <w:rPr>
          <w:rFonts w:ascii="Arial" w:cs="Arial" w:eastAsia="Arial" w:hAnsi="Arial"/>
          <w:sz w:val="18"/>
          <w:szCs w:val="18"/>
          <w:color w:val="auto"/>
        </w:rPr>
      </w:pPr>
    </w:p>
    <w:p>
      <w:pPr>
        <w:ind w:left="1000" w:hanging="364"/>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Promote the use of film and expand the applications of Kodak’s film and chemicals to best utilize the existing infrastructure; and</w:t>
      </w:r>
    </w:p>
    <w:p>
      <w:pPr>
        <w:spacing w:after="0" w:line="234" w:lineRule="exact"/>
        <w:rPr>
          <w:rFonts w:ascii="Arial" w:cs="Arial" w:eastAsia="Arial" w:hAnsi="Arial"/>
          <w:sz w:val="18"/>
          <w:szCs w:val="18"/>
          <w:color w:val="auto"/>
        </w:rPr>
      </w:pPr>
    </w:p>
    <w:p>
      <w:pPr>
        <w:ind w:left="980" w:hanging="34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234" w:lineRule="exact"/>
        <w:rPr>
          <w:sz w:val="20"/>
          <w:szCs w:val="20"/>
          <w:color w:val="auto"/>
        </w:rPr>
      </w:pPr>
    </w:p>
    <w:p>
      <w:pPr>
        <w:ind w:left="1000" w:right="20" w:hanging="364"/>
        <w:spacing w:after="0" w:line="286"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COVID-19 pandemic continues to impact Kodak’s operations. While Kodak has experienced a substantial recovery of customer demand and volumes when compared to the prior year quarter, certain businesses are experiencing supply chain disruptions, shortages in materials and labor, and increased commodity and distribution costs. While these businesses have been able to meet current demand and have implemented numerous measures to mitigate these challenges, the full impact of the COVID-19 pandemic on Kodak’s operations and financial performance remains uncertain and will depend on the duration of the pandemic as well as other factors including, vaccination coverage, infection rates, the duration and effectiveness of the vaccines and their effectiveness against future variants. Kodak continued to work closely with government and health officials in the jurisdictions where it operates to protect employees world-wide, with particular measures in place for those working in plants and distribution facilities. The manufacturing facilities have returned or are at close to normal capacity. None of Kodak’s manufacturing facilities were ordered to close by governmental authorities.</w:t>
      </w:r>
    </w:p>
    <w:p>
      <w:pPr>
        <w:spacing w:after="0" w:line="153" w:lineRule="exact"/>
        <w:rPr>
          <w:rFonts w:ascii="Arial" w:cs="Arial" w:eastAsia="Arial" w:hAnsi="Arial"/>
          <w:sz w:val="16"/>
          <w:szCs w:val="16"/>
          <w:color w:val="auto"/>
        </w:rPr>
      </w:pPr>
    </w:p>
    <w:p>
      <w:pPr>
        <w:ind w:left="1000" w:hanging="364"/>
        <w:spacing w:after="0" w:line="249"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and manufacturing efficiencies and cost reductions are expected to mitigate the impact of revenue declines and higher raw material costs on earnings. To further mitigate the impact of higher aluminum, energy and packaging costs, Kodak announced surcharges on purchases of plates in April 2021. The surcharges were effective largely beginning in the latter part of the second quarter of 2021 and will be periodically reviewed and adjusted accordingly. Traditional Printing revenues accounted for approximately 58% and 57% of Kodak’s revenues for the three and six months ended June 30, 2021. Traditional Printing’s revenues increased $50 million (42%) and $44 million (16%) compared with the prior year quarter and year-to-date periods, respectively, primarily due to the impact of the pandemic on the prior year periods. Segment earnings improved $5 million (500%) and $9 million (450%) compared to the prior year quarter and year-to-date periods, respectively, reflecting the impact of higher revenues and operating cost reductions</w:t>
      </w:r>
      <w:r>
        <w:rPr>
          <w:rFonts w:ascii="Arial" w:cs="Arial" w:eastAsia="Arial" w:hAnsi="Arial"/>
          <w:sz w:val="17"/>
          <w:szCs w:val="17"/>
          <w:color w:val="auto"/>
        </w:rPr>
        <w:t>.</w:t>
      </w:r>
    </w:p>
    <w:p>
      <w:pPr>
        <w:spacing w:after="0" w:line="204" w:lineRule="exact"/>
        <w:rPr>
          <w:rFonts w:ascii="Arial" w:cs="Arial" w:eastAsia="Arial" w:hAnsi="Arial"/>
          <w:sz w:val="16"/>
          <w:szCs w:val="16"/>
          <w:color w:val="auto"/>
        </w:rPr>
      </w:pPr>
    </w:p>
    <w:p>
      <w:pPr>
        <w:ind w:left="1020"/>
        <w:spacing w:after="0" w:line="290" w:lineRule="auto"/>
        <w:rPr>
          <w:rFonts w:ascii="Arial" w:cs="Arial" w:eastAsia="Arial" w:hAnsi="Arial"/>
          <w:sz w:val="16"/>
          <w:szCs w:val="16"/>
          <w:color w:val="auto"/>
        </w:rPr>
      </w:pPr>
      <w:r>
        <w:rPr>
          <w:rFonts w:ascii="Arial" w:cs="Arial" w:eastAsia="Arial" w:hAnsi="Arial"/>
          <w:sz w:val="16"/>
          <w:szCs w:val="16"/>
          <w:color w:val="auto"/>
        </w:rPr>
        <w:t>Many of the segment’s customers around the globe continued to operate during the COVID-19 pandemic but at decreased volumes. The Traditional Printing segment was impacted by supply chain disruptions and travel restrictions and manufacturing volumes were reduced, primarily in 2020, in response to the decline in customer demand for the segment’s products. The segment has seen some recovery of volumes starting in the later part of 2020 and continued improvement in customer demand in the first six months of 2021. However, certain markets in the printing industry are expected to take longer to recover to pre-pandemic levels which makes the duration and extent of demand declines and the ability to offset increased commodity and distribution costs through surcharges uncertain.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35" w:name="page36"/>
    <w:bookmarkEnd w:id="35"/>
    <w:p>
      <w:pPr>
        <w:ind w:left="364" w:right="120" w:hanging="364"/>
        <w:spacing w:after="0" w:line="253" w:lineRule="auto"/>
        <w:tabs>
          <w:tab w:leader="none" w:pos="3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Digital Printing, the PROSPER business is expected to grow as the legacy VERSAMARK business continues to decline as a percentage of the segment’s total revenue. The PROSPER Inkjet Systems business is expected to continue to build profitability, excluding the negative impacts during the COVID-19 pandemic. Investment in the next generation technology, Ultrastream, is focused on the ability to place Ultrastream writing systems in Kodak branded presses and in various original equipment manufacturers in applications ranging from commercial print to packaging. Digital Printing’s revenues improved compared with the prior year quarter, $10 million (19%) and year-to-date, $9 million (8%) periods primarily due to the impact of the pandemic on the prior year periods. Segment operations also improved by $3 million (100%) and $5 million (100%) compared to the prior year quarter and year-to-date periods.</w:t>
      </w:r>
    </w:p>
    <w:p>
      <w:pPr>
        <w:spacing w:after="0" w:line="153" w:lineRule="exact"/>
        <w:rPr>
          <w:rFonts w:ascii="Arial" w:cs="Arial" w:eastAsia="Arial" w:hAnsi="Arial"/>
          <w:sz w:val="16"/>
          <w:szCs w:val="16"/>
          <w:color w:val="auto"/>
        </w:rPr>
      </w:pPr>
    </w:p>
    <w:p>
      <w:pPr>
        <w:ind w:left="384" w:right="40"/>
        <w:spacing w:after="0" w:line="252" w:lineRule="auto"/>
        <w:rPr>
          <w:rFonts w:ascii="Arial" w:cs="Arial" w:eastAsia="Arial" w:hAnsi="Arial"/>
          <w:sz w:val="16"/>
          <w:szCs w:val="16"/>
          <w:color w:val="auto"/>
        </w:rPr>
      </w:pPr>
      <w:r>
        <w:rPr>
          <w:rFonts w:ascii="Arial" w:cs="Arial" w:eastAsia="Arial" w:hAnsi="Arial"/>
          <w:sz w:val="18"/>
          <w:szCs w:val="18"/>
          <w:color w:val="auto"/>
        </w:rPr>
        <w:t>Many of the Digital Printing segment customers around the globe continued to operate during the COVID-19 pandemic but at decreased volumes. The Digital Printing segment was impacted by supply chain disruptions and travel restrictions and manufacturing volumes were reduced, primarily in 2020, in response to the decline in customer demand for the segment’s products. The segment has seen some recovery of volumes starting in the later part of 2020 and continued improvement in customer demand in the first six months of 2021; however, certain markets in the printing industry are expected to take longer to recover to pre-pandemic levels which makes the duration and extent of demand declines uncertain.</w:t>
      </w:r>
    </w:p>
    <w:p>
      <w:pPr>
        <w:spacing w:after="0" w:line="153" w:lineRule="exact"/>
        <w:rPr>
          <w:rFonts w:ascii="Arial" w:cs="Arial" w:eastAsia="Arial" w:hAnsi="Arial"/>
          <w:sz w:val="16"/>
          <w:szCs w:val="16"/>
          <w:color w:val="auto"/>
        </w:rPr>
      </w:pPr>
    </w:p>
    <w:p>
      <w:pPr>
        <w:ind w:left="364" w:right="40" w:hanging="364"/>
        <w:spacing w:after="0" w:line="228" w:lineRule="auto"/>
        <w:tabs>
          <w:tab w:leader="none" w:pos="3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Advanced Materials and Chemicals revenues increased $16 million (42%) and $20 million (25%) compared with the prior year quarter and year-to-date periods, primarily due to the impact of the pandemic on the prior year periods. The segment results improved $8 million (114%) and $13 million (81%) compared to the prior year quarter and year-to-date periods, respectively. Kodak plans to continue promoting the use of film and chemicals to utilize as much manufacturing capacity as possible.</w:t>
      </w:r>
    </w:p>
    <w:p>
      <w:pPr>
        <w:spacing w:after="0" w:line="163" w:lineRule="exact"/>
        <w:rPr>
          <w:sz w:val="20"/>
          <w:szCs w:val="20"/>
          <w:color w:val="auto"/>
        </w:rPr>
      </w:pPr>
    </w:p>
    <w:p>
      <w:pPr>
        <w:ind w:left="404" w:right="160"/>
        <w:spacing w:after="0" w:line="268" w:lineRule="auto"/>
        <w:rPr>
          <w:sz w:val="20"/>
          <w:szCs w:val="20"/>
          <w:color w:val="auto"/>
        </w:rPr>
      </w:pPr>
      <w:r>
        <w:rPr>
          <w:rFonts w:ascii="Arial" w:cs="Arial" w:eastAsia="Arial" w:hAnsi="Arial"/>
          <w:sz w:val="17"/>
          <w:szCs w:val="17"/>
          <w:color w:val="auto"/>
        </w:rPr>
        <w:t>Advanced Materials and Chemicals experienced adverse impacts from the COVID-19 pandemic in 2020, most notably in Motion Picture where the industry was heavily impacted and productions in affected regions were suspended. Each of the segment’s product lines was impacted by lowered demand and travel restrictions. The segment has seen a recovery of customer demand starting in the later part of 2020 for Motion Picture film and other Advanced Materials and Chemicals product lines, which continued in the first six months of 2021 with volume improvements compared with the prior year quarter and year-to-date periods. Advanced Materials and Chemicals has experienced supply chain disruptions and shortages associated with raw materials as well as labor shortages in certain manufacturing areas. The segment has implemented numerous measures to mitigate these challenges while meeting current demand, however, the duration and extent of supply chain distributions and labor shortages remain unclear.</w:t>
      </w:r>
    </w:p>
    <w:p>
      <w:pPr>
        <w:spacing w:after="0" w:line="193" w:lineRule="exact"/>
        <w:rPr>
          <w:sz w:val="20"/>
          <w:szCs w:val="20"/>
          <w:color w:val="auto"/>
        </w:rPr>
      </w:pPr>
    </w:p>
    <w:p>
      <w:pPr>
        <w:ind w:left="384" w:hanging="371"/>
        <w:spacing w:after="0" w:line="223" w:lineRule="auto"/>
        <w:tabs>
          <w:tab w:leader="none" w:pos="3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Kodak is working to organically expand its key starting materials (“KSM”) production at Eastman Business Park in Rochester, New York while exploring alternatives to obtain necessary Current Good Manufacturing Practices (“cGMP”) and FDA certification to make regulated KSMs and active pharmaceutical ingredients (“APIs”) and otherwise utilize its assets and technology in the healthcare space. Depending on its assessment of the business opportunity and availability of capital, Kodak may also explore alternative means to further expand its chemical manufacturing operations for purposes of producing materials to support the healthcare industry. A portion of the capital raised by the Company on February 26, 2021 is being used to fund these exploratory activities and may be used to fund expansion opportunities that the Company considers attractive.</w:t>
      </w:r>
    </w:p>
    <w:p>
      <w:pPr>
        <w:spacing w:after="0" w:line="151" w:lineRule="exact"/>
        <w:rPr>
          <w:rFonts w:ascii="Arial" w:cs="Arial" w:eastAsia="Arial" w:hAnsi="Arial"/>
          <w:sz w:val="18"/>
          <w:szCs w:val="18"/>
          <w:color w:val="auto"/>
        </w:rPr>
      </w:pPr>
    </w:p>
    <w:p>
      <w:pPr>
        <w:ind w:left="364" w:right="360" w:hanging="364"/>
        <w:spacing w:after="0"/>
        <w:tabs>
          <w:tab w:leader="none" w:pos="3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Eastman Business Park.</w:t>
      </w:r>
    </w:p>
    <w:p>
      <w:pPr>
        <w:spacing w:after="0" w:line="147" w:lineRule="exact"/>
        <w:rPr>
          <w:rFonts w:ascii="Arial" w:cs="Arial" w:eastAsia="Arial" w:hAnsi="Arial"/>
          <w:sz w:val="18"/>
          <w:szCs w:val="18"/>
          <w:color w:val="auto"/>
        </w:rPr>
      </w:pPr>
    </w:p>
    <w:p>
      <w:pPr>
        <w:ind w:left="364" w:right="200" w:hanging="364"/>
        <w:spacing w:after="0"/>
        <w:tabs>
          <w:tab w:leader="none" w:pos="3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68580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604"/>
          </w:cols>
          <w:pgMar w:left="956" w:top="48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The balance of Kodak’s operations, which do not meet the criteria of a reportable segment, are reported in All Other and primarily represent the Eastman Business Park operations. Refer to the 2020 Form 10-K for a description of the Company’s segments.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Segment Revenues</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9"/>
          </w:tcPr>
          <w:p>
            <w:pPr>
              <w:jc w:val="right"/>
              <w:ind w:right="140"/>
              <w:spacing w:after="0"/>
              <w:rPr>
                <w:sz w:val="20"/>
                <w:szCs w:val="20"/>
                <w:color w:val="auto"/>
              </w:rPr>
            </w:pPr>
            <w:r>
              <w:rPr>
                <w:rFonts w:ascii="Arial" w:cs="Arial" w:eastAsia="Arial" w:hAnsi="Arial"/>
                <w:sz w:val="18"/>
                <w:szCs w:val="18"/>
                <w:b w:val="1"/>
                <w:bCs w:val="1"/>
                <w:color w:val="auto"/>
              </w:rPr>
              <w:t>Six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5360" w:type="dxa"/>
            <w:vAlign w:val="bottom"/>
            <w:gridSpan w:val="3"/>
          </w:tcPr>
          <w:p>
            <w:pPr>
              <w:ind w:left="560"/>
              <w:spacing w:after="0"/>
              <w:rPr>
                <w:sz w:val="20"/>
                <w:szCs w:val="20"/>
                <w:color w:val="auto"/>
              </w:rPr>
            </w:pPr>
            <w:r>
              <w:rPr>
                <w:rFonts w:ascii="Arial" w:cs="Arial" w:eastAsia="Arial" w:hAnsi="Arial"/>
                <w:sz w:val="16"/>
                <w:szCs w:val="16"/>
                <w:color w:val="auto"/>
              </w:rPr>
              <w:t>(in millions)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60" w:type="dxa"/>
            <w:vAlign w:val="bottom"/>
          </w:tcPr>
          <w:p>
            <w:pPr>
              <w:spacing w:after="0"/>
              <w:rPr>
                <w:sz w:val="19"/>
                <w:szCs w:val="19"/>
                <w:color w:val="auto"/>
              </w:rPr>
            </w:pPr>
          </w:p>
        </w:tc>
        <w:tc>
          <w:tcPr>
            <w:tcW w:w="4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4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56"/>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317</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Digital Printing</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126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117</w:t>
            </w: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38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100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Brand</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w:t>
            </w: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0"/>
        </w:trPr>
        <w:tc>
          <w:tcPr>
            <w:tcW w:w="560" w:type="dxa"/>
            <w:vAlign w:val="bottom"/>
          </w:tcPr>
          <w:p>
            <w:pPr>
              <w:spacing w:after="0"/>
              <w:rPr>
                <w:sz w:val="19"/>
                <w:szCs w:val="19"/>
                <w:color w:val="auto"/>
              </w:rPr>
            </w:pPr>
          </w:p>
        </w:tc>
        <w:tc>
          <w:tcPr>
            <w:tcW w:w="4800" w:type="dxa"/>
            <w:vAlign w:val="bottom"/>
            <w:gridSpan w:val="2"/>
          </w:tcPr>
          <w:p>
            <w:pPr>
              <w:ind w:left="260"/>
              <w:spacing w:after="0"/>
              <w:rPr>
                <w:sz w:val="20"/>
                <w:szCs w:val="20"/>
                <w:color w:val="auto"/>
              </w:rPr>
            </w:pPr>
            <w:r>
              <w:rPr>
                <w:rFonts w:ascii="Arial" w:cs="Arial" w:eastAsia="Arial" w:hAnsi="Arial"/>
                <w:sz w:val="18"/>
                <w:szCs w:val="18"/>
                <w:color w:val="auto"/>
              </w:rPr>
              <w:t>Consolidated total</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556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480</w:t>
            </w:r>
          </w:p>
        </w:tc>
        <w:tc>
          <w:tcPr>
            <w:tcW w:w="100" w:type="dxa"/>
            <w:vAlign w:val="bottom"/>
          </w:tcPr>
          <w:p>
            <w:pPr>
              <w:spacing w:after="0"/>
              <w:rPr>
                <w:sz w:val="19"/>
                <w:szCs w:val="19"/>
                <w:color w:val="auto"/>
              </w:rPr>
            </w:pPr>
          </w:p>
        </w:tc>
      </w:tr>
      <w:tr>
        <w:trPr>
          <w:trHeight w:val="20"/>
        </w:trPr>
        <w:tc>
          <w:tcPr>
            <w:tcW w:w="1140" w:type="dxa"/>
            <w:vAlign w:val="bottom"/>
            <w:gridSpan w:val="2"/>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7880" w:type="dxa"/>
            <w:vAlign w:val="bottom"/>
            <w:gridSpan w:val="13"/>
          </w:tcPr>
          <w:p>
            <w:pPr>
              <w:spacing w:after="0"/>
              <w:rPr>
                <w:sz w:val="20"/>
                <w:szCs w:val="20"/>
                <w:color w:val="auto"/>
              </w:rPr>
            </w:pPr>
            <w:r>
              <w:rPr>
                <w:rFonts w:ascii="Arial" w:cs="Arial" w:eastAsia="Arial" w:hAnsi="Arial"/>
                <w:sz w:val="18"/>
                <w:szCs w:val="18"/>
                <w:b w:val="1"/>
                <w:bCs w:val="1"/>
                <w:color w:val="auto"/>
                <w:w w:val="90"/>
              </w:rPr>
              <w:t>Segment Operational EBITDA and Consolidated Income (Loss) from Operations Before Income Taxes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89"/>
              </w:rPr>
              <w:t>Six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5"/>
          </w:tcPr>
          <w:p>
            <w:pPr>
              <w:jc w:val="center"/>
              <w:ind w:left="296"/>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84"/>
              </w:rPr>
              <w:t>2020</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4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Digital Printing</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Brand</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 excluding income</w:t>
            </w: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from transition services agreement </w:t>
            </w:r>
            <w:r>
              <w:rPr>
                <w:rFonts w:ascii="Arial" w:cs="Arial" w:eastAsia="Arial" w:hAnsi="Arial"/>
                <w:sz w:val="15"/>
                <w:szCs w:val="15"/>
                <w:color w:val="auto"/>
              </w:rPr>
              <w:t>(3)</w:t>
            </w: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Pension income excluding service cost component </w:t>
            </w:r>
            <w:r>
              <w:rPr>
                <w:rFonts w:ascii="Arial" w:cs="Arial" w:eastAsia="Arial" w:hAnsi="Arial"/>
                <w:sz w:val="15"/>
                <w:szCs w:val="15"/>
                <w:color w:val="auto"/>
                <w:w w:val="98"/>
              </w:rPr>
              <w:t>(4)</w:t>
            </w: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(4)</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income (loss) from operations before</w:t>
            </w:r>
          </w:p>
        </w:tc>
        <w:tc>
          <w:tcPr>
            <w:tcW w:w="4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taxes</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7" w:lineRule="exact"/>
        <w:rPr>
          <w:sz w:val="20"/>
          <w:szCs w:val="20"/>
          <w:color w:val="auto"/>
        </w:rPr>
      </w:pPr>
    </w:p>
    <w:p>
      <w:pPr>
        <w:ind w:left="560" w:right="540" w:hanging="473"/>
        <w:spacing w:after="0" w:line="271" w:lineRule="auto"/>
        <w:tabs>
          <w:tab w:leader="none" w:pos="5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 and investigations.</w:t>
      </w:r>
    </w:p>
    <w:p>
      <w:pPr>
        <w:spacing w:after="0" w:line="67" w:lineRule="exact"/>
        <w:rPr>
          <w:rFonts w:ascii="Arial" w:cs="Arial" w:eastAsia="Arial" w:hAnsi="Arial"/>
          <w:sz w:val="15"/>
          <w:szCs w:val="15"/>
          <w:color w:val="auto"/>
        </w:rPr>
      </w:pPr>
    </w:p>
    <w:p>
      <w:pPr>
        <w:ind w:left="560" w:right="200" w:hanging="473"/>
        <w:spacing w:after="0" w:line="271" w:lineRule="auto"/>
        <w:tabs>
          <w:tab w:leader="none" w:pos="5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67" w:lineRule="exact"/>
        <w:rPr>
          <w:rFonts w:ascii="Arial" w:cs="Arial" w:eastAsia="Arial" w:hAnsi="Arial"/>
          <w:sz w:val="15"/>
          <w:szCs w:val="15"/>
          <w:color w:val="auto"/>
        </w:rPr>
      </w:pPr>
    </w:p>
    <w:p>
      <w:pPr>
        <w:ind w:left="560" w:hanging="473"/>
        <w:spacing w:after="0" w:line="297" w:lineRule="auto"/>
        <w:tabs>
          <w:tab w:leader="none" w:pos="560" w:val="left"/>
        </w:tabs>
        <w:numPr>
          <w:ilvl w:val="0"/>
          <w:numId w:val="20"/>
        </w:numPr>
        <w:rPr>
          <w:rFonts w:ascii="Arial" w:cs="Arial" w:eastAsia="Arial" w:hAnsi="Arial"/>
          <w:sz w:val="13"/>
          <w:szCs w:val="13"/>
          <w:color w:val="auto"/>
        </w:rPr>
      </w:pPr>
      <w:r>
        <w:rPr>
          <w:rFonts w:ascii="Arial" w:cs="Arial" w:eastAsia="Arial" w:hAnsi="Arial"/>
          <w:sz w:val="16"/>
          <w:szCs w:val="16"/>
          <w:color w:val="auto"/>
        </w:rPr>
        <w:t>$2 million and $4 million of income from the transition services agreement with the purchaser of Kodak’s Flexographic Packaging Business was recognized in the three and six months ended June 30, 2020, respectively. No income has been recognized in 2021.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52" w:lineRule="exact"/>
        <w:rPr>
          <w:rFonts w:ascii="Arial" w:cs="Arial" w:eastAsia="Arial" w:hAnsi="Arial"/>
          <w:sz w:val="13"/>
          <w:szCs w:val="13"/>
          <w:color w:val="auto"/>
        </w:rPr>
      </w:pPr>
    </w:p>
    <w:p>
      <w:pPr>
        <w:ind w:left="560" w:hanging="473"/>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320" w:top="335" w:right="699" w:bottom="1440" w:gutter="0" w:footer="0" w:header="0"/>
        </w:sectPr>
      </w:pPr>
    </w:p>
    <w:bookmarkStart w:id="37" w:name="page38"/>
    <w:bookmarkEnd w:id="37"/>
    <w:p>
      <w:pPr>
        <w:ind w:right="540"/>
        <w:spacing w:after="0" w:line="335" w:lineRule="auto"/>
        <w:rPr>
          <w:sz w:val="20"/>
          <w:szCs w:val="20"/>
          <w:color w:val="auto"/>
        </w:rPr>
      </w:pPr>
      <w:r>
        <w:rPr>
          <w:rFonts w:ascii="Arial" w:cs="Arial" w:eastAsia="Arial" w:hAnsi="Arial"/>
          <w:sz w:val="16"/>
          <w:szCs w:val="16"/>
          <w:color w:val="auto"/>
        </w:rPr>
        <w:t>Kodak decreased workers’ compensation reserves by approximately $3 million in the second quarter of 2021 driven by changes in discount rates. The decrease in reserves in the second quarter of 2021 impacted gross profit by approximately $2 million and SG&amp;A by approximately $1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7"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EBITDA”). Operational EBITDA represents the earnings (loss) from operations excluding the provision for income taxes; non-service cost components of pension and OPEB income; depreciation and amortization expense; restructuring costs; stock-based compensation expense; consulting and other costs; idle costs; other operating income, net (unless otherwise indicated); interest expense and other (charges) income, net.</w:t>
      </w:r>
    </w:p>
    <w:p>
      <w:pPr>
        <w:spacing w:after="0" w:line="174"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COMPARED WITH 2020</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auto"/>
                <w:w w:val="94"/>
              </w:rPr>
              <w:t>Six Months Ended June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3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80"/>
              <w:spacing w:after="0" w:line="203"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380"/>
              <w:spacing w:after="0" w:line="203"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340"/>
              <w:spacing w:after="0" w:line="203" w:lineRule="exact"/>
              <w:rPr>
                <w:sz w:val="20"/>
                <w:szCs w:val="20"/>
                <w:color w:val="auto"/>
              </w:rPr>
            </w:pPr>
            <w:r>
              <w:rPr>
                <w:rFonts w:ascii="Arial" w:cs="Arial" w:eastAsia="Arial" w:hAnsi="Arial"/>
                <w:sz w:val="18"/>
                <w:szCs w:val="18"/>
                <w:b w:val="1"/>
                <w:bCs w:val="1"/>
                <w:color w:val="auto"/>
              </w:rPr>
              <w:t>% of</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340"/>
              <w:spacing w:after="0" w:line="203" w:lineRule="exact"/>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3380" w:type="dxa"/>
            <w:vAlign w:val="bottom"/>
          </w:tcPr>
          <w:p>
            <w:pPr>
              <w:spacing w:after="0"/>
              <w:rPr>
                <w:sz w:val="20"/>
                <w:szCs w:val="20"/>
                <w:color w:val="auto"/>
              </w:rPr>
            </w:pPr>
            <w:r>
              <w:rPr>
                <w:rFonts w:ascii="Arial" w:cs="Arial" w:eastAsia="Arial" w:hAnsi="Arial"/>
                <w:sz w:val="16"/>
                <w:szCs w:val="16"/>
                <w:color w:val="auto"/>
              </w:rPr>
              <w:t>(in millions)</w:t>
            </w:r>
          </w:p>
        </w:tc>
        <w:tc>
          <w:tcPr>
            <w:tcW w:w="580" w:type="dxa"/>
            <w:vAlign w:val="bottom"/>
            <w:gridSpan w:val="3"/>
          </w:tcPr>
          <w:p>
            <w:pPr>
              <w:jc w:val="right"/>
              <w:ind w:right="11"/>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Sales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Sales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Change</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Sales</w:t>
            </w: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Sales</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Change</w:t>
            </w:r>
          </w:p>
        </w:tc>
      </w:tr>
      <w:tr>
        <w:trPr>
          <w:trHeight w:val="221"/>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tcPr>
          <w:p>
            <w:pPr>
              <w:spacing w:after="0"/>
              <w:rPr>
                <w:sz w:val="19"/>
                <w:szCs w:val="19"/>
                <w:color w:val="auto"/>
              </w:rPr>
            </w:pPr>
          </w:p>
        </w:tc>
      </w:tr>
      <w:tr>
        <w:trPr>
          <w:trHeight w:val="221"/>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27"/>
        </w:trPr>
        <w:tc>
          <w:tcPr>
            <w:tcW w:w="3380" w:type="dxa"/>
            <w:vAlign w:val="bottom"/>
          </w:tcPr>
          <w:p>
            <w:pPr>
              <w:spacing w:after="0"/>
              <w:rPr>
                <w:sz w:val="20"/>
                <w:szCs w:val="20"/>
                <w:color w:val="auto"/>
              </w:rPr>
            </w:pPr>
            <w:r>
              <w:rPr>
                <w:rFonts w:ascii="Arial" w:cs="Arial" w:eastAsia="Arial" w:hAnsi="Arial"/>
                <w:sz w:val="18"/>
                <w:szCs w:val="18"/>
                <w:color w:val="auto"/>
                <w:w w:val="94"/>
              </w:rPr>
              <w:t>Selling, general and administrative expenses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8"/>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7"/>
        </w:trPr>
        <w:tc>
          <w:tcPr>
            <w:tcW w:w="33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28"/>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06"/>
        </w:trPr>
        <w:tc>
          <w:tcPr>
            <w:tcW w:w="3380" w:type="dxa"/>
            <w:vAlign w:val="bottom"/>
          </w:tcPr>
          <w:p>
            <w:pPr>
              <w:spacing w:after="0"/>
              <w:rPr>
                <w:sz w:val="20"/>
                <w:szCs w:val="20"/>
                <w:color w:val="auto"/>
              </w:rPr>
            </w:pPr>
            <w:r>
              <w:rPr>
                <w:rFonts w:ascii="Arial" w:cs="Arial" w:eastAsia="Arial" w:hAnsi="Arial"/>
                <w:sz w:val="18"/>
                <w:szCs w:val="18"/>
                <w:color w:val="auto"/>
                <w:w w:val="90"/>
              </w:rPr>
              <w:t>Earnings (loss) from operations before interest</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3380" w:type="dxa"/>
            <w:vAlign w:val="bottom"/>
          </w:tcPr>
          <w:p>
            <w:pPr>
              <w:ind w:left="140"/>
              <w:spacing w:after="0"/>
              <w:rPr>
                <w:sz w:val="20"/>
                <w:szCs w:val="20"/>
                <w:color w:val="auto"/>
              </w:rPr>
            </w:pPr>
            <w:r>
              <w:rPr>
                <w:rFonts w:ascii="Arial" w:cs="Arial" w:eastAsia="Arial" w:hAnsi="Arial"/>
                <w:sz w:val="18"/>
                <w:szCs w:val="18"/>
                <w:color w:val="auto"/>
                <w:w w:val="92"/>
              </w:rPr>
              <w:t>expense, pension income excluding service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380" w:type="dxa"/>
            <w:vAlign w:val="bottom"/>
          </w:tcPr>
          <w:p>
            <w:pPr>
              <w:spacing w:after="0"/>
              <w:rPr>
                <w:sz w:val="20"/>
                <w:szCs w:val="20"/>
                <w:color w:val="auto"/>
              </w:rPr>
            </w:pPr>
            <w:r>
              <w:rPr>
                <w:rFonts w:ascii="Arial" w:cs="Arial" w:eastAsia="Arial" w:hAnsi="Arial"/>
                <w:sz w:val="18"/>
                <w:szCs w:val="18"/>
                <w:color w:val="auto"/>
              </w:rPr>
              <w:t>cost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380" w:type="dxa"/>
            <w:vAlign w:val="bottom"/>
          </w:tcPr>
          <w:p>
            <w:pPr>
              <w:ind w:left="140"/>
              <w:spacing w:after="0"/>
              <w:rPr>
                <w:sz w:val="20"/>
                <w:szCs w:val="20"/>
                <w:color w:val="auto"/>
              </w:rPr>
            </w:pPr>
            <w:r>
              <w:rPr>
                <w:rFonts w:ascii="Arial" w:cs="Arial" w:eastAsia="Arial" w:hAnsi="Arial"/>
                <w:sz w:val="18"/>
                <w:szCs w:val="18"/>
                <w:color w:val="auto"/>
                <w:w w:val="90"/>
              </w:rPr>
              <w:t>component, other charges (income), net 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3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40" w:type="dxa"/>
            <w:vAlign w:val="bottom"/>
            <w:gridSpan w:val="2"/>
          </w:tcPr>
          <w:p>
            <w:pPr>
              <w:jc w:val="right"/>
              <w:ind w:right="62"/>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28"/>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8"/>
                <w:szCs w:val="18"/>
                <w:color w:val="auto"/>
              </w:rPr>
              <w:t>Pension income excluding service cost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380" w:type="dxa"/>
            <w:vAlign w:val="bottom"/>
          </w:tcPr>
          <w:p>
            <w:pPr>
              <w:spacing w:after="0"/>
              <w:rPr>
                <w:sz w:val="20"/>
                <w:szCs w:val="20"/>
                <w:color w:val="auto"/>
              </w:rPr>
            </w:pPr>
            <w:r>
              <w:rPr>
                <w:rFonts w:ascii="Arial" w:cs="Arial" w:eastAsia="Arial" w:hAnsi="Arial"/>
                <w:sz w:val="18"/>
                <w:szCs w:val="18"/>
                <w:color w:val="auto"/>
              </w:rPr>
              <w:t>component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540" w:type="dxa"/>
            <w:vAlign w:val="bottom"/>
            <w:gridSpan w:val="2"/>
          </w:tcPr>
          <w:p>
            <w:pPr>
              <w:jc w:val="right"/>
              <w:ind w:right="62"/>
              <w:spacing w:after="0"/>
              <w:rPr>
                <w:sz w:val="20"/>
                <w:szCs w:val="20"/>
                <w:color w:val="auto"/>
              </w:rPr>
            </w:pPr>
            <w:r>
              <w:rPr>
                <w:rFonts w:ascii="Arial" w:cs="Arial" w:eastAsia="Arial" w:hAnsi="Arial"/>
                <w:sz w:val="18"/>
                <w:szCs w:val="18"/>
                <w:color w:val="auto"/>
              </w:rPr>
              <w:t>(27)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8"/>
                <w:szCs w:val="18"/>
                <w:color w:val="auto"/>
              </w:rPr>
              <w:t>(53)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8"/>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charges (income), net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(45)</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r>
      <w:tr>
        <w:trPr>
          <w:trHeight w:val="206"/>
        </w:trPr>
        <w:tc>
          <w:tcPr>
            <w:tcW w:w="3380" w:type="dxa"/>
            <w:vAlign w:val="bottom"/>
          </w:tcPr>
          <w:p>
            <w:pPr>
              <w:spacing w:after="0"/>
              <w:rPr>
                <w:sz w:val="20"/>
                <w:szCs w:val="20"/>
                <w:color w:val="auto"/>
              </w:rPr>
            </w:pPr>
            <w:r>
              <w:rPr>
                <w:rFonts w:ascii="Arial" w:cs="Arial" w:eastAsia="Arial" w:hAnsi="Arial"/>
                <w:sz w:val="18"/>
                <w:szCs w:val="18"/>
                <w:color w:val="auto"/>
              </w:rPr>
              <w:t>Earnings (loss) from operations before</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3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540" w:type="dxa"/>
            <w:vAlign w:val="bottom"/>
            <w:gridSpan w:val="2"/>
          </w:tcPr>
          <w:p>
            <w:pPr>
              <w:jc w:val="right"/>
              <w:ind w:right="62"/>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28"/>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r>
      <w:tr>
        <w:trPr>
          <w:trHeight w:val="220"/>
        </w:trPr>
        <w:tc>
          <w:tcPr>
            <w:tcW w:w="3380" w:type="dxa"/>
            <w:vAlign w:val="bottom"/>
          </w:tcPr>
          <w:p>
            <w:pPr>
              <w:spacing w:after="0"/>
              <w:rPr>
                <w:sz w:val="20"/>
                <w:szCs w:val="20"/>
                <w:color w:val="auto"/>
              </w:rPr>
            </w:pPr>
            <w:r>
              <w:rPr>
                <w:rFonts w:ascii="Arial" w:cs="Arial" w:eastAsia="Arial" w:hAnsi="Arial"/>
                <w:sz w:val="18"/>
                <w:szCs w:val="18"/>
                <w:color w:val="auto"/>
              </w:rPr>
              <w:t>Net income (loss)</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291"/>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For the three months ended June 30, 2021 revenues improved $78 million compared with the same period in 2020, driven by increased volume within Traditional Printing ($41 million), Advanced Materials and Chemicals ($17 million) and Digital Printing ($9 million) as well as favorable foreign currency ($10 million). The revenue improvements were offset by unfavorable pricing and product mix in Digital Printing and Advanced Materials and Chemicals (each $1 million). See segment discussions for additional details.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For the six months ended June 30, 2021 revenues improved $76 million compared with the same period in 2020, driven by increased volume within Traditional Printing ($31 million), Advanced Materials and Chemicals ($19 million), Digital Printing ($8 million) and Other ($2 million) as well as favorable foreign currency ($19 million). The revenue improvements were offset by unfavorable pricing and product mix in Traditional Printing and Digital Printing (each $3 million). See segment discussions for additional details.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Gross profit for the three months ended June 30, 2021 improved approximately $27 million compared with the same period in 2020 primarily due to improved manufacturing costs driven by more favorable cost absorption ($15 million) from improved volume, increased volume within Advanced Materials and Chemicals and Traditional Printing ($6 million and $1 million, respectively) and lower depreciation and amortization expenses ($2 million) partially offset by higher aluminum costs ($5 million). See segment discussions for additional details.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Gross profit for the six months ended June 30, 2021 improved approximately $31 million compared with the same period in 2020 primarily due to improved manufacturing costs driven by more favorable cost absorption ($20 million) from improved volume, increased volume in Advanced Materials and Chemicals ($7 million), lower depreciation and amortization expenses ($4 million) and favorable foreign currency ($1 million) partially offset by higher aluminum costs ($6 million), volume declines and unfavorable pricing and product mix in Digital Printing ($2 million and $1 million, respectively) and unfavorable pricing and product mix in Traditional Printing ($1 million). See segment discussions for additional details.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Consolidated SG&amp;A increased $8 million and $6 million in the three and six months ended June 30, 2021, respectively. The $8 million increase in the three months ended June 30, 2021 was driven by increased investment in segment selling and marketing activities ($5 million) primarily due to temporary furloughs and pay cuts that were instituted in the second quarter of 2020 ($3 million) that largely ended in January 2021 as well as higher consulting and project costs associated with the internal and external investigations that started in the third quarter of 2020 ($3 million). The $6 million increase in the six months ended June 30, 2021 was driven by higher consulting and project costs associated with the internal and external investigations that started in the third quarter of 2020 ($8 million) and a $3 million increase in stock-based compensation expense primarily attributable to equity awards granted to the Company’s Executive Chairman and Chief Executive Officer in the current year. The increases in consolidated SG&amp;A in the six-month period were partially offset by a lower investment in segment selling and marketing activities ($4 million) driven by cost reduction efforts as well as higher bad debt expense in the prior year period reflecting the increased collection risk associated with the COVID-19 pandemic ($3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Consolidated R&amp;D expenses remained flat for the quarter and decreased $1 million for the year, primarily due to cost reduction efforts.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Charges (Income), Net</w:t>
      </w:r>
    </w:p>
    <w:p>
      <w:pPr>
        <w:spacing w:after="0" w:line="2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change in Other charges (income), net was primarily driven by the embedded conversion features derivative liability associated with the Convertible Notes in 2020. Refer to Note 12, “Other Charges (Income), Net” and Note 20, “Financial Instruments”.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change in Provision for income taxes for the six months ended June 30, 2021 was driven by the $167 million provision associated with the establishment of a valuation allowance on deferred tax assets outside the U.S. in 2020. Refer to Note 13, “Income Taxes”.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1"/>
        </w:trPr>
        <w:tc>
          <w:tcPr>
            <w:tcW w:w="3920" w:type="dxa"/>
            <w:vAlign w:val="bottom"/>
          </w:tcPr>
          <w:p>
            <w:pPr>
              <w:spacing w:after="0"/>
              <w:rPr>
                <w:sz w:val="20"/>
                <w:szCs w:val="20"/>
                <w:color w:val="auto"/>
              </w:rPr>
            </w:pPr>
            <w:r>
              <w:rPr>
                <w:rFonts w:ascii="Arial" w:cs="Arial" w:eastAsia="Arial" w:hAnsi="Arial"/>
                <w:sz w:val="18"/>
                <w:szCs w:val="18"/>
                <w:b w:val="1"/>
                <w:bCs w:val="1"/>
                <w:color w:val="auto"/>
              </w:rPr>
              <w:t>TRADITIONAL PRINTING SEGMENT</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8"/>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3060" w:type="dxa"/>
            <w:vAlign w:val="bottom"/>
            <w:gridSpan w:val="8"/>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1"/>
        </w:trPr>
        <w:tc>
          <w:tcPr>
            <w:tcW w:w="3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6"/>
              </w:rPr>
              <w:t>$ Change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7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9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increase in Traditional Printing revenues for the three months ended June 30, 2021 of approximately $50 million reflected improved volume in Prepress Solutions consumables and equipment ($38 million and $3 million, respectively) as the prior year period was impacted by the COVID-19 pandemic and favorable foreign currency ($7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increase in Traditional Printing revenues for the six months ended June 30, 2021 of approximately $44 million reflected improved volume in Prepress Solutions consumables and equipment ($29 million and $4 million, respectively) as the prior year period was impacted by the COVID-19 pandemic and favorable foreign currency ($14 million). The favorable impacts were partially offset by volume declines in Prepress Solutions service ($2 million), pricing declines in Prepress Solutions consumables ($1 million) and unfavorable product mix in Prepress Solutions equipment ($1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Traditional Printing Operational EBITDA for the three months ended June 30, 2021 improved $5 million reflecting improved manufacturing costs ($14 million) primarily due to more favorable cost absorption combined with volume and pricing improvements (each $1 million) in Prepress Solutions consumables. The improvements were partially offset by higher aluminum costs ($5 million), higher sales and marketing expenses ($4 million) primarily due to temporary furloughs and pay cuts in the prior year period and unfavorable foreign currency ($1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jc w:val="both"/>
        <w:ind w:right="540"/>
        <w:spacing w:after="0" w:line="274" w:lineRule="auto"/>
        <w:rPr>
          <w:sz w:val="20"/>
          <w:szCs w:val="20"/>
          <w:color w:val="auto"/>
        </w:rPr>
      </w:pPr>
      <w:r>
        <w:rPr>
          <w:rFonts w:ascii="Arial" w:cs="Arial" w:eastAsia="Arial" w:hAnsi="Arial"/>
          <w:sz w:val="17"/>
          <w:szCs w:val="17"/>
          <w:color w:val="auto"/>
        </w:rPr>
        <w:t>Traditional Printing Operational EBITDA for the six months ended June 30, 2021 improved $9 million reflecting improved manufacturing costs ($19 million) primarily due to more favorable cost absorption. The cost improvements were partially offset by higher aluminum costs ($6 million), pricing declines ($1 million) in Prepress Solutions consumables and unfavorable foreign currency ($2 million).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60" w:type="dxa"/>
            <w:vAlign w:val="bottom"/>
          </w:tcPr>
          <w:p>
            <w:pPr>
              <w:spacing w:after="0"/>
              <w:rPr>
                <w:sz w:val="20"/>
                <w:szCs w:val="20"/>
                <w:color w:val="auto"/>
              </w:rPr>
            </w:pPr>
            <w:r>
              <w:rPr>
                <w:rFonts w:ascii="Arial" w:cs="Arial" w:eastAsia="Arial" w:hAnsi="Arial"/>
                <w:sz w:val="18"/>
                <w:szCs w:val="18"/>
                <w:b w:val="1"/>
                <w:bCs w:val="1"/>
                <w:color w:val="auto"/>
              </w:rPr>
              <w:t>DIGITAL PRINTING SEGMENT</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8"/>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3060" w:type="dxa"/>
            <w:vAlign w:val="bottom"/>
            <w:gridSpan w:val="8"/>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1"/>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6"/>
              </w:rPr>
              <w:t>$ Change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6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The improvement in Digital Printing revenues for the three months ended June 30, 2021 of approximately $10 million primarily reflected volume improvements in Prosper consumables and service ($5 million), Prosper systems ($2 million), Electrophotographic Printing Solutions consumables and service ($3 million) and Electrophotographic Printing Solutions equipment ($2 million) in part due to the impact of the COVID-19 pandemic in the prior year quarter and favorable foreign currency ($2 million). The improvements were partially offset by volume declines in Prosper components ($2 million) and pricing declines in Electrophotographic Printing Solutions equipment ($1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The improvement in Digital Printing revenues for the six months ended June 30, 2021 of approximately $9 million primarily reflected volume and pricing improvements ($5 million and $1 million, respectively) in Prosper consumables and service, improved volume in Prosper systems and Electrophotographic Printing Solutions equipment ($2 million and $5 million, respectively) and favorable foreign currency ($4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jc w:val="both"/>
        <w:ind w:right="440"/>
        <w:spacing w:after="0" w:line="259" w:lineRule="auto"/>
        <w:rPr>
          <w:sz w:val="20"/>
          <w:szCs w:val="20"/>
          <w:color w:val="auto"/>
        </w:rPr>
      </w:pPr>
      <w:r>
        <w:rPr>
          <w:rFonts w:ascii="Arial" w:cs="Arial" w:eastAsia="Arial" w:hAnsi="Arial"/>
          <w:sz w:val="18"/>
          <w:szCs w:val="18"/>
          <w:color w:val="auto"/>
        </w:rPr>
        <w:t>The improvements, which were largely due to the impact of COVID-19 pandemic in the prior year period, were partially offset by volume and pricing declines in Prosper components ($3 million and $1 million, respectively) and Electrophotographic Printing Solutions consumables and service (both $1 million) as well as pricing declines in Electrophotographic Printing Solutions equipment ($2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Digital Printing Operational EBITDA for the three months ended June 30, 2021 improved $3 million reflecting improved manufacturing costs ($3 million), volume improvements in Prosper consumables and service ($2 million) and favorable foreign currency ($1 million) partially offset by volume declines and unfavorable product mix in Prosper components (each $1 million) and volume declines in Electrophotographic Printing Solutions equipment ($1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Digital Printing Operational EBITDA for the six months ended June 30, 2021 improved $5 million reflecting improved manufacturing costs ($4 million), improved volume and pricing in Prosper consumables and service ($2 million and $1 million, respectively), lower sales and marketing and R&amp;D expenses ($2 million) and favorable foreign currency ($2 million) partially offset by volume declines and unfavorable product mix in Prosper components (each $2 million) as well as pricing declines in Electrophotographic Printing Solutions equipment ($2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CHEMICALS SEGMENT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300" w:type="dxa"/>
            <w:vAlign w:val="bottom"/>
            <w:gridSpan w:val="9"/>
          </w:tcPr>
          <w:p>
            <w:pPr>
              <w:ind w:left="38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3060" w:type="dxa"/>
            <w:vAlign w:val="bottom"/>
            <w:gridSpan w:val="8"/>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Arial" w:cs="Arial" w:eastAsia="Arial" w:hAnsi="Arial"/>
                <w:sz w:val="16"/>
                <w:szCs w:val="16"/>
                <w:color w:val="auto"/>
              </w:rPr>
              <w:t>(in millions)</w:t>
            </w:r>
          </w:p>
        </w:tc>
        <w:tc>
          <w:tcPr>
            <w:tcW w:w="15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6"/>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240" w:type="dxa"/>
            <w:vAlign w:val="bottom"/>
            <w:gridSpan w:val="2"/>
            <w:shd w:val="clear" w:color="auto" w:fill="CFF0FC"/>
          </w:tcPr>
          <w:p>
            <w:pPr>
              <w:jc w:val="right"/>
              <w:ind w:right="4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Revenues</w:t>
            </w:r>
          </w:p>
        </w:tc>
        <w:tc>
          <w:tcPr>
            <w:tcW w:w="15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1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Advanced Materials and Chemicals revenues for the three months ended June 30, 2021 improved $16 million primarily from volume improvements in Industrial Film and Chemicals ($10 million) and Motion Picture ($8 million) as well as favorable foreign currency ($1 million). These improvements (which were largely due to the impact of COVID-19 pandemic in the prior year period) were partially offset by volume declines from Kodak Services for Business (“KSB”) ($2 million) as the business was sold in December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Advanced Materials and Chemicals revenues for the six months ended June 30, 2021 improved $20 million primarily from volume improvements in Industrial Film and Chemicals ($14 million) and Motion Picture ($9 million) due to the impact of COVID-19 pandemic in the prior year period as well as favorable foreign currency ($1 million). Partially offsetting these impacts was volume declines in Consumer Inkjet Solutions ($1 million) as the final build of inventory was sold in the first half of 2020. Additionally, the prior year period included revenues from KSB ($3 million) which was sold in December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Advanced Materials and Chemicals Operational EBITDA improved $8 million for the three months ended June 30, 2021 reflecting favorable volume in Industrial Film and Chemicals and Motion Picture ($4 million and $3 million, respectively) and improved manufacturing costs in Industrial Film and Chemicals ($3 million) reflecting more favorable cost absorption partially offset by higher selling and administrative expenses ($1 million) primarily due to the cessation of temporary furloughs and pay cuts that were instituted in the second quarter of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Advanced Materials and Chemicals Operational EBITDA improved $13 million for the six months ended June 30, 2021 reflecting favorable volume in Industrial Film and Chemicals and Motion Picture ($4 million and $3 million, respectively), improved manufacturing costs in Industrial Film and Chemicals ($3 million) reflecting more favorable cost absorption, lower R&amp;D expenses and favorable foreign currency (each $1 million). Also contributing were lower selling and marketing expenses primarily related to cost reductions in the first quarter 2020 ($1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1"/>
        </w:trPr>
        <w:tc>
          <w:tcPr>
            <w:tcW w:w="3140" w:type="dxa"/>
            <w:vAlign w:val="bottom"/>
          </w:tcPr>
          <w:p>
            <w:pPr>
              <w:spacing w:after="0"/>
              <w:rPr>
                <w:sz w:val="20"/>
                <w:szCs w:val="20"/>
                <w:color w:val="auto"/>
              </w:rPr>
            </w:pPr>
            <w:r>
              <w:rPr>
                <w:rFonts w:ascii="Arial" w:cs="Arial" w:eastAsia="Arial" w:hAnsi="Arial"/>
                <w:sz w:val="18"/>
                <w:szCs w:val="18"/>
                <w:b w:val="1"/>
                <w:bCs w:val="1"/>
                <w:color w:val="auto"/>
              </w:rPr>
              <w:t>BRAND SEGMENT</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9"/>
        </w:trPr>
        <w:tc>
          <w:tcPr>
            <w:tcW w:w="3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8"/>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3060" w:type="dxa"/>
            <w:vAlign w:val="bottom"/>
            <w:gridSpan w:val="8"/>
          </w:tcPr>
          <w:p>
            <w:pPr>
              <w:ind w:left="340"/>
              <w:spacing w:after="0"/>
              <w:rPr>
                <w:sz w:val="20"/>
                <w:szCs w:val="20"/>
                <w:color w:val="auto"/>
              </w:rPr>
            </w:pPr>
            <w:r>
              <w:rPr>
                <w:rFonts w:ascii="Arial" w:cs="Arial" w:eastAsia="Arial" w:hAnsi="Arial"/>
                <w:sz w:val="18"/>
                <w:szCs w:val="18"/>
                <w:b w:val="1"/>
                <w:bCs w:val="1"/>
                <w:color w:val="auto"/>
              </w:rPr>
              <w:t>Six Months Ended June 30,</w:t>
            </w:r>
          </w:p>
        </w:tc>
      </w:tr>
      <w:tr>
        <w:trPr>
          <w:trHeight w:val="221"/>
        </w:trPr>
        <w:tc>
          <w:tcPr>
            <w:tcW w:w="3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5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6"/>
              </w:rPr>
              <w:t>$ Change</w:t>
            </w:r>
          </w:p>
        </w:tc>
        <w:tc>
          <w:tcPr>
            <w:tcW w:w="100" w:type="dxa"/>
            <w:vAlign w:val="bottom"/>
            <w:tcBorders>
              <w:bottom w:val="single" w:sz="8" w:color="CFF0FC"/>
            </w:tcBorders>
          </w:tcPr>
          <w:p>
            <w:pPr>
              <w:spacing w:after="0"/>
              <w:rPr>
                <w:sz w:val="19"/>
                <w:szCs w:val="19"/>
                <w:color w:val="auto"/>
              </w:rPr>
            </w:pPr>
          </w:p>
        </w:tc>
      </w:tr>
      <w:tr>
        <w:trPr>
          <w:trHeight w:val="220"/>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3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0"/>
        </w:trPr>
        <w:tc>
          <w:tcPr>
            <w:tcW w:w="314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Brand revenues and EBITDA improved $1 million in both the three and six months ended June 30, 2021 compared to the prior year quarter and year-to-date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Kodak recorded no restructuring costs for the three months ended June 30, 2021. Kodak recorded $1 million of charges for the six months ended June 30, 2021 in Restructuring costs and other in the Consolidated Statement of Operations.</w:t>
      </w:r>
    </w:p>
    <w:p>
      <w:pPr>
        <w:spacing w:after="0" w:line="20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Kodak made cash payments related to restructuring of approximately $2 million and $6 million during the three and six months ended June 30, 2021, respectively.</w:t>
      </w: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restructuring actions implemented in the first six months of 2021 are expected to generate future annual cash savings of approximately $3 million. These savings are expected to reduce future annual Cost of revenues and SG&amp;A expenses by $1 million and $2 million, respectively. Kodak began realizing a portion of these savings in the first six months of 2021 and expects the majority of the annual savings to be in effect by the end of 2021 as these actions are completed.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financing transactions entered into during the first quarter of 2021 provided additional liquidity to the Company to fund on-going operations and obligations, and to invest in growth opportunities in Kodak’s core businesses of print, advanced materials and chemicals as well as corporate infrastructure investments expected to contribute to improvements in cash flow. Kodak’s plans to return to sustainable positive cash flow include growing revenues profitably, reducing operating expenses, continuing to simplify the organizational structure, generating cash from selling and leasing underutilized assets and implementing ways to reduce cash collateral needs.</w:t>
      </w:r>
    </w:p>
    <w:p>
      <w:pPr>
        <w:spacing w:after="0" w:line="22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Kodak’s products are sold and serviced in numerous countries across the globe with more than half of sales generated outside the U.S. Current global economic conditions remain highly volatile due to the on-going COVID-19 pandemic. The conversion of accounts receivable to cash is improving but collection risk remains high. To mitigate the economic impacts of the pandemic Kodak reduced operating costs, largely beginning in the second quarter of 2020, through the use of temporary furloughs and pay reductions and adjusted manufacturing volumes to meet changing expectations around production requirements. The furloughs and pay-cuts largely ended in January 2021. While manufacturing volumes have improved for certain businesses the economic uncertainty surrounding the COVID-19 pandemic represents an additional element of complexity in Kodak’s plans to return to sustainable positive cash flow. The Company cannot predict the duration and scope of the COVID-19 pandemic, the severity of the virus, the emergence and spread of new variants, or how quickly and to what extent normal economic and operating conditions can resume. The Company continues to take advantage of any available government incentives around the world in response to the COVID-19 pandemic such as employee-related tax deferrals or holidays, wage subsidies and loan programs. Many of the available government incentives for which the Company qualifies are in the form of deferrals of payments that will be required to be paid in the future.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71"/>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80" w:type="dxa"/>
            <w:vAlign w:val="bottom"/>
            <w:gridSpan w:val="2"/>
          </w:tcPr>
          <w:p>
            <w:pPr>
              <w:ind w:left="1700"/>
              <w:spacing w:after="0"/>
              <w:rPr>
                <w:sz w:val="20"/>
                <w:szCs w:val="20"/>
                <w:color w:val="auto"/>
              </w:rPr>
            </w:pPr>
            <w:r>
              <w:rPr>
                <w:rFonts w:ascii="Arial" w:cs="Arial" w:eastAsia="Arial" w:hAnsi="Arial"/>
                <w:sz w:val="16"/>
                <w:szCs w:val="16"/>
                <w:color w:val="auto"/>
              </w:rPr>
              <w:t>(in millions)</w:t>
            </w: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Cash, cash equivalents and restricted cash</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80" w:type="dxa"/>
            <w:vAlign w:val="bottom"/>
            <w:vMerge w:val="restart"/>
          </w:tcPr>
          <w:p>
            <w:pPr>
              <w:jc w:val="right"/>
              <w:ind w:right="1191"/>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Cash Flow Activity</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9"/>
              </w:rPr>
              <w:t>Six Months Ended June 30,</w:t>
            </w:r>
          </w:p>
        </w:tc>
        <w:tc>
          <w:tcPr>
            <w:tcW w:w="80" w:type="dxa"/>
            <w:vAlign w:val="bottom"/>
          </w:tcPr>
          <w:p>
            <w:pPr>
              <w:spacing w:after="0"/>
              <w:rPr>
                <w:sz w:val="20"/>
                <w:szCs w:val="20"/>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1"/>
              </w:rPr>
              <w:t>Year-Over-</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gridSpan w:val="3"/>
          </w:tcPr>
          <w:p>
            <w:pPr>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Year Change</w:t>
            </w:r>
          </w:p>
        </w:tc>
        <w:tc>
          <w:tcPr>
            <w:tcW w:w="0" w:type="dxa"/>
            <w:vAlign w:val="bottom"/>
          </w:tcPr>
          <w:p>
            <w:pPr>
              <w:spacing w:after="0"/>
              <w:rPr>
                <w:sz w:val="1"/>
                <w:szCs w:val="1"/>
                <w:color w:val="auto"/>
              </w:rPr>
            </w:pPr>
          </w:p>
        </w:tc>
      </w:tr>
      <w:tr>
        <w:trPr>
          <w:trHeight w:val="201"/>
        </w:trPr>
        <w:tc>
          <w:tcPr>
            <w:tcW w:w="264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0"/>
              </w:rPr>
              <w:t>Cash flows from operating activities:</w:t>
            </w:r>
          </w:p>
        </w:tc>
        <w:tc>
          <w:tcPr>
            <w:tcW w:w="24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620" w:type="dxa"/>
            <w:vAlign w:val="bottom"/>
            <w:tcBorders>
              <w:top w:val="single" w:sz="8" w:color="CFF0FC"/>
              <w:bottom w:val="single" w:sz="8" w:color="auto"/>
            </w:tcBorders>
            <w:shd w:val="clear" w:color="auto" w:fill="CFF0FC"/>
          </w:tcPr>
          <w:p>
            <w:pPr>
              <w:spacing w:after="0" w:line="181" w:lineRule="exact"/>
              <w:rPr>
                <w:sz w:val="20"/>
                <w:szCs w:val="20"/>
                <w:color w:val="auto"/>
              </w:rPr>
            </w:pPr>
            <w:r>
              <w:rPr>
                <w:rFonts w:ascii="Arial" w:cs="Arial" w:eastAsia="Arial" w:hAnsi="Arial"/>
                <w:sz w:val="18"/>
                <w:szCs w:val="18"/>
                <w:color w:val="auto"/>
                <w:w w:val="91"/>
              </w:rPr>
              <w:t>Cash flows from investing activities:</w:t>
            </w:r>
          </w:p>
        </w:tc>
        <w:tc>
          <w:tcPr>
            <w:tcW w:w="24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640" w:type="dxa"/>
            <w:vAlign w:val="bottom"/>
            <w:tcBorders>
              <w:top w:val="single" w:sz="8" w:color="CFF0FC"/>
              <w:bottom w:val="single" w:sz="8" w:color="auto"/>
            </w:tcBorders>
            <w:gridSpan w:val="2"/>
            <w:shd w:val="clear" w:color="auto" w:fill="CFF0FC"/>
          </w:tcPr>
          <w:p>
            <w:pPr>
              <w:spacing w:after="0" w:line="181" w:lineRule="exact"/>
              <w:rPr>
                <w:sz w:val="20"/>
                <w:szCs w:val="20"/>
                <w:color w:val="auto"/>
              </w:rPr>
            </w:pPr>
            <w:r>
              <w:rPr>
                <w:rFonts w:ascii="Arial" w:cs="Arial" w:eastAsia="Arial" w:hAnsi="Arial"/>
                <w:sz w:val="18"/>
                <w:szCs w:val="18"/>
                <w:color w:val="auto"/>
                <w:w w:val="91"/>
              </w:rPr>
              <w:t>Cash flows from financing activities:</w:t>
            </w:r>
          </w:p>
        </w:tc>
        <w:tc>
          <w:tcPr>
            <w:tcW w:w="24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restricted cash</w:t>
            </w: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3"/>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gridSpan w:val="3"/>
          </w:tcPr>
          <w:p>
            <w:pPr>
              <w:spacing w:after="0"/>
              <w:rPr>
                <w:sz w:val="20"/>
                <w:szCs w:val="20"/>
                <w:color w:val="auto"/>
              </w:rPr>
            </w:pPr>
            <w:r>
              <w:rPr>
                <w:rFonts w:ascii="Arial" w:cs="Arial" w:eastAsia="Arial" w:hAnsi="Arial"/>
                <w:sz w:val="18"/>
                <w:szCs w:val="18"/>
                <w:color w:val="auto"/>
                <w:w w:val="90"/>
              </w:rPr>
              <w:t>Net increase (decrease) in cash, cash equivalents and restricted cash</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cash used in operating activities decreased $43 million for the six months ended June 30, 2021 as compared with the corresponding period in 2020 primarily due to improved earnings, decreases in cash used for accounts payable and proceeds from legal settlements partially offset by lower reductions of accounts receivable and increased investment in inventory in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remained flat for the six months ended June 30, 2021 as compared with the corresponding period in 2020.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Net cash provided by financing activities for the six months ended June 30, 2021 improved $247 million compared to the corresponding period in 2020 driven by the net proceeds of $247 million received from the current year refinancing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Available liquidity includes cash balances and the unused portion of the Amended ABL Credit Agreement. The amount of available liquidity is subject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fluctuations and includes cash balances held by various entities worldwide. At June 30, 2021 and December 31, 2020 approximately $274 million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$99 million, respectively, of cash and cash equivalents were held within the U.S. and approximately $121 million and $97 million, respectively, of cash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were held outside the U.S. Cash balances held outside the U.S. are generally required to support local country operations and may have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high tax costs or other limitations that delay the ability to repatriate, and therefore may not be readily available for transfer to other jurisdictions. Kodak</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utilizes cash balances outside the U.S. to fund needs in the U.S. through the use of inter-company loans. As of June 30, 2021 and December 31, 2020,</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outstanding inter-company loans to the U.S. were $410 million and $449 million, respectively, which includes short-term inter-company loans from Kodak’s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finance center of $111 million and $150 million,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$35 million and $34 million of cash and cash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equivalents was held as of June 30, 2021 and December 31, 2020, respectively, there are limitations related to net asset balances that may impact the ability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make cash available to other jurisdictions in the world. Under the terms of the Amended ABL Credit Agreement, the Company is permitted to invest up</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$75 million in Restricted Subsidiaries that are not Loan Parties and in joint ventures or Unrestricted Subsidiaries that are not party to the Amended ABL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w:t>
      </w:r>
    </w:p>
    <w:p>
      <w:pPr>
        <w:spacing w:after="0" w:line="2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issued approximately $42 million letters of credit under the Amended ABL Credit Agreement and $45 million letters of credit under the L/C Facility Agreement as of June 30, 2021. The letters of credit under the L/C Facility Agreement are collateralized by cash collateral (L/C Cash Collateral). The L/C Cash Collateral was $46 million at June 30, 2021 which was classified as Restricted Cash. The Company issued approximately $90 million letters of credit under the ABL Credit Agreement as of December 31, 2020.</w:t>
      </w:r>
    </w:p>
    <w:p>
      <w:pPr>
        <w:spacing w:after="0" w:line="2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the Amended ABL Credit Agreement and L/C Facility Agreement the Company is required to maintain Minimum Liquidity of at least $80 million, which is tested on the last day of each fiscal quarter. Minimum Liquidity was $274 million at June 30, 2021. If Minimum Liquidity falls below $80 million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Amended ABL Credit Agreement the Company is required to maintain Excess Availability above 12.5% of lender commitments ($11.25 million and $13.75 million as of June 30, 2021 and December 31, 2020, respectively), which is tested at the end of each month. Excess Availability was $39 million and $20 million as of June 30, 2021 and December 31, 2020, respectively. If Excess Availability falls below 12.5% of lender commitments a Fixed Charge Coverage Ratio Trigger Event would occur. During any Fixed Charge Coverage Ratio Trigger Event, the Company would be required to maintain a Fixed Charge Coverage Ratio of greater than or equal to 1.0 to 1.0.</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43" w:name="page44"/>
    <w:bookmarkEnd w:id="43"/>
    <w:p>
      <w:pPr>
        <w:ind w:right="60"/>
        <w:spacing w:after="0" w:line="269"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June 30, 2021 and December 31, 2020, Kodak is not required to have a minimum Fixed Charge Coverage Ratio of 1.0 to 1.0. The Amended ABL Credit Agreement also removed Eligible Cash from the Borrowing Base. Therefore, amounts funded into the Eligible Cash account will no longer increase Excess Availability for purposes of compliance reporting. As of December 31, 2020, to maintain Excess Availability of greater than 12.5% of lender commitments, Kodak funded $35 million to the Eligible Cash account held with the ABL Credit Agreement Administrative Agent, which was classified as Restricted Cash in the Consolidated Statement of Financial Position.</w:t>
      </w:r>
    </w:p>
    <w:p>
      <w:pPr>
        <w:spacing w:after="0" w:line="2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Excess Availability falls below 12.5% of lender commitments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Uses of Cash Related to Financing Transactions</w:t>
      </w:r>
    </w:p>
    <w:p>
      <w:pPr>
        <w:spacing w:after="0" w:line="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holders of the Term Loans are entitled to quarterly cash interest payments at a rate of 8.5% per annum and holders of the Series B Preferred Stock are entitled to cumulative dividends payable quarterly in cash at a rate of 4.0% per annum. The Convertible Notes do not require any debt service until maturity on May 28, 2026 and holders of the Series C Preferred Stock are entitled to cumulative dividends payable quarterly “in-kind” in the form of additional shares of Series C Preferred Stock at a rate of 5.0% per annum. All dividends have been paid when due.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Collateral Requirements</w:t>
      </w:r>
    </w:p>
    <w:p>
      <w:pPr>
        <w:spacing w:after="0" w:line="2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New York State Workers’ Compensation Board (“NYSWCB”) requires security deposits related to self-insured workers’ compensation obligations. The security deposit required by NYSWCB is based on actuarial calculations of the Company’s obligations and company specific factors such as its declining workforce and reducing exposure. The NYSWCB calculation also includes a financial contingency based on the employer’s credit rating and a calculation of unallocated loss adjustment expenses. In 2020 the NYSWCB waived these charges to provide employers some relief while they endure the economic impacts of the COVID-19 pandemic. The waived security deposits amounted to $16.7 million in 2020. The increase to the security deposit required by NYSWCB in 2020, not including the waived amounts, was $14.9 million. The Company has agreed to post additional collateral of approximately $3 million for each of the next five years to satisfy the current security deposit obligation. The collateral obligation can be satisfied by issuing letters of credit or through other means. The amount of security deposit required by NYSWCB will be re-calculated annually. Therefore, the amount of additional collateral required may change each year.</w:t>
      </w:r>
    </w:p>
    <w:p>
      <w:pPr>
        <w:spacing w:after="0" w:line="22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As a result of the Company’s current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$3 million of letters of credit to the issuers of certain surety bonds in the future to fully collateralize the bonds.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International Development Finance Corporation Non-Binding Letter of Interest</w:t>
      </w:r>
    </w:p>
    <w:p>
      <w:pPr>
        <w:spacing w:after="0" w:line="2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 The DFC Loan would be for facility upgrades and construction, provide working capital, and finance other necessary direct expenditures supporting the launch of Kodak Pharmaceuticals. The signing of the letter of interest indicated Kodak’s successful completion of the DFC’s initial screening, which would be followed by standard due diligence conducted by the DFC before financing would be formally committed. The application process for the DFC Loan was put on hold when investigations were commenced with respect to the circumstances surrounding the DFC Announcement. While the letter of interest with the DFC has never been formally terminated and the Company has not received any communication from the DFC rejecting its application, given the time that has elapsed and the recent changes in administration at the federal government and the DFC, the Company is operating on the basis that the DFC Loan as envisioned at the time of the DFC Announcement will not proceed. The Company remains interested in working with the DFC and other governmental agencies to leverage its assets and technology to on-shore manufacturing of pharmaceutical and other healthcare materials. As described under “Overview” above, the Company is also continuing to explore expanding further into the pharmaceutical space on a smaller scale than contemplated by the DFC Loan using other sources of capital, including a portion of the capital raised by the Company on February 26,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24" w:lineRule="exact"/>
        <w:rPr>
          <w:sz w:val="20"/>
          <w:szCs w:val="20"/>
          <w:color w:val="auto"/>
        </w:rPr>
      </w:pPr>
    </w:p>
    <w:p>
      <w:pPr>
        <w:jc w:val="both"/>
        <w:ind w:right="640"/>
        <w:spacing w:after="0" w:line="252" w:lineRule="auto"/>
        <w:rPr>
          <w:sz w:val="20"/>
          <w:szCs w:val="20"/>
          <w:color w:val="auto"/>
        </w:rPr>
      </w:pPr>
      <w:r>
        <w:rPr>
          <w:rFonts w:ascii="Arial" w:cs="Arial" w:eastAsia="Arial" w:hAnsi="Arial"/>
          <w:sz w:val="18"/>
          <w:szCs w:val="18"/>
          <w:color w:val="auto"/>
        </w:rPr>
        <w:t>Kodak made net contributions (funded plans) or paid benefits (unfunded plans) totaling approximately $6 million to its defined benefit pension and postretirement benefit plans in the first six months of 2021. For the balance of 2021, the forecasted contribution (funded plans) and benefit payment (unfunded plans) requirements for its pension and postretirement plans are approximately $11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Cash flow from investing activities included $5 million of capital expenditures for the six months ended June 30, 2021. Kodak expects approximately $20 million to $30 million of total capital expenditures for 2021, before consideration of any investment Kodak may make utilizing proceeds from the first quarter 2021 financing transactions.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62" w:right="37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DFC Announcement of the potential DFC Loan and DFC Pharmaceutical Project. The Securities Class Actions were transferred to the Federal District Court for the Western District of New York and were consolidated into a single proceeding (the “Consolidated Securities Class Action”) on June 22, 2021. On August 2, 2021, Les Investissements Kiz Inc. and UAT Trading Service, Inc. were appointed by the court to serve as lead plaintiff for the Consolidated Securities Class Action. The Company intends to vigorously defend itself against the Consolidated Securities Class Action.</w:t>
      </w:r>
    </w:p>
    <w:p>
      <w:pPr>
        <w:spacing w:after="0" w:line="22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29, 2020 Robert Garfield commenced a class action lawsuit against the Company and current and former members of its Board of Directors in the Superior Court of Mercer County, New Jersey seeking equitable relief and damages in favor of the Company based on alleged breaches of fiduciary duty by the Company’s Board of Directors associated with alleged false and misleading proxy statement disclosures (the “Fiduciary Class Action”). The Company and each of the individual defendants filed motions to dismiss the Fiduciary Class Action on April 13, 2021. On May 26, 2021, the plaintiff in the Fiduciary Class Action voluntarily dismissed the Fiduciary Class Action without prejudice.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also received four requests under New Jersey law demanding, among other things, that the Company take certain actions in response to</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alleged breaches of fiduciary duty relating to option grants and securities transactions in the context of the DFC Announcement and alleged proxy statement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disclosure deficiencies (the “Derivative Demands”). On May 19, 2021 Louis Peters, one of the persons making a Derivative Demand, commenced 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derivative lawsuit on behalf of the Company against certain officers and current and former directors of the Company and the Company as a nominal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defendant in the Supreme Court of the State of New York in Monroe County seeking damages and equitable relief based on alleged breaches of fiduciary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duty and unjust enrichment resulting from stock trades, option grants and a charitable contribution in the context of the DFC Announcement of the potential</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DFC Loan and DFC Pharmaceutical Project (the “Derivative Lawsuit”). The parties have stipulated that the plaintiff will file an amended complaint,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which the Company and the individual defendants may respond within 60 days after its filing. Additional shareholder derivative lawsuits may be brought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based on the other Derivative Demands (any such lawsuits, collectively with the Derivative Lawsuit and any successor to the Fiduciary Class Action,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“Fiduciary Matters”). The Company, acting through a Special Committee of Independent Directors, previously determined that there was no merit to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claims alleged by the Derivative Demands (except with respect to the charitable contribution, which was not fully considered by the Special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Committee). See the Company’s Current Report on Form 8-K filed with the SEC on September 16, 2020. The Company will carefully review the amended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complaint in the Derivative Lawsuit when it is filed and any other additional complaints constituting Fiduciary Matters which may be filed.</w:t>
      </w:r>
    </w:p>
    <w:p>
      <w:pPr>
        <w:spacing w:after="0" w:line="235"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DFC Announcement has also prompted investigations by several congressional committees and the SEC. The Company is cooperating in those investigations.</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previously reported, the Attorney General of the State of New York (the “NYAG”) has threatened to file a lawsuit against the Company and its Chief Executive Officer alleging violations of New York State’s Martin Act (the “Threatened Claim”). In connection with the Threatened Claim, on June 1, 2021 the NYAG filed an ex parte application in the Supreme Court of the State of New York in New York County seeking additional document production and the taking of investigative testimony of the Company’s Chief Executive Officer and General Counsel. This ex parte application was granted on June 15, 2021, as expected. The Company is producing the documents pursuant to the court order granting the application and intends to make its officers available to give testimony as required by such order. The Company intends to vigorously defend itself against the Threatened Claim should it be filed.</w:t>
      </w:r>
    </w:p>
    <w:p>
      <w:pPr>
        <w:spacing w:after="0" w:line="19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June 30, 2021, Kodak’s Brazilian Operations maintained accruals of approximately $3 million for claims aggregating approximately $123 million inclusive of interest and penalties where appropriate. In connection with assessments and litigation in Brazil, local regulations may require Kodak’s Brazilian Operations to post security for a portion of the amounts in dispute. Generally, any encumbrances on the Brazilian assets would be removed to the extent the matter is resolved in Kodak’s favor.</w:t>
      </w:r>
    </w:p>
    <w:p>
      <w:pPr>
        <w:spacing w:after="0" w:line="20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line="293" w:lineRule="auto"/>
        <w:rPr>
          <w:sz w:val="20"/>
          <w:szCs w:val="20"/>
          <w:color w:val="auto"/>
        </w:rPr>
      </w:pPr>
      <w:r>
        <w:rPr>
          <w:rFonts w:ascii="Arial" w:cs="Arial" w:eastAsia="Arial" w:hAnsi="Arial"/>
          <w:sz w:val="16"/>
          <w:szCs w:val="16"/>
          <w:color w:val="auto"/>
        </w:rPr>
        <w:t>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Risk Factors set forth in Part I, Item 1A. of the 2020 Form 10-K. The Risk Factors remain applicable from the 2020 Form 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55" w:lineRule="exact"/>
        <w:rPr>
          <w:sz w:val="20"/>
          <w:szCs w:val="20"/>
          <w:color w:val="auto"/>
        </w:rPr>
      </w:pPr>
    </w:p>
    <w:p>
      <w:pPr>
        <w:ind w:left="560" w:right="5140" w:hanging="553"/>
        <w:spacing w:after="0" w:line="554" w:lineRule="auto"/>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June 30, 2021 </w:t>
      </w:r>
      <w:r>
        <w:rPr>
          <w:rFonts w:ascii="Arial" w:cs="Arial" w:eastAsia="Arial" w:hAnsi="Arial"/>
          <w:sz w:val="18"/>
          <w:szCs w:val="18"/>
          <w:color w:val="auto"/>
        </w:rPr>
        <w:t>None.</w:t>
      </w:r>
    </w:p>
    <w:p>
      <w:pPr>
        <w:spacing w:after="0" w:line="60" w:lineRule="exact"/>
        <w:rPr>
          <w:rFonts w:ascii="Arial" w:cs="Arial" w:eastAsia="Arial" w:hAnsi="Arial"/>
          <w:sz w:val="18"/>
          <w:szCs w:val="18"/>
          <w:b w:val="1"/>
          <w:bCs w:val="1"/>
          <w:color w:val="auto"/>
        </w:rPr>
      </w:pPr>
    </w:p>
    <w:p>
      <w:pPr>
        <w:ind w:left="560" w:right="4520" w:hanging="553"/>
        <w:spacing w:after="0" w:line="550" w:lineRule="auto"/>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June 30, 2021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4"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20" w:type="dxa"/>
            <w:vAlign w:val="bottom"/>
            <w:gridSpan w:val="16"/>
          </w:tcPr>
          <w:p>
            <w:pPr>
              <w:jc w:val="center"/>
              <w:ind w:right="4200"/>
              <w:spacing w:after="0"/>
              <w:rPr>
                <w:sz w:val="20"/>
                <w:szCs w:val="20"/>
                <w:color w:val="auto"/>
              </w:rPr>
            </w:pPr>
            <w:r>
              <w:rPr>
                <w:rFonts w:ascii="Arial" w:cs="Arial" w:eastAsia="Arial" w:hAnsi="Arial"/>
                <w:sz w:val="18"/>
                <w:szCs w:val="18"/>
                <w:b w:val="1"/>
                <w:bCs w:val="1"/>
                <w:color w:val="auto"/>
                <w:w w:val="90"/>
              </w:rPr>
              <w:t>Eastman Kodak Company</w:t>
            </w:r>
          </w:p>
        </w:tc>
      </w:tr>
      <w:tr>
        <w:trPr>
          <w:trHeight w:val="232"/>
        </w:trPr>
        <w:tc>
          <w:tcPr>
            <w:tcW w:w="1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gridSpan w:val="16"/>
          </w:tcPr>
          <w:p>
            <w:pPr>
              <w:jc w:val="center"/>
              <w:ind w:right="4200"/>
              <w:spacing w:after="0"/>
              <w:rPr>
                <w:sz w:val="20"/>
                <w:szCs w:val="20"/>
                <w:color w:val="auto"/>
              </w:rPr>
            </w:pPr>
            <w:r>
              <w:rPr>
                <w:rFonts w:ascii="Arial" w:cs="Arial" w:eastAsia="Arial" w:hAnsi="Arial"/>
                <w:sz w:val="18"/>
                <w:szCs w:val="18"/>
                <w:b w:val="1"/>
                <w:bCs w:val="1"/>
                <w:color w:val="auto"/>
                <w:w w:val="90"/>
              </w:rPr>
              <w:t>Index to Exhibits</w:t>
            </w:r>
          </w:p>
        </w:tc>
      </w:tr>
      <w:tr>
        <w:trPr>
          <w:trHeight w:val="190"/>
        </w:trPr>
        <w:tc>
          <w:tcPr>
            <w:tcW w:w="134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8"/>
                <w:szCs w:val="18"/>
                <w:b w:val="1"/>
                <w:bCs w:val="1"/>
                <w:color w:val="auto"/>
              </w:rPr>
              <w:t>Exhibit</w:t>
            </w:r>
          </w:p>
        </w:tc>
        <w:tc>
          <w:tcPr>
            <w:tcW w:w="280" w:type="dxa"/>
            <w:vAlign w:val="bottom"/>
            <w:tcBorders>
              <w:right w:val="single" w:sz="8" w:color="auto"/>
            </w:tcBorders>
          </w:tcPr>
          <w:p>
            <w:pPr>
              <w:spacing w:after="0"/>
              <w:rPr>
                <w:sz w:val="16"/>
                <w:szCs w:val="16"/>
                <w:color w:val="auto"/>
              </w:rPr>
            </w:pPr>
          </w:p>
        </w:tc>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r>
      <w:tr>
        <w:trPr>
          <w:trHeight w:val="232"/>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235"/>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(3.1)</w:t>
            </w:r>
          </w:p>
        </w:tc>
        <w:tc>
          <w:tcPr>
            <w:tcW w:w="280" w:type="dxa"/>
            <w:vAlign w:val="bottom"/>
            <w:tcBorders>
              <w:right w:val="single" w:sz="8" w:color="auto"/>
            </w:tcBorders>
          </w:tcPr>
          <w:p>
            <w:pPr>
              <w:spacing w:after="0"/>
              <w:rPr>
                <w:sz w:val="14"/>
                <w:szCs w:val="14"/>
                <w:color w:val="auto"/>
              </w:rPr>
            </w:pPr>
          </w:p>
        </w:tc>
        <w:tc>
          <w:tcPr>
            <w:tcW w:w="9480" w:type="dxa"/>
            <w:vAlign w:val="bottom"/>
            <w:tcBorders>
              <w:bottom w:val="single" w:sz="8" w:color="0000EE"/>
            </w:tcBorders>
            <w:gridSpan w:val="17"/>
          </w:tcPr>
          <w:p>
            <w:pPr>
              <w:spacing w:after="0" w:line="167"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Second Amended and Restated Certificate of Incorporation of Eastman Kodak Company (Incorporated by reference to Exhibit 4.1 of</w:t>
              </w:r>
            </w:hyperlink>
          </w:p>
        </w:tc>
        <w:tc>
          <w:tcPr>
            <w:tcW w:w="120" w:type="dxa"/>
            <w:vAlign w:val="bottom"/>
            <w:tcBorders>
              <w:right w:val="single" w:sz="8" w:color="auto"/>
            </w:tcBorders>
          </w:tcPr>
          <w:p>
            <w:pPr>
              <w:spacing w:after="0"/>
              <w:rPr>
                <w:sz w:val="14"/>
                <w:szCs w:val="14"/>
                <w:color w:val="auto"/>
              </w:rPr>
            </w:pPr>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600" w:type="dxa"/>
            <w:vAlign w:val="bottom"/>
            <w:tcBorders>
              <w:right w:val="single" w:sz="8" w:color="auto"/>
            </w:tcBorders>
            <w:gridSpan w:val="18"/>
          </w:tcPr>
          <w:p>
            <w:pPr>
              <w:spacing w:after="0" w:line="194" w:lineRule="exact"/>
              <w:rPr>
                <w:rFonts w:ascii="Arial" w:cs="Arial" w:eastAsia="Arial" w:hAnsi="Arial"/>
                <w:sz w:val="18"/>
                <w:szCs w:val="18"/>
                <w:color w:val="0000EE"/>
              </w:rPr>
            </w:pPr>
            <w:hyperlink r:id="rId69">
              <w:r>
                <w:rPr>
                  <w:rFonts w:ascii="Arial" w:cs="Arial" w:eastAsia="Arial" w:hAnsi="Arial"/>
                  <w:sz w:val="18"/>
                  <w:szCs w:val="18"/>
                  <w:color w:val="0000EE"/>
                </w:rPr>
                <w:t>the Company’s Registration Statement on Form S-8 as filed on September 3, 2013).</w:t>
              </w:r>
            </w:hyperlink>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8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(3.2)</w:t>
            </w:r>
          </w:p>
        </w:tc>
        <w:tc>
          <w:tcPr>
            <w:tcW w:w="280" w:type="dxa"/>
            <w:vAlign w:val="bottom"/>
            <w:tcBorders>
              <w:right w:val="single" w:sz="8" w:color="auto"/>
            </w:tcBorders>
          </w:tcPr>
          <w:p>
            <w:pPr>
              <w:spacing w:after="0"/>
              <w:rPr>
                <w:sz w:val="14"/>
                <w:szCs w:val="14"/>
                <w:color w:val="auto"/>
              </w:rPr>
            </w:pPr>
          </w:p>
        </w:tc>
        <w:tc>
          <w:tcPr>
            <w:tcW w:w="9600" w:type="dxa"/>
            <w:vAlign w:val="bottom"/>
            <w:tcBorders>
              <w:right w:val="single" w:sz="8" w:color="auto"/>
            </w:tcBorders>
            <w:gridSpan w:val="18"/>
          </w:tcPr>
          <w:p>
            <w:pPr>
              <w:spacing w:after="0" w:line="167" w:lineRule="exact"/>
              <w:rPr>
                <w:rFonts w:ascii="Arial" w:cs="Arial" w:eastAsia="Arial" w:hAnsi="Arial"/>
                <w:sz w:val="18"/>
                <w:szCs w:val="18"/>
                <w:color w:val="0000EE"/>
                <w:w w:val="98"/>
              </w:rPr>
            </w:pPr>
            <w:hyperlink r:id="rId70">
              <w:r>
                <w:rPr>
                  <w:rFonts w:ascii="Arial" w:cs="Arial" w:eastAsia="Arial" w:hAnsi="Arial"/>
                  <w:sz w:val="18"/>
                  <w:szCs w:val="18"/>
                  <w:color w:val="0000EE"/>
                  <w:w w:val="98"/>
                </w:rPr>
                <w:t>Certificate of Amendment to the Second Amended and Restated Certificate of Incorporation of Eastman Kodak Company.</w:t>
              </w:r>
            </w:hyperlink>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700" w:type="dxa"/>
            <w:vAlign w:val="bottom"/>
            <w:tcBorders>
              <w:top w:val="single" w:sz="8" w:color="0000EE"/>
            </w:tcBorders>
            <w:gridSpan w:val="12"/>
          </w:tcPr>
          <w:p>
            <w:pPr>
              <w:spacing w:after="0" w:line="194"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(Incorporated by reference to Exhibit 3.1 of the Company’s Current Report on Form 8-K as filed November 16, 2016).</w:t>
              </w:r>
            </w:hyperlink>
          </w:p>
        </w:tc>
        <w:tc>
          <w:tcPr>
            <w:tcW w:w="900" w:type="dxa"/>
            <w:vAlign w:val="bottom"/>
            <w:tcBorders>
              <w:right w:val="single" w:sz="8" w:color="auto"/>
            </w:tcBorders>
            <w:gridSpan w:val="6"/>
          </w:tcPr>
          <w:p>
            <w:pPr>
              <w:spacing w:after="0"/>
              <w:rPr>
                <w:sz w:val="16"/>
                <w:szCs w:val="16"/>
                <w:color w:val="auto"/>
              </w:rPr>
            </w:pPr>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8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(3.3)</w:t>
            </w:r>
          </w:p>
        </w:tc>
        <w:tc>
          <w:tcPr>
            <w:tcW w:w="280" w:type="dxa"/>
            <w:vAlign w:val="bottom"/>
            <w:tcBorders>
              <w:right w:val="single" w:sz="8" w:color="auto"/>
            </w:tcBorders>
          </w:tcPr>
          <w:p>
            <w:pPr>
              <w:spacing w:after="0"/>
              <w:rPr>
                <w:sz w:val="14"/>
                <w:szCs w:val="14"/>
                <w:color w:val="auto"/>
              </w:rPr>
            </w:pPr>
          </w:p>
        </w:tc>
        <w:tc>
          <w:tcPr>
            <w:tcW w:w="8680" w:type="dxa"/>
            <w:vAlign w:val="bottom"/>
            <w:tcBorders>
              <w:bottom w:val="single" w:sz="8" w:color="0000EE"/>
            </w:tcBorders>
            <w:gridSpan w:val="11"/>
          </w:tcPr>
          <w:p>
            <w:pPr>
              <w:spacing w:after="0" w:line="167"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Certificate of Amendment to the Second Amended and Restated Certificate of Incorporation of Eastman Kodak Company</w:t>
              </w:r>
            </w:hyperlink>
          </w:p>
        </w:tc>
        <w:tc>
          <w:tcPr>
            <w:tcW w:w="920" w:type="dxa"/>
            <w:vAlign w:val="bottom"/>
            <w:tcBorders>
              <w:right w:val="single" w:sz="8" w:color="auto"/>
            </w:tcBorders>
            <w:gridSpan w:val="7"/>
          </w:tcPr>
          <w:p>
            <w:pPr>
              <w:spacing w:after="0"/>
              <w:rPr>
                <w:sz w:val="14"/>
                <w:szCs w:val="14"/>
                <w:color w:val="auto"/>
              </w:rPr>
            </w:pPr>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600" w:type="dxa"/>
            <w:vAlign w:val="bottom"/>
            <w:tcBorders>
              <w:right w:val="single" w:sz="8" w:color="auto"/>
            </w:tcBorders>
            <w:gridSpan w:val="18"/>
          </w:tcPr>
          <w:p>
            <w:pPr>
              <w:spacing w:after="0" w:line="194" w:lineRule="exact"/>
              <w:rPr>
                <w:rFonts w:ascii="Arial" w:cs="Arial" w:eastAsia="Arial" w:hAnsi="Arial"/>
                <w:sz w:val="18"/>
                <w:szCs w:val="18"/>
                <w:color w:val="0000EE"/>
              </w:rPr>
            </w:pPr>
            <w:hyperlink r:id="rId70">
              <w:r>
                <w:rPr>
                  <w:rFonts w:ascii="Arial" w:cs="Arial" w:eastAsia="Arial" w:hAnsi="Arial"/>
                  <w:sz w:val="18"/>
                  <w:szCs w:val="18"/>
                  <w:color w:val="0000EE"/>
                </w:rPr>
                <w:t>(Incorporated by reference to Exhibit (3.1) of the Company’s Current Report on Form 8-K as filed September 12, 2019).</w:t>
              </w:r>
            </w:hyperlink>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8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(3.4)</w:t>
            </w:r>
          </w:p>
        </w:tc>
        <w:tc>
          <w:tcPr>
            <w:tcW w:w="280" w:type="dxa"/>
            <w:vAlign w:val="bottom"/>
            <w:tcBorders>
              <w:right w:val="single" w:sz="8" w:color="auto"/>
            </w:tcBorders>
          </w:tcPr>
          <w:p>
            <w:pPr>
              <w:spacing w:after="0"/>
              <w:rPr>
                <w:sz w:val="14"/>
                <w:szCs w:val="14"/>
                <w:color w:val="auto"/>
              </w:rPr>
            </w:pPr>
          </w:p>
        </w:tc>
        <w:tc>
          <w:tcPr>
            <w:tcW w:w="8680" w:type="dxa"/>
            <w:vAlign w:val="bottom"/>
            <w:tcBorders>
              <w:bottom w:val="single" w:sz="8" w:color="0000EE"/>
            </w:tcBorders>
            <w:gridSpan w:val="11"/>
          </w:tcPr>
          <w:p>
            <w:pPr>
              <w:spacing w:after="0" w:line="167"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Certificate of Amendment to the Second Amended and Restated Certificate of Incorporation of Eastman Kodak Company</w:t>
              </w:r>
            </w:hyperlink>
          </w:p>
        </w:tc>
        <w:tc>
          <w:tcPr>
            <w:tcW w:w="920" w:type="dxa"/>
            <w:vAlign w:val="bottom"/>
            <w:tcBorders>
              <w:right w:val="single" w:sz="8" w:color="auto"/>
            </w:tcBorders>
            <w:gridSpan w:val="7"/>
          </w:tcPr>
          <w:p>
            <w:pPr>
              <w:spacing w:after="0"/>
              <w:rPr>
                <w:sz w:val="14"/>
                <w:szCs w:val="14"/>
                <w:color w:val="auto"/>
              </w:rPr>
            </w:pPr>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600" w:type="dxa"/>
            <w:vAlign w:val="bottom"/>
            <w:tcBorders>
              <w:right w:val="single" w:sz="8" w:color="auto"/>
            </w:tcBorders>
            <w:gridSpan w:val="18"/>
          </w:tcPr>
          <w:p>
            <w:pPr>
              <w:spacing w:after="0" w:line="194" w:lineRule="exact"/>
              <w:rPr>
                <w:rFonts w:ascii="Arial" w:cs="Arial" w:eastAsia="Arial" w:hAnsi="Arial"/>
                <w:sz w:val="18"/>
                <w:szCs w:val="18"/>
                <w:color w:val="0000EE"/>
              </w:rPr>
            </w:pPr>
            <w:hyperlink r:id="rId70">
              <w:r>
                <w:rPr>
                  <w:rFonts w:ascii="Arial" w:cs="Arial" w:eastAsia="Arial" w:hAnsi="Arial"/>
                  <w:sz w:val="18"/>
                  <w:szCs w:val="18"/>
                  <w:color w:val="0000EE"/>
                </w:rPr>
                <w:t>(Incorporated by reference to Exhibit (3.2) of the Company’s Current Report on Form 8-K as filed September 12, 2019).</w:t>
              </w:r>
            </w:hyperlink>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8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(3.5)</w:t>
            </w:r>
          </w:p>
        </w:tc>
        <w:tc>
          <w:tcPr>
            <w:tcW w:w="280" w:type="dxa"/>
            <w:vAlign w:val="bottom"/>
            <w:tcBorders>
              <w:right w:val="single" w:sz="8" w:color="auto"/>
            </w:tcBorders>
          </w:tcPr>
          <w:p>
            <w:pPr>
              <w:spacing w:after="0"/>
              <w:rPr>
                <w:sz w:val="14"/>
                <w:szCs w:val="14"/>
                <w:color w:val="auto"/>
              </w:rPr>
            </w:pPr>
          </w:p>
        </w:tc>
        <w:tc>
          <w:tcPr>
            <w:tcW w:w="8680" w:type="dxa"/>
            <w:vAlign w:val="bottom"/>
            <w:tcBorders>
              <w:bottom w:val="single" w:sz="8" w:color="0000EE"/>
            </w:tcBorders>
            <w:gridSpan w:val="11"/>
          </w:tcPr>
          <w:p>
            <w:pPr>
              <w:spacing w:after="0" w:line="167"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Certificate of Amendment to the Second Amended and Restated Certificate of Incorporation of Eastman Kodak Company</w:t>
              </w:r>
            </w:hyperlink>
          </w:p>
        </w:tc>
        <w:tc>
          <w:tcPr>
            <w:tcW w:w="920" w:type="dxa"/>
            <w:vAlign w:val="bottom"/>
            <w:tcBorders>
              <w:right w:val="single" w:sz="8" w:color="auto"/>
            </w:tcBorders>
            <w:gridSpan w:val="7"/>
          </w:tcPr>
          <w:p>
            <w:pPr>
              <w:spacing w:after="0"/>
              <w:rPr>
                <w:sz w:val="14"/>
                <w:szCs w:val="14"/>
                <w:color w:val="auto"/>
              </w:rPr>
            </w:pPr>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600" w:type="dxa"/>
            <w:vAlign w:val="bottom"/>
            <w:tcBorders>
              <w:right w:val="single" w:sz="8" w:color="auto"/>
            </w:tcBorders>
            <w:gridSpan w:val="18"/>
          </w:tcPr>
          <w:p>
            <w:pPr>
              <w:spacing w:after="0" w:line="194" w:lineRule="exact"/>
              <w:rPr>
                <w:rFonts w:ascii="Arial" w:cs="Arial" w:eastAsia="Arial" w:hAnsi="Arial"/>
                <w:sz w:val="18"/>
                <w:szCs w:val="18"/>
                <w:color w:val="0000EE"/>
              </w:rPr>
            </w:pPr>
            <w:hyperlink r:id="rId71">
              <w:r>
                <w:rPr>
                  <w:rFonts w:ascii="Arial" w:cs="Arial" w:eastAsia="Arial" w:hAnsi="Arial"/>
                  <w:sz w:val="18"/>
                  <w:szCs w:val="18"/>
                  <w:color w:val="0000EE"/>
                </w:rPr>
                <w:t>(Incorporated by reference to Exhibit 3.1 of the Company’s Current Report on Form 8-K as filed December 29, 2020).</w:t>
              </w:r>
            </w:hyperlink>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8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(3.6)</w:t>
            </w:r>
          </w:p>
        </w:tc>
        <w:tc>
          <w:tcPr>
            <w:tcW w:w="280" w:type="dxa"/>
            <w:vAlign w:val="bottom"/>
            <w:tcBorders>
              <w:right w:val="single" w:sz="8" w:color="auto"/>
            </w:tcBorders>
          </w:tcPr>
          <w:p>
            <w:pPr>
              <w:spacing w:after="0"/>
              <w:rPr>
                <w:sz w:val="14"/>
                <w:szCs w:val="14"/>
                <w:color w:val="auto"/>
              </w:rPr>
            </w:pPr>
          </w:p>
        </w:tc>
        <w:tc>
          <w:tcPr>
            <w:tcW w:w="8680" w:type="dxa"/>
            <w:vAlign w:val="bottom"/>
            <w:tcBorders>
              <w:bottom w:val="single" w:sz="8" w:color="0000EE"/>
            </w:tcBorders>
            <w:gridSpan w:val="11"/>
          </w:tcPr>
          <w:p>
            <w:pPr>
              <w:spacing w:after="0" w:line="167"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Certificate of Amendment to the Second Amended and Restated Certificate of Incorporation of Eastman Kodak Company</w:t>
              </w:r>
            </w:hyperlink>
          </w:p>
        </w:tc>
        <w:tc>
          <w:tcPr>
            <w:tcW w:w="920" w:type="dxa"/>
            <w:vAlign w:val="bottom"/>
            <w:tcBorders>
              <w:right w:val="single" w:sz="8" w:color="auto"/>
            </w:tcBorders>
            <w:gridSpan w:val="7"/>
          </w:tcPr>
          <w:p>
            <w:pPr>
              <w:spacing w:after="0"/>
              <w:rPr>
                <w:sz w:val="14"/>
                <w:szCs w:val="14"/>
                <w:color w:val="auto"/>
              </w:rPr>
            </w:pPr>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600" w:type="dxa"/>
            <w:vAlign w:val="bottom"/>
            <w:tcBorders>
              <w:right w:val="single" w:sz="8" w:color="auto"/>
            </w:tcBorders>
            <w:gridSpan w:val="18"/>
          </w:tcPr>
          <w:p>
            <w:pPr>
              <w:spacing w:after="0" w:line="194" w:lineRule="exact"/>
              <w:rPr>
                <w:rFonts w:ascii="Arial" w:cs="Arial" w:eastAsia="Arial" w:hAnsi="Arial"/>
                <w:sz w:val="18"/>
                <w:szCs w:val="18"/>
                <w:color w:val="0000EE"/>
              </w:rPr>
            </w:pPr>
            <w:hyperlink r:id="rId72">
              <w:r>
                <w:rPr>
                  <w:rFonts w:ascii="Arial" w:cs="Arial" w:eastAsia="Arial" w:hAnsi="Arial"/>
                  <w:sz w:val="18"/>
                  <w:szCs w:val="18"/>
                  <w:color w:val="0000EE"/>
                </w:rPr>
                <w:t>(Incorporated by reference to Exhibit 3.1 of the Company’s Current Report on Form 8-K as filed March 1, 2021).</w:t>
              </w:r>
            </w:hyperlink>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8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(3.7)</w:t>
            </w:r>
          </w:p>
        </w:tc>
        <w:tc>
          <w:tcPr>
            <w:tcW w:w="280" w:type="dxa"/>
            <w:vAlign w:val="bottom"/>
            <w:tcBorders>
              <w:right w:val="single" w:sz="8" w:color="auto"/>
            </w:tcBorders>
          </w:tcPr>
          <w:p>
            <w:pPr>
              <w:spacing w:after="0"/>
              <w:rPr>
                <w:sz w:val="14"/>
                <w:szCs w:val="14"/>
                <w:color w:val="auto"/>
              </w:rPr>
            </w:pPr>
          </w:p>
        </w:tc>
        <w:tc>
          <w:tcPr>
            <w:tcW w:w="8680" w:type="dxa"/>
            <w:vAlign w:val="bottom"/>
            <w:tcBorders>
              <w:bottom w:val="single" w:sz="8" w:color="0000EE"/>
            </w:tcBorders>
            <w:gridSpan w:val="11"/>
          </w:tcPr>
          <w:p>
            <w:pPr>
              <w:spacing w:after="0" w:line="167"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Certificate of Amendment to the Second Amended and Restated Certificate of Incorporation of Eastman Kodak Company</w:t>
              </w:r>
            </w:hyperlink>
          </w:p>
        </w:tc>
        <w:tc>
          <w:tcPr>
            <w:tcW w:w="920" w:type="dxa"/>
            <w:vAlign w:val="bottom"/>
            <w:tcBorders>
              <w:right w:val="single" w:sz="8" w:color="auto"/>
            </w:tcBorders>
            <w:gridSpan w:val="7"/>
          </w:tcPr>
          <w:p>
            <w:pPr>
              <w:spacing w:after="0"/>
              <w:rPr>
                <w:sz w:val="14"/>
                <w:szCs w:val="14"/>
                <w:color w:val="auto"/>
              </w:rPr>
            </w:pPr>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600" w:type="dxa"/>
            <w:vAlign w:val="bottom"/>
            <w:tcBorders>
              <w:right w:val="single" w:sz="8" w:color="auto"/>
            </w:tcBorders>
            <w:gridSpan w:val="18"/>
          </w:tcPr>
          <w:p>
            <w:pPr>
              <w:spacing w:after="0" w:line="194" w:lineRule="exact"/>
              <w:rPr>
                <w:rFonts w:ascii="Arial" w:cs="Arial" w:eastAsia="Arial" w:hAnsi="Arial"/>
                <w:sz w:val="18"/>
                <w:szCs w:val="18"/>
                <w:color w:val="0000EE"/>
              </w:rPr>
            </w:pPr>
            <w:hyperlink r:id="rId73">
              <w:r>
                <w:rPr>
                  <w:rFonts w:ascii="Arial" w:cs="Arial" w:eastAsia="Arial" w:hAnsi="Arial"/>
                  <w:sz w:val="18"/>
                  <w:szCs w:val="18"/>
                  <w:color w:val="0000EE"/>
                </w:rPr>
                <w:t>(Incorporated by reference to Exhibit 3.2 of the Company’s Current Report on Form 8-K as filed March 1, 2021).</w:t>
              </w:r>
            </w:hyperlink>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8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(3.8)</w:t>
            </w:r>
          </w:p>
        </w:tc>
        <w:tc>
          <w:tcPr>
            <w:tcW w:w="280" w:type="dxa"/>
            <w:vAlign w:val="bottom"/>
            <w:tcBorders>
              <w:right w:val="single" w:sz="8" w:color="auto"/>
            </w:tcBorders>
          </w:tcPr>
          <w:p>
            <w:pPr>
              <w:spacing w:after="0"/>
              <w:rPr>
                <w:sz w:val="14"/>
                <w:szCs w:val="14"/>
                <w:color w:val="auto"/>
              </w:rPr>
            </w:pPr>
          </w:p>
        </w:tc>
        <w:tc>
          <w:tcPr>
            <w:tcW w:w="9360" w:type="dxa"/>
            <w:vAlign w:val="bottom"/>
            <w:tcBorders>
              <w:bottom w:val="single" w:sz="8" w:color="0000EE"/>
            </w:tcBorders>
            <w:gridSpan w:val="15"/>
          </w:tcPr>
          <w:p>
            <w:pPr>
              <w:spacing w:after="0" w:line="167"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Fourth Amended and Restated By-Laws of Eastman Kodak Company (Incorporated by reference to Exhibit (3.5) of the Company’s</w:t>
              </w:r>
            </w:hyperlink>
          </w:p>
        </w:tc>
        <w:tc>
          <w:tcPr>
            <w:tcW w:w="240" w:type="dxa"/>
            <w:vAlign w:val="bottom"/>
            <w:tcBorders>
              <w:right w:val="single" w:sz="8" w:color="auto"/>
            </w:tcBorders>
            <w:gridSpan w:val="3"/>
          </w:tcPr>
          <w:p>
            <w:pPr>
              <w:spacing w:after="0"/>
              <w:rPr>
                <w:sz w:val="14"/>
                <w:szCs w:val="14"/>
                <w:color w:val="auto"/>
              </w:rPr>
            </w:pPr>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600" w:type="dxa"/>
            <w:vAlign w:val="bottom"/>
            <w:tcBorders>
              <w:right w:val="single" w:sz="8" w:color="auto"/>
            </w:tcBorders>
            <w:gridSpan w:val="18"/>
          </w:tcPr>
          <w:p>
            <w:pPr>
              <w:spacing w:after="0" w:line="194" w:lineRule="exact"/>
              <w:rPr>
                <w:rFonts w:ascii="Arial" w:cs="Arial" w:eastAsia="Arial" w:hAnsi="Arial"/>
                <w:sz w:val="18"/>
                <w:szCs w:val="18"/>
                <w:color w:val="0000EE"/>
              </w:rPr>
            </w:pPr>
            <w:hyperlink r:id="rId74">
              <w:r>
                <w:rPr>
                  <w:rFonts w:ascii="Arial" w:cs="Arial" w:eastAsia="Arial" w:hAnsi="Arial"/>
                  <w:sz w:val="18"/>
                  <w:szCs w:val="18"/>
                  <w:color w:val="0000EE"/>
                </w:rPr>
                <w:t>Quarterly Report on Form 10-Q for the quarterly period ended March 31, 2020 as filed on May 12, 2020).</w:t>
              </w:r>
            </w:hyperlink>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8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*(10.1)</w:t>
            </w:r>
          </w:p>
        </w:tc>
        <w:tc>
          <w:tcPr>
            <w:tcW w:w="280" w:type="dxa"/>
            <w:vAlign w:val="bottom"/>
            <w:tcBorders>
              <w:right w:val="single" w:sz="8" w:color="auto"/>
            </w:tcBorders>
          </w:tcPr>
          <w:p>
            <w:pPr>
              <w:spacing w:after="0"/>
              <w:rPr>
                <w:sz w:val="14"/>
                <w:szCs w:val="14"/>
                <w:color w:val="auto"/>
              </w:rPr>
            </w:pPr>
          </w:p>
        </w:tc>
        <w:tc>
          <w:tcPr>
            <w:tcW w:w="9600" w:type="dxa"/>
            <w:vAlign w:val="bottom"/>
            <w:tcBorders>
              <w:right w:val="single" w:sz="8" w:color="auto"/>
            </w:tcBorders>
            <w:gridSpan w:val="18"/>
          </w:tcPr>
          <w:p>
            <w:pPr>
              <w:spacing w:after="0" w:line="167"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First Amendment to the Eastman Kodak Company 2013 Omnibus Incentive Plan, as amended and restated, filed herewith.</w:t>
              </w:r>
            </w:hyperlink>
          </w:p>
        </w:tc>
      </w:tr>
      <w:tr>
        <w:trPr>
          <w:trHeight w:val="47"/>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5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80" w:type="dxa"/>
            <w:vAlign w:val="bottom"/>
            <w:tcBorders>
              <w:top w:val="single" w:sz="8" w:color="0000EE"/>
              <w:bottom w:val="single" w:sz="8" w:color="auto"/>
            </w:tcBorders>
          </w:tcPr>
          <w:p>
            <w:pPr>
              <w:spacing w:after="0"/>
              <w:rPr>
                <w:sz w:val="4"/>
                <w:szCs w:val="4"/>
                <w:color w:val="auto"/>
              </w:rPr>
            </w:pPr>
          </w:p>
        </w:tc>
        <w:tc>
          <w:tcPr>
            <w:tcW w:w="1600" w:type="dxa"/>
            <w:vAlign w:val="bottom"/>
            <w:tcBorders>
              <w:top w:val="single" w:sz="8" w:color="0000EE"/>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*(10.2)</w:t>
            </w:r>
          </w:p>
        </w:tc>
        <w:tc>
          <w:tcPr>
            <w:tcW w:w="280" w:type="dxa"/>
            <w:vAlign w:val="bottom"/>
            <w:tcBorders>
              <w:right w:val="single" w:sz="8" w:color="auto"/>
            </w:tcBorders>
          </w:tcPr>
          <w:p>
            <w:pPr>
              <w:spacing w:after="0"/>
              <w:rPr>
                <w:sz w:val="14"/>
                <w:szCs w:val="14"/>
                <w:color w:val="auto"/>
              </w:rPr>
            </w:pPr>
          </w:p>
        </w:tc>
        <w:tc>
          <w:tcPr>
            <w:tcW w:w="9600" w:type="dxa"/>
            <w:vAlign w:val="bottom"/>
            <w:tcBorders>
              <w:right w:val="single" w:sz="8" w:color="auto"/>
            </w:tcBorders>
            <w:gridSpan w:val="18"/>
          </w:tcPr>
          <w:p>
            <w:pPr>
              <w:spacing w:after="0" w:line="167"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Eastman Kodak Company 2013 Omnibus Incentive Plan Form of Director Restricted Share Award Agreement, filed herewith.</w:t>
              </w:r>
            </w:hyperlink>
          </w:p>
        </w:tc>
      </w:tr>
      <w:tr>
        <w:trPr>
          <w:trHeight w:val="47"/>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5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80" w:type="dxa"/>
            <w:vAlign w:val="bottom"/>
            <w:tcBorders>
              <w:top w:val="single" w:sz="8" w:color="0000EE"/>
              <w:bottom w:val="single" w:sz="8" w:color="auto"/>
            </w:tcBorders>
          </w:tcPr>
          <w:p>
            <w:pPr>
              <w:spacing w:after="0"/>
              <w:rPr>
                <w:sz w:val="4"/>
                <w:szCs w:val="4"/>
                <w:color w:val="auto"/>
              </w:rPr>
            </w:pPr>
          </w:p>
        </w:tc>
        <w:tc>
          <w:tcPr>
            <w:tcW w:w="1600" w:type="dxa"/>
            <w:vAlign w:val="bottom"/>
            <w:tcBorders>
              <w:top w:val="single" w:sz="8" w:color="0000EE"/>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60" w:type="dxa"/>
            <w:vAlign w:val="bottom"/>
            <w:tcBorders>
              <w:top w:val="single" w:sz="8" w:color="0000EE"/>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(31.1)</w:t>
            </w:r>
          </w:p>
        </w:tc>
        <w:tc>
          <w:tcPr>
            <w:tcW w:w="280" w:type="dxa"/>
            <w:vAlign w:val="bottom"/>
            <w:tcBorders>
              <w:right w:val="single" w:sz="8" w:color="auto"/>
            </w:tcBorders>
          </w:tcPr>
          <w:p>
            <w:pPr>
              <w:spacing w:after="0"/>
              <w:rPr>
                <w:sz w:val="14"/>
                <w:szCs w:val="14"/>
                <w:color w:val="auto"/>
              </w:rPr>
            </w:pPr>
          </w:p>
        </w:tc>
        <w:tc>
          <w:tcPr>
            <w:tcW w:w="9600" w:type="dxa"/>
            <w:vAlign w:val="bottom"/>
            <w:tcBorders>
              <w:right w:val="single" w:sz="8" w:color="auto"/>
            </w:tcBorders>
            <w:gridSpan w:val="18"/>
          </w:tcPr>
          <w:p>
            <w:pPr>
              <w:spacing w:after="0" w:line="167" w:lineRule="exact"/>
              <w:rPr>
                <w:rFonts w:ascii="Arial" w:cs="Arial" w:eastAsia="Arial" w:hAnsi="Arial"/>
                <w:sz w:val="18"/>
                <w:szCs w:val="18"/>
                <w:color w:val="0000EE"/>
              </w:rPr>
            </w:pPr>
            <w:hyperlink w:anchor="page54">
              <w:r>
                <w:rPr>
                  <w:rFonts w:ascii="Arial" w:cs="Arial" w:eastAsia="Arial" w:hAnsi="Arial"/>
                  <w:sz w:val="18"/>
                  <w:szCs w:val="18"/>
                  <w:color w:val="0000EE"/>
                </w:rPr>
                <w:t>Certification signed by James V. Continenza, filed herewith</w:t>
              </w:r>
            </w:hyperlink>
            <w:r>
              <w:rPr>
                <w:rFonts w:ascii="Arial" w:cs="Arial" w:eastAsia="Arial" w:hAnsi="Arial"/>
                <w:sz w:val="18"/>
                <w:szCs w:val="18"/>
                <w:color w:val="000000"/>
              </w:rPr>
              <w:t>.</w:t>
            </w:r>
          </w:p>
        </w:tc>
      </w:tr>
      <w:tr>
        <w:trPr>
          <w:trHeight w:val="47"/>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5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40" w:type="dxa"/>
            <w:vAlign w:val="bottom"/>
            <w:tcBorders>
              <w:top w:val="single" w:sz="8" w:color="0000EE"/>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(31.2)</w:t>
            </w:r>
          </w:p>
        </w:tc>
        <w:tc>
          <w:tcPr>
            <w:tcW w:w="280" w:type="dxa"/>
            <w:vAlign w:val="bottom"/>
            <w:tcBorders>
              <w:right w:val="single" w:sz="8" w:color="auto"/>
            </w:tcBorders>
          </w:tcPr>
          <w:p>
            <w:pPr>
              <w:spacing w:after="0"/>
              <w:rPr>
                <w:sz w:val="14"/>
                <w:szCs w:val="14"/>
                <w:color w:val="auto"/>
              </w:rPr>
            </w:pPr>
          </w:p>
        </w:tc>
        <w:tc>
          <w:tcPr>
            <w:tcW w:w="9600" w:type="dxa"/>
            <w:vAlign w:val="bottom"/>
            <w:tcBorders>
              <w:right w:val="single" w:sz="8" w:color="auto"/>
            </w:tcBorders>
            <w:gridSpan w:val="18"/>
          </w:tcPr>
          <w:p>
            <w:pPr>
              <w:spacing w:after="0" w:line="167" w:lineRule="exact"/>
              <w:rPr>
                <w:rFonts w:ascii="Arial" w:cs="Arial" w:eastAsia="Arial" w:hAnsi="Arial"/>
                <w:sz w:val="18"/>
                <w:szCs w:val="18"/>
                <w:color w:val="0000EE"/>
              </w:rPr>
            </w:pPr>
            <w:hyperlink w:anchor="page55">
              <w:r>
                <w:rPr>
                  <w:rFonts w:ascii="Arial" w:cs="Arial" w:eastAsia="Arial" w:hAnsi="Arial"/>
                  <w:sz w:val="18"/>
                  <w:szCs w:val="18"/>
                  <w:color w:val="0000EE"/>
                </w:rPr>
                <w:t>Certification signed by David E. Bullwinkle, filed herewith.</w:t>
              </w:r>
            </w:hyperlink>
          </w:p>
        </w:tc>
      </w:tr>
      <w:tr>
        <w:trPr>
          <w:trHeight w:val="47"/>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5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(32.1)</w:t>
            </w:r>
          </w:p>
        </w:tc>
        <w:tc>
          <w:tcPr>
            <w:tcW w:w="280" w:type="dxa"/>
            <w:vAlign w:val="bottom"/>
            <w:tcBorders>
              <w:right w:val="single" w:sz="8" w:color="auto"/>
            </w:tcBorders>
          </w:tcPr>
          <w:p>
            <w:pPr>
              <w:spacing w:after="0"/>
              <w:rPr>
                <w:sz w:val="14"/>
                <w:szCs w:val="14"/>
                <w:color w:val="auto"/>
              </w:rPr>
            </w:pPr>
          </w:p>
        </w:tc>
        <w:tc>
          <w:tcPr>
            <w:tcW w:w="9600" w:type="dxa"/>
            <w:vAlign w:val="bottom"/>
            <w:tcBorders>
              <w:right w:val="single" w:sz="8" w:color="auto"/>
            </w:tcBorders>
            <w:gridSpan w:val="18"/>
          </w:tcPr>
          <w:p>
            <w:pPr>
              <w:spacing w:after="0" w:line="167"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Certification Pursuant to 18 U.S.C. Section 1350, as Adopted Pursuant to Section 906 of the Sarbanes-Oxley Act of 2002, signed by</w:t>
              </w:r>
            </w:hyperlink>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400" w:type="dxa"/>
            <w:vAlign w:val="bottom"/>
            <w:tcBorders>
              <w:top w:val="single" w:sz="8" w:color="0000EE"/>
            </w:tcBorders>
            <w:gridSpan w:val="16"/>
          </w:tcPr>
          <w:p>
            <w:pPr>
              <w:spacing w:after="0" w:line="194" w:lineRule="exact"/>
              <w:rPr>
                <w:rFonts w:ascii="Arial" w:cs="Arial" w:eastAsia="Arial" w:hAnsi="Arial"/>
                <w:sz w:val="18"/>
                <w:szCs w:val="18"/>
                <w:color w:val="0000EE"/>
              </w:rPr>
            </w:pPr>
            <w:hyperlink w:anchor="page56">
              <w:r>
                <w:rPr>
                  <w:rFonts w:ascii="Arial" w:cs="Arial" w:eastAsia="Arial" w:hAnsi="Arial"/>
                  <w:sz w:val="18"/>
                  <w:szCs w:val="18"/>
                  <w:color w:val="0000EE"/>
                </w:rPr>
                <w:t>James V. Continenza, filed herewith</w:t>
              </w:r>
              <w:r>
                <w:rPr>
                  <w:rFonts w:ascii="Arial" w:cs="Arial" w:eastAsia="Arial" w:hAnsi="Arial"/>
                  <w:sz w:val="18"/>
                  <w:szCs w:val="18"/>
                  <w:color w:val="000000"/>
                </w:rPr>
                <w:t>.</w:t>
              </w:r>
            </w:hyperlink>
          </w:p>
        </w:tc>
        <w:tc>
          <w:tcPr>
            <w:tcW w:w="200" w:type="dxa"/>
            <w:vAlign w:val="bottom"/>
            <w:tcBorders>
              <w:right w:val="single" w:sz="8" w:color="auto"/>
            </w:tcBorders>
            <w:gridSpan w:val="2"/>
          </w:tcPr>
          <w:p>
            <w:pPr>
              <w:spacing w:after="0"/>
              <w:rPr>
                <w:sz w:val="16"/>
                <w:szCs w:val="16"/>
                <w:color w:val="auto"/>
              </w:rPr>
            </w:pPr>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(32.2)</w:t>
            </w:r>
          </w:p>
        </w:tc>
        <w:tc>
          <w:tcPr>
            <w:tcW w:w="280" w:type="dxa"/>
            <w:vAlign w:val="bottom"/>
            <w:tcBorders>
              <w:right w:val="single" w:sz="8" w:color="auto"/>
            </w:tcBorders>
          </w:tcPr>
          <w:p>
            <w:pPr>
              <w:spacing w:after="0"/>
              <w:rPr>
                <w:sz w:val="14"/>
                <w:szCs w:val="14"/>
                <w:color w:val="auto"/>
              </w:rPr>
            </w:pPr>
          </w:p>
        </w:tc>
        <w:tc>
          <w:tcPr>
            <w:tcW w:w="9600" w:type="dxa"/>
            <w:vAlign w:val="bottom"/>
            <w:tcBorders>
              <w:right w:val="single" w:sz="8" w:color="auto"/>
            </w:tcBorders>
            <w:gridSpan w:val="18"/>
          </w:tcPr>
          <w:p>
            <w:pPr>
              <w:spacing w:after="0" w:line="167"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Pursuant to 18 U.S.C. Section 1350, as Adopted Pursuant to Section 906 of the Sarbanes-Oxley Act of 2002 signed by</w:t>
              </w:r>
            </w:hyperlink>
          </w:p>
        </w:tc>
      </w:tr>
      <w:tr>
        <w:trPr>
          <w:trHeight w:val="194"/>
        </w:trPr>
        <w:tc>
          <w:tcPr>
            <w:tcW w:w="1340" w:type="dxa"/>
            <w:vAlign w:val="bottom"/>
            <w:tcBorders>
              <w:left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360" w:type="dxa"/>
            <w:vAlign w:val="bottom"/>
            <w:tcBorders>
              <w:top w:val="single" w:sz="8" w:color="0000EE"/>
            </w:tcBorders>
            <w:gridSpan w:val="15"/>
          </w:tcPr>
          <w:p>
            <w:pPr>
              <w:spacing w:after="0" w:line="194" w:lineRule="exact"/>
              <w:rPr>
                <w:rFonts w:ascii="Arial" w:cs="Arial" w:eastAsia="Arial" w:hAnsi="Arial"/>
                <w:sz w:val="18"/>
                <w:szCs w:val="18"/>
                <w:color w:val="0000EE"/>
              </w:rPr>
            </w:pPr>
            <w:hyperlink w:anchor="page57">
              <w:r>
                <w:rPr>
                  <w:rFonts w:ascii="Arial" w:cs="Arial" w:eastAsia="Arial" w:hAnsi="Arial"/>
                  <w:sz w:val="18"/>
                  <w:szCs w:val="18"/>
                  <w:color w:val="0000EE"/>
                </w:rPr>
                <w:t>David E. Bullwinkle, filed herewith.</w:t>
              </w:r>
            </w:hyperlink>
          </w:p>
        </w:tc>
        <w:tc>
          <w:tcPr>
            <w:tcW w:w="240" w:type="dxa"/>
            <w:vAlign w:val="bottom"/>
            <w:tcBorders>
              <w:right w:val="single" w:sz="8" w:color="auto"/>
            </w:tcBorders>
            <w:gridSpan w:val="3"/>
          </w:tcPr>
          <w:p>
            <w:pPr>
              <w:spacing w:after="0"/>
              <w:rPr>
                <w:sz w:val="16"/>
                <w:szCs w:val="16"/>
                <w:color w:val="auto"/>
              </w:rPr>
            </w:pPr>
          </w:p>
        </w:tc>
      </w:tr>
      <w:tr>
        <w:trPr>
          <w:trHeight w:val="20"/>
        </w:trPr>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22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(101.CAL)</w:t>
            </w:r>
          </w:p>
        </w:tc>
        <w:tc>
          <w:tcPr>
            <w:tcW w:w="280" w:type="dxa"/>
            <w:vAlign w:val="bottom"/>
            <w:tcBorders>
              <w:bottom w:val="single" w:sz="8" w:color="auto"/>
              <w:right w:val="single" w:sz="8" w:color="auto"/>
            </w:tcBorders>
          </w:tcPr>
          <w:p>
            <w:pPr>
              <w:spacing w:after="0"/>
              <w:rPr>
                <w:sz w:val="19"/>
                <w:szCs w:val="19"/>
                <w:color w:val="auto"/>
              </w:rPr>
            </w:pPr>
          </w:p>
        </w:tc>
        <w:tc>
          <w:tcPr>
            <w:tcW w:w="960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22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(101.INS)</w:t>
            </w:r>
          </w:p>
        </w:tc>
        <w:tc>
          <w:tcPr>
            <w:tcW w:w="280" w:type="dxa"/>
            <w:vAlign w:val="bottom"/>
            <w:tcBorders>
              <w:bottom w:val="single" w:sz="8" w:color="auto"/>
              <w:right w:val="single" w:sz="8" w:color="auto"/>
            </w:tcBorders>
          </w:tcPr>
          <w:p>
            <w:pPr>
              <w:spacing w:after="0"/>
              <w:rPr>
                <w:sz w:val="19"/>
                <w:szCs w:val="19"/>
                <w:color w:val="auto"/>
              </w:rPr>
            </w:pPr>
          </w:p>
        </w:tc>
        <w:tc>
          <w:tcPr>
            <w:tcW w:w="960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color w:val="auto"/>
              </w:rPr>
              <w:t>Inline XBRL Instance Document.</w:t>
            </w: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22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(101.LAB)</w:t>
            </w:r>
          </w:p>
        </w:tc>
        <w:tc>
          <w:tcPr>
            <w:tcW w:w="280" w:type="dxa"/>
            <w:vAlign w:val="bottom"/>
            <w:tcBorders>
              <w:bottom w:val="single" w:sz="8" w:color="auto"/>
              <w:right w:val="single" w:sz="8" w:color="auto"/>
            </w:tcBorders>
          </w:tcPr>
          <w:p>
            <w:pPr>
              <w:spacing w:after="0"/>
              <w:rPr>
                <w:sz w:val="19"/>
                <w:szCs w:val="19"/>
                <w:color w:val="auto"/>
              </w:rPr>
            </w:pPr>
          </w:p>
        </w:tc>
        <w:tc>
          <w:tcPr>
            <w:tcW w:w="960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22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(101.PRE)</w:t>
            </w:r>
          </w:p>
        </w:tc>
        <w:tc>
          <w:tcPr>
            <w:tcW w:w="280" w:type="dxa"/>
            <w:vAlign w:val="bottom"/>
            <w:tcBorders>
              <w:bottom w:val="single" w:sz="8" w:color="auto"/>
              <w:right w:val="single" w:sz="8" w:color="auto"/>
            </w:tcBorders>
          </w:tcPr>
          <w:p>
            <w:pPr>
              <w:spacing w:after="0"/>
              <w:rPr>
                <w:sz w:val="19"/>
                <w:szCs w:val="19"/>
                <w:color w:val="auto"/>
              </w:rPr>
            </w:pPr>
          </w:p>
        </w:tc>
        <w:tc>
          <w:tcPr>
            <w:tcW w:w="960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22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(101.SCH)</w:t>
            </w:r>
          </w:p>
        </w:tc>
        <w:tc>
          <w:tcPr>
            <w:tcW w:w="280" w:type="dxa"/>
            <w:vAlign w:val="bottom"/>
            <w:tcBorders>
              <w:bottom w:val="single" w:sz="8" w:color="auto"/>
              <w:right w:val="single" w:sz="8" w:color="auto"/>
            </w:tcBorders>
          </w:tcPr>
          <w:p>
            <w:pPr>
              <w:spacing w:after="0"/>
              <w:rPr>
                <w:sz w:val="19"/>
                <w:szCs w:val="19"/>
                <w:color w:val="auto"/>
              </w:rPr>
            </w:pPr>
          </w:p>
        </w:tc>
        <w:tc>
          <w:tcPr>
            <w:tcW w:w="960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color w:val="auto"/>
              </w:rPr>
              <w:t>Inline XBRL Taxonomy Extension Schema Linkbase.</w:t>
            </w: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22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(101.DEF)</w:t>
            </w:r>
          </w:p>
        </w:tc>
        <w:tc>
          <w:tcPr>
            <w:tcW w:w="280" w:type="dxa"/>
            <w:vAlign w:val="bottom"/>
            <w:tcBorders>
              <w:bottom w:val="single" w:sz="8" w:color="auto"/>
              <w:right w:val="single" w:sz="8" w:color="auto"/>
            </w:tcBorders>
          </w:tcPr>
          <w:p>
            <w:pPr>
              <w:spacing w:after="0"/>
              <w:rPr>
                <w:sz w:val="19"/>
                <w:szCs w:val="19"/>
                <w:color w:val="auto"/>
              </w:rPr>
            </w:pPr>
          </w:p>
        </w:tc>
        <w:tc>
          <w:tcPr>
            <w:tcW w:w="960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220"/>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(104)</w:t>
            </w:r>
          </w:p>
        </w:tc>
        <w:tc>
          <w:tcPr>
            <w:tcW w:w="280" w:type="dxa"/>
            <w:vAlign w:val="bottom"/>
            <w:tcBorders>
              <w:right w:val="single" w:sz="8" w:color="auto"/>
            </w:tcBorders>
          </w:tcPr>
          <w:p>
            <w:pPr>
              <w:spacing w:after="0"/>
              <w:rPr>
                <w:sz w:val="19"/>
                <w:szCs w:val="19"/>
                <w:color w:val="auto"/>
              </w:rPr>
            </w:pPr>
          </w:p>
        </w:tc>
        <w:tc>
          <w:tcPr>
            <w:tcW w:w="9600" w:type="dxa"/>
            <w:vAlign w:val="bottom"/>
            <w:tcBorders>
              <w:right w:val="single" w:sz="8" w:color="auto"/>
            </w:tcBorders>
            <w:gridSpan w:val="18"/>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r>
        <w:trPr>
          <w:trHeight w:val="228"/>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80" w:type="dxa"/>
            <w:vAlign w:val="bottom"/>
          </w:tcPr>
          <w:p>
            <w:pPr>
              <w:spacing w:after="0"/>
              <w:rPr>
                <w:sz w:val="20"/>
                <w:szCs w:val="20"/>
                <w:color w:val="auto"/>
              </w:rPr>
            </w:pPr>
            <w:r>
              <w:rPr>
                <w:rFonts w:ascii="Arial" w:cs="Arial" w:eastAsia="Arial" w:hAnsi="Arial"/>
                <w:sz w:val="18"/>
                <w:szCs w:val="18"/>
                <w:b w:val="1"/>
                <w:bCs w:val="1"/>
                <w:color w:val="auto"/>
              </w:rPr>
              <w:t>Date: August 10, 2021</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Richard T. Michaels</w:t>
            </w:r>
          </w:p>
        </w:tc>
      </w:tr>
      <w:tr>
        <w:trPr>
          <w:trHeight w:val="190"/>
        </w:trPr>
        <w:tc>
          <w:tcPr>
            <w:tcW w:w="6180" w:type="dxa"/>
            <w:vAlign w:val="bottom"/>
          </w:tcPr>
          <w:p>
            <w:pPr>
              <w:spacing w:after="0"/>
              <w:rPr>
                <w:sz w:val="16"/>
                <w:szCs w:val="16"/>
                <w:color w:val="auto"/>
              </w:rPr>
            </w:pPr>
          </w:p>
        </w:tc>
        <w:tc>
          <w:tcPr>
            <w:tcW w:w="5060" w:type="dxa"/>
            <w:vAlign w:val="bottom"/>
          </w:tcPr>
          <w:p>
            <w:pPr>
              <w:spacing w:after="0" w:line="190" w:lineRule="exact"/>
              <w:rPr>
                <w:sz w:val="20"/>
                <w:szCs w:val="20"/>
                <w:color w:val="auto"/>
              </w:rPr>
            </w:pPr>
            <w:r>
              <w:rPr>
                <w:rFonts w:ascii="Arial" w:cs="Arial" w:eastAsia="Arial" w:hAnsi="Arial"/>
                <w:sz w:val="18"/>
                <w:szCs w:val="18"/>
                <w:b w:val="1"/>
                <w:bCs w:val="1"/>
                <w:color w:val="auto"/>
              </w:rPr>
              <w:t>Richard T. Michaels</w:t>
            </w:r>
          </w:p>
        </w:tc>
      </w:tr>
      <w:tr>
        <w:trPr>
          <w:trHeight w:val="214"/>
        </w:trPr>
        <w:tc>
          <w:tcPr>
            <w:tcW w:w="61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1"/>
        </w:trPr>
        <w:tc>
          <w:tcPr>
            <w:tcW w:w="61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1"/>
          <w:szCs w:val="21"/>
          <w:b w:val="1"/>
          <w:bCs w:val="1"/>
          <w:color w:val="auto"/>
        </w:rPr>
        <w:t>Exhibit (10.1)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EASTMAN KODAK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2013 OMNIBUS INCENTIVE PLAN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Amended and Restated Effective May 20, 2020)</w:t>
      </w:r>
    </w:p>
    <w:p>
      <w:pPr>
        <w:spacing w:after="0" w:line="200" w:lineRule="exact"/>
        <w:rPr>
          <w:sz w:val="20"/>
          <w:szCs w:val="20"/>
          <w:color w:val="auto"/>
        </w:rPr>
      </w:pPr>
    </w:p>
    <w:p>
      <w:pPr>
        <w:spacing w:after="0" w:line="233" w:lineRule="exact"/>
        <w:rPr>
          <w:sz w:val="20"/>
          <w:szCs w:val="20"/>
          <w:color w:val="auto"/>
        </w:rPr>
      </w:pPr>
    </w:p>
    <w:p>
      <w:pPr>
        <w:ind w:firstLine="864"/>
        <w:spacing w:after="0" w:line="270" w:lineRule="auto"/>
        <w:rPr>
          <w:sz w:val="20"/>
          <w:szCs w:val="20"/>
          <w:color w:val="auto"/>
        </w:rPr>
      </w:pPr>
      <w:r>
        <w:rPr>
          <w:rFonts w:ascii="Arial" w:cs="Arial" w:eastAsia="Arial" w:hAnsi="Arial"/>
          <w:sz w:val="21"/>
          <w:szCs w:val="21"/>
          <w:color w:val="auto"/>
        </w:rPr>
        <w:t>The Eastman Kodak Company 2013 Omnibus Incentive Plan, as amended and restated effective May 20, 2020 (the “</w:t>
      </w:r>
      <w:r>
        <w:rPr>
          <w:rFonts w:ascii="Arial" w:cs="Arial" w:eastAsia="Arial" w:hAnsi="Arial"/>
          <w:sz w:val="21"/>
          <w:szCs w:val="21"/>
          <w:b w:val="1"/>
          <w:bCs w:val="1"/>
          <w:color w:val="auto"/>
        </w:rPr>
        <w:t>Plan</w:t>
      </w:r>
      <w:r>
        <w:rPr>
          <w:rFonts w:ascii="Arial" w:cs="Arial" w:eastAsia="Arial" w:hAnsi="Arial"/>
          <w:sz w:val="21"/>
          <w:szCs w:val="21"/>
          <w:color w:val="auto"/>
        </w:rPr>
        <w:t>”), is hereby amended as follows, effective May 19, 2021:</w:t>
      </w:r>
    </w:p>
    <w:p>
      <w:pPr>
        <w:spacing w:after="0" w:line="152" w:lineRule="exact"/>
        <w:rPr>
          <w:sz w:val="20"/>
          <w:szCs w:val="20"/>
          <w:color w:val="auto"/>
        </w:rPr>
      </w:pPr>
    </w:p>
    <w:p>
      <w:pPr>
        <w:ind w:left="1300" w:hanging="437"/>
        <w:spacing w:after="0"/>
        <w:tabs>
          <w:tab w:leader="none" w:pos="13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Section 2.9 of the Plan is hereby amended and restated in its entirety to provide as follows:</w:t>
      </w:r>
    </w:p>
    <w:p>
      <w:pPr>
        <w:spacing w:after="0" w:line="207" w:lineRule="exact"/>
        <w:rPr>
          <w:sz w:val="20"/>
          <w:szCs w:val="20"/>
          <w:color w:val="auto"/>
        </w:rPr>
      </w:pPr>
    </w:p>
    <w:p>
      <w:pPr>
        <w:jc w:val="both"/>
        <w:ind w:left="1740" w:right="1820" w:firstLine="59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2.9 “</w:t>
      </w:r>
      <w:r>
        <w:rPr>
          <w:rFonts w:ascii="Arial" w:cs="Arial" w:eastAsia="Arial" w:hAnsi="Arial"/>
          <w:sz w:val="20"/>
          <w:szCs w:val="20"/>
          <w:b w:val="1"/>
          <w:bCs w:val="1"/>
          <w:u w:val="single" w:color="auto"/>
          <w:color w:val="auto"/>
        </w:rPr>
        <w:t>Committee</w:t>
      </w:r>
      <w:r>
        <w:rPr>
          <w:rFonts w:ascii="Arial" w:cs="Arial" w:eastAsia="Arial" w:hAnsi="Arial"/>
          <w:sz w:val="20"/>
          <w:szCs w:val="20"/>
          <w:b w:val="1"/>
          <w:bCs w:val="1"/>
          <w:color w:val="auto"/>
        </w:rPr>
        <w:t>”</w:t>
      </w:r>
      <w:r>
        <w:rPr>
          <w:rFonts w:ascii="Arial" w:cs="Arial" w:eastAsia="Arial" w:hAnsi="Arial"/>
          <w:sz w:val="20"/>
          <w:szCs w:val="20"/>
          <w:color w:val="auto"/>
        </w:rPr>
        <w:t xml:space="preserve"> means the Compensation, Nominating and Governance Committee of the Board (as constituted from time to time, and including any successor committee) or any other committee designated by the Board to administer this Plan. To the extent applicable, the Committee shall have at least two members, each of whom shall be (i) a Non-Employee Director and (ii) an “independent director” within the meaning of the listing requirements of the New York Stock Exchange.”</w:t>
      </w:r>
    </w:p>
    <w:p>
      <w:pPr>
        <w:spacing w:after="0" w:line="164" w:lineRule="exact"/>
        <w:rPr>
          <w:sz w:val="20"/>
          <w:szCs w:val="20"/>
          <w:color w:val="auto"/>
        </w:rPr>
      </w:pPr>
    </w:p>
    <w:p>
      <w:pPr>
        <w:ind w:left="1300" w:right="740" w:hanging="437"/>
        <w:spacing w:after="0" w:line="295"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Section 5.1 of the Plan is hereby amended to increase the maximum number of Shares available for grant to Participants pursuant to Awards under the Plan from 8,000,000 Shares to 13,000,000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2614295</wp:posOffset>
            </wp:positionV>
            <wp:extent cx="71761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0" w:name="page51"/>
    <w:bookmarkEnd w:id="50"/>
    <w:p>
      <w:pPr>
        <w:ind w:left="437" w:hanging="437"/>
        <w:spacing w:after="0"/>
        <w:tabs>
          <w:tab w:leader="none" w:pos="437"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Section 5.2 of the Plan is hereby amended and restated in its entirety to provide as follows:</w:t>
      </w:r>
    </w:p>
    <w:p>
      <w:pPr>
        <w:spacing w:after="0" w:line="219" w:lineRule="exact"/>
        <w:rPr>
          <w:sz w:val="20"/>
          <w:szCs w:val="20"/>
          <w:color w:val="auto"/>
        </w:rPr>
      </w:pPr>
    </w:p>
    <w:p>
      <w:pPr>
        <w:ind w:left="877" w:right="719" w:firstLine="590"/>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5.2 Share Counting</w:t>
      </w:r>
      <w:r>
        <w:rPr>
          <w:rFonts w:ascii="Arial" w:cs="Arial" w:eastAsia="Arial" w:hAnsi="Arial"/>
          <w:sz w:val="21"/>
          <w:szCs w:val="21"/>
          <w:color w:val="auto"/>
        </w:rPr>
        <w:t>. The number of shares of Common Stock granted under the Plan per year will be determined as follows:</w:t>
      </w:r>
    </w:p>
    <w:p>
      <w:pPr>
        <w:spacing w:after="0" w:line="146" w:lineRule="exact"/>
        <w:rPr>
          <w:sz w:val="20"/>
          <w:szCs w:val="20"/>
          <w:color w:val="auto"/>
        </w:rPr>
      </w:pPr>
    </w:p>
    <w:p>
      <w:pPr>
        <w:jc w:val="both"/>
        <w:ind w:left="877" w:right="719" w:firstLine="1176"/>
        <w:spacing w:after="0" w:line="245" w:lineRule="auto"/>
        <w:tabs>
          <w:tab w:leader="none" w:pos="2938" w:val="left"/>
        </w:tabs>
        <w:numPr>
          <w:ilvl w:val="0"/>
          <w:numId w:val="25"/>
        </w:numPr>
        <w:rPr>
          <w:rFonts w:ascii="Arial" w:cs="Arial" w:eastAsia="Arial" w:hAnsi="Arial"/>
          <w:sz w:val="21"/>
          <w:szCs w:val="21"/>
          <w:color w:val="auto"/>
        </w:rPr>
      </w:pPr>
      <w:r>
        <w:rPr>
          <w:rFonts w:ascii="Arial" w:cs="Arial" w:eastAsia="Arial" w:hAnsi="Arial"/>
          <w:sz w:val="21"/>
          <w:szCs w:val="21"/>
          <w:color w:val="auto"/>
        </w:rPr>
        <w:t>for Awards granted on or prior to May 19, 2021, (i) each Restricted Stock Award, Restricted Stock Unit and similar Award will count as one share of Common Stock and (ii) each Option, Stock Appreciation Right and similar Award will count as a fraction of a share of Common Stock, based on the financial value of each such Award relative to a share of Common Stock, as determined by the Committee promptly after the Effective Date; and</w:t>
      </w:r>
    </w:p>
    <w:p>
      <w:pPr>
        <w:spacing w:after="0" w:line="179" w:lineRule="exact"/>
        <w:rPr>
          <w:rFonts w:ascii="Arial" w:cs="Arial" w:eastAsia="Arial" w:hAnsi="Arial"/>
          <w:sz w:val="21"/>
          <w:szCs w:val="21"/>
          <w:color w:val="auto"/>
        </w:rPr>
      </w:pPr>
    </w:p>
    <w:p>
      <w:pPr>
        <w:jc w:val="both"/>
        <w:ind w:left="877" w:right="719" w:firstLine="1176"/>
        <w:spacing w:after="0" w:line="254" w:lineRule="auto"/>
        <w:tabs>
          <w:tab w:leader="none" w:pos="2950" w:val="left"/>
        </w:tabs>
        <w:numPr>
          <w:ilvl w:val="0"/>
          <w:numId w:val="25"/>
        </w:numPr>
        <w:rPr>
          <w:rFonts w:ascii="Arial" w:cs="Arial" w:eastAsia="Arial" w:hAnsi="Arial"/>
          <w:sz w:val="21"/>
          <w:szCs w:val="21"/>
          <w:color w:val="auto"/>
        </w:rPr>
      </w:pPr>
      <w:r>
        <w:rPr>
          <w:rFonts w:ascii="Arial" w:cs="Arial" w:eastAsia="Arial" w:hAnsi="Arial"/>
          <w:sz w:val="21"/>
          <w:szCs w:val="21"/>
          <w:color w:val="auto"/>
        </w:rPr>
        <w:t>for Awards granted after May 19, 2021, each Restricted Stock Award, Restricted Stock Unit, Option, Stock Appreciation Right and other Award will count as one share of Common Stock.”</w:t>
      </w:r>
    </w:p>
    <w:p>
      <w:pPr>
        <w:spacing w:after="0" w:line="169" w:lineRule="exact"/>
        <w:rPr>
          <w:sz w:val="20"/>
          <w:szCs w:val="20"/>
          <w:color w:val="auto"/>
        </w:rPr>
      </w:pPr>
    </w:p>
    <w:p>
      <w:pPr>
        <w:ind w:left="437" w:hanging="437"/>
        <w:spacing w:after="0"/>
        <w:tabs>
          <w:tab w:leader="none" w:pos="437" w:val="left"/>
        </w:tabs>
        <w:numPr>
          <w:ilvl w:val="0"/>
          <w:numId w:val="26"/>
        </w:numPr>
        <w:rPr>
          <w:rFonts w:ascii="Arial" w:cs="Arial" w:eastAsia="Arial" w:hAnsi="Arial"/>
          <w:sz w:val="19"/>
          <w:szCs w:val="19"/>
          <w:color w:val="auto"/>
        </w:rPr>
      </w:pPr>
      <w:r>
        <w:rPr>
          <w:rFonts w:ascii="Arial" w:cs="Arial" w:eastAsia="Arial" w:hAnsi="Arial"/>
          <w:sz w:val="19"/>
          <w:szCs w:val="19"/>
          <w:color w:val="auto"/>
        </w:rPr>
        <w:t>Section 16.19 of the Plan is hereby amended and restated in its entirety to provide as follows:</w:t>
      </w:r>
    </w:p>
    <w:p>
      <w:pPr>
        <w:spacing w:after="0" w:line="230" w:lineRule="exact"/>
        <w:rPr>
          <w:sz w:val="20"/>
          <w:szCs w:val="20"/>
          <w:color w:val="auto"/>
        </w:rPr>
      </w:pPr>
    </w:p>
    <w:p>
      <w:pPr>
        <w:jc w:val="both"/>
        <w:ind w:left="877" w:right="719" w:firstLine="59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16.19 Effective Date</w:t>
      </w:r>
      <w:r>
        <w:rPr>
          <w:rFonts w:ascii="Arial" w:cs="Arial" w:eastAsia="Arial" w:hAnsi="Arial"/>
          <w:sz w:val="20"/>
          <w:szCs w:val="20"/>
          <w:color w:val="auto"/>
        </w:rPr>
        <w:t>. The Plan originally became effective as of September 3, 2013; was amended to increase the maximum number of Shares available for grant to Participants pursuant to Awards under the Plan effective May 22, 2018; was amended to increase the limit on the number of Options or Stock Appreciation Rights that may be granted to an Employee in any calendar year under the Plan effective February 20, 2019; and was amended and restated to increase the maximum number of Shares available for grant to Participants pursuant to Awards under the Plan and to make certain other changes effective May 20, 2020; and was amended to increase the maximum number of Shares available for grant to Participants pursuant to Awards under the Plan and to change the method of counting Shares granted under the Plan effective May 19, 2021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170" w:lineRule="exact"/>
        <w:rPr>
          <w:sz w:val="20"/>
          <w:szCs w:val="20"/>
          <w:color w:val="auto"/>
        </w:rPr>
      </w:pPr>
    </w:p>
    <w:p>
      <w:pPr>
        <w:ind w:left="4917" w:hanging="744"/>
        <w:spacing w:after="0"/>
        <w:tabs>
          <w:tab w:leader="none" w:pos="4917" w:val="left"/>
        </w:tabs>
        <w:numPr>
          <w:ilvl w:val="0"/>
          <w:numId w:val="27"/>
        </w:numPr>
        <w:rPr>
          <w:rFonts w:ascii="Arial" w:cs="Arial" w:eastAsia="Arial" w:hAnsi="Arial"/>
          <w:sz w:val="21"/>
          <w:szCs w:val="21"/>
          <w:color w:val="auto"/>
        </w:rPr>
      </w:pPr>
      <w:r>
        <w:rPr>
          <w:rFonts w:ascii="Arial" w:cs="Arial" w:eastAsia="Arial" w:hAnsi="Arial"/>
          <w:sz w:val="21"/>
          <w:szCs w:val="21"/>
          <w:color w:val="auto"/>
        </w:rPr>
        <w:t>****</w:t>
      </w:r>
    </w:p>
    <w:p>
      <w:pPr>
        <w:sectPr>
          <w:pgSz w:w="11900" w:h="16838" w:orient="portrait"/>
          <w:cols w:equalWidth="0" w:num="1">
            <w:col w:w="9276"/>
          </w:cols>
          <w:pgMar w:left="1183" w:top="600" w:right="1440" w:bottom="1440" w:gutter="0" w:footer="0" w:header="0"/>
        </w:sectPr>
      </w:pPr>
    </w:p>
    <w:bookmarkStart w:id="51" w:name="page52"/>
    <w:bookmarkEnd w:id="51"/>
    <w:p>
      <w:pPr>
        <w:jc w:val="right"/>
        <w:ind w:right="20"/>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3"/>
          <w:szCs w:val="13"/>
          <w:b w:val="1"/>
          <w:bCs w:val="1"/>
          <w:color w:val="auto"/>
        </w:rPr>
        <w:t>XHIBIT</w:t>
      </w:r>
      <w:r>
        <w:rPr>
          <w:rFonts w:ascii="Arial" w:cs="Arial" w:eastAsia="Arial" w:hAnsi="Arial"/>
          <w:sz w:val="19"/>
          <w:szCs w:val="19"/>
          <w:b w:val="1"/>
          <w:bCs w:val="1"/>
          <w:color w:val="auto"/>
        </w:rPr>
        <w:t xml:space="preserve"> (10.2)</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EASTMAN KODAK COMPANY</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2013 OMNIBUS INCENTIVE PLAN</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Restricted Stock Award Agreement</w:t>
      </w:r>
    </w:p>
    <w:p>
      <w:pPr>
        <w:spacing w:after="0" w:line="173"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19"/>
          <w:szCs w:val="19"/>
          <w:color w:val="auto"/>
        </w:rPr>
        <w:t>This Restricted Stock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evidences a grant of a Restricted Stock Award (“</w:t>
      </w:r>
      <w:r>
        <w:rPr>
          <w:rFonts w:ascii="Arial" w:cs="Arial" w:eastAsia="Arial" w:hAnsi="Arial"/>
          <w:sz w:val="19"/>
          <w:szCs w:val="19"/>
          <w:u w:val="single" w:color="auto"/>
          <w:color w:val="auto"/>
        </w:rPr>
        <w:t>RSA</w:t>
      </w:r>
      <w:r>
        <w:rPr>
          <w:rFonts w:ascii="Arial" w:cs="Arial" w:eastAsia="Arial" w:hAnsi="Arial"/>
          <w:sz w:val="19"/>
          <w:szCs w:val="19"/>
          <w:color w:val="auto"/>
        </w:rPr>
        <w:t>”) by the Company under the Eastman Kodak Company 2013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not defined in the Award Agreement have the meanings given to them in the Plan.</w:t>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Name of Grantee:</w:t>
      </w:r>
    </w:p>
    <w:p>
      <w:pPr>
        <w:spacing w:after="0" w:line="35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Grant Date:</w:t>
      </w:r>
    </w:p>
    <w:p>
      <w:pPr>
        <w:spacing w:after="0" w:line="35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Number of Shares:</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Vesting Schedule:</w:t>
      </w:r>
    </w:p>
    <w:p>
      <w:pPr>
        <w:spacing w:after="0" w:line="229" w:lineRule="exact"/>
        <w:rPr>
          <w:sz w:val="20"/>
          <w:szCs w:val="20"/>
          <w:color w:val="auto"/>
        </w:rPr>
      </w:pPr>
    </w:p>
    <w:tbl>
      <w:tblPr>
        <w:tblLayout w:type="fixed"/>
        <w:tblInd w:w="2810" w:type="dxa"/>
        <w:tblCellMar>
          <w:top w:w="0" w:type="dxa"/>
          <w:left w:w="0" w:type="dxa"/>
          <w:bottom w:w="0" w:type="dxa"/>
          <w:right w:w="0" w:type="dxa"/>
        </w:tblCellMar>
      </w:tblPr>
      <w:tr>
        <w:trPr>
          <w:trHeight w:val="187"/>
        </w:trPr>
        <w:tc>
          <w:tcPr>
            <w:tcW w:w="5500" w:type="dxa"/>
            <w:vAlign w:val="bottom"/>
            <w:tcBorders>
              <w:top w:val="single" w:sz="8" w:color="auto"/>
              <w:left w:val="single" w:sz="8" w:color="auto"/>
              <w:right w:val="single" w:sz="8" w:color="auto"/>
            </w:tcBorders>
            <w:gridSpan w:val="2"/>
            <w:shd w:val="clear" w:color="auto" w:fill="DBE5F1"/>
          </w:tcPr>
          <w:p>
            <w:pPr>
              <w:ind w:left="20"/>
              <w:spacing w:after="0" w:line="187" w:lineRule="exact"/>
              <w:rPr>
                <w:sz w:val="20"/>
                <w:szCs w:val="20"/>
                <w:color w:val="auto"/>
              </w:rPr>
            </w:pPr>
            <w:r>
              <w:rPr>
                <w:rFonts w:ascii="Arial" w:cs="Arial" w:eastAsia="Arial" w:hAnsi="Arial"/>
                <w:sz w:val="19"/>
                <w:szCs w:val="19"/>
                <w:b w:val="1"/>
                <w:bCs w:val="1"/>
                <w:color w:val="auto"/>
              </w:rPr>
              <w:t>Vesting Date</w:t>
            </w:r>
          </w:p>
        </w:tc>
        <w:tc>
          <w:tcPr>
            <w:tcW w:w="2960" w:type="dxa"/>
            <w:vAlign w:val="bottom"/>
            <w:tcBorders>
              <w:top w:val="single" w:sz="8" w:color="auto"/>
              <w:right w:val="single" w:sz="8" w:color="auto"/>
            </w:tcBorders>
            <w:gridSpan w:val="3"/>
            <w:shd w:val="clear" w:color="auto" w:fill="DBE5F1"/>
          </w:tcPr>
          <w:p>
            <w:pPr>
              <w:jc w:val="center"/>
              <w:ind w:right="20"/>
              <w:spacing w:after="0" w:line="187" w:lineRule="exact"/>
              <w:rPr>
                <w:sz w:val="20"/>
                <w:szCs w:val="20"/>
                <w:color w:val="auto"/>
              </w:rPr>
            </w:pPr>
            <w:r>
              <w:rPr>
                <w:rFonts w:ascii="Arial" w:cs="Arial" w:eastAsia="Arial" w:hAnsi="Arial"/>
                <w:sz w:val="19"/>
                <w:szCs w:val="19"/>
                <w:b w:val="1"/>
                <w:bCs w:val="1"/>
                <w:color w:val="auto"/>
                <w:w w:val="85"/>
              </w:rPr>
              <w:t>Percentage Vesting</w:t>
            </w:r>
          </w:p>
        </w:tc>
      </w:tr>
      <w:tr>
        <w:trPr>
          <w:trHeight w:val="234"/>
        </w:trPr>
        <w:tc>
          <w:tcPr>
            <w:tcW w:w="1040" w:type="dxa"/>
            <w:vAlign w:val="bottom"/>
            <w:tcBorders>
              <w:top w:val="single" w:sz="8" w:color="auto"/>
              <w:left w:val="single" w:sz="8" w:color="auto"/>
              <w:bottom w:val="single" w:sz="8" w:color="auto"/>
            </w:tcBorders>
            <w:shd w:val="clear" w:color="auto" w:fill="DBE5F1"/>
          </w:tcPr>
          <w:p>
            <w:pPr>
              <w:spacing w:after="0"/>
              <w:rPr>
                <w:sz w:val="20"/>
                <w:szCs w:val="20"/>
                <w:color w:val="auto"/>
              </w:rPr>
            </w:pPr>
          </w:p>
        </w:tc>
        <w:tc>
          <w:tcPr>
            <w:tcW w:w="4460" w:type="dxa"/>
            <w:vAlign w:val="bottom"/>
            <w:tcBorders>
              <w:top w:val="single" w:sz="8" w:color="DBE5F1"/>
              <w:bottom w:val="single" w:sz="8" w:color="auto"/>
              <w:right w:val="single" w:sz="8" w:color="auto"/>
            </w:tcBorders>
            <w:shd w:val="clear" w:color="auto" w:fill="DBE5F1"/>
          </w:tcPr>
          <w:p>
            <w:pPr>
              <w:spacing w:after="0"/>
              <w:rPr>
                <w:sz w:val="20"/>
                <w:szCs w:val="20"/>
                <w:color w:val="auto"/>
              </w:rPr>
            </w:pPr>
          </w:p>
        </w:tc>
        <w:tc>
          <w:tcPr>
            <w:tcW w:w="720" w:type="dxa"/>
            <w:vAlign w:val="bottom"/>
            <w:tcBorders>
              <w:top w:val="single" w:sz="8" w:color="DBE5F1"/>
              <w:bottom w:val="single" w:sz="8" w:color="auto"/>
            </w:tcBorders>
            <w:shd w:val="clear" w:color="auto" w:fill="DBE5F1"/>
          </w:tcPr>
          <w:p>
            <w:pPr>
              <w:spacing w:after="0"/>
              <w:rPr>
                <w:sz w:val="20"/>
                <w:szCs w:val="20"/>
                <w:color w:val="auto"/>
              </w:rPr>
            </w:pPr>
          </w:p>
        </w:tc>
        <w:tc>
          <w:tcPr>
            <w:tcW w:w="1500" w:type="dxa"/>
            <w:vAlign w:val="bottom"/>
            <w:tcBorders>
              <w:top w:val="single" w:sz="8" w:color="auto"/>
              <w:bottom w:val="single" w:sz="8" w:color="auto"/>
            </w:tcBorders>
            <w:shd w:val="clear" w:color="auto" w:fill="DBE5F1"/>
          </w:tcPr>
          <w:p>
            <w:pPr>
              <w:spacing w:after="0"/>
              <w:rPr>
                <w:sz w:val="20"/>
                <w:szCs w:val="20"/>
                <w:color w:val="auto"/>
              </w:rPr>
            </w:pPr>
          </w:p>
        </w:tc>
        <w:tc>
          <w:tcPr>
            <w:tcW w:w="740" w:type="dxa"/>
            <w:vAlign w:val="bottom"/>
            <w:tcBorders>
              <w:top w:val="single" w:sz="8" w:color="DBE5F1"/>
              <w:bottom w:val="single" w:sz="8" w:color="auto"/>
              <w:right w:val="single" w:sz="8" w:color="auto"/>
            </w:tcBorders>
            <w:shd w:val="clear" w:color="auto" w:fill="DBE5F1"/>
          </w:tcPr>
          <w:p>
            <w:pPr>
              <w:spacing w:after="0"/>
              <w:rPr>
                <w:sz w:val="20"/>
                <w:szCs w:val="20"/>
                <w:color w:val="auto"/>
              </w:rPr>
            </w:pPr>
          </w:p>
        </w:tc>
      </w:tr>
      <w:tr>
        <w:trPr>
          <w:trHeight w:val="207"/>
        </w:trPr>
        <w:tc>
          <w:tcPr>
            <w:tcW w:w="5500" w:type="dxa"/>
            <w:vAlign w:val="bottom"/>
            <w:tcBorders>
              <w:left w:val="single" w:sz="8" w:color="auto"/>
              <w:bottom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19"/>
                <w:szCs w:val="19"/>
                <w:color w:val="auto"/>
              </w:rPr>
              <w:t>TBD</w:t>
            </w:r>
          </w:p>
        </w:tc>
        <w:tc>
          <w:tcPr>
            <w:tcW w:w="2220" w:type="dxa"/>
            <w:vAlign w:val="bottom"/>
            <w:tcBorders>
              <w:bottom w:val="single" w:sz="8" w:color="auto"/>
            </w:tcBorders>
            <w:gridSpan w:val="2"/>
          </w:tcPr>
          <w:p>
            <w:pPr>
              <w:jc w:val="center"/>
              <w:ind w:left="626"/>
              <w:spacing w:after="0" w:line="207" w:lineRule="exact"/>
              <w:rPr>
                <w:sz w:val="20"/>
                <w:szCs w:val="20"/>
                <w:color w:val="auto"/>
              </w:rPr>
            </w:pPr>
            <w:r>
              <w:rPr>
                <w:rFonts w:ascii="Arial" w:cs="Arial" w:eastAsia="Arial" w:hAnsi="Arial"/>
                <w:sz w:val="19"/>
                <w:szCs w:val="19"/>
                <w:color w:val="auto"/>
                <w:w w:val="89"/>
              </w:rPr>
              <w:t>25%</w:t>
            </w:r>
          </w:p>
        </w:tc>
        <w:tc>
          <w:tcPr>
            <w:tcW w:w="740" w:type="dxa"/>
            <w:vAlign w:val="bottom"/>
            <w:tcBorders>
              <w:bottom w:val="single" w:sz="8" w:color="auto"/>
              <w:right w:val="single" w:sz="8" w:color="auto"/>
            </w:tcBorders>
          </w:tcPr>
          <w:p>
            <w:pPr>
              <w:spacing w:after="0"/>
              <w:rPr>
                <w:sz w:val="18"/>
                <w:szCs w:val="18"/>
                <w:color w:val="auto"/>
              </w:rPr>
            </w:pPr>
          </w:p>
        </w:tc>
      </w:tr>
      <w:tr>
        <w:trPr>
          <w:trHeight w:val="207"/>
        </w:trPr>
        <w:tc>
          <w:tcPr>
            <w:tcW w:w="5500" w:type="dxa"/>
            <w:vAlign w:val="bottom"/>
            <w:tcBorders>
              <w:left w:val="single" w:sz="8" w:color="auto"/>
              <w:bottom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19"/>
                <w:szCs w:val="19"/>
                <w:color w:val="auto"/>
              </w:rPr>
              <w:t>TBD</w:t>
            </w:r>
          </w:p>
        </w:tc>
        <w:tc>
          <w:tcPr>
            <w:tcW w:w="2220" w:type="dxa"/>
            <w:vAlign w:val="bottom"/>
            <w:tcBorders>
              <w:bottom w:val="single" w:sz="8" w:color="auto"/>
            </w:tcBorders>
            <w:gridSpan w:val="2"/>
          </w:tcPr>
          <w:p>
            <w:pPr>
              <w:jc w:val="center"/>
              <w:ind w:left="626"/>
              <w:spacing w:after="0" w:line="207" w:lineRule="exact"/>
              <w:rPr>
                <w:sz w:val="20"/>
                <w:szCs w:val="20"/>
                <w:color w:val="auto"/>
              </w:rPr>
            </w:pPr>
            <w:r>
              <w:rPr>
                <w:rFonts w:ascii="Arial" w:cs="Arial" w:eastAsia="Arial" w:hAnsi="Arial"/>
                <w:sz w:val="19"/>
                <w:szCs w:val="19"/>
                <w:color w:val="auto"/>
                <w:w w:val="89"/>
              </w:rPr>
              <w:t>25%</w:t>
            </w:r>
          </w:p>
        </w:tc>
        <w:tc>
          <w:tcPr>
            <w:tcW w:w="740" w:type="dxa"/>
            <w:vAlign w:val="bottom"/>
            <w:tcBorders>
              <w:bottom w:val="single" w:sz="8" w:color="auto"/>
              <w:right w:val="single" w:sz="8" w:color="auto"/>
            </w:tcBorders>
          </w:tcPr>
          <w:p>
            <w:pPr>
              <w:spacing w:after="0"/>
              <w:rPr>
                <w:sz w:val="18"/>
                <w:szCs w:val="18"/>
                <w:color w:val="auto"/>
              </w:rPr>
            </w:pPr>
          </w:p>
        </w:tc>
      </w:tr>
      <w:tr>
        <w:trPr>
          <w:trHeight w:val="207"/>
        </w:trPr>
        <w:tc>
          <w:tcPr>
            <w:tcW w:w="5500" w:type="dxa"/>
            <w:vAlign w:val="bottom"/>
            <w:tcBorders>
              <w:left w:val="single" w:sz="8" w:color="auto"/>
              <w:bottom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19"/>
                <w:szCs w:val="19"/>
                <w:color w:val="auto"/>
              </w:rPr>
              <w:t>TBD</w:t>
            </w:r>
          </w:p>
        </w:tc>
        <w:tc>
          <w:tcPr>
            <w:tcW w:w="2220" w:type="dxa"/>
            <w:vAlign w:val="bottom"/>
            <w:tcBorders>
              <w:bottom w:val="single" w:sz="8" w:color="auto"/>
            </w:tcBorders>
            <w:gridSpan w:val="2"/>
          </w:tcPr>
          <w:p>
            <w:pPr>
              <w:jc w:val="center"/>
              <w:ind w:left="626"/>
              <w:spacing w:after="0" w:line="207" w:lineRule="exact"/>
              <w:rPr>
                <w:sz w:val="20"/>
                <w:szCs w:val="20"/>
                <w:color w:val="auto"/>
              </w:rPr>
            </w:pPr>
            <w:r>
              <w:rPr>
                <w:rFonts w:ascii="Arial" w:cs="Arial" w:eastAsia="Arial" w:hAnsi="Arial"/>
                <w:sz w:val="19"/>
                <w:szCs w:val="19"/>
                <w:color w:val="auto"/>
                <w:w w:val="89"/>
              </w:rPr>
              <w:t>25%</w:t>
            </w:r>
          </w:p>
        </w:tc>
        <w:tc>
          <w:tcPr>
            <w:tcW w:w="740" w:type="dxa"/>
            <w:vAlign w:val="bottom"/>
            <w:tcBorders>
              <w:bottom w:val="single" w:sz="8" w:color="auto"/>
              <w:right w:val="single" w:sz="8" w:color="auto"/>
            </w:tcBorders>
          </w:tcPr>
          <w:p>
            <w:pPr>
              <w:spacing w:after="0"/>
              <w:rPr>
                <w:sz w:val="18"/>
                <w:szCs w:val="18"/>
                <w:color w:val="auto"/>
              </w:rPr>
            </w:pPr>
          </w:p>
        </w:tc>
      </w:tr>
      <w:tr>
        <w:trPr>
          <w:trHeight w:val="185"/>
        </w:trPr>
        <w:tc>
          <w:tcPr>
            <w:tcW w:w="5500" w:type="dxa"/>
            <w:vAlign w:val="bottom"/>
            <w:tcBorders>
              <w:left w:val="single" w:sz="8" w:color="auto"/>
              <w:right w:val="single" w:sz="8" w:color="auto"/>
            </w:tcBorders>
            <w:gridSpan w:val="2"/>
          </w:tcPr>
          <w:p>
            <w:pPr>
              <w:ind w:left="20"/>
              <w:spacing w:after="0" w:line="185" w:lineRule="exact"/>
              <w:rPr>
                <w:sz w:val="20"/>
                <w:szCs w:val="20"/>
                <w:color w:val="auto"/>
              </w:rPr>
            </w:pPr>
            <w:r>
              <w:rPr>
                <w:rFonts w:ascii="Arial" w:cs="Arial" w:eastAsia="Arial" w:hAnsi="Arial"/>
                <w:sz w:val="19"/>
                <w:szCs w:val="19"/>
                <w:color w:val="auto"/>
                <w:w w:val="99"/>
              </w:rPr>
              <w:t>On the day immediately preceding the Eastman Kodak Company</w:t>
            </w:r>
          </w:p>
        </w:tc>
        <w:tc>
          <w:tcPr>
            <w:tcW w:w="2220" w:type="dxa"/>
            <w:vAlign w:val="bottom"/>
            <w:gridSpan w:val="2"/>
          </w:tcPr>
          <w:p>
            <w:pPr>
              <w:jc w:val="center"/>
              <w:ind w:left="626"/>
              <w:spacing w:after="0" w:line="185" w:lineRule="exact"/>
              <w:rPr>
                <w:sz w:val="20"/>
                <w:szCs w:val="20"/>
                <w:color w:val="auto"/>
              </w:rPr>
            </w:pPr>
            <w:r>
              <w:rPr>
                <w:rFonts w:ascii="Arial" w:cs="Arial" w:eastAsia="Arial" w:hAnsi="Arial"/>
                <w:sz w:val="19"/>
                <w:szCs w:val="19"/>
                <w:color w:val="auto"/>
                <w:w w:val="89"/>
              </w:rPr>
              <w:t>25%</w:t>
            </w:r>
          </w:p>
        </w:tc>
        <w:tc>
          <w:tcPr>
            <w:tcW w:w="740" w:type="dxa"/>
            <w:vAlign w:val="bottom"/>
            <w:tcBorders>
              <w:right w:val="single" w:sz="8" w:color="auto"/>
            </w:tcBorders>
          </w:tcPr>
          <w:p>
            <w:pPr>
              <w:spacing w:after="0"/>
              <w:rPr>
                <w:sz w:val="16"/>
                <w:szCs w:val="16"/>
                <w:color w:val="auto"/>
              </w:rPr>
            </w:pPr>
          </w:p>
        </w:tc>
      </w:tr>
      <w:tr>
        <w:trPr>
          <w:trHeight w:val="236"/>
        </w:trPr>
        <w:tc>
          <w:tcPr>
            <w:tcW w:w="55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9"/>
                <w:szCs w:val="19"/>
                <w:color w:val="auto"/>
              </w:rPr>
              <w:t>______ annual meeting of shareholders</w:t>
            </w: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bl>
    <w:p>
      <w:pPr>
        <w:spacing w:after="0" w:line="71" w:lineRule="exact"/>
        <w:rPr>
          <w:sz w:val="20"/>
          <w:szCs w:val="20"/>
          <w:color w:val="auto"/>
        </w:rPr>
      </w:pPr>
    </w:p>
    <w:p>
      <w:pPr>
        <w:ind w:left="2820" w:right="160"/>
        <w:spacing w:after="0" w:line="239" w:lineRule="auto"/>
        <w:rPr>
          <w:sz w:val="20"/>
          <w:szCs w:val="20"/>
          <w:color w:val="auto"/>
        </w:rPr>
      </w:pPr>
      <w:r>
        <w:rPr>
          <w:rFonts w:ascii="Arial" w:cs="Arial" w:eastAsia="Arial" w:hAnsi="Arial"/>
          <w:sz w:val="19"/>
          <w:szCs w:val="19"/>
          <w:color w:val="auto"/>
        </w:rPr>
        <w:t>The shares subject to the RSA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will only vest if the Grantee continuously serves on the Board from the Grant Date through the applicable Vesting Date. In the event of the termination of the Grantee’s service, the Restricted Shares that would have otherwise vested on the Vesting Date immediately following the date of termination will vest pro rata, based on the number of days the Grantee served during the quarter in which the termination occurs, and the remaining unvested Restricted Shares will be forfeited unless the Board determines otherwise.</w:t>
      </w:r>
    </w:p>
    <w:p>
      <w:pPr>
        <w:sectPr>
          <w:pgSz w:w="11900" w:h="16838" w:orient="portrait"/>
          <w:cols w:equalWidth="0" w:num="1">
            <w:col w:w="11260"/>
          </w:cols>
          <w:pgMar w:left="320" w:top="327" w:right="31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Transferability: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right="320"/>
        <w:spacing w:after="0" w:line="246" w:lineRule="auto"/>
        <w:rPr>
          <w:sz w:val="20"/>
          <w:szCs w:val="20"/>
          <w:color w:val="auto"/>
        </w:rPr>
      </w:pPr>
      <w:r>
        <w:rPr>
          <w:rFonts w:ascii="Arial" w:cs="Arial" w:eastAsia="Arial" w:hAnsi="Arial"/>
          <w:sz w:val="19"/>
          <w:szCs w:val="19"/>
          <w:color w:val="auto"/>
        </w:rPr>
        <w:t>The Restricted Shares will not in any manner be subject to alteration, anticipation, sale, transfer, assignment, pledge or encumbrance. After vesting, the Restricted Shares that have vested may be transferred subject to applicable limitations and laws.</w:t>
      </w:r>
    </w:p>
    <w:p>
      <w:pPr>
        <w:spacing w:after="0" w:line="200" w:lineRule="exact"/>
        <w:rPr>
          <w:sz w:val="20"/>
          <w:szCs w:val="20"/>
          <w:color w:val="auto"/>
        </w:rPr>
      </w:pPr>
    </w:p>
    <w:p>
      <w:pPr>
        <w:sectPr>
          <w:pgSz w:w="11900" w:h="16838" w:orient="portrait"/>
          <w:cols w:equalWidth="0" w:num="2">
            <w:col w:w="2100" w:space="720"/>
            <w:col w:w="8440"/>
          </w:cols>
          <w:pgMar w:left="320" w:top="327" w:right="319" w:bottom="1440" w:gutter="0" w:footer="0" w:header="0"/>
          <w:type w:val="continuous"/>
        </w:sectPr>
      </w:pPr>
    </w:p>
    <w:p>
      <w:pPr>
        <w:spacing w:after="0" w:line="127" w:lineRule="exact"/>
        <w:rPr>
          <w:sz w:val="20"/>
          <w:szCs w:val="20"/>
          <w:color w:val="auto"/>
        </w:rPr>
      </w:pPr>
    </w:p>
    <w:p>
      <w:pPr>
        <w:ind w:left="2820" w:right="160" w:hanging="2700"/>
        <w:spacing w:after="0" w:line="257" w:lineRule="auto"/>
        <w:tabs>
          <w:tab w:leader="none" w:pos="2800" w:val="left"/>
        </w:tabs>
        <w:rPr>
          <w:sz w:val="20"/>
          <w:szCs w:val="20"/>
          <w:color w:val="auto"/>
        </w:rPr>
      </w:pPr>
      <w:r>
        <w:rPr>
          <w:rFonts w:ascii="Arial" w:cs="Arial" w:eastAsia="Arial" w:hAnsi="Arial"/>
          <w:sz w:val="19"/>
          <w:szCs w:val="19"/>
          <w:b w:val="1"/>
          <w:bCs w:val="1"/>
          <w:color w:val="auto"/>
        </w:rPr>
        <w:t>No Right to Continued Service:</w:t>
      </w:r>
      <w:r>
        <w:rPr>
          <w:sz w:val="20"/>
          <w:szCs w:val="20"/>
          <w:color w:val="auto"/>
        </w:rPr>
        <w:tab/>
      </w:r>
      <w:r>
        <w:rPr>
          <w:rFonts w:ascii="Arial" w:cs="Arial" w:eastAsia="Arial" w:hAnsi="Arial"/>
          <w:sz w:val="19"/>
          <w:szCs w:val="19"/>
          <w:color w:val="auto"/>
        </w:rPr>
        <w:t>The Grantee’s receipt of this Award does not give the Grantee right to remain in the service of the Company or as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488315</wp:posOffset>
            </wp:positionV>
            <wp:extent cx="71761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18"/>
        </w:trPr>
        <w:tc>
          <w:tcPr>
            <w:tcW w:w="2260" w:type="dxa"/>
            <w:vAlign w:val="bottom"/>
          </w:tcPr>
          <w:p>
            <w:pPr>
              <w:spacing w:after="0"/>
              <w:rPr>
                <w:sz w:val="20"/>
                <w:szCs w:val="20"/>
                <w:color w:val="auto"/>
              </w:rPr>
            </w:pPr>
            <w:r>
              <w:rPr>
                <w:rFonts w:ascii="Arial" w:cs="Arial" w:eastAsia="Arial" w:hAnsi="Arial"/>
                <w:sz w:val="19"/>
                <w:szCs w:val="19"/>
                <w:b w:val="1"/>
                <w:bCs w:val="1"/>
                <w:color w:val="auto"/>
              </w:rPr>
              <w:t>Section 83(b) Election:</w:t>
            </w:r>
          </w:p>
        </w:tc>
        <w:tc>
          <w:tcPr>
            <w:tcW w:w="8780" w:type="dxa"/>
            <w:vAlign w:val="bottom"/>
            <w:gridSpan w:val="3"/>
          </w:tcPr>
          <w:p>
            <w:pPr>
              <w:ind w:left="460"/>
              <w:spacing w:after="0"/>
              <w:rPr>
                <w:sz w:val="20"/>
                <w:szCs w:val="20"/>
                <w:color w:val="auto"/>
              </w:rPr>
            </w:pPr>
            <w:r>
              <w:rPr>
                <w:rFonts w:ascii="Arial" w:cs="Arial" w:eastAsia="Arial" w:hAnsi="Arial"/>
                <w:sz w:val="19"/>
                <w:szCs w:val="19"/>
                <w:color w:val="auto"/>
                <w:w w:val="91"/>
              </w:rPr>
              <w:t>The Grantee may elect to be taxed at the time of the Grant Date, rather than at the time the Award vests, by</w:t>
            </w:r>
          </w:p>
        </w:tc>
      </w:tr>
      <w:tr>
        <w:trPr>
          <w:trHeight w:val="196"/>
        </w:trPr>
        <w:tc>
          <w:tcPr>
            <w:tcW w:w="2260" w:type="dxa"/>
            <w:vAlign w:val="bottom"/>
          </w:tcPr>
          <w:p>
            <w:pPr>
              <w:spacing w:after="0"/>
              <w:rPr>
                <w:sz w:val="17"/>
                <w:szCs w:val="17"/>
                <w:color w:val="auto"/>
              </w:rPr>
            </w:pPr>
          </w:p>
        </w:tc>
        <w:tc>
          <w:tcPr>
            <w:tcW w:w="8780" w:type="dxa"/>
            <w:vAlign w:val="bottom"/>
            <w:gridSpan w:val="3"/>
          </w:tcPr>
          <w:p>
            <w:pPr>
              <w:ind w:left="460"/>
              <w:spacing w:after="0" w:line="196" w:lineRule="exact"/>
              <w:rPr>
                <w:sz w:val="20"/>
                <w:szCs w:val="20"/>
                <w:color w:val="auto"/>
              </w:rPr>
            </w:pPr>
            <w:r>
              <w:rPr>
                <w:rFonts w:ascii="Arial" w:cs="Arial" w:eastAsia="Arial" w:hAnsi="Arial"/>
                <w:sz w:val="19"/>
                <w:szCs w:val="19"/>
                <w:color w:val="auto"/>
              </w:rPr>
              <w:t>filing an election under Section 83(b) of the Code (an “83(b) Election”) with the Internal Revenue</w:t>
            </w:r>
          </w:p>
        </w:tc>
      </w:tr>
      <w:tr>
        <w:trPr>
          <w:trHeight w:val="20"/>
        </w:trPr>
        <w:tc>
          <w:tcPr>
            <w:tcW w:w="22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2"/>
        </w:trPr>
        <w:tc>
          <w:tcPr>
            <w:tcW w:w="2260" w:type="dxa"/>
            <w:vAlign w:val="bottom"/>
          </w:tcPr>
          <w:p>
            <w:pPr>
              <w:spacing w:after="0"/>
              <w:rPr>
                <w:sz w:val="18"/>
                <w:szCs w:val="18"/>
                <w:color w:val="auto"/>
              </w:rPr>
            </w:pPr>
          </w:p>
        </w:tc>
        <w:tc>
          <w:tcPr>
            <w:tcW w:w="8780" w:type="dxa"/>
            <w:vAlign w:val="bottom"/>
            <w:gridSpan w:val="3"/>
          </w:tcPr>
          <w:p>
            <w:pPr>
              <w:ind w:left="460"/>
              <w:spacing w:after="0" w:line="212" w:lineRule="exact"/>
              <w:rPr>
                <w:sz w:val="20"/>
                <w:szCs w:val="20"/>
                <w:color w:val="auto"/>
              </w:rPr>
            </w:pPr>
            <w:r>
              <w:rPr>
                <w:rFonts w:ascii="Arial" w:cs="Arial" w:eastAsia="Arial" w:hAnsi="Arial"/>
                <w:sz w:val="19"/>
                <w:szCs w:val="19"/>
                <w:color w:val="auto"/>
                <w:w w:val="90"/>
              </w:rPr>
              <w:t xml:space="preserve">Service </w:t>
            </w:r>
            <w:r>
              <w:rPr>
                <w:rFonts w:ascii="Arial" w:cs="Arial" w:eastAsia="Arial" w:hAnsi="Arial"/>
                <w:sz w:val="19"/>
                <w:szCs w:val="19"/>
                <w:b w:val="1"/>
                <w:bCs w:val="1"/>
                <w:color w:val="auto"/>
                <w:w w:val="90"/>
              </w:rPr>
              <w:t>within 30 days of the Grant Date</w:t>
            </w:r>
            <w:r>
              <w:rPr>
                <w:rFonts w:ascii="Arial" w:cs="Arial" w:eastAsia="Arial" w:hAnsi="Arial"/>
                <w:sz w:val="19"/>
                <w:szCs w:val="19"/>
                <w:color w:val="auto"/>
                <w:w w:val="90"/>
              </w:rPr>
              <w:t>. If Grantee elects to make an 83(b) Election, Grantee shall provide</w:t>
            </w:r>
          </w:p>
        </w:tc>
      </w:tr>
      <w:tr>
        <w:trPr>
          <w:trHeight w:val="214"/>
        </w:trPr>
        <w:tc>
          <w:tcPr>
            <w:tcW w:w="2260" w:type="dxa"/>
            <w:vAlign w:val="bottom"/>
          </w:tcPr>
          <w:p>
            <w:pPr>
              <w:spacing w:after="0"/>
              <w:rPr>
                <w:sz w:val="18"/>
                <w:szCs w:val="18"/>
                <w:color w:val="auto"/>
              </w:rPr>
            </w:pPr>
          </w:p>
        </w:tc>
        <w:tc>
          <w:tcPr>
            <w:tcW w:w="8780" w:type="dxa"/>
            <w:vAlign w:val="bottom"/>
            <w:gridSpan w:val="3"/>
          </w:tcPr>
          <w:p>
            <w:pPr>
              <w:ind w:left="460"/>
              <w:spacing w:after="0" w:line="214" w:lineRule="exact"/>
              <w:rPr>
                <w:sz w:val="20"/>
                <w:szCs w:val="20"/>
                <w:color w:val="auto"/>
              </w:rPr>
            </w:pPr>
            <w:r>
              <w:rPr>
                <w:rFonts w:ascii="Arial" w:cs="Arial" w:eastAsia="Arial" w:hAnsi="Arial"/>
                <w:sz w:val="19"/>
                <w:szCs w:val="19"/>
                <w:color w:val="auto"/>
                <w:w w:val="96"/>
              </w:rPr>
              <w:t>the Company with a copy of an executed version and satisfactory evidence of the filing of the executed</w:t>
            </w:r>
          </w:p>
        </w:tc>
      </w:tr>
      <w:tr>
        <w:trPr>
          <w:trHeight w:val="214"/>
        </w:trPr>
        <w:tc>
          <w:tcPr>
            <w:tcW w:w="2260" w:type="dxa"/>
            <w:vAlign w:val="bottom"/>
          </w:tcPr>
          <w:p>
            <w:pPr>
              <w:spacing w:after="0"/>
              <w:rPr>
                <w:sz w:val="18"/>
                <w:szCs w:val="18"/>
                <w:color w:val="auto"/>
              </w:rPr>
            </w:pPr>
          </w:p>
        </w:tc>
        <w:tc>
          <w:tcPr>
            <w:tcW w:w="8780" w:type="dxa"/>
            <w:vAlign w:val="bottom"/>
            <w:gridSpan w:val="3"/>
          </w:tcPr>
          <w:p>
            <w:pPr>
              <w:ind w:left="460"/>
              <w:spacing w:after="0" w:line="214" w:lineRule="exact"/>
              <w:rPr>
                <w:sz w:val="20"/>
                <w:szCs w:val="20"/>
                <w:color w:val="auto"/>
              </w:rPr>
            </w:pPr>
            <w:r>
              <w:rPr>
                <w:rFonts w:ascii="Arial" w:cs="Arial" w:eastAsia="Arial" w:hAnsi="Arial"/>
                <w:sz w:val="19"/>
                <w:szCs w:val="19"/>
                <w:color w:val="auto"/>
                <w:w w:val="91"/>
              </w:rPr>
              <w:t>Section 83(b) Election with the Internal Revenue Service within 10 days of filing notice of such election. The</w:t>
            </w:r>
          </w:p>
        </w:tc>
      </w:tr>
      <w:tr>
        <w:trPr>
          <w:trHeight w:val="214"/>
        </w:trPr>
        <w:tc>
          <w:tcPr>
            <w:tcW w:w="2260" w:type="dxa"/>
            <w:vAlign w:val="bottom"/>
          </w:tcPr>
          <w:p>
            <w:pPr>
              <w:spacing w:after="0"/>
              <w:rPr>
                <w:sz w:val="18"/>
                <w:szCs w:val="18"/>
                <w:color w:val="auto"/>
              </w:rPr>
            </w:pPr>
          </w:p>
        </w:tc>
        <w:tc>
          <w:tcPr>
            <w:tcW w:w="8780" w:type="dxa"/>
            <w:vAlign w:val="bottom"/>
            <w:gridSpan w:val="3"/>
          </w:tcPr>
          <w:p>
            <w:pPr>
              <w:ind w:left="460"/>
              <w:spacing w:after="0" w:line="214" w:lineRule="exact"/>
              <w:rPr>
                <w:sz w:val="20"/>
                <w:szCs w:val="20"/>
                <w:color w:val="auto"/>
              </w:rPr>
            </w:pPr>
            <w:r>
              <w:rPr>
                <w:rFonts w:ascii="Arial" w:cs="Arial" w:eastAsia="Arial" w:hAnsi="Arial"/>
                <w:sz w:val="19"/>
                <w:szCs w:val="19"/>
                <w:color w:val="auto"/>
                <w:w w:val="93"/>
              </w:rPr>
              <w:t>Grantee agrees to assume full responsibility for ensuring that the 83(b) Election is actually and timely filed</w:t>
            </w:r>
          </w:p>
        </w:tc>
      </w:tr>
      <w:tr>
        <w:trPr>
          <w:trHeight w:val="239"/>
        </w:trPr>
        <w:tc>
          <w:tcPr>
            <w:tcW w:w="2260" w:type="dxa"/>
            <w:vAlign w:val="bottom"/>
          </w:tcPr>
          <w:p>
            <w:pPr>
              <w:spacing w:after="0"/>
              <w:rPr>
                <w:sz w:val="20"/>
                <w:szCs w:val="20"/>
                <w:color w:val="auto"/>
              </w:rPr>
            </w:pPr>
          </w:p>
        </w:tc>
        <w:tc>
          <w:tcPr>
            <w:tcW w:w="8780" w:type="dxa"/>
            <w:vAlign w:val="bottom"/>
            <w:gridSpan w:val="3"/>
          </w:tcPr>
          <w:p>
            <w:pPr>
              <w:ind w:left="460"/>
              <w:spacing w:after="0"/>
              <w:rPr>
                <w:sz w:val="20"/>
                <w:szCs w:val="20"/>
                <w:color w:val="auto"/>
              </w:rPr>
            </w:pPr>
            <w:r>
              <w:rPr>
                <w:rFonts w:ascii="Arial" w:cs="Arial" w:eastAsia="Arial" w:hAnsi="Arial"/>
                <w:sz w:val="19"/>
                <w:szCs w:val="19"/>
                <w:color w:val="auto"/>
              </w:rPr>
              <w:t>with the Internal Revenue Service and for all tax consequences resulting from the 83(b) Election.</w:t>
            </w:r>
          </w:p>
        </w:tc>
      </w:tr>
      <w:tr>
        <w:trPr>
          <w:trHeight w:val="550"/>
        </w:trPr>
        <w:tc>
          <w:tcPr>
            <w:tcW w:w="2260" w:type="dxa"/>
            <w:vAlign w:val="bottom"/>
          </w:tcPr>
          <w:p>
            <w:pPr>
              <w:spacing w:after="0"/>
              <w:rPr>
                <w:sz w:val="20"/>
                <w:szCs w:val="20"/>
                <w:color w:val="auto"/>
              </w:rPr>
            </w:pPr>
            <w:r>
              <w:rPr>
                <w:rFonts w:ascii="Arial" w:cs="Arial" w:eastAsia="Arial" w:hAnsi="Arial"/>
                <w:sz w:val="19"/>
                <w:szCs w:val="19"/>
                <w:b w:val="1"/>
                <w:bCs w:val="1"/>
                <w:color w:val="auto"/>
              </w:rPr>
              <w:t>Other Terms</w:t>
            </w:r>
            <w:r>
              <w:rPr>
                <w:rFonts w:ascii="Arial" w:cs="Arial" w:eastAsia="Arial" w:hAnsi="Arial"/>
                <w:sz w:val="19"/>
                <w:szCs w:val="19"/>
                <w:color w:val="auto"/>
              </w:rPr>
              <w:t>:</w:t>
            </w:r>
          </w:p>
        </w:tc>
        <w:tc>
          <w:tcPr>
            <w:tcW w:w="8780" w:type="dxa"/>
            <w:vAlign w:val="bottom"/>
            <w:gridSpan w:val="3"/>
          </w:tcPr>
          <w:p>
            <w:pPr>
              <w:ind w:left="460"/>
              <w:spacing w:after="0"/>
              <w:rPr>
                <w:sz w:val="20"/>
                <w:szCs w:val="20"/>
                <w:color w:val="auto"/>
              </w:rPr>
            </w:pPr>
            <w:r>
              <w:rPr>
                <w:rFonts w:ascii="Arial" w:cs="Arial" w:eastAsia="Arial" w:hAnsi="Arial"/>
                <w:sz w:val="19"/>
                <w:szCs w:val="19"/>
                <w:color w:val="auto"/>
                <w:w w:val="91"/>
              </w:rPr>
              <w:t>The RSA is subject to all other terms set forth in the Plan. The Plan is incorporated herein by reference, and,</w:t>
            </w:r>
          </w:p>
        </w:tc>
      </w:tr>
      <w:tr>
        <w:trPr>
          <w:trHeight w:val="214"/>
        </w:trPr>
        <w:tc>
          <w:tcPr>
            <w:tcW w:w="2260" w:type="dxa"/>
            <w:vAlign w:val="bottom"/>
          </w:tcPr>
          <w:p>
            <w:pPr>
              <w:spacing w:after="0"/>
              <w:rPr>
                <w:sz w:val="18"/>
                <w:szCs w:val="18"/>
                <w:color w:val="auto"/>
              </w:rPr>
            </w:pPr>
          </w:p>
        </w:tc>
        <w:tc>
          <w:tcPr>
            <w:tcW w:w="8780" w:type="dxa"/>
            <w:vAlign w:val="bottom"/>
            <w:gridSpan w:val="3"/>
          </w:tcPr>
          <w:p>
            <w:pPr>
              <w:ind w:left="460"/>
              <w:spacing w:after="0" w:line="214" w:lineRule="exact"/>
              <w:rPr>
                <w:sz w:val="20"/>
                <w:szCs w:val="20"/>
                <w:color w:val="auto"/>
              </w:rPr>
            </w:pPr>
            <w:r>
              <w:rPr>
                <w:rFonts w:ascii="Arial" w:cs="Arial" w:eastAsia="Arial" w:hAnsi="Arial"/>
                <w:sz w:val="19"/>
                <w:szCs w:val="19"/>
                <w:color w:val="auto"/>
                <w:w w:val="90"/>
              </w:rPr>
              <w:t>by accepting this Award, the Grantee agrees to be subject to the terms and conditions of the Plan. The Award</w:t>
            </w:r>
          </w:p>
        </w:tc>
      </w:tr>
      <w:tr>
        <w:trPr>
          <w:trHeight w:val="214"/>
        </w:trPr>
        <w:tc>
          <w:tcPr>
            <w:tcW w:w="2260" w:type="dxa"/>
            <w:vAlign w:val="bottom"/>
          </w:tcPr>
          <w:p>
            <w:pPr>
              <w:spacing w:after="0"/>
              <w:rPr>
                <w:sz w:val="18"/>
                <w:szCs w:val="18"/>
                <w:color w:val="auto"/>
              </w:rPr>
            </w:pPr>
          </w:p>
        </w:tc>
        <w:tc>
          <w:tcPr>
            <w:tcW w:w="8780" w:type="dxa"/>
            <w:vAlign w:val="bottom"/>
            <w:gridSpan w:val="3"/>
          </w:tcPr>
          <w:p>
            <w:pPr>
              <w:ind w:left="460"/>
              <w:spacing w:after="0" w:line="214" w:lineRule="exact"/>
              <w:rPr>
                <w:sz w:val="20"/>
                <w:szCs w:val="20"/>
                <w:color w:val="auto"/>
              </w:rPr>
            </w:pPr>
            <w:r>
              <w:rPr>
                <w:rFonts w:ascii="Arial" w:cs="Arial" w:eastAsia="Arial" w:hAnsi="Arial"/>
                <w:sz w:val="19"/>
                <w:szCs w:val="19"/>
                <w:color w:val="auto"/>
                <w:w w:val="91"/>
              </w:rPr>
              <w:t>Agreement and the Plan constitute the entire agreement and understanding of the parties with respect to the</w:t>
            </w:r>
          </w:p>
        </w:tc>
      </w:tr>
      <w:tr>
        <w:trPr>
          <w:trHeight w:val="214"/>
        </w:trPr>
        <w:tc>
          <w:tcPr>
            <w:tcW w:w="2260" w:type="dxa"/>
            <w:vAlign w:val="bottom"/>
          </w:tcPr>
          <w:p>
            <w:pPr>
              <w:spacing w:after="0"/>
              <w:rPr>
                <w:sz w:val="18"/>
                <w:szCs w:val="18"/>
                <w:color w:val="auto"/>
              </w:rPr>
            </w:pPr>
          </w:p>
        </w:tc>
        <w:tc>
          <w:tcPr>
            <w:tcW w:w="8780" w:type="dxa"/>
            <w:vAlign w:val="bottom"/>
            <w:gridSpan w:val="3"/>
          </w:tcPr>
          <w:p>
            <w:pPr>
              <w:ind w:left="460"/>
              <w:spacing w:after="0" w:line="214" w:lineRule="exact"/>
              <w:rPr>
                <w:sz w:val="20"/>
                <w:szCs w:val="20"/>
                <w:color w:val="auto"/>
              </w:rPr>
            </w:pPr>
            <w:r>
              <w:rPr>
                <w:rFonts w:ascii="Arial" w:cs="Arial" w:eastAsia="Arial" w:hAnsi="Arial"/>
                <w:sz w:val="19"/>
                <w:szCs w:val="19"/>
                <w:color w:val="auto"/>
                <w:w w:val="93"/>
              </w:rPr>
              <w:t>RSA.  In the event of any conflict between this Award Agreement and the Plan, the terms of the Plan shall</w:t>
            </w:r>
          </w:p>
        </w:tc>
      </w:tr>
      <w:tr>
        <w:trPr>
          <w:trHeight w:val="239"/>
        </w:trPr>
        <w:tc>
          <w:tcPr>
            <w:tcW w:w="2260" w:type="dxa"/>
            <w:vAlign w:val="bottom"/>
          </w:tcPr>
          <w:p>
            <w:pPr>
              <w:spacing w:after="0"/>
              <w:rPr>
                <w:sz w:val="20"/>
                <w:szCs w:val="20"/>
                <w:color w:val="auto"/>
              </w:rPr>
            </w:pPr>
          </w:p>
        </w:tc>
        <w:tc>
          <w:tcPr>
            <w:tcW w:w="8780" w:type="dxa"/>
            <w:vAlign w:val="bottom"/>
            <w:gridSpan w:val="3"/>
          </w:tcPr>
          <w:p>
            <w:pPr>
              <w:ind w:left="460"/>
              <w:spacing w:after="0"/>
              <w:rPr>
                <w:sz w:val="20"/>
                <w:szCs w:val="20"/>
                <w:color w:val="auto"/>
              </w:rPr>
            </w:pPr>
            <w:r>
              <w:rPr>
                <w:rFonts w:ascii="Arial" w:cs="Arial" w:eastAsia="Arial" w:hAnsi="Arial"/>
                <w:sz w:val="19"/>
                <w:szCs w:val="19"/>
                <w:color w:val="auto"/>
              </w:rPr>
              <w:t>control unless the context indicates otherwise.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040"/>
          </w:cols>
          <w:pgMar w:left="420" w:top="420"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221" w:lineRule="exact"/>
        <w:rPr>
          <w:sz w:val="20"/>
          <w:szCs w:val="20"/>
          <w:color w:val="auto"/>
        </w:rPr>
      </w:pPr>
    </w:p>
    <w:p>
      <w:pPr>
        <w:ind w:left="460" w:hanging="45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10-Q of Eastman Kodak Company;</w:t>
      </w:r>
    </w:p>
    <w:p>
      <w:pPr>
        <w:spacing w:after="0" w:line="220" w:lineRule="exact"/>
        <w:rPr>
          <w:rFonts w:ascii="Arial" w:cs="Arial" w:eastAsia="Arial" w:hAnsi="Arial"/>
          <w:sz w:val="18"/>
          <w:szCs w:val="18"/>
          <w:color w:val="auto"/>
        </w:rPr>
      </w:pPr>
    </w:p>
    <w:p>
      <w:pPr>
        <w:jc w:val="both"/>
        <w:ind w:left="460" w:right="400" w:hanging="453"/>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460" w:right="380" w:hanging="453"/>
        <w:spacing w:after="0" w:line="301"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460" w:right="400" w:hanging="453"/>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460" w:right="140" w:firstLine="5"/>
        <w:spacing w:after="0" w:line="259" w:lineRule="auto"/>
        <w:tabs>
          <w:tab w:leader="none" w:pos="6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460" w:right="360" w:firstLine="5"/>
        <w:spacing w:after="0" w:line="259" w:lineRule="auto"/>
        <w:tabs>
          <w:tab w:leader="none" w:pos="6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460" w:right="960" w:firstLine="5"/>
        <w:spacing w:after="0" w:line="417" w:lineRule="auto"/>
        <w:tabs>
          <w:tab w:leader="none" w:pos="688"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jc w:val="both"/>
        <w:ind w:left="460" w:right="20" w:firstLine="5"/>
        <w:spacing w:after="0" w:line="259" w:lineRule="auto"/>
        <w:tabs>
          <w:tab w:leader="none" w:pos="6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460" w:right="320" w:hanging="453"/>
        <w:spacing w:after="0" w:line="301"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460" w:right="340" w:firstLine="5"/>
        <w:spacing w:after="0" w:line="271" w:lineRule="auto"/>
        <w:tabs>
          <w:tab w:leader="none" w:pos="6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460" w:right="320" w:firstLine="5"/>
        <w:spacing w:after="0" w:line="271" w:lineRule="auto"/>
        <w:tabs>
          <w:tab w:leader="none" w:pos="6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E. Bullwinkle, certify that:</w:t>
      </w:r>
    </w:p>
    <w:p>
      <w:pPr>
        <w:spacing w:after="0" w:line="221"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Form 10-Q of Eastman Kodak Company;</w:t>
      </w:r>
    </w:p>
    <w:p>
      <w:pPr>
        <w:spacing w:after="0" w:line="247" w:lineRule="exact"/>
        <w:rPr>
          <w:rFonts w:ascii="Arial" w:cs="Arial" w:eastAsia="Arial" w:hAnsi="Arial"/>
          <w:sz w:val="18"/>
          <w:szCs w:val="18"/>
          <w:color w:val="auto"/>
        </w:rPr>
      </w:pPr>
    </w:p>
    <w:p>
      <w:pPr>
        <w:jc w:val="both"/>
        <w:ind w:left="360" w:right="140" w:hanging="352"/>
        <w:spacing w:after="0" w:line="259"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360" w:right="900" w:hanging="352"/>
        <w:spacing w:after="0" w:line="335" w:lineRule="auto"/>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left="360" w:right="540" w:hanging="352"/>
        <w:spacing w:after="0" w:line="259"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sz w:val="20"/>
          <w:szCs w:val="20"/>
          <w:color w:val="auto"/>
        </w:rPr>
      </w:pPr>
    </w:p>
    <w:p>
      <w:pPr>
        <w:ind w:left="400" w:right="760" w:hanging="4"/>
        <w:spacing w:after="0" w:line="259" w:lineRule="auto"/>
        <w:tabs>
          <w:tab w:leader="none" w:pos="6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400" w:right="520" w:hanging="4"/>
        <w:spacing w:after="0" w:line="259" w:lineRule="auto"/>
        <w:tabs>
          <w:tab w:leader="none" w:pos="6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400" w:right="660" w:hanging="4"/>
        <w:spacing w:after="0" w:line="417" w:lineRule="auto"/>
        <w:tabs>
          <w:tab w:leader="none" w:pos="628"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400" w:right="560" w:hanging="4"/>
        <w:spacing w:after="0" w:line="259" w:lineRule="auto"/>
        <w:tabs>
          <w:tab w:leader="none" w:pos="6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360" w:right="500" w:hanging="352"/>
        <w:spacing w:after="0" w:line="335"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400" w:right="820" w:hanging="4"/>
        <w:spacing w:after="0" w:line="335" w:lineRule="auto"/>
        <w:tabs>
          <w:tab w:leader="none" w:pos="6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400" w:right="580" w:hanging="4"/>
        <w:spacing w:after="0" w:line="271" w:lineRule="auto"/>
        <w:tabs>
          <w:tab w:leader="none" w:pos="6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 David E. Bullwinkle</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David E. Bullwinkle</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10, 2021</w:t>
      </w:r>
    </w:p>
    <w:p>
      <w:pPr>
        <w:sectPr>
          <w:pgSz w:w="11900" w:h="16838" w:orient="portrait"/>
          <w:cols w:equalWidth="0" w:num="1">
            <w:col w:w="10880"/>
          </w:cols>
          <w:pgMar w:left="68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4"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CERTIFICATION PURSUANT TO</w:t>
      </w:r>
    </w:p>
    <w:p>
      <w:pPr>
        <w:spacing w:after="0" w:line="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June 30, 2021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190" w:lineRule="exact"/>
        <w:rPr>
          <w:sz w:val="20"/>
          <w:szCs w:val="20"/>
          <w:color w:val="auto"/>
        </w:rPr>
      </w:pPr>
    </w:p>
    <w:p>
      <w:pPr>
        <w:ind w:left="480" w:hanging="239"/>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0" w:lineRule="exact"/>
        <w:rPr>
          <w:rFonts w:ascii="Arial" w:cs="Arial" w:eastAsia="Arial" w:hAnsi="Arial"/>
          <w:sz w:val="18"/>
          <w:szCs w:val="18"/>
          <w:color w:val="auto"/>
        </w:rPr>
      </w:pPr>
    </w:p>
    <w:p>
      <w:pPr>
        <w:ind w:left="240" w:right="620" w:firstLine="1"/>
        <w:spacing w:after="0" w:line="271" w:lineRule="auto"/>
        <w:tabs>
          <w:tab w:leader="none" w:pos="4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ectPr>
          <w:pgSz w:w="11900" w:h="16838" w:orient="portrait"/>
          <w:cols w:equalWidth="0" w:num="1">
            <w:col w:w="10660"/>
          </w:cols>
          <w:pgMar w:left="320" w:top="335" w:right="9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4"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CERTIFICATION PURSUANT TO</w:t>
      </w:r>
    </w:p>
    <w:p>
      <w:pPr>
        <w:spacing w:after="0" w:line="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2"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2021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50" w:lineRule="exact"/>
        <w:rPr>
          <w:sz w:val="20"/>
          <w:szCs w:val="20"/>
          <w:color w:val="auto"/>
        </w:rPr>
      </w:pPr>
    </w:p>
    <w:p>
      <w:pPr>
        <w:ind w:left="600" w:hanging="243"/>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0" w:lineRule="exact"/>
        <w:rPr>
          <w:rFonts w:ascii="Arial" w:cs="Arial" w:eastAsia="Arial" w:hAnsi="Arial"/>
          <w:sz w:val="18"/>
          <w:szCs w:val="18"/>
          <w:color w:val="auto"/>
        </w:rPr>
      </w:pPr>
    </w:p>
    <w:p>
      <w:pPr>
        <w:ind w:left="360" w:right="500" w:hanging="3"/>
        <w:spacing w:after="0" w:line="271" w:lineRule="auto"/>
        <w:tabs>
          <w:tab w:leader="none" w:pos="5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E. Bullwinkle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sectPr>
      <w:pgSz w:w="11900" w:h="16838" w:orient="portrait"/>
      <w:cols w:equalWidth="0" w:num="1">
        <w:col w:w="10660"/>
      </w:cols>
      <w:pgMar w:left="320" w:top="335"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lvl w:ilvl="1">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2"/>
    </w:lvl>
  </w:abstractNum>
  <w:abstractNum w:abstractNumId="23">
    <w:nsid w:val="836C40E"/>
    <w:multiLevelType w:val="hybridMultilevel"/>
    <w:lvl w:ilvl="0">
      <w:lvlJc w:val="left"/>
      <w:lvlText w:val="%1."/>
      <w:numFmt w:val="decimal"/>
      <w:start w:val="3"/>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4"/>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5"/>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69" Type="http://schemas.openxmlformats.org/officeDocument/2006/relationships/hyperlink" Target="http://www.sec.gov/Archives/edgar/data/31235/000119312513354928/d591063dex41.htm" TargetMode="External"/><Relationship Id="rId70" Type="http://schemas.openxmlformats.org/officeDocument/2006/relationships/hyperlink" Target="http://www.sec.gov/Archives/edgar/data/31235/000156459016029358/kodk-ex31_26.htm" TargetMode="External"/><Relationship Id="rId71" Type="http://schemas.openxmlformats.org/officeDocument/2006/relationships/hyperlink" Target="http://www.sec.gov/Archives/edgar/data/31235/000156459020058718/kodk-ex31_14.htm" TargetMode="External"/><Relationship Id="rId72" Type="http://schemas.openxmlformats.org/officeDocument/2006/relationships/hyperlink" Target="http://www.sec.gov/Archives/edgar/data/31235/000119312521062328/d468860dex31.htm" TargetMode="External"/><Relationship Id="rId73" Type="http://schemas.openxmlformats.org/officeDocument/2006/relationships/hyperlink" Target="http://www.sec.gov/Archives/edgar/data/31235/000119312521062328/d468860dex32.htm" TargetMode="External"/><Relationship Id="rId74" Type="http://schemas.openxmlformats.org/officeDocument/2006/relationships/hyperlink" Target="http://www.sec.gov/Archives/edgar/data/31235/000156459020024666/kodk-ex35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2021-08-10T15:53:18Z</dcterms:created>
  <dcterms:modified xsi:type="dcterms:W3CDTF">2021-08-10T15:53:18Z</dcterms:modified>
</cp:coreProperties>
</file>