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3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9"/>
          <w:szCs w:val="29"/>
          <w:b w:val="1"/>
          <w:bCs w:val="1"/>
          <w:color w:val="auto"/>
        </w:rPr>
        <w:t>Washington, D.C. 20549</w:t>
      </w:r>
    </w:p>
    <w:p>
      <w:pPr>
        <w:spacing w:after="0" w:line="1"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22"/>
          <w:szCs w:val="22"/>
          <w:b w:val="1"/>
          <w:bCs w:val="1"/>
          <w:color w:val="auto"/>
        </w:rPr>
        <w:t>________________</w:t>
      </w:r>
    </w:p>
    <w:p>
      <w:pPr>
        <w:spacing w:after="0" w:line="10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39"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22"/>
          <w:szCs w:val="22"/>
          <w:b w:val="1"/>
          <w:bCs w:val="1"/>
          <w:color w:val="auto"/>
        </w:rPr>
        <w:t>________________</w:t>
      </w:r>
    </w:p>
    <w:p>
      <w:pPr>
        <w:spacing w:after="0" w:line="18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Date of Report (Date of earliest event reported): March 12, 2026</w:t>
      </w:r>
    </w:p>
    <w:p>
      <w:pPr>
        <w:spacing w:after="0" w:line="20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9"/>
          <w:szCs w:val="29"/>
          <w:b w:val="1"/>
          <w:bCs w:val="1"/>
          <w:color w:val="auto"/>
        </w:rPr>
        <w:t>EASTMAN KODAK COMPANY</w:t>
      </w:r>
    </w:p>
    <w:p>
      <w:pPr>
        <w:spacing w:after="0" w:line="4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34" w:lineRule="exact"/>
        <w:rPr>
          <w:sz w:val="24"/>
          <w:szCs w:val="24"/>
          <w:color w:val="auto"/>
        </w:rPr>
      </w:pPr>
    </w:p>
    <w:tbl>
      <w:tblPr>
        <w:tblLayout w:type="fixed"/>
        <w:tblInd w:w="300" w:type="dxa"/>
        <w:tblCellMar>
          <w:top w:w="0" w:type="dxa"/>
          <w:left w:w="0" w:type="dxa"/>
          <w:bottom w:w="0" w:type="dxa"/>
          <w:right w:w="0" w:type="dxa"/>
        </w:tblCellMar>
      </w:tblPr>
      <w:tr>
        <w:trPr>
          <w:trHeight w:val="220"/>
        </w:trPr>
        <w:tc>
          <w:tcPr>
            <w:tcW w:w="32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NEW JERSEY</w:t>
            </w:r>
          </w:p>
        </w:tc>
        <w:tc>
          <w:tcPr>
            <w:tcW w:w="4540" w:type="dxa"/>
            <w:vAlign w:val="bottom"/>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6"/>
              </w:rPr>
              <w:t>1-87</w:t>
            </w:r>
          </w:p>
        </w:tc>
        <w:tc>
          <w:tcPr>
            <w:tcW w:w="19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16-0417150</w:t>
            </w:r>
          </w:p>
        </w:tc>
        <w:tc>
          <w:tcPr>
            <w:tcW w:w="0" w:type="dxa"/>
            <w:vAlign w:val="bottom"/>
          </w:tcPr>
          <w:p>
            <w:pPr>
              <w:spacing w:after="0"/>
              <w:rPr>
                <w:sz w:val="1"/>
                <w:szCs w:val="1"/>
                <w:color w:val="auto"/>
              </w:rPr>
            </w:pPr>
          </w:p>
        </w:tc>
      </w:tr>
      <w:tr>
        <w:trPr>
          <w:trHeight w:val="216"/>
        </w:trPr>
        <w:tc>
          <w:tcPr>
            <w:tcW w:w="32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454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rPr>
              <w:t>(Commission File Number)</w:t>
            </w:r>
          </w:p>
        </w:tc>
        <w:tc>
          <w:tcPr>
            <w:tcW w:w="19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(IRS Employer</w:t>
            </w:r>
          </w:p>
        </w:tc>
        <w:tc>
          <w:tcPr>
            <w:tcW w:w="0" w:type="dxa"/>
            <w:vAlign w:val="bottom"/>
          </w:tcPr>
          <w:p>
            <w:pPr>
              <w:spacing w:after="0"/>
              <w:rPr>
                <w:sz w:val="1"/>
                <w:szCs w:val="1"/>
                <w:color w:val="auto"/>
              </w:rPr>
            </w:pPr>
          </w:p>
        </w:tc>
      </w:tr>
      <w:tr>
        <w:trPr>
          <w:trHeight w:val="234"/>
        </w:trPr>
        <w:tc>
          <w:tcPr>
            <w:tcW w:w="3280" w:type="dxa"/>
            <w:vAlign w:val="bottom"/>
          </w:tcPr>
          <w:p>
            <w:pPr>
              <w:spacing w:after="0"/>
              <w:rPr>
                <w:sz w:val="20"/>
                <w:szCs w:val="20"/>
                <w:color w:val="auto"/>
              </w:rPr>
            </w:pPr>
          </w:p>
        </w:tc>
        <w:tc>
          <w:tcPr>
            <w:tcW w:w="4540" w:type="dxa"/>
            <w:vAlign w:val="bottom"/>
            <w:vMerge w:val="restart"/>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9"/>
              </w:rPr>
              <w:t>343 State Street</w:t>
            </w:r>
          </w:p>
        </w:tc>
        <w:tc>
          <w:tcPr>
            <w:tcW w:w="192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99"/>
              </w:rPr>
              <w:t>Identification No.)</w:t>
            </w:r>
          </w:p>
        </w:tc>
        <w:tc>
          <w:tcPr>
            <w:tcW w:w="0" w:type="dxa"/>
            <w:vAlign w:val="bottom"/>
          </w:tcPr>
          <w:p>
            <w:pPr>
              <w:spacing w:after="0"/>
              <w:rPr>
                <w:sz w:val="1"/>
                <w:szCs w:val="1"/>
                <w:color w:val="auto"/>
              </w:rPr>
            </w:pPr>
          </w:p>
        </w:tc>
      </w:tr>
      <w:tr>
        <w:trPr>
          <w:trHeight w:val="194"/>
        </w:trPr>
        <w:tc>
          <w:tcPr>
            <w:tcW w:w="3280" w:type="dxa"/>
            <w:vAlign w:val="bottom"/>
          </w:tcPr>
          <w:p>
            <w:pPr>
              <w:spacing w:after="0"/>
              <w:rPr>
                <w:sz w:val="16"/>
                <w:szCs w:val="16"/>
                <w:color w:val="auto"/>
              </w:rPr>
            </w:pPr>
          </w:p>
        </w:tc>
        <w:tc>
          <w:tcPr>
            <w:tcW w:w="4540" w:type="dxa"/>
            <w:vAlign w:val="bottom"/>
            <w:vMerge w:val="continue"/>
          </w:tcPr>
          <w:p>
            <w:pPr>
              <w:spacing w:after="0"/>
              <w:rPr>
                <w:sz w:val="16"/>
                <w:szCs w:val="16"/>
                <w:color w:val="auto"/>
              </w:rPr>
            </w:pPr>
          </w:p>
        </w:tc>
        <w:tc>
          <w:tcPr>
            <w:tcW w:w="1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280" w:type="dxa"/>
            <w:vAlign w:val="bottom"/>
          </w:tcPr>
          <w:p>
            <w:pPr>
              <w:spacing w:after="0"/>
              <w:rPr>
                <w:sz w:val="19"/>
                <w:szCs w:val="19"/>
                <w:color w:val="auto"/>
              </w:rPr>
            </w:pPr>
          </w:p>
        </w:tc>
        <w:tc>
          <w:tcPr>
            <w:tcW w:w="454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rPr>
              <w:t>Rochester, NY 14650</w:t>
            </w: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280" w:type="dxa"/>
            <w:vAlign w:val="bottom"/>
          </w:tcPr>
          <w:p>
            <w:pPr>
              <w:spacing w:after="0"/>
              <w:rPr>
                <w:sz w:val="20"/>
                <w:szCs w:val="20"/>
                <w:color w:val="auto"/>
              </w:rPr>
            </w:pPr>
          </w:p>
        </w:tc>
        <w:tc>
          <w:tcPr>
            <w:tcW w:w="454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rPr>
              <w:t>(Address of principal executive offices with zip code)</w:t>
            </w:r>
          </w:p>
        </w:tc>
        <w:tc>
          <w:tcPr>
            <w:tcW w:w="1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280" w:type="dxa"/>
            <w:vAlign w:val="bottom"/>
          </w:tcPr>
          <w:p>
            <w:pPr>
              <w:spacing w:after="0"/>
              <w:rPr>
                <w:sz w:val="24"/>
                <w:szCs w:val="24"/>
                <w:color w:val="auto"/>
              </w:rPr>
            </w:pPr>
          </w:p>
        </w:tc>
        <w:tc>
          <w:tcPr>
            <w:tcW w:w="4540" w:type="dxa"/>
            <w:vAlign w:val="bottom"/>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w w:val="99"/>
              </w:rPr>
              <w:t>(800) 356-3259</w:t>
            </w: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280" w:type="dxa"/>
            <w:vAlign w:val="bottom"/>
          </w:tcPr>
          <w:p>
            <w:pPr>
              <w:spacing w:after="0"/>
              <w:rPr>
                <w:sz w:val="20"/>
                <w:szCs w:val="20"/>
                <w:color w:val="auto"/>
              </w:rPr>
            </w:pPr>
          </w:p>
        </w:tc>
        <w:tc>
          <w:tcPr>
            <w:tcW w:w="454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9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0" w:lineRule="exact"/>
        <w:rPr>
          <w:sz w:val="24"/>
          <w:szCs w:val="24"/>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940" w:hanging="723"/>
        <w:spacing w:after="0"/>
        <w:tabs>
          <w:tab w:leader="none" w:pos="94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7" w:lineRule="exact"/>
        <w:rPr>
          <w:rFonts w:ascii="Wingdings" w:cs="Wingdings" w:eastAsia="Wingdings" w:hAnsi="Wingdings"/>
          <w:sz w:val="18"/>
          <w:szCs w:val="18"/>
          <w:b w:val="1"/>
          <w:bCs w:val="1"/>
          <w:color w:val="auto"/>
        </w:rPr>
      </w:pPr>
    </w:p>
    <w:p>
      <w:pPr>
        <w:ind w:left="940" w:hanging="723"/>
        <w:spacing w:after="0"/>
        <w:tabs>
          <w:tab w:leader="none" w:pos="94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57" w:lineRule="exact"/>
        <w:rPr>
          <w:rFonts w:ascii="Wingdings" w:cs="Wingdings" w:eastAsia="Wingdings" w:hAnsi="Wingdings"/>
          <w:sz w:val="18"/>
          <w:szCs w:val="18"/>
          <w:b w:val="1"/>
          <w:bCs w:val="1"/>
          <w:color w:val="auto"/>
        </w:rPr>
      </w:pPr>
    </w:p>
    <w:p>
      <w:pPr>
        <w:ind w:left="940" w:hanging="723"/>
        <w:spacing w:after="0"/>
        <w:tabs>
          <w:tab w:leader="none" w:pos="94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57" w:lineRule="exact"/>
        <w:rPr>
          <w:rFonts w:ascii="Wingdings" w:cs="Wingdings" w:eastAsia="Wingdings" w:hAnsi="Wingdings"/>
          <w:sz w:val="18"/>
          <w:szCs w:val="18"/>
          <w:b w:val="1"/>
          <w:bCs w:val="1"/>
          <w:color w:val="auto"/>
        </w:rPr>
      </w:pPr>
    </w:p>
    <w:p>
      <w:pPr>
        <w:ind w:left="940" w:hanging="723"/>
        <w:spacing w:after="0"/>
        <w:tabs>
          <w:tab w:leader="none" w:pos="94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2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840" w:type="dxa"/>
            <w:vAlign w:val="bottom"/>
            <w:gridSpan w:val="3"/>
          </w:tcPr>
          <w:p>
            <w:pPr>
              <w:jc w:val="center"/>
              <w:ind w:right="68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180" w:type="dxa"/>
            <w:vAlign w:val="bottom"/>
          </w:tcPr>
          <w:p>
            <w:pPr>
              <w:spacing w:after="0"/>
              <w:rPr>
                <w:sz w:val="20"/>
                <w:szCs w:val="20"/>
                <w:color w:val="auto"/>
              </w:rPr>
            </w:pPr>
          </w:p>
        </w:tc>
      </w:tr>
      <w:tr>
        <w:trPr>
          <w:trHeight w:val="324"/>
        </w:trPr>
        <w:tc>
          <w:tcPr>
            <w:tcW w:w="1400" w:type="dxa"/>
            <w:vAlign w:val="bottom"/>
          </w:tcPr>
          <w:p>
            <w:pPr>
              <w:spacing w:after="0"/>
              <w:rPr>
                <w:sz w:val="24"/>
                <w:szCs w:val="24"/>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Title of each class</w:t>
            </w:r>
          </w:p>
        </w:tc>
        <w:tc>
          <w:tcPr>
            <w:tcW w:w="2120" w:type="dxa"/>
            <w:vAlign w:val="bottom"/>
          </w:tcPr>
          <w:p>
            <w:pPr>
              <w:spacing w:after="0"/>
              <w:rPr>
                <w:sz w:val="24"/>
                <w:szCs w:val="24"/>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Trading Symbol(s)</w:t>
            </w:r>
          </w:p>
        </w:tc>
        <w:tc>
          <w:tcPr>
            <w:tcW w:w="1280" w:type="dxa"/>
            <w:vAlign w:val="bottom"/>
          </w:tcPr>
          <w:p>
            <w:pPr>
              <w:spacing w:after="0"/>
              <w:rPr>
                <w:sz w:val="24"/>
                <w:szCs w:val="24"/>
                <w:color w:val="auto"/>
              </w:rPr>
            </w:pPr>
          </w:p>
        </w:tc>
        <w:tc>
          <w:tcPr>
            <w:tcW w:w="3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385"/>
        </w:trPr>
        <w:tc>
          <w:tcPr>
            <w:tcW w:w="4840" w:type="dxa"/>
            <w:vAlign w:val="bottom"/>
            <w:gridSpan w:val="3"/>
          </w:tcPr>
          <w:p>
            <w:pPr>
              <w:jc w:val="center"/>
              <w:ind w:right="720"/>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2660" w:type="dxa"/>
            <w:vAlign w:val="bottom"/>
            <w:gridSpan w:val="2"/>
          </w:tcPr>
          <w:p>
            <w:pPr>
              <w:jc w:val="center"/>
              <w:ind w:right="1300"/>
              <w:spacing w:after="0"/>
              <w:rPr>
                <w:sz w:val="20"/>
                <w:szCs w:val="20"/>
                <w:color w:val="auto"/>
              </w:rPr>
            </w:pPr>
            <w:r>
              <w:rPr>
                <w:rFonts w:ascii="Times New Roman" w:cs="Times New Roman" w:eastAsia="Times New Roman" w:hAnsi="Times New Roman"/>
                <w:sz w:val="18"/>
                <w:szCs w:val="18"/>
                <w:color w:val="auto"/>
                <w:w w:val="99"/>
              </w:rPr>
              <w:t>KODK</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292" w:lineRule="exact"/>
        <w:rPr>
          <w:sz w:val="24"/>
          <w:szCs w:val="24"/>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9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w:t>
      </w:r>
    </w:p>
    <w:p>
      <w:pPr>
        <w:spacing w:after="0" w:line="144"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407670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722" w:right="479" w:bottom="1440" w:gutter="0" w:footer="0" w:header="0"/>
        </w:sectPr>
      </w:pPr>
    </w:p>
    <w:bookmarkStart w:id="1" w:name="page2"/>
    <w:bookmarkEnd w:id="1"/>
    <w:p>
      <w:pPr>
        <w:spacing w:after="0"/>
        <w:tabs>
          <w:tab w:leader="none" w:pos="1240" w:val="left"/>
        </w:tabs>
        <w:rPr>
          <w:sz w:val="20"/>
          <w:szCs w:val="20"/>
          <w:color w:val="auto"/>
        </w:rPr>
      </w:pPr>
      <w:r>
        <w:rPr>
          <w:rFonts w:ascii="Arial" w:cs="Arial" w:eastAsia="Arial" w:hAnsi="Arial"/>
          <w:sz w:val="19"/>
          <w:szCs w:val="19"/>
          <w:b w:val="1"/>
          <w:bCs w:val="1"/>
          <w:color w:val="auto"/>
        </w:rPr>
        <w:t>Item 2.02</w:t>
      </w:r>
      <w:r>
        <w:rPr>
          <w:sz w:val="20"/>
          <w:szCs w:val="20"/>
          <w:color w:val="auto"/>
        </w:rPr>
        <w:tab/>
      </w:r>
      <w:r>
        <w:rPr>
          <w:rFonts w:ascii="Arial" w:cs="Arial" w:eastAsia="Arial" w:hAnsi="Arial"/>
          <w:sz w:val="18"/>
          <w:szCs w:val="18"/>
          <w:b w:val="1"/>
          <w:bCs w:val="1"/>
          <w:color w:val="auto"/>
        </w:rPr>
        <w:t>Results of Operations and Financial Condition</w:t>
      </w:r>
    </w:p>
    <w:p>
      <w:pPr>
        <w:spacing w:after="0" w:line="187" w:lineRule="exact"/>
        <w:rPr>
          <w:sz w:val="20"/>
          <w:szCs w:val="20"/>
          <w:color w:val="auto"/>
        </w:rPr>
      </w:pPr>
    </w:p>
    <w:p>
      <w:pPr>
        <w:spacing w:after="0" w:line="270" w:lineRule="auto"/>
        <w:rPr>
          <w:sz w:val="20"/>
          <w:szCs w:val="20"/>
          <w:color w:val="auto"/>
        </w:rPr>
      </w:pPr>
      <w:r>
        <w:rPr>
          <w:rFonts w:ascii="Arial" w:cs="Arial" w:eastAsia="Arial" w:hAnsi="Arial"/>
          <w:sz w:val="19"/>
          <w:szCs w:val="19"/>
          <w:color w:val="auto"/>
        </w:rPr>
        <w:t>On March 12, 2026, Eastman Kodak Company (the "Company") issued a press release describing its fourth quarter 2025 and full year 2025 financial results. A copy of the press release is furnished as Exhibit (99.1) to this report.</w:t>
      </w:r>
    </w:p>
    <w:p>
      <w:pPr>
        <w:spacing w:after="0" w:line="200" w:lineRule="exact"/>
        <w:rPr>
          <w:sz w:val="20"/>
          <w:szCs w:val="20"/>
          <w:color w:val="auto"/>
        </w:rPr>
      </w:pPr>
    </w:p>
    <w:p>
      <w:pPr>
        <w:spacing w:after="0" w:line="267" w:lineRule="exact"/>
        <w:rPr>
          <w:sz w:val="20"/>
          <w:szCs w:val="20"/>
          <w:color w:val="auto"/>
        </w:rPr>
      </w:pPr>
    </w:p>
    <w:p>
      <w:pPr>
        <w:spacing w:after="0"/>
        <w:tabs>
          <w:tab w:leader="none" w:pos="1240" w:val="left"/>
        </w:tabs>
        <w:rPr>
          <w:sz w:val="20"/>
          <w:szCs w:val="20"/>
          <w:color w:val="auto"/>
        </w:rPr>
      </w:pPr>
      <w:r>
        <w:rPr>
          <w:rFonts w:ascii="Arial" w:cs="Arial" w:eastAsia="Arial" w:hAnsi="Arial"/>
          <w:sz w:val="19"/>
          <w:szCs w:val="19"/>
          <w:b w:val="1"/>
          <w:bCs w:val="1"/>
          <w:color w:val="auto"/>
        </w:rPr>
        <w:t>Item 9.01</w:t>
      </w:r>
      <w:r>
        <w:rPr>
          <w:sz w:val="20"/>
          <w:szCs w:val="20"/>
          <w:color w:val="auto"/>
        </w:rPr>
        <w:tab/>
      </w:r>
      <w:r>
        <w:rPr>
          <w:rFonts w:ascii="Arial" w:cs="Arial" w:eastAsia="Arial" w:hAnsi="Arial"/>
          <w:sz w:val="18"/>
          <w:szCs w:val="18"/>
          <w:b w:val="1"/>
          <w:bCs w:val="1"/>
          <w:color w:val="auto"/>
        </w:rPr>
        <w:t>Financial Statements and Exhibits</w:t>
      </w:r>
    </w:p>
    <w:p>
      <w:pPr>
        <w:spacing w:after="0" w:line="187" w:lineRule="exact"/>
        <w:rPr>
          <w:sz w:val="20"/>
          <w:szCs w:val="20"/>
          <w:color w:val="auto"/>
        </w:rPr>
      </w:pPr>
    </w:p>
    <w:p>
      <w:pPr>
        <w:ind w:left="420" w:hanging="412"/>
        <w:spacing w:after="0"/>
        <w:tabs>
          <w:tab w:leader="none" w:pos="420" w:val="left"/>
        </w:tabs>
        <w:numPr>
          <w:ilvl w:val="0"/>
          <w:numId w:val="2"/>
        </w:numPr>
        <w:rPr>
          <w:rFonts w:ascii="Arial" w:cs="Arial" w:eastAsia="Arial" w:hAnsi="Arial"/>
          <w:sz w:val="19"/>
          <w:szCs w:val="19"/>
          <w:color w:val="auto"/>
        </w:rPr>
      </w:pPr>
      <w:r>
        <w:rPr>
          <w:rFonts w:ascii="Arial" w:cs="Arial" w:eastAsia="Arial" w:hAnsi="Arial"/>
          <w:sz w:val="19"/>
          <w:szCs w:val="19"/>
          <w:color w:val="auto"/>
        </w:rPr>
        <w:t>Exhibits</w:t>
      </w:r>
    </w:p>
    <w:p>
      <w:pPr>
        <w:spacing w:after="0" w:line="173" w:lineRule="exact"/>
        <w:rPr>
          <w:sz w:val="20"/>
          <w:szCs w:val="20"/>
          <w:color w:val="auto"/>
        </w:rPr>
      </w:pPr>
    </w:p>
    <w:p>
      <w:pPr>
        <w:ind w:left="760" w:right="380" w:hanging="748"/>
        <w:spacing w:after="0" w:line="270" w:lineRule="auto"/>
        <w:tabs>
          <w:tab w:leader="none" w:pos="740" w:val="left"/>
        </w:tabs>
        <w:rPr>
          <w:sz w:val="20"/>
          <w:szCs w:val="20"/>
          <w:color w:val="auto"/>
        </w:rPr>
      </w:pPr>
      <w:r>
        <w:rPr>
          <w:rFonts w:ascii="Arial" w:cs="Arial" w:eastAsia="Arial" w:hAnsi="Arial"/>
          <w:sz w:val="19"/>
          <w:szCs w:val="19"/>
          <w:color w:val="auto"/>
        </w:rPr>
        <w:t>99.1</w:t>
      </w:r>
      <w:r>
        <w:rPr>
          <w:sz w:val="20"/>
          <w:szCs w:val="20"/>
          <w:color w:val="auto"/>
        </w:rPr>
        <w:tab/>
      </w:r>
      <w:r>
        <w:rPr>
          <w:rFonts w:ascii="Arial" w:cs="Arial" w:eastAsia="Arial" w:hAnsi="Arial"/>
          <w:sz w:val="19"/>
          <w:szCs w:val="19"/>
          <w:u w:val="single" w:color="auto"/>
          <w:color w:val="0000FF"/>
        </w:rPr>
        <w:t>Press release issued on March 12, 2026, regarding the Company's fourth quarter 2025 and full year 2025 financial results furnished with this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-182880</wp:posOffset>
            </wp:positionV>
            <wp:extent cx="61004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00445" cy="8255"/>
                    </a:xfrm>
                    <a:prstGeom prst="rect">
                      <a:avLst/>
                    </a:prstGeom>
                    <a:noFill/>
                  </pic:spPr>
                </pic:pic>
              </a:graphicData>
            </a:graphic>
          </wp:anchor>
        </w:drawing>
        <w:drawing>
          <wp:anchor simplePos="0" relativeHeight="251657728" behindDoc="1" locked="0" layoutInCell="0" allowOverlap="1">
            <wp:simplePos x="0" y="0"/>
            <wp:positionH relativeFrom="column">
              <wp:posOffset>480695</wp:posOffset>
            </wp:positionH>
            <wp:positionV relativeFrom="paragraph">
              <wp:posOffset>-45720</wp:posOffset>
            </wp:positionV>
            <wp:extent cx="19075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07540" cy="8255"/>
                    </a:xfrm>
                    <a:prstGeom prst="rect">
                      <a:avLst/>
                    </a:prstGeom>
                    <a:noFill/>
                  </pic:spPr>
                </pic:pic>
              </a:graphicData>
            </a:graphic>
          </wp:anchor>
        </w:drawing>
      </w:r>
    </w:p>
    <w:p>
      <w:pPr>
        <w:spacing w:after="0" w:line="69" w:lineRule="exact"/>
        <w:rPr>
          <w:sz w:val="20"/>
          <w:szCs w:val="20"/>
          <w:color w:val="auto"/>
        </w:rPr>
      </w:pPr>
    </w:p>
    <w:p>
      <w:pPr>
        <w:ind w:left="420" w:hanging="412"/>
        <w:spacing w:after="0"/>
        <w:tabs>
          <w:tab w:leader="none" w:pos="420" w:val="left"/>
        </w:tabs>
        <w:numPr>
          <w:ilvl w:val="0"/>
          <w:numId w:val="3"/>
        </w:numPr>
        <w:rPr>
          <w:rFonts w:ascii="Arial" w:cs="Arial" w:eastAsia="Arial" w:hAnsi="Arial"/>
          <w:sz w:val="19"/>
          <w:szCs w:val="19"/>
          <w:color w:val="auto"/>
        </w:rPr>
      </w:pPr>
      <w:r>
        <w:rPr>
          <w:rFonts w:ascii="Arial" w:cs="Arial" w:eastAsia="Arial" w:hAnsi="Arial"/>
          <w:sz w:val="19"/>
          <w:szCs w:val="19"/>
          <w:color w:val="auto"/>
        </w:rPr>
        <w:t>Cover Page Interactive Data File (embedded within the Inline XBRL document)</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362" w:lineRule="exact"/>
        <w:rPr>
          <w:rFonts w:ascii="Arial" w:cs="Arial" w:eastAsia="Arial" w:hAnsi="Arial"/>
          <w:sz w:val="19"/>
          <w:szCs w:val="19"/>
          <w:color w:val="auto"/>
        </w:rPr>
      </w:pPr>
    </w:p>
    <w:p>
      <w:pPr>
        <w:ind w:left="5580"/>
        <w:spacing w:after="0"/>
        <w:rPr>
          <w:rFonts w:ascii="Arial" w:cs="Arial" w:eastAsia="Arial" w:hAnsi="Arial"/>
          <w:sz w:val="19"/>
          <w:szCs w:val="19"/>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407670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320" w:top="639" w:right="799" w:bottom="1440" w:gutter="0" w:footer="0" w:header="0"/>
        </w:sectPr>
      </w:pPr>
    </w:p>
    <w:bookmarkStart w:id="2" w:name="page3"/>
    <w:bookmarkEnd w:id="2"/>
    <w:p>
      <w:pPr>
        <w:ind w:left="52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7" w:lineRule="exact"/>
        <w:rPr>
          <w:sz w:val="20"/>
          <w:szCs w:val="20"/>
          <w:color w:val="auto"/>
        </w:rPr>
      </w:pPr>
    </w:p>
    <w:p>
      <w:pPr>
        <w:ind w:left="20" w:hanging="3"/>
        <w:spacing w:after="0" w:line="270" w:lineRule="auto"/>
        <w:rPr>
          <w:sz w:val="20"/>
          <w:szCs w:val="20"/>
          <w:color w:val="auto"/>
        </w:rPr>
      </w:pPr>
      <w:r>
        <w:rPr>
          <w:rFonts w:ascii="Arial" w:cs="Arial" w:eastAsia="Arial" w:hAnsi="Arial"/>
          <w:sz w:val="19"/>
          <w:szCs w:val="19"/>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6000"/>
        <w:spacing w:after="0"/>
        <w:rPr>
          <w:sz w:val="20"/>
          <w:szCs w:val="20"/>
          <w:color w:val="auto"/>
        </w:rPr>
      </w:pPr>
      <w:r>
        <w:rPr>
          <w:rFonts w:ascii="Arial" w:cs="Arial" w:eastAsia="Arial" w:hAnsi="Arial"/>
          <w:sz w:val="19"/>
          <w:szCs w:val="19"/>
          <w:b w:val="1"/>
          <w:bCs w:val="1"/>
          <w:color w:val="auto"/>
        </w:rPr>
        <w:t>EASTMAN KODAK COMPANY</w:t>
      </w:r>
    </w:p>
    <w:p>
      <w:pPr>
        <w:spacing w:after="0" w:line="16" w:lineRule="exact"/>
        <w:rPr>
          <w:sz w:val="20"/>
          <w:szCs w:val="20"/>
          <w:color w:val="auto"/>
        </w:rPr>
      </w:pPr>
    </w:p>
    <w:p>
      <w:pPr>
        <w:ind w:left="6000"/>
        <w:spacing w:after="0"/>
        <w:rPr>
          <w:sz w:val="20"/>
          <w:szCs w:val="20"/>
          <w:color w:val="auto"/>
        </w:rPr>
      </w:pPr>
      <w:r>
        <w:rPr>
          <w:rFonts w:ascii="Arial" w:cs="Arial" w:eastAsia="Arial" w:hAnsi="Arial"/>
          <w:sz w:val="19"/>
          <w:szCs w:val="19"/>
          <w:color w:val="auto"/>
        </w:rPr>
        <w:t>(Registrant)</w:t>
      </w:r>
    </w:p>
    <w:p>
      <w:pPr>
        <w:spacing w:after="0" w:line="200" w:lineRule="exact"/>
        <w:rPr>
          <w:sz w:val="20"/>
          <w:szCs w:val="20"/>
          <w:color w:val="auto"/>
        </w:rPr>
      </w:pPr>
    </w:p>
    <w:p>
      <w:pPr>
        <w:spacing w:after="0" w:line="212" w:lineRule="exact"/>
        <w:rPr>
          <w:sz w:val="20"/>
          <w:szCs w:val="20"/>
          <w:color w:val="auto"/>
        </w:rPr>
      </w:pPr>
    </w:p>
    <w:p>
      <w:pPr>
        <w:ind w:left="6000"/>
        <w:spacing w:after="0"/>
        <w:rPr>
          <w:sz w:val="20"/>
          <w:szCs w:val="20"/>
          <w:color w:val="auto"/>
        </w:rPr>
      </w:pPr>
      <w:r>
        <w:rPr>
          <w:rFonts w:ascii="Arial" w:cs="Arial" w:eastAsia="Arial" w:hAnsi="Arial"/>
          <w:sz w:val="19"/>
          <w:szCs w:val="19"/>
          <w:color w:val="auto"/>
        </w:rPr>
        <w:t>/s/ Richard T. Michaels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15875</wp:posOffset>
            </wp:positionV>
            <wp:extent cx="33261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11" w:lineRule="exact"/>
        <w:rPr>
          <w:sz w:val="20"/>
          <w:szCs w:val="20"/>
          <w:color w:val="auto"/>
        </w:rPr>
      </w:pPr>
    </w:p>
    <w:p>
      <w:pPr>
        <w:ind w:left="6000"/>
        <w:spacing w:after="0"/>
        <w:rPr>
          <w:sz w:val="20"/>
          <w:szCs w:val="20"/>
          <w:color w:val="auto"/>
        </w:rPr>
      </w:pPr>
      <w:r>
        <w:rPr>
          <w:rFonts w:ascii="Arial" w:cs="Arial" w:eastAsia="Arial" w:hAnsi="Arial"/>
          <w:sz w:val="19"/>
          <w:szCs w:val="19"/>
          <w:color w:val="auto"/>
        </w:rPr>
        <w:t>Richard T. Michaels</w:t>
      </w:r>
    </w:p>
    <w:p>
      <w:pPr>
        <w:spacing w:after="0" w:line="7" w:lineRule="exact"/>
        <w:rPr>
          <w:sz w:val="20"/>
          <w:szCs w:val="20"/>
          <w:color w:val="auto"/>
        </w:rPr>
      </w:pPr>
    </w:p>
    <w:p>
      <w:pPr>
        <w:ind w:left="6000"/>
        <w:spacing w:after="0"/>
        <w:rPr>
          <w:sz w:val="20"/>
          <w:szCs w:val="20"/>
          <w:color w:val="auto"/>
        </w:rPr>
      </w:pPr>
      <w:r>
        <w:rPr>
          <w:rFonts w:ascii="Arial" w:cs="Arial" w:eastAsia="Arial" w:hAnsi="Arial"/>
          <w:sz w:val="19"/>
          <w:szCs w:val="19"/>
          <w:color w:val="auto"/>
        </w:rPr>
        <w:t>Chief Accounting Officer and Corporate Controller</w:t>
      </w:r>
    </w:p>
    <w:p>
      <w:pPr>
        <w:ind w:left="6000"/>
        <w:spacing w:after="0"/>
        <w:rPr>
          <w:sz w:val="20"/>
          <w:szCs w:val="20"/>
          <w:color w:val="auto"/>
        </w:rPr>
      </w:pPr>
      <w:r>
        <w:rPr>
          <w:rFonts w:ascii="Arial" w:cs="Arial" w:eastAsia="Arial" w:hAnsi="Arial"/>
          <w:sz w:val="19"/>
          <w:szCs w:val="19"/>
          <w:color w:val="auto"/>
        </w:rPr>
        <w:t>(Chief Accounting Officer and Authorized Signatory)</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9"/>
          <w:szCs w:val="19"/>
          <w:color w:val="auto"/>
        </w:rPr>
        <w:t>Date: March 12, 2026</w:t>
      </w:r>
    </w:p>
    <w:p>
      <w:pPr>
        <w:spacing w:after="0" w:line="200" w:lineRule="exact"/>
        <w:rPr>
          <w:sz w:val="20"/>
          <w:szCs w:val="20"/>
          <w:color w:val="auto"/>
        </w:rPr>
      </w:pPr>
    </w:p>
    <w:p>
      <w:pPr>
        <w:spacing w:after="0" w:line="36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398780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630" w:right="71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2633980</wp:posOffset>
            </wp:positionH>
            <wp:positionV relativeFrom="page">
              <wp:posOffset>500380</wp:posOffset>
            </wp:positionV>
            <wp:extent cx="925830" cy="925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925830" cy="92583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9340"/>
        <w:spacing w:after="0"/>
        <w:rPr>
          <w:sz w:val="20"/>
          <w:szCs w:val="20"/>
          <w:color w:val="auto"/>
        </w:rPr>
      </w:pPr>
      <w:r>
        <w:rPr>
          <w:rFonts w:ascii="Arial" w:cs="Arial" w:eastAsia="Arial" w:hAnsi="Arial"/>
          <w:sz w:val="20"/>
          <w:szCs w:val="20"/>
          <w:b w:val="1"/>
          <w:bCs w:val="1"/>
          <w:color w:val="auto"/>
        </w:rPr>
        <w:t>Exhibit 99.1</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Media Contact</w:t>
      </w:r>
      <w:r>
        <w:rPr>
          <w:rFonts w:ascii="Arial" w:cs="Arial" w:eastAsia="Arial" w:hAnsi="Arial"/>
          <w:sz w:val="20"/>
          <w:szCs w:val="20"/>
          <w:b w:val="1"/>
          <w:bCs w:val="1"/>
          <w:color w:val="auto"/>
        </w:rPr>
        <w:t>:</w:t>
      </w:r>
    </w:p>
    <w:p>
      <w:pPr>
        <w:spacing w:after="0" w:line="6" w:lineRule="exact"/>
        <w:rPr>
          <w:sz w:val="20"/>
          <w:szCs w:val="20"/>
          <w:color w:val="auto"/>
        </w:rPr>
      </w:pPr>
    </w:p>
    <w:p>
      <w:pPr>
        <w:spacing w:after="0"/>
        <w:rPr>
          <w:sz w:val="20"/>
          <w:szCs w:val="20"/>
          <w:color w:val="auto"/>
        </w:rPr>
      </w:pPr>
      <w:r>
        <w:rPr>
          <w:rFonts w:ascii="Arial" w:cs="Arial" w:eastAsia="Arial" w:hAnsi="Arial"/>
          <w:sz w:val="20"/>
          <w:szCs w:val="20"/>
          <w:color w:val="auto"/>
        </w:rPr>
        <w:t>Kurt Jaeckel, Kodak, +1 585-490-8646, kurt.jaeckel@kodak.com</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Investor Contact</w:t>
      </w:r>
      <w:r>
        <w:rPr>
          <w:rFonts w:ascii="Arial" w:cs="Arial" w:eastAsia="Arial" w:hAnsi="Arial"/>
          <w:sz w:val="20"/>
          <w:szCs w:val="20"/>
          <w:b w:val="1"/>
          <w:bCs w:val="1"/>
          <w:color w:val="auto"/>
        </w:rPr>
        <w:t>:</w:t>
      </w:r>
    </w:p>
    <w:p>
      <w:pPr>
        <w:spacing w:after="0" w:line="6" w:lineRule="exact"/>
        <w:rPr>
          <w:sz w:val="20"/>
          <w:szCs w:val="20"/>
          <w:color w:val="auto"/>
        </w:rPr>
      </w:pPr>
    </w:p>
    <w:p>
      <w:pPr>
        <w:spacing w:after="0"/>
        <w:rPr>
          <w:sz w:val="20"/>
          <w:szCs w:val="20"/>
          <w:color w:val="auto"/>
        </w:rPr>
      </w:pPr>
      <w:r>
        <w:rPr>
          <w:rFonts w:ascii="Arial" w:cs="Arial" w:eastAsia="Arial" w:hAnsi="Arial"/>
          <w:sz w:val="20"/>
          <w:szCs w:val="20"/>
          <w:color w:val="auto"/>
        </w:rPr>
        <w:t>Denisse Goldbarg, Kodak, +1 585-724-4053, shareholderservices@kodak.com</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Kodak Reports Fourth-Quarter and Full-Year 2025 Financial Results</w:t>
      </w:r>
    </w:p>
    <w:p>
      <w:pPr>
        <w:spacing w:after="0" w:line="309" w:lineRule="exact"/>
        <w:rPr>
          <w:sz w:val="20"/>
          <w:szCs w:val="20"/>
          <w:color w:val="auto"/>
        </w:rPr>
      </w:pPr>
    </w:p>
    <w:p>
      <w:pPr>
        <w:jc w:val="center"/>
        <w:ind w:left="340" w:right="1080"/>
        <w:spacing w:after="0" w:line="465" w:lineRule="auto"/>
        <w:rPr>
          <w:sz w:val="20"/>
          <w:szCs w:val="20"/>
          <w:color w:val="auto"/>
        </w:rPr>
      </w:pPr>
      <w:r>
        <w:rPr>
          <w:rFonts w:ascii="Arial" w:cs="Arial" w:eastAsia="Arial" w:hAnsi="Arial"/>
          <w:sz w:val="20"/>
          <w:szCs w:val="20"/>
          <w:b w:val="1"/>
          <w:bCs w:val="1"/>
          <w:i w:val="1"/>
          <w:iCs w:val="1"/>
          <w:color w:val="auto"/>
        </w:rPr>
        <w:t>Company Achieved Revenue Growth for the Quarter and the Full Year Company Achieved Significant Full-Year Improvements in Gross Profit and Operational EBITDA Year-End Cash Balance of $337 Million, an Increase of $136 Million for the Year Key Print and AM&amp;C Businesses Achieved Full-Year Increases in Operational EBITDA</w:t>
      </w:r>
    </w:p>
    <w:p>
      <w:pPr>
        <w:spacing w:after="0" w:line="121" w:lineRule="exact"/>
        <w:rPr>
          <w:sz w:val="20"/>
          <w:szCs w:val="20"/>
          <w:color w:val="auto"/>
        </w:rPr>
      </w:pPr>
    </w:p>
    <w:p>
      <w:pPr>
        <w:ind w:right="100"/>
        <w:spacing w:after="0" w:line="257" w:lineRule="auto"/>
        <w:rPr>
          <w:sz w:val="20"/>
          <w:szCs w:val="20"/>
          <w:color w:val="auto"/>
        </w:rPr>
      </w:pPr>
      <w:r>
        <w:rPr>
          <w:rFonts w:ascii="Arial" w:cs="Arial" w:eastAsia="Arial" w:hAnsi="Arial"/>
          <w:sz w:val="20"/>
          <w:szCs w:val="20"/>
          <w:color w:val="auto"/>
        </w:rPr>
        <w:t>ROCHESTER, N.Y., March 12, 2026 – Eastman Kodak Company (NYSE: KODK) today reported financial results for the fourth quarter and full year 2025.</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color w:val="auto"/>
        </w:rPr>
        <w:t>Fourth quarter 2025 highlights include:</w:t>
      </w:r>
    </w:p>
    <w:p>
      <w:pPr>
        <w:spacing w:after="0" w:line="162" w:lineRule="exact"/>
        <w:rPr>
          <w:sz w:val="20"/>
          <w:szCs w:val="20"/>
          <w:color w:val="auto"/>
        </w:rPr>
      </w:pPr>
    </w:p>
    <w:p>
      <w:pPr>
        <w:ind w:left="760" w:hanging="378"/>
        <w:spacing w:after="0"/>
        <w:tabs>
          <w:tab w:leader="none" w:pos="760" w:val="left"/>
        </w:tabs>
        <w:numPr>
          <w:ilvl w:val="0"/>
          <w:numId w:val="4"/>
        </w:numPr>
        <w:rPr>
          <w:rFonts w:ascii="Times New Roman" w:cs="Times New Roman" w:eastAsia="Times New Roman" w:hAnsi="Times New Roman"/>
          <w:sz w:val="19"/>
          <w:szCs w:val="19"/>
          <w:color w:val="auto"/>
        </w:rPr>
      </w:pPr>
      <w:r>
        <w:rPr>
          <w:rFonts w:ascii="Arial" w:cs="Arial" w:eastAsia="Arial" w:hAnsi="Arial"/>
          <w:sz w:val="19"/>
          <w:szCs w:val="19"/>
          <w:color w:val="auto"/>
        </w:rPr>
        <w:t>Consolidated revenues of $290 million, compared with $266 million for Q4 2024, an increase of $24 million or 9 percent</w:t>
      </w:r>
    </w:p>
    <w:p>
      <w:pPr>
        <w:spacing w:after="0" w:line="159" w:lineRule="exact"/>
        <w:rPr>
          <w:sz w:val="20"/>
          <w:szCs w:val="20"/>
          <w:color w:val="auto"/>
        </w:rPr>
      </w:pPr>
    </w:p>
    <w:p>
      <w:pPr>
        <w:ind w:left="1500" w:right="100" w:hanging="369"/>
        <w:spacing w:after="0" w:line="257" w:lineRule="auto"/>
        <w:tabs>
          <w:tab w:leader="none" w:pos="1500" w:val="left"/>
        </w:tabs>
        <w:numPr>
          <w:ilvl w:val="1"/>
          <w:numId w:val="5"/>
        </w:numPr>
        <w:rPr>
          <w:rFonts w:ascii="Times New Roman" w:cs="Times New Roman" w:eastAsia="Times New Roman" w:hAnsi="Times New Roman"/>
          <w:sz w:val="18"/>
          <w:szCs w:val="18"/>
          <w:color w:val="auto"/>
        </w:rPr>
      </w:pPr>
      <w:r>
        <w:rPr>
          <w:rFonts w:ascii="Arial" w:cs="Arial" w:eastAsia="Arial" w:hAnsi="Arial"/>
          <w:sz w:val="20"/>
          <w:szCs w:val="20"/>
          <w:color w:val="auto"/>
        </w:rPr>
        <w:t>Advanced Materials &amp; Chemicals (AM&amp;C) revenues were $85 million, compared with $68 million for Q4 2024, an increase of $17 million or 25 percent</w:t>
      </w:r>
    </w:p>
    <w:p>
      <w:pPr>
        <w:spacing w:after="0" w:line="74" w:lineRule="exact"/>
        <w:rPr>
          <w:rFonts w:ascii="Times New Roman" w:cs="Times New Roman" w:eastAsia="Times New Roman" w:hAnsi="Times New Roman"/>
          <w:sz w:val="18"/>
          <w:szCs w:val="18"/>
          <w:color w:val="auto"/>
        </w:rPr>
      </w:pPr>
    </w:p>
    <w:p>
      <w:pPr>
        <w:ind w:left="1500" w:right="560" w:hanging="369"/>
        <w:spacing w:after="0" w:line="257" w:lineRule="auto"/>
        <w:tabs>
          <w:tab w:leader="none" w:pos="1500" w:val="left"/>
        </w:tabs>
        <w:numPr>
          <w:ilvl w:val="1"/>
          <w:numId w:val="5"/>
        </w:numPr>
        <w:rPr>
          <w:rFonts w:ascii="Times New Roman" w:cs="Times New Roman" w:eastAsia="Times New Roman" w:hAnsi="Times New Roman"/>
          <w:sz w:val="18"/>
          <w:szCs w:val="18"/>
          <w:color w:val="auto"/>
        </w:rPr>
      </w:pPr>
      <w:r>
        <w:rPr>
          <w:rFonts w:ascii="Arial" w:cs="Arial" w:eastAsia="Arial" w:hAnsi="Arial"/>
          <w:sz w:val="20"/>
          <w:szCs w:val="20"/>
          <w:color w:val="auto"/>
        </w:rPr>
        <w:t>Print revenues were $195 million, compared with $187 million for Q4 2024, an increase of $8 million or 4 percent</w:t>
      </w:r>
    </w:p>
    <w:p>
      <w:pPr>
        <w:spacing w:after="0" w:line="8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20"/>
          <w:szCs w:val="20"/>
          <w:color w:val="auto"/>
        </w:rPr>
      </w:pPr>
      <w:r>
        <w:rPr>
          <w:rFonts w:ascii="Arial" w:cs="Arial" w:eastAsia="Arial" w:hAnsi="Arial"/>
          <w:sz w:val="20"/>
          <w:szCs w:val="20"/>
          <w:color w:val="auto"/>
        </w:rPr>
        <w:t>Gross profit of $67 million, compared with $51 million for Q4 2024, an increase of $16 million or 31 percent</w:t>
      </w:r>
    </w:p>
    <w:p>
      <w:pPr>
        <w:spacing w:after="0" w:line="147"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5"/>
        </w:numPr>
        <w:rPr>
          <w:rFonts w:ascii="Times New Roman" w:cs="Times New Roman" w:eastAsia="Times New Roman" w:hAnsi="Times New Roman"/>
          <w:sz w:val="20"/>
          <w:szCs w:val="20"/>
          <w:color w:val="auto"/>
        </w:rPr>
      </w:pPr>
      <w:r>
        <w:rPr>
          <w:rFonts w:ascii="Arial" w:cs="Arial" w:eastAsia="Arial" w:hAnsi="Arial"/>
          <w:sz w:val="20"/>
          <w:szCs w:val="20"/>
          <w:color w:val="auto"/>
        </w:rPr>
        <w:t>Gross profit percentage of 23 percent, compared with 19 percent for Q4 2024, an increase of 4 percentage points</w:t>
      </w:r>
    </w:p>
    <w:p>
      <w:pPr>
        <w:spacing w:after="0" w:line="133"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5"/>
        </w:numPr>
        <w:rPr>
          <w:rFonts w:ascii="Times New Roman" w:cs="Times New Roman" w:eastAsia="Times New Roman" w:hAnsi="Times New Roman"/>
          <w:sz w:val="20"/>
          <w:szCs w:val="20"/>
          <w:color w:val="auto"/>
        </w:rPr>
      </w:pPr>
      <w:r>
        <w:rPr>
          <w:rFonts w:ascii="Arial" w:cs="Arial" w:eastAsia="Arial" w:hAnsi="Arial"/>
          <w:sz w:val="20"/>
          <w:szCs w:val="20"/>
          <w:color w:val="auto"/>
        </w:rPr>
        <w:t>GAAP net loss of $108 million, compared with net income of $26 million for Q4 2024, a decrease of $134 million</w:t>
      </w:r>
    </w:p>
    <w:p>
      <w:pPr>
        <w:spacing w:after="0" w:line="147"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5"/>
        </w:numPr>
        <w:rPr>
          <w:rFonts w:ascii="Times New Roman" w:cs="Times New Roman" w:eastAsia="Times New Roman" w:hAnsi="Times New Roman"/>
          <w:sz w:val="20"/>
          <w:szCs w:val="20"/>
          <w:color w:val="auto"/>
        </w:rPr>
      </w:pPr>
      <w:r>
        <w:rPr>
          <w:rFonts w:ascii="Arial" w:cs="Arial" w:eastAsia="Arial" w:hAnsi="Arial"/>
          <w:sz w:val="20"/>
          <w:szCs w:val="20"/>
          <w:color w:val="auto"/>
        </w:rPr>
        <w:t>Operational EBITDA of $22 million, compared with $9 million for Q4 2024, an increase of $13 million or 144 percent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986155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4" w:name="page5"/>
    <w:bookmarkEnd w:id="4"/>
    <w:p>
      <w:pPr>
        <w:spacing w:after="0"/>
        <w:rPr>
          <w:sz w:val="20"/>
          <w:szCs w:val="20"/>
          <w:color w:val="auto"/>
        </w:rPr>
      </w:pPr>
      <w:r>
        <w:rPr>
          <w:rFonts w:ascii="Arial" w:cs="Arial" w:eastAsia="Arial" w:hAnsi="Arial"/>
          <w:sz w:val="20"/>
          <w:szCs w:val="20"/>
          <w:color w:val="auto"/>
        </w:rPr>
        <w:t>Kodak Reports Fourth-Quarter and Full-Year 2025 Financial Results Page 2</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Full year 2025 highlights include:</w:t>
      </w:r>
    </w:p>
    <w:p>
      <w:pPr>
        <w:spacing w:after="0" w:line="162" w:lineRule="exact"/>
        <w:rPr>
          <w:sz w:val="20"/>
          <w:szCs w:val="20"/>
          <w:color w:val="auto"/>
        </w:rPr>
      </w:pPr>
    </w:p>
    <w:p>
      <w:pPr>
        <w:ind w:left="760" w:right="140" w:hanging="378"/>
        <w:spacing w:after="0" w:line="256" w:lineRule="auto"/>
        <w:tabs>
          <w:tab w:leader="none" w:pos="760" w:val="left"/>
        </w:tabs>
        <w:numPr>
          <w:ilvl w:val="0"/>
          <w:numId w:val="6"/>
        </w:numPr>
        <w:rPr>
          <w:rFonts w:ascii="Times New Roman" w:cs="Times New Roman" w:eastAsia="Times New Roman" w:hAnsi="Times New Roman"/>
          <w:sz w:val="20"/>
          <w:szCs w:val="20"/>
          <w:color w:val="auto"/>
        </w:rPr>
      </w:pPr>
      <w:r>
        <w:rPr>
          <w:rFonts w:ascii="Arial" w:cs="Arial" w:eastAsia="Arial" w:hAnsi="Arial"/>
          <w:sz w:val="20"/>
          <w:szCs w:val="20"/>
          <w:color w:val="auto"/>
        </w:rPr>
        <w:t>Consolidated revenues of $1.069 billion, compared with $1.043 billion for the full year 2024, an increase of $26 million or 2 percent</w:t>
      </w:r>
    </w:p>
    <w:p>
      <w:pPr>
        <w:spacing w:after="0" w:line="89" w:lineRule="exact"/>
        <w:rPr>
          <w:sz w:val="20"/>
          <w:szCs w:val="20"/>
          <w:color w:val="auto"/>
        </w:rPr>
      </w:pPr>
    </w:p>
    <w:p>
      <w:pPr>
        <w:ind w:left="1500" w:right="560" w:hanging="369"/>
        <w:spacing w:after="0" w:line="257" w:lineRule="auto"/>
        <w:tabs>
          <w:tab w:leader="none" w:pos="1500" w:val="left"/>
        </w:tabs>
        <w:numPr>
          <w:ilvl w:val="1"/>
          <w:numId w:val="7"/>
        </w:numPr>
        <w:rPr>
          <w:rFonts w:ascii="Times New Roman" w:cs="Times New Roman" w:eastAsia="Times New Roman" w:hAnsi="Times New Roman"/>
          <w:sz w:val="18"/>
          <w:szCs w:val="18"/>
          <w:color w:val="auto"/>
        </w:rPr>
      </w:pPr>
      <w:r>
        <w:rPr>
          <w:rFonts w:ascii="Arial" w:cs="Arial" w:eastAsia="Arial" w:hAnsi="Arial"/>
          <w:sz w:val="20"/>
          <w:szCs w:val="20"/>
          <w:color w:val="auto"/>
        </w:rPr>
        <w:t>AM&amp;C revenues were $316 million, compared with $271 million for the full year 2024, an increase of $45 million or 17 percent</w:t>
      </w:r>
    </w:p>
    <w:p>
      <w:pPr>
        <w:spacing w:after="0" w:line="87" w:lineRule="exact"/>
        <w:rPr>
          <w:rFonts w:ascii="Times New Roman" w:cs="Times New Roman" w:eastAsia="Times New Roman" w:hAnsi="Times New Roman"/>
          <w:sz w:val="18"/>
          <w:szCs w:val="18"/>
          <w:color w:val="auto"/>
        </w:rPr>
      </w:pPr>
    </w:p>
    <w:p>
      <w:pPr>
        <w:ind w:left="1500" w:right="140" w:hanging="369"/>
        <w:spacing w:after="0" w:line="257" w:lineRule="auto"/>
        <w:tabs>
          <w:tab w:leader="none" w:pos="1500" w:val="left"/>
        </w:tabs>
        <w:numPr>
          <w:ilvl w:val="1"/>
          <w:numId w:val="7"/>
        </w:numPr>
        <w:rPr>
          <w:rFonts w:ascii="Times New Roman" w:cs="Times New Roman" w:eastAsia="Times New Roman" w:hAnsi="Times New Roman"/>
          <w:sz w:val="18"/>
          <w:szCs w:val="18"/>
          <w:color w:val="auto"/>
        </w:rPr>
      </w:pPr>
      <w:r>
        <w:rPr>
          <w:rFonts w:ascii="Arial" w:cs="Arial" w:eastAsia="Arial" w:hAnsi="Arial"/>
          <w:sz w:val="20"/>
          <w:szCs w:val="20"/>
          <w:color w:val="auto"/>
        </w:rPr>
        <w:t>Print revenues were $715 million, compared with $737 million for the full year 2024, a decrease of $22 million or 3 percent</w:t>
      </w:r>
    </w:p>
    <w:p>
      <w:pPr>
        <w:spacing w:after="0" w:line="7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20"/>
          <w:szCs w:val="20"/>
          <w:color w:val="auto"/>
        </w:rPr>
      </w:pPr>
      <w:r>
        <w:rPr>
          <w:rFonts w:ascii="Arial" w:cs="Arial" w:eastAsia="Arial" w:hAnsi="Arial"/>
          <w:sz w:val="20"/>
          <w:szCs w:val="20"/>
          <w:color w:val="auto"/>
        </w:rPr>
        <w:t>Gross profit of $232 million, compared with $203 million for the full year 2024, an increase of $29 million or 14 percent</w:t>
      </w:r>
    </w:p>
    <w:p>
      <w:pPr>
        <w:spacing w:after="0" w:line="147"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7"/>
        </w:numPr>
        <w:rPr>
          <w:rFonts w:ascii="Times New Roman" w:cs="Times New Roman" w:eastAsia="Times New Roman" w:hAnsi="Times New Roman"/>
          <w:sz w:val="20"/>
          <w:szCs w:val="20"/>
          <w:color w:val="auto"/>
        </w:rPr>
      </w:pPr>
      <w:r>
        <w:rPr>
          <w:rFonts w:ascii="Arial" w:cs="Arial" w:eastAsia="Arial" w:hAnsi="Arial"/>
          <w:sz w:val="20"/>
          <w:szCs w:val="20"/>
          <w:color w:val="auto"/>
        </w:rPr>
        <w:t>Gross profit percentage of 22 percent, compared with 19 percent for the prior year, an increase of 3 percentage points</w:t>
      </w:r>
    </w:p>
    <w:p>
      <w:pPr>
        <w:spacing w:after="0" w:line="147" w:lineRule="exact"/>
        <w:rPr>
          <w:rFonts w:ascii="Times New Roman" w:cs="Times New Roman" w:eastAsia="Times New Roman" w:hAnsi="Times New Roman"/>
          <w:sz w:val="20"/>
          <w:szCs w:val="20"/>
          <w:color w:val="auto"/>
        </w:rPr>
      </w:pPr>
    </w:p>
    <w:p>
      <w:pPr>
        <w:ind w:left="760" w:right="300" w:hanging="378"/>
        <w:spacing w:after="0" w:line="256" w:lineRule="auto"/>
        <w:tabs>
          <w:tab w:leader="none" w:pos="760" w:val="left"/>
        </w:tabs>
        <w:numPr>
          <w:ilvl w:val="0"/>
          <w:numId w:val="7"/>
        </w:numPr>
        <w:rPr>
          <w:rFonts w:ascii="Times New Roman" w:cs="Times New Roman" w:eastAsia="Times New Roman" w:hAnsi="Times New Roman"/>
          <w:sz w:val="20"/>
          <w:szCs w:val="20"/>
          <w:color w:val="auto"/>
        </w:rPr>
      </w:pPr>
      <w:r>
        <w:rPr>
          <w:rFonts w:ascii="Arial" w:cs="Arial" w:eastAsia="Arial" w:hAnsi="Arial"/>
          <w:sz w:val="20"/>
          <w:szCs w:val="20"/>
          <w:color w:val="auto"/>
        </w:rPr>
        <w:t>GAAP net loss of $128 million, compared with GAAP net income of $102 million for the full year 2024, a decrease of $230 million</w:t>
      </w:r>
    </w:p>
    <w:p>
      <w:pPr>
        <w:spacing w:after="0" w:line="75" w:lineRule="exact"/>
        <w:rPr>
          <w:rFonts w:ascii="Times New Roman" w:cs="Times New Roman" w:eastAsia="Times New Roman" w:hAnsi="Times New Roman"/>
          <w:sz w:val="20"/>
          <w:szCs w:val="20"/>
          <w:color w:val="auto"/>
        </w:rPr>
      </w:pPr>
    </w:p>
    <w:p>
      <w:pPr>
        <w:ind w:left="760" w:right="200" w:hanging="378"/>
        <w:spacing w:after="0" w:line="256" w:lineRule="auto"/>
        <w:tabs>
          <w:tab w:leader="none" w:pos="760" w:val="left"/>
        </w:tabs>
        <w:numPr>
          <w:ilvl w:val="0"/>
          <w:numId w:val="7"/>
        </w:numPr>
        <w:rPr>
          <w:rFonts w:ascii="Times New Roman" w:cs="Times New Roman" w:eastAsia="Times New Roman" w:hAnsi="Times New Roman"/>
          <w:sz w:val="20"/>
          <w:szCs w:val="20"/>
          <w:color w:val="auto"/>
        </w:rPr>
      </w:pPr>
      <w:r>
        <w:rPr>
          <w:rFonts w:ascii="Arial" w:cs="Arial" w:eastAsia="Arial" w:hAnsi="Arial"/>
          <w:sz w:val="20"/>
          <w:szCs w:val="20"/>
          <w:color w:val="auto"/>
        </w:rPr>
        <w:t>Operational EBITDA of $62 million, compared with $26 million for the full year 2024, an increase of $36 million or 138 percent</w:t>
      </w:r>
    </w:p>
    <w:p>
      <w:pPr>
        <w:spacing w:after="0" w:line="88" w:lineRule="exact"/>
        <w:rPr>
          <w:rFonts w:ascii="Times New Roman" w:cs="Times New Roman" w:eastAsia="Times New Roman" w:hAnsi="Times New Roman"/>
          <w:sz w:val="20"/>
          <w:szCs w:val="20"/>
          <w:color w:val="auto"/>
        </w:rPr>
      </w:pPr>
    </w:p>
    <w:p>
      <w:pPr>
        <w:ind w:left="760" w:right="500" w:hanging="378"/>
        <w:spacing w:after="0" w:line="256" w:lineRule="auto"/>
        <w:tabs>
          <w:tab w:leader="none" w:pos="760" w:val="left"/>
        </w:tabs>
        <w:numPr>
          <w:ilvl w:val="0"/>
          <w:numId w:val="7"/>
        </w:numPr>
        <w:rPr>
          <w:rFonts w:ascii="Times New Roman" w:cs="Times New Roman" w:eastAsia="Times New Roman" w:hAnsi="Times New Roman"/>
          <w:sz w:val="20"/>
          <w:szCs w:val="20"/>
          <w:color w:val="auto"/>
        </w:rPr>
      </w:pPr>
      <w:r>
        <w:rPr>
          <w:rFonts w:ascii="Arial" w:cs="Arial" w:eastAsia="Arial" w:hAnsi="Arial"/>
          <w:sz w:val="20"/>
          <w:szCs w:val="20"/>
          <w:color w:val="auto"/>
        </w:rPr>
        <w:t>A year-end cash balance of $337 million, compared with $201 million on December 31, 2024, an increase of $136 million</w:t>
      </w:r>
    </w:p>
    <w:p>
      <w:pPr>
        <w:spacing w:after="0" w:line="88"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7"/>
        </w:numPr>
        <w:rPr>
          <w:rFonts w:ascii="Times New Roman" w:cs="Times New Roman" w:eastAsia="Times New Roman" w:hAnsi="Times New Roman"/>
          <w:sz w:val="20"/>
          <w:szCs w:val="20"/>
          <w:color w:val="auto"/>
        </w:rPr>
      </w:pPr>
      <w:r>
        <w:rPr>
          <w:rFonts w:ascii="Arial" w:cs="Arial" w:eastAsia="Arial" w:hAnsi="Arial"/>
          <w:sz w:val="20"/>
          <w:szCs w:val="20"/>
          <w:color w:val="auto"/>
        </w:rPr>
        <w:t>Cash flow from operations increased $487 million for the full year 2025 compared to the full year 2024</w:t>
      </w:r>
    </w:p>
    <w:p>
      <w:pPr>
        <w:spacing w:after="0" w:line="134" w:lineRule="exact"/>
        <w:rPr>
          <w:sz w:val="20"/>
          <w:szCs w:val="20"/>
          <w:color w:val="auto"/>
        </w:rPr>
      </w:pPr>
    </w:p>
    <w:p>
      <w:pPr>
        <w:ind w:firstLine="374"/>
        <w:spacing w:after="0" w:line="243" w:lineRule="auto"/>
        <w:rPr>
          <w:sz w:val="20"/>
          <w:szCs w:val="20"/>
          <w:color w:val="auto"/>
        </w:rPr>
      </w:pPr>
      <w:r>
        <w:rPr>
          <w:rFonts w:ascii="Arial" w:cs="Arial" w:eastAsia="Arial" w:hAnsi="Arial"/>
          <w:sz w:val="19"/>
          <w:szCs w:val="19"/>
          <w:color w:val="auto"/>
        </w:rPr>
        <w:t>“Kodak ended 2025 with a strong fourth quarter, which has created a foundation for growth in 2026,” said Jim Continenza, Kodak’s Executive Chairman and CEO. “We continue to execute the long-term plan we began in 2019, which focuses on de-levering the company while continuing to invest in our infrastructure and new product innovation. Those investments are now paying dividends. Today Kodak has a stronger balance sheet than we’ve had in years, and we have reduced our annual interest expense by approximately $40 million. Our print business has launched 14 new products in the past few years, and our AM&amp;C unit has introduced a range of still films and developed a number of growth initiatives in promising new businesses. We have updated our internal IT and reporting systems which allow us to streamline processes, reduce operating expenses and better serve our customers. I am optimistic about taking the next step by operating and selling our way to sustainable growth.“</w:t>
      </w:r>
    </w:p>
    <w:p>
      <w:pPr>
        <w:spacing w:after="0" w:line="174" w:lineRule="exact"/>
        <w:rPr>
          <w:sz w:val="20"/>
          <w:szCs w:val="20"/>
          <w:color w:val="auto"/>
        </w:rPr>
      </w:pPr>
    </w:p>
    <w:p>
      <w:pPr>
        <w:ind w:right="20" w:firstLine="749"/>
        <w:spacing w:after="0" w:line="241" w:lineRule="auto"/>
        <w:rPr>
          <w:sz w:val="20"/>
          <w:szCs w:val="20"/>
          <w:color w:val="auto"/>
        </w:rPr>
      </w:pPr>
      <w:r>
        <w:rPr>
          <w:rFonts w:ascii="Arial" w:cs="Arial" w:eastAsia="Arial" w:hAnsi="Arial"/>
          <w:sz w:val="20"/>
          <w:szCs w:val="20"/>
          <w:color w:val="auto"/>
        </w:rPr>
        <w:t>For the full year ended December 31, 2025, revenues were $1.069 billion, an increase of $26 million or 2 percent compared to the same period in 2024. Adjusting for the favorable impact of foreign exchange of $11 million, revenues increased by $15 million, or 1 percent compared to the prior year.</w:t>
      </w:r>
    </w:p>
    <w:p>
      <w:pPr>
        <w:spacing w:after="0" w:line="360"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6" w:right="379" w:bottom="1440" w:gutter="0" w:footer="0" w:header="0"/>
        </w:sectPr>
      </w:pPr>
    </w:p>
    <w:bookmarkStart w:id="5" w:name="page6"/>
    <w:bookmarkEnd w:id="5"/>
    <w:p>
      <w:pPr>
        <w:spacing w:after="0"/>
        <w:rPr>
          <w:sz w:val="20"/>
          <w:szCs w:val="20"/>
          <w:color w:val="auto"/>
        </w:rPr>
      </w:pPr>
      <w:r>
        <w:rPr>
          <w:rFonts w:ascii="Arial" w:cs="Arial" w:eastAsia="Arial" w:hAnsi="Arial"/>
          <w:sz w:val="20"/>
          <w:szCs w:val="20"/>
          <w:color w:val="auto"/>
        </w:rPr>
        <w:t>Kodak Reports Fourth-Quarter and Full-Year 2025 Financial Results Page 3</w:t>
      </w:r>
    </w:p>
    <w:p>
      <w:pPr>
        <w:spacing w:after="0" w:line="200" w:lineRule="exact"/>
        <w:rPr>
          <w:sz w:val="20"/>
          <w:szCs w:val="20"/>
          <w:color w:val="auto"/>
        </w:rPr>
      </w:pPr>
    </w:p>
    <w:p>
      <w:pPr>
        <w:spacing w:after="0" w:line="218" w:lineRule="exact"/>
        <w:rPr>
          <w:sz w:val="20"/>
          <w:szCs w:val="20"/>
          <w:color w:val="auto"/>
        </w:rPr>
      </w:pPr>
    </w:p>
    <w:p>
      <w:pPr>
        <w:ind w:firstLine="749"/>
        <w:spacing w:after="0" w:line="231" w:lineRule="auto"/>
        <w:rPr>
          <w:sz w:val="20"/>
          <w:szCs w:val="20"/>
          <w:color w:val="auto"/>
        </w:rPr>
      </w:pPr>
      <w:r>
        <w:rPr>
          <w:rFonts w:ascii="Arial" w:cs="Arial" w:eastAsia="Arial" w:hAnsi="Arial"/>
          <w:sz w:val="20"/>
          <w:szCs w:val="20"/>
          <w:color w:val="auto"/>
        </w:rPr>
        <w:t>GAAP net loss was $ 128 million for the full year 2025, compared to GAAP net income of $102 million in 2024, a decrease of $230 million. The decline in net income was primarily due to the non-recurring impact of the Kodak Retirement Income Plan ("KRIP") termination and excise tax paid on the reversion of assets to the Company. Operational EBITDA for the year ended December 31, 2025, was $62 million, compared to $26 million in 2024, an increase of $36 million or 138 percent. The increase in Operational EBITDA was primarily driven by improved pricing, operational efficiencies and lower spend on investments in organizational structure, lower inventory reserve adjustments in Electrophotographic Printing Solutions ("EPS") compared to the prior year and favorable foreign currency fluctuations. These favorable impacts were partially offset by higher manufacturing and aluminum costs.</w:t>
      </w:r>
    </w:p>
    <w:p>
      <w:pPr>
        <w:spacing w:after="0" w:line="133" w:lineRule="exact"/>
        <w:rPr>
          <w:sz w:val="20"/>
          <w:szCs w:val="20"/>
          <w:color w:val="auto"/>
        </w:rPr>
      </w:pPr>
    </w:p>
    <w:p>
      <w:pPr>
        <w:jc w:val="both"/>
        <w:ind w:right="20" w:firstLine="749"/>
        <w:spacing w:after="0" w:line="284" w:lineRule="auto"/>
        <w:rPr>
          <w:sz w:val="20"/>
          <w:szCs w:val="20"/>
          <w:color w:val="auto"/>
        </w:rPr>
      </w:pPr>
      <w:r>
        <w:rPr>
          <w:rFonts w:ascii="Arial" w:cs="Arial" w:eastAsia="Arial" w:hAnsi="Arial"/>
          <w:sz w:val="19"/>
          <w:szCs w:val="19"/>
          <w:color w:val="auto"/>
        </w:rPr>
        <w:t>Kodak ended the year with a cash balance of $337 million, an increase of $136 million from December 31, 2024. The increase was primarily due to the net impact of the KRIP termination and reversion of assets to the Company of $153 million.</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394" w:lineRule="exact"/>
        <w:rPr>
          <w:sz w:val="20"/>
          <w:szCs w:val="20"/>
          <w:color w:val="auto"/>
        </w:rPr>
      </w:pPr>
    </w:p>
    <w:p>
      <w:pPr>
        <w:jc w:val="center"/>
        <w:ind w:right="-239"/>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766" w:right="579" w:bottom="1440" w:gutter="0" w:footer="0" w:header="0"/>
        </w:sectPr>
      </w:pPr>
    </w:p>
    <w:bookmarkStart w:id="6" w:name="page7"/>
    <w:bookmarkEnd w:id="6"/>
    <w:p>
      <w:pPr>
        <w:spacing w:after="0"/>
        <w:rPr>
          <w:sz w:val="20"/>
          <w:szCs w:val="20"/>
          <w:color w:val="auto"/>
        </w:rPr>
      </w:pPr>
      <w:r>
        <w:rPr>
          <w:rFonts w:ascii="Arial" w:cs="Arial" w:eastAsia="Arial" w:hAnsi="Arial"/>
          <w:sz w:val="20"/>
          <w:szCs w:val="20"/>
          <w:color w:val="auto"/>
        </w:rPr>
        <w:t>Kodak Reports Fourth-Quarter and Full-Year 2025 Financial Results Page 4</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Revenue and Operational EBITDA by Reportable Segment Q4 2025 vs. Q4 2024</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5140" w:type="dxa"/>
            <w:vAlign w:val="bottom"/>
          </w:tcPr>
          <w:p>
            <w:pPr>
              <w:spacing w:after="0"/>
              <w:rPr>
                <w:sz w:val="20"/>
                <w:szCs w:val="20"/>
                <w:color w:val="auto"/>
              </w:rPr>
            </w:pPr>
            <w:r>
              <w:rPr>
                <w:rFonts w:ascii="Arial" w:cs="Arial" w:eastAsia="Arial" w:hAnsi="Arial"/>
                <w:sz w:val="15"/>
                <w:szCs w:val="15"/>
                <w:color w:val="auto"/>
              </w:rPr>
              <w:t>(in millions)</w:t>
            </w:r>
          </w:p>
        </w:tc>
        <w:tc>
          <w:tcPr>
            <w:tcW w:w="10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5140" w:type="dxa"/>
            <w:vAlign w:val="bottom"/>
            <w:vMerge w:val="restart"/>
            <w:shd w:val="clear" w:color="auto" w:fill="FFC000"/>
          </w:tcPr>
          <w:p>
            <w:pPr>
              <w:jc w:val="center"/>
              <w:ind w:left="164"/>
              <w:spacing w:after="0"/>
              <w:rPr>
                <w:sz w:val="20"/>
                <w:szCs w:val="20"/>
                <w:color w:val="auto"/>
              </w:rPr>
            </w:pPr>
            <w:r>
              <w:rPr>
                <w:rFonts w:ascii="Arial" w:cs="Arial" w:eastAsia="Arial" w:hAnsi="Arial"/>
                <w:sz w:val="15"/>
                <w:szCs w:val="15"/>
                <w:b w:val="1"/>
                <w:bCs w:val="1"/>
                <w:color w:val="auto"/>
              </w:rPr>
              <w:t>Q4 2025 Actuals</w:t>
            </w:r>
          </w:p>
        </w:tc>
        <w:tc>
          <w:tcPr>
            <w:tcW w:w="1080" w:type="dxa"/>
            <w:vAlign w:val="bottom"/>
            <w:shd w:val="clear" w:color="auto" w:fill="FFC000"/>
          </w:tcPr>
          <w:p>
            <w:pPr>
              <w:spacing w:after="0"/>
              <w:rPr>
                <w:sz w:val="12"/>
                <w:szCs w:val="12"/>
                <w:color w:val="auto"/>
              </w:rPr>
            </w:pPr>
          </w:p>
        </w:tc>
        <w:tc>
          <w:tcPr>
            <w:tcW w:w="480" w:type="dxa"/>
            <w:vAlign w:val="bottom"/>
            <w:shd w:val="clear" w:color="auto" w:fill="FFC000"/>
          </w:tcPr>
          <w:p>
            <w:pPr>
              <w:spacing w:after="0"/>
              <w:rPr>
                <w:sz w:val="12"/>
                <w:szCs w:val="12"/>
                <w:color w:val="auto"/>
              </w:rPr>
            </w:pPr>
          </w:p>
        </w:tc>
        <w:tc>
          <w:tcPr>
            <w:tcW w:w="1160" w:type="dxa"/>
            <w:vAlign w:val="bottom"/>
            <w:shd w:val="clear" w:color="auto" w:fill="FFC000"/>
          </w:tcPr>
          <w:p>
            <w:pPr>
              <w:jc w:val="right"/>
              <w:spacing w:after="0" w:line="143" w:lineRule="exact"/>
              <w:rPr>
                <w:sz w:val="20"/>
                <w:szCs w:val="20"/>
                <w:color w:val="auto"/>
              </w:rPr>
            </w:pPr>
            <w:r>
              <w:rPr>
                <w:rFonts w:ascii="Arial" w:cs="Arial" w:eastAsia="Arial" w:hAnsi="Arial"/>
                <w:sz w:val="15"/>
                <w:szCs w:val="15"/>
                <w:b w:val="1"/>
                <w:bCs w:val="1"/>
                <w:color w:val="auto"/>
              </w:rPr>
              <w:t>Advanced</w:t>
            </w:r>
          </w:p>
        </w:tc>
        <w:tc>
          <w:tcPr>
            <w:tcW w:w="340" w:type="dxa"/>
            <w:vAlign w:val="bottom"/>
            <w:shd w:val="clear" w:color="auto" w:fill="FFC000"/>
          </w:tcPr>
          <w:p>
            <w:pPr>
              <w:spacing w:after="0"/>
              <w:rPr>
                <w:sz w:val="12"/>
                <w:szCs w:val="12"/>
                <w:color w:val="auto"/>
              </w:rPr>
            </w:pPr>
          </w:p>
        </w:tc>
        <w:tc>
          <w:tcPr>
            <w:tcW w:w="1140" w:type="dxa"/>
            <w:vAlign w:val="bottom"/>
            <w:shd w:val="clear" w:color="auto" w:fill="FFC000"/>
          </w:tcPr>
          <w:p>
            <w:pPr>
              <w:spacing w:after="0"/>
              <w:rPr>
                <w:sz w:val="12"/>
                <w:szCs w:val="12"/>
                <w:color w:val="auto"/>
              </w:rPr>
            </w:pPr>
          </w:p>
        </w:tc>
        <w:tc>
          <w:tcPr>
            <w:tcW w:w="400" w:type="dxa"/>
            <w:vAlign w:val="bottom"/>
            <w:shd w:val="clear" w:color="auto" w:fill="FFC000"/>
          </w:tcPr>
          <w:p>
            <w:pPr>
              <w:spacing w:after="0"/>
              <w:rPr>
                <w:sz w:val="12"/>
                <w:szCs w:val="12"/>
                <w:color w:val="auto"/>
              </w:rPr>
            </w:pPr>
          </w:p>
        </w:tc>
        <w:tc>
          <w:tcPr>
            <w:tcW w:w="400" w:type="dxa"/>
            <w:vAlign w:val="bottom"/>
            <w:shd w:val="clear" w:color="auto" w:fill="FFC000"/>
          </w:tcPr>
          <w:p>
            <w:pPr>
              <w:spacing w:after="0"/>
              <w:rPr>
                <w:sz w:val="12"/>
                <w:szCs w:val="12"/>
                <w:color w:val="auto"/>
              </w:rPr>
            </w:pPr>
          </w:p>
        </w:tc>
        <w:tc>
          <w:tcPr>
            <w:tcW w:w="1100" w:type="dxa"/>
            <w:vAlign w:val="bottom"/>
            <w:shd w:val="clear" w:color="auto" w:fill="FFC000"/>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140" w:type="dxa"/>
            <w:vAlign w:val="bottom"/>
            <w:vMerge w:val="continue"/>
            <w:shd w:val="clear" w:color="auto" w:fill="FFC000"/>
          </w:tcPr>
          <w:p>
            <w:pPr>
              <w:spacing w:after="0"/>
              <w:rPr>
                <w:sz w:val="14"/>
                <w:szCs w:val="14"/>
                <w:color w:val="auto"/>
              </w:rPr>
            </w:pPr>
          </w:p>
        </w:tc>
        <w:tc>
          <w:tcPr>
            <w:tcW w:w="1080" w:type="dxa"/>
            <w:vAlign w:val="bottom"/>
            <w:vMerge w:val="restart"/>
            <w:shd w:val="clear" w:color="auto" w:fill="FFC000"/>
          </w:tcPr>
          <w:p>
            <w:pPr>
              <w:jc w:val="right"/>
              <w:ind w:right="4"/>
              <w:spacing w:after="0"/>
              <w:rPr>
                <w:sz w:val="20"/>
                <w:szCs w:val="20"/>
                <w:color w:val="auto"/>
              </w:rPr>
            </w:pPr>
            <w:r>
              <w:rPr>
                <w:rFonts w:ascii="Arial" w:cs="Arial" w:eastAsia="Arial" w:hAnsi="Arial"/>
                <w:sz w:val="15"/>
                <w:szCs w:val="15"/>
                <w:b w:val="1"/>
                <w:bCs w:val="1"/>
                <w:color w:val="auto"/>
              </w:rPr>
              <w:t>Print</w:t>
            </w:r>
          </w:p>
        </w:tc>
        <w:tc>
          <w:tcPr>
            <w:tcW w:w="480" w:type="dxa"/>
            <w:vAlign w:val="bottom"/>
            <w:shd w:val="clear" w:color="auto" w:fill="FFC000"/>
          </w:tcPr>
          <w:p>
            <w:pPr>
              <w:spacing w:after="0"/>
              <w:rPr>
                <w:sz w:val="14"/>
                <w:szCs w:val="14"/>
                <w:color w:val="auto"/>
              </w:rPr>
            </w:pPr>
          </w:p>
        </w:tc>
        <w:tc>
          <w:tcPr>
            <w:tcW w:w="1160" w:type="dxa"/>
            <w:vAlign w:val="bottom"/>
            <w:shd w:val="clear" w:color="auto" w:fill="FFC000"/>
          </w:tcPr>
          <w:p>
            <w:pPr>
              <w:jc w:val="center"/>
              <w:ind w:left="224"/>
              <w:spacing w:after="0" w:line="162" w:lineRule="exact"/>
              <w:rPr>
                <w:sz w:val="20"/>
                <w:szCs w:val="20"/>
                <w:color w:val="auto"/>
              </w:rPr>
            </w:pPr>
            <w:r>
              <w:rPr>
                <w:rFonts w:ascii="Arial" w:cs="Arial" w:eastAsia="Arial" w:hAnsi="Arial"/>
                <w:sz w:val="15"/>
                <w:szCs w:val="15"/>
                <w:b w:val="1"/>
                <w:bCs w:val="1"/>
                <w:color w:val="auto"/>
              </w:rPr>
              <w:t>Materials &amp;</w:t>
            </w:r>
          </w:p>
        </w:tc>
        <w:tc>
          <w:tcPr>
            <w:tcW w:w="340" w:type="dxa"/>
            <w:vAlign w:val="bottom"/>
            <w:shd w:val="clear" w:color="auto" w:fill="FFC000"/>
          </w:tcPr>
          <w:p>
            <w:pPr>
              <w:spacing w:after="0"/>
              <w:rPr>
                <w:sz w:val="14"/>
                <w:szCs w:val="14"/>
                <w:color w:val="auto"/>
              </w:rPr>
            </w:pPr>
          </w:p>
        </w:tc>
        <w:tc>
          <w:tcPr>
            <w:tcW w:w="1140" w:type="dxa"/>
            <w:vAlign w:val="bottom"/>
            <w:vMerge w:val="restart"/>
            <w:shd w:val="clear" w:color="auto" w:fill="FFC000"/>
          </w:tcPr>
          <w:p>
            <w:pPr>
              <w:jc w:val="right"/>
              <w:ind w:right="64"/>
              <w:spacing w:after="0"/>
              <w:rPr>
                <w:sz w:val="20"/>
                <w:szCs w:val="20"/>
                <w:color w:val="auto"/>
              </w:rPr>
            </w:pPr>
            <w:r>
              <w:rPr>
                <w:rFonts w:ascii="Arial" w:cs="Arial" w:eastAsia="Arial" w:hAnsi="Arial"/>
                <w:sz w:val="15"/>
                <w:szCs w:val="15"/>
                <w:b w:val="1"/>
                <w:bCs w:val="1"/>
                <w:color w:val="auto"/>
              </w:rPr>
              <w:t>Brand</w:t>
            </w:r>
          </w:p>
        </w:tc>
        <w:tc>
          <w:tcPr>
            <w:tcW w:w="400" w:type="dxa"/>
            <w:vAlign w:val="bottom"/>
            <w:shd w:val="clear" w:color="auto" w:fill="FFC000"/>
          </w:tcPr>
          <w:p>
            <w:pPr>
              <w:spacing w:after="0"/>
              <w:rPr>
                <w:sz w:val="14"/>
                <w:szCs w:val="14"/>
                <w:color w:val="auto"/>
              </w:rPr>
            </w:pPr>
          </w:p>
        </w:tc>
        <w:tc>
          <w:tcPr>
            <w:tcW w:w="400" w:type="dxa"/>
            <w:vAlign w:val="bottom"/>
            <w:shd w:val="clear" w:color="auto" w:fill="FFC000"/>
          </w:tcPr>
          <w:p>
            <w:pPr>
              <w:spacing w:after="0"/>
              <w:rPr>
                <w:sz w:val="14"/>
                <w:szCs w:val="14"/>
                <w:color w:val="auto"/>
              </w:rPr>
            </w:pPr>
          </w:p>
        </w:tc>
        <w:tc>
          <w:tcPr>
            <w:tcW w:w="1100" w:type="dxa"/>
            <w:vAlign w:val="bottom"/>
            <w:vMerge w:val="restart"/>
            <w:shd w:val="clear" w:color="auto" w:fill="FFC000"/>
          </w:tcPr>
          <w:p>
            <w:pPr>
              <w:jc w:val="right"/>
              <w:ind w:right="484"/>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81"/>
        </w:trPr>
        <w:tc>
          <w:tcPr>
            <w:tcW w:w="5140" w:type="dxa"/>
            <w:vAlign w:val="bottom"/>
            <w:shd w:val="clear" w:color="auto" w:fill="FFC000"/>
          </w:tcPr>
          <w:p>
            <w:pPr>
              <w:spacing w:after="0"/>
              <w:rPr>
                <w:sz w:val="15"/>
                <w:szCs w:val="15"/>
                <w:color w:val="auto"/>
              </w:rPr>
            </w:pPr>
          </w:p>
        </w:tc>
        <w:tc>
          <w:tcPr>
            <w:tcW w:w="1080" w:type="dxa"/>
            <w:vAlign w:val="bottom"/>
            <w:vMerge w:val="continue"/>
            <w:shd w:val="clear" w:color="auto" w:fill="FFC000"/>
          </w:tcPr>
          <w:p>
            <w:pPr>
              <w:spacing w:after="0"/>
              <w:rPr>
                <w:sz w:val="15"/>
                <w:szCs w:val="15"/>
                <w:color w:val="auto"/>
              </w:rPr>
            </w:pPr>
          </w:p>
        </w:tc>
        <w:tc>
          <w:tcPr>
            <w:tcW w:w="480" w:type="dxa"/>
            <w:vAlign w:val="bottom"/>
            <w:shd w:val="clear" w:color="auto" w:fill="FFC000"/>
          </w:tcPr>
          <w:p>
            <w:pPr>
              <w:spacing w:after="0"/>
              <w:rPr>
                <w:sz w:val="15"/>
                <w:szCs w:val="15"/>
                <w:color w:val="auto"/>
              </w:rPr>
            </w:pPr>
          </w:p>
        </w:tc>
        <w:tc>
          <w:tcPr>
            <w:tcW w:w="1160" w:type="dxa"/>
            <w:vAlign w:val="bottom"/>
            <w:shd w:val="clear" w:color="auto" w:fill="FFC000"/>
          </w:tcPr>
          <w:p>
            <w:pPr>
              <w:jc w:val="center"/>
              <w:ind w:left="284"/>
              <w:spacing w:after="0"/>
              <w:rPr>
                <w:sz w:val="20"/>
                <w:szCs w:val="20"/>
                <w:color w:val="auto"/>
              </w:rPr>
            </w:pPr>
            <w:r>
              <w:rPr>
                <w:rFonts w:ascii="Arial" w:cs="Arial" w:eastAsia="Arial" w:hAnsi="Arial"/>
                <w:sz w:val="15"/>
                <w:szCs w:val="15"/>
                <w:b w:val="1"/>
                <w:bCs w:val="1"/>
                <w:color w:val="auto"/>
              </w:rPr>
              <w:t>Chemicals</w:t>
            </w:r>
          </w:p>
        </w:tc>
        <w:tc>
          <w:tcPr>
            <w:tcW w:w="340" w:type="dxa"/>
            <w:vAlign w:val="bottom"/>
            <w:shd w:val="clear" w:color="auto" w:fill="FFC000"/>
          </w:tcPr>
          <w:p>
            <w:pPr>
              <w:spacing w:after="0"/>
              <w:rPr>
                <w:sz w:val="15"/>
                <w:szCs w:val="15"/>
                <w:color w:val="auto"/>
              </w:rPr>
            </w:pPr>
          </w:p>
        </w:tc>
        <w:tc>
          <w:tcPr>
            <w:tcW w:w="1140" w:type="dxa"/>
            <w:vAlign w:val="bottom"/>
            <w:vMerge w:val="continue"/>
            <w:shd w:val="clear" w:color="auto" w:fill="FFC000"/>
          </w:tcPr>
          <w:p>
            <w:pPr>
              <w:spacing w:after="0"/>
              <w:rPr>
                <w:sz w:val="15"/>
                <w:szCs w:val="15"/>
                <w:color w:val="auto"/>
              </w:rPr>
            </w:pPr>
          </w:p>
        </w:tc>
        <w:tc>
          <w:tcPr>
            <w:tcW w:w="400" w:type="dxa"/>
            <w:vAlign w:val="bottom"/>
            <w:shd w:val="clear" w:color="auto" w:fill="FFC000"/>
          </w:tcPr>
          <w:p>
            <w:pPr>
              <w:spacing w:after="0"/>
              <w:rPr>
                <w:sz w:val="15"/>
                <w:szCs w:val="15"/>
                <w:color w:val="auto"/>
              </w:rPr>
            </w:pPr>
          </w:p>
        </w:tc>
        <w:tc>
          <w:tcPr>
            <w:tcW w:w="400" w:type="dxa"/>
            <w:vAlign w:val="bottom"/>
            <w:shd w:val="clear" w:color="auto" w:fill="FFC000"/>
          </w:tcPr>
          <w:p>
            <w:pPr>
              <w:spacing w:after="0"/>
              <w:rPr>
                <w:sz w:val="15"/>
                <w:szCs w:val="15"/>
                <w:color w:val="auto"/>
              </w:rPr>
            </w:pPr>
          </w:p>
        </w:tc>
        <w:tc>
          <w:tcPr>
            <w:tcW w:w="1100" w:type="dxa"/>
            <w:vAlign w:val="bottom"/>
            <w:vMerge w:val="continue"/>
            <w:shd w:val="clear" w:color="auto" w:fill="FFC000"/>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5140" w:type="dxa"/>
            <w:vAlign w:val="bottom"/>
          </w:tcPr>
          <w:p>
            <w:pPr>
              <w:spacing w:after="0" w:line="143" w:lineRule="exact"/>
              <w:rPr>
                <w:sz w:val="20"/>
                <w:szCs w:val="20"/>
                <w:color w:val="auto"/>
              </w:rPr>
            </w:pPr>
            <w:r>
              <w:rPr>
                <w:rFonts w:ascii="Arial" w:cs="Arial" w:eastAsia="Arial" w:hAnsi="Arial"/>
                <w:sz w:val="15"/>
                <w:szCs w:val="15"/>
                <w:b w:val="1"/>
                <w:bCs w:val="1"/>
                <w:color w:val="auto"/>
              </w:rPr>
              <w:t>Revenue</w:t>
            </w:r>
          </w:p>
        </w:tc>
        <w:tc>
          <w:tcPr>
            <w:tcW w:w="1080" w:type="dxa"/>
            <w:vAlign w:val="bottom"/>
          </w:tcPr>
          <w:p>
            <w:pPr>
              <w:jc w:val="right"/>
              <w:ind w:right="684"/>
              <w:spacing w:after="0" w:line="143" w:lineRule="exact"/>
              <w:rPr>
                <w:sz w:val="20"/>
                <w:szCs w:val="20"/>
                <w:color w:val="auto"/>
              </w:rPr>
            </w:pPr>
            <w:r>
              <w:rPr>
                <w:rFonts w:ascii="Arial" w:cs="Arial" w:eastAsia="Arial" w:hAnsi="Arial"/>
                <w:sz w:val="15"/>
                <w:szCs w:val="15"/>
                <w:b w:val="1"/>
                <w:bCs w:val="1"/>
                <w:color w:val="auto"/>
              </w:rPr>
              <w:t>$</w:t>
            </w:r>
          </w:p>
        </w:tc>
        <w:tc>
          <w:tcPr>
            <w:tcW w:w="480" w:type="dxa"/>
            <w:vAlign w:val="bottom"/>
          </w:tcPr>
          <w:p>
            <w:pPr>
              <w:jc w:val="right"/>
              <w:ind w:right="84"/>
              <w:spacing w:after="0" w:line="143" w:lineRule="exact"/>
              <w:rPr>
                <w:sz w:val="20"/>
                <w:szCs w:val="20"/>
                <w:color w:val="auto"/>
              </w:rPr>
            </w:pPr>
            <w:r>
              <w:rPr>
                <w:rFonts w:ascii="Arial" w:cs="Arial" w:eastAsia="Arial" w:hAnsi="Arial"/>
                <w:sz w:val="15"/>
                <w:szCs w:val="15"/>
                <w:b w:val="1"/>
                <w:bCs w:val="1"/>
                <w:color w:val="auto"/>
              </w:rPr>
              <w:t>195</w:t>
            </w:r>
          </w:p>
        </w:tc>
        <w:tc>
          <w:tcPr>
            <w:tcW w:w="1160" w:type="dxa"/>
            <w:vAlign w:val="bottom"/>
          </w:tcPr>
          <w:p>
            <w:pPr>
              <w:jc w:val="right"/>
              <w:ind w:right="844"/>
              <w:spacing w:after="0" w:line="143" w:lineRule="exact"/>
              <w:rPr>
                <w:sz w:val="20"/>
                <w:szCs w:val="20"/>
                <w:color w:val="auto"/>
              </w:rPr>
            </w:pPr>
            <w:r>
              <w:rPr>
                <w:rFonts w:ascii="Arial" w:cs="Arial" w:eastAsia="Arial" w:hAnsi="Arial"/>
                <w:sz w:val="15"/>
                <w:szCs w:val="15"/>
                <w:b w:val="1"/>
                <w:bCs w:val="1"/>
                <w:color w:val="auto"/>
              </w:rPr>
              <w:t>$</w:t>
            </w:r>
          </w:p>
        </w:tc>
        <w:tc>
          <w:tcPr>
            <w:tcW w:w="340" w:type="dxa"/>
            <w:vAlign w:val="bottom"/>
          </w:tcPr>
          <w:p>
            <w:pPr>
              <w:jc w:val="right"/>
              <w:ind w:right="64"/>
              <w:spacing w:after="0" w:line="143" w:lineRule="exact"/>
              <w:rPr>
                <w:sz w:val="20"/>
                <w:szCs w:val="20"/>
                <w:color w:val="auto"/>
              </w:rPr>
            </w:pPr>
            <w:r>
              <w:rPr>
                <w:rFonts w:ascii="Arial" w:cs="Arial" w:eastAsia="Arial" w:hAnsi="Arial"/>
                <w:sz w:val="15"/>
                <w:szCs w:val="15"/>
                <w:b w:val="1"/>
                <w:bCs w:val="1"/>
                <w:color w:val="auto"/>
              </w:rPr>
              <w:t>85</w:t>
            </w:r>
          </w:p>
        </w:tc>
        <w:tc>
          <w:tcPr>
            <w:tcW w:w="1140" w:type="dxa"/>
            <w:vAlign w:val="bottom"/>
          </w:tcPr>
          <w:p>
            <w:pPr>
              <w:jc w:val="right"/>
              <w:ind w:right="824"/>
              <w:spacing w:after="0" w:line="143" w:lineRule="exact"/>
              <w:rPr>
                <w:sz w:val="20"/>
                <w:szCs w:val="20"/>
                <w:color w:val="auto"/>
              </w:rPr>
            </w:pPr>
            <w:r>
              <w:rPr>
                <w:rFonts w:ascii="Arial" w:cs="Arial" w:eastAsia="Arial" w:hAnsi="Arial"/>
                <w:sz w:val="15"/>
                <w:szCs w:val="15"/>
                <w:b w:val="1"/>
                <w:bCs w:val="1"/>
                <w:color w:val="auto"/>
              </w:rPr>
              <w:t>$</w:t>
            </w:r>
          </w:p>
        </w:tc>
        <w:tc>
          <w:tcPr>
            <w:tcW w:w="400" w:type="dxa"/>
            <w:vAlign w:val="bottom"/>
          </w:tcPr>
          <w:p>
            <w:pPr>
              <w:jc w:val="right"/>
              <w:ind w:right="84"/>
              <w:spacing w:after="0" w:line="143" w:lineRule="exact"/>
              <w:rPr>
                <w:sz w:val="20"/>
                <w:szCs w:val="20"/>
                <w:color w:val="auto"/>
              </w:rPr>
            </w:pPr>
            <w:r>
              <w:rPr>
                <w:rFonts w:ascii="Arial" w:cs="Arial" w:eastAsia="Arial" w:hAnsi="Arial"/>
                <w:sz w:val="15"/>
                <w:szCs w:val="15"/>
                <w:b w:val="1"/>
                <w:bCs w:val="1"/>
                <w:color w:val="auto"/>
              </w:rPr>
              <w:t>7</w:t>
            </w:r>
          </w:p>
        </w:tc>
        <w:tc>
          <w:tcPr>
            <w:tcW w:w="400" w:type="dxa"/>
            <w:vAlign w:val="bottom"/>
          </w:tcPr>
          <w:p>
            <w:pPr>
              <w:jc w:val="right"/>
              <w:ind w:right="84"/>
              <w:spacing w:after="0" w:line="143" w:lineRule="exact"/>
              <w:rPr>
                <w:sz w:val="20"/>
                <w:szCs w:val="20"/>
                <w:color w:val="auto"/>
              </w:rPr>
            </w:pPr>
            <w:r>
              <w:rPr>
                <w:rFonts w:ascii="Arial" w:cs="Arial" w:eastAsia="Arial" w:hAnsi="Arial"/>
                <w:sz w:val="15"/>
                <w:szCs w:val="15"/>
                <w:b w:val="1"/>
                <w:bCs w:val="1"/>
                <w:color w:val="auto"/>
              </w:rPr>
              <w:t>$</w:t>
            </w:r>
          </w:p>
        </w:tc>
        <w:tc>
          <w:tcPr>
            <w:tcW w:w="1100" w:type="dxa"/>
            <w:vAlign w:val="bottom"/>
          </w:tcPr>
          <w:p>
            <w:pPr>
              <w:jc w:val="right"/>
              <w:ind w:right="64"/>
              <w:spacing w:after="0" w:line="143" w:lineRule="exact"/>
              <w:rPr>
                <w:sz w:val="20"/>
                <w:szCs w:val="20"/>
                <w:color w:val="auto"/>
              </w:rPr>
            </w:pPr>
            <w:r>
              <w:rPr>
                <w:rFonts w:ascii="Arial" w:cs="Arial" w:eastAsia="Arial" w:hAnsi="Arial"/>
                <w:sz w:val="15"/>
                <w:szCs w:val="15"/>
                <w:b w:val="1"/>
                <w:bCs w:val="1"/>
                <w:color w:val="auto"/>
              </w:rPr>
              <w:t>287</w:t>
            </w:r>
          </w:p>
        </w:tc>
        <w:tc>
          <w:tcPr>
            <w:tcW w:w="0" w:type="dxa"/>
            <w:vAlign w:val="bottom"/>
          </w:tcPr>
          <w:p>
            <w:pPr>
              <w:spacing w:after="0"/>
              <w:rPr>
                <w:sz w:val="1"/>
                <w:szCs w:val="1"/>
                <w:color w:val="auto"/>
              </w:rPr>
            </w:pPr>
          </w:p>
        </w:tc>
      </w:tr>
      <w:tr>
        <w:trPr>
          <w:trHeight w:val="210"/>
        </w:trPr>
        <w:tc>
          <w:tcPr>
            <w:tcW w:w="5140" w:type="dxa"/>
            <w:vAlign w:val="bottom"/>
          </w:tcPr>
          <w:p>
            <w:pPr>
              <w:spacing w:after="0"/>
              <w:rPr>
                <w:sz w:val="20"/>
                <w:szCs w:val="20"/>
                <w:color w:val="auto"/>
              </w:rPr>
            </w:pPr>
            <w:r>
              <w:rPr>
                <w:rFonts w:ascii="Arial" w:cs="Arial" w:eastAsia="Arial" w:hAnsi="Arial"/>
                <w:sz w:val="15"/>
                <w:szCs w:val="15"/>
                <w:b w:val="1"/>
                <w:bCs w:val="1"/>
                <w:color w:val="auto"/>
              </w:rPr>
              <w:t>Operational EBITDA *</w:t>
            </w:r>
          </w:p>
        </w:tc>
        <w:tc>
          <w:tcPr>
            <w:tcW w:w="1080" w:type="dxa"/>
            <w:vAlign w:val="bottom"/>
          </w:tcPr>
          <w:p>
            <w:pPr>
              <w:jc w:val="right"/>
              <w:ind w:right="684"/>
              <w:spacing w:after="0"/>
              <w:rPr>
                <w:sz w:val="20"/>
                <w:szCs w:val="20"/>
                <w:color w:val="auto"/>
              </w:rPr>
            </w:pPr>
            <w:r>
              <w:rPr>
                <w:rFonts w:ascii="Arial" w:cs="Arial" w:eastAsia="Arial" w:hAnsi="Arial"/>
                <w:sz w:val="15"/>
                <w:szCs w:val="15"/>
                <w:b w:val="1"/>
                <w:bCs w:val="1"/>
                <w:color w:val="auto"/>
              </w:rPr>
              <w:t>$</w:t>
            </w:r>
          </w:p>
        </w:tc>
        <w:tc>
          <w:tcPr>
            <w:tcW w:w="480" w:type="dxa"/>
            <w:vAlign w:val="bottom"/>
          </w:tcPr>
          <w:p>
            <w:pPr>
              <w:jc w:val="right"/>
              <w:ind w:right="84"/>
              <w:spacing w:after="0"/>
              <w:rPr>
                <w:sz w:val="20"/>
                <w:szCs w:val="20"/>
                <w:color w:val="auto"/>
              </w:rPr>
            </w:pPr>
            <w:r>
              <w:rPr>
                <w:rFonts w:ascii="Arial" w:cs="Arial" w:eastAsia="Arial" w:hAnsi="Arial"/>
                <w:sz w:val="15"/>
                <w:szCs w:val="15"/>
                <w:b w:val="1"/>
                <w:bCs w:val="1"/>
                <w:color w:val="auto"/>
              </w:rPr>
              <w:t>8</w:t>
            </w:r>
          </w:p>
        </w:tc>
        <w:tc>
          <w:tcPr>
            <w:tcW w:w="1160" w:type="dxa"/>
            <w:vAlign w:val="bottom"/>
          </w:tcPr>
          <w:p>
            <w:pPr>
              <w:jc w:val="right"/>
              <w:ind w:right="844"/>
              <w:spacing w:after="0"/>
              <w:rPr>
                <w:sz w:val="20"/>
                <w:szCs w:val="20"/>
                <w:color w:val="auto"/>
              </w:rPr>
            </w:pPr>
            <w:r>
              <w:rPr>
                <w:rFonts w:ascii="Arial" w:cs="Arial" w:eastAsia="Arial" w:hAnsi="Arial"/>
                <w:sz w:val="15"/>
                <w:szCs w:val="15"/>
                <w:b w:val="1"/>
                <w:bCs w:val="1"/>
                <w:color w:val="auto"/>
              </w:rPr>
              <w:t>$</w:t>
            </w:r>
          </w:p>
        </w:tc>
        <w:tc>
          <w:tcPr>
            <w:tcW w:w="340" w:type="dxa"/>
            <w:vAlign w:val="bottom"/>
          </w:tcPr>
          <w:p>
            <w:pPr>
              <w:jc w:val="right"/>
              <w:ind w:right="64"/>
              <w:spacing w:after="0"/>
              <w:rPr>
                <w:sz w:val="20"/>
                <w:szCs w:val="20"/>
                <w:color w:val="auto"/>
              </w:rPr>
            </w:pPr>
            <w:r>
              <w:rPr>
                <w:rFonts w:ascii="Arial" w:cs="Arial" w:eastAsia="Arial" w:hAnsi="Arial"/>
                <w:sz w:val="15"/>
                <w:szCs w:val="15"/>
                <w:b w:val="1"/>
                <w:bCs w:val="1"/>
                <w:color w:val="auto"/>
              </w:rPr>
              <w:t>8</w:t>
            </w:r>
          </w:p>
        </w:tc>
        <w:tc>
          <w:tcPr>
            <w:tcW w:w="1140" w:type="dxa"/>
            <w:vAlign w:val="bottom"/>
          </w:tcPr>
          <w:p>
            <w:pPr>
              <w:jc w:val="right"/>
              <w:ind w:right="824"/>
              <w:spacing w:after="0"/>
              <w:rPr>
                <w:sz w:val="20"/>
                <w:szCs w:val="20"/>
                <w:color w:val="auto"/>
              </w:rPr>
            </w:pPr>
            <w:r>
              <w:rPr>
                <w:rFonts w:ascii="Arial" w:cs="Arial" w:eastAsia="Arial" w:hAnsi="Arial"/>
                <w:sz w:val="15"/>
                <w:szCs w:val="15"/>
                <w:b w:val="1"/>
                <w:bCs w:val="1"/>
                <w:color w:val="auto"/>
              </w:rPr>
              <w:t>$</w:t>
            </w:r>
          </w:p>
        </w:tc>
        <w:tc>
          <w:tcPr>
            <w:tcW w:w="400" w:type="dxa"/>
            <w:vAlign w:val="bottom"/>
          </w:tcPr>
          <w:p>
            <w:pPr>
              <w:jc w:val="right"/>
              <w:ind w:right="84"/>
              <w:spacing w:after="0"/>
              <w:rPr>
                <w:sz w:val="20"/>
                <w:szCs w:val="20"/>
                <w:color w:val="auto"/>
              </w:rPr>
            </w:pPr>
            <w:r>
              <w:rPr>
                <w:rFonts w:ascii="Arial" w:cs="Arial" w:eastAsia="Arial" w:hAnsi="Arial"/>
                <w:sz w:val="15"/>
                <w:szCs w:val="15"/>
                <w:b w:val="1"/>
                <w:bCs w:val="1"/>
                <w:color w:val="auto"/>
              </w:rPr>
              <w:t>6</w:t>
            </w:r>
          </w:p>
        </w:tc>
        <w:tc>
          <w:tcPr>
            <w:tcW w:w="400" w:type="dxa"/>
            <w:vAlign w:val="bottom"/>
          </w:tcPr>
          <w:p>
            <w:pPr>
              <w:jc w:val="right"/>
              <w:ind w:right="84"/>
              <w:spacing w:after="0"/>
              <w:rPr>
                <w:sz w:val="20"/>
                <w:szCs w:val="20"/>
                <w:color w:val="auto"/>
              </w:rPr>
            </w:pPr>
            <w:r>
              <w:rPr>
                <w:rFonts w:ascii="Arial" w:cs="Arial" w:eastAsia="Arial" w:hAnsi="Arial"/>
                <w:sz w:val="15"/>
                <w:szCs w:val="15"/>
                <w:b w:val="1"/>
                <w:bCs w:val="1"/>
                <w:color w:val="auto"/>
              </w:rPr>
              <w:t>$</w:t>
            </w:r>
          </w:p>
        </w:tc>
        <w:tc>
          <w:tcPr>
            <w:tcW w:w="1100" w:type="dxa"/>
            <w:vAlign w:val="bottom"/>
          </w:tcPr>
          <w:p>
            <w:pPr>
              <w:jc w:val="right"/>
              <w:ind w:right="64"/>
              <w:spacing w:after="0"/>
              <w:rPr>
                <w:sz w:val="20"/>
                <w:szCs w:val="20"/>
                <w:color w:val="auto"/>
              </w:rPr>
            </w:pPr>
            <w:r>
              <w:rPr>
                <w:rFonts w:ascii="Arial" w:cs="Arial" w:eastAsia="Arial" w:hAnsi="Arial"/>
                <w:sz w:val="15"/>
                <w:szCs w:val="15"/>
                <w:b w:val="1"/>
                <w:bCs w:val="1"/>
                <w:color w:val="auto"/>
              </w:rPr>
              <w:t>22</w:t>
            </w:r>
          </w:p>
        </w:tc>
        <w:tc>
          <w:tcPr>
            <w:tcW w:w="0" w:type="dxa"/>
            <w:vAlign w:val="bottom"/>
          </w:tcPr>
          <w:p>
            <w:pPr>
              <w:spacing w:after="0"/>
              <w:rPr>
                <w:sz w:val="1"/>
                <w:szCs w:val="1"/>
                <w:color w:val="auto"/>
              </w:rPr>
            </w:pPr>
          </w:p>
        </w:tc>
      </w:tr>
      <w:tr>
        <w:trPr>
          <w:trHeight w:val="133"/>
        </w:trPr>
        <w:tc>
          <w:tcPr>
            <w:tcW w:w="5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5140" w:type="dxa"/>
            <w:vAlign w:val="bottom"/>
            <w:vMerge w:val="restart"/>
            <w:shd w:val="clear" w:color="auto" w:fill="FFC000"/>
          </w:tcPr>
          <w:p>
            <w:pPr>
              <w:jc w:val="center"/>
              <w:ind w:left="164"/>
              <w:spacing w:after="0"/>
              <w:rPr>
                <w:sz w:val="20"/>
                <w:szCs w:val="20"/>
                <w:color w:val="auto"/>
              </w:rPr>
            </w:pPr>
            <w:r>
              <w:rPr>
                <w:rFonts w:ascii="Arial" w:cs="Arial" w:eastAsia="Arial" w:hAnsi="Arial"/>
                <w:sz w:val="15"/>
                <w:szCs w:val="15"/>
                <w:b w:val="1"/>
                <w:bCs w:val="1"/>
                <w:color w:val="auto"/>
              </w:rPr>
              <w:t>Q4 2024 Actuals</w:t>
            </w:r>
          </w:p>
        </w:tc>
        <w:tc>
          <w:tcPr>
            <w:tcW w:w="1080" w:type="dxa"/>
            <w:vAlign w:val="bottom"/>
            <w:shd w:val="clear" w:color="auto" w:fill="FFC000"/>
          </w:tcPr>
          <w:p>
            <w:pPr>
              <w:spacing w:after="0"/>
              <w:rPr>
                <w:sz w:val="12"/>
                <w:szCs w:val="12"/>
                <w:color w:val="auto"/>
              </w:rPr>
            </w:pPr>
          </w:p>
        </w:tc>
        <w:tc>
          <w:tcPr>
            <w:tcW w:w="480" w:type="dxa"/>
            <w:vAlign w:val="bottom"/>
            <w:shd w:val="clear" w:color="auto" w:fill="FFC000"/>
          </w:tcPr>
          <w:p>
            <w:pPr>
              <w:spacing w:after="0"/>
              <w:rPr>
                <w:sz w:val="12"/>
                <w:szCs w:val="12"/>
                <w:color w:val="auto"/>
              </w:rPr>
            </w:pPr>
          </w:p>
        </w:tc>
        <w:tc>
          <w:tcPr>
            <w:tcW w:w="1160" w:type="dxa"/>
            <w:vAlign w:val="bottom"/>
            <w:shd w:val="clear" w:color="auto" w:fill="FFC000"/>
          </w:tcPr>
          <w:p>
            <w:pPr>
              <w:jc w:val="center"/>
              <w:ind w:left="224"/>
              <w:spacing w:after="0" w:line="143" w:lineRule="exact"/>
              <w:rPr>
                <w:sz w:val="20"/>
                <w:szCs w:val="20"/>
                <w:color w:val="auto"/>
              </w:rPr>
            </w:pPr>
            <w:r>
              <w:rPr>
                <w:rFonts w:ascii="Arial" w:cs="Arial" w:eastAsia="Arial" w:hAnsi="Arial"/>
                <w:sz w:val="15"/>
                <w:szCs w:val="15"/>
                <w:b w:val="1"/>
                <w:bCs w:val="1"/>
                <w:color w:val="auto"/>
              </w:rPr>
              <w:t>Advanced</w:t>
            </w:r>
          </w:p>
        </w:tc>
        <w:tc>
          <w:tcPr>
            <w:tcW w:w="340" w:type="dxa"/>
            <w:vAlign w:val="bottom"/>
            <w:shd w:val="clear" w:color="auto" w:fill="FFC000"/>
          </w:tcPr>
          <w:p>
            <w:pPr>
              <w:spacing w:after="0"/>
              <w:rPr>
                <w:sz w:val="12"/>
                <w:szCs w:val="12"/>
                <w:color w:val="auto"/>
              </w:rPr>
            </w:pPr>
          </w:p>
        </w:tc>
        <w:tc>
          <w:tcPr>
            <w:tcW w:w="1140" w:type="dxa"/>
            <w:vAlign w:val="bottom"/>
            <w:shd w:val="clear" w:color="auto" w:fill="FFC000"/>
          </w:tcPr>
          <w:p>
            <w:pPr>
              <w:spacing w:after="0"/>
              <w:rPr>
                <w:sz w:val="12"/>
                <w:szCs w:val="12"/>
                <w:color w:val="auto"/>
              </w:rPr>
            </w:pPr>
          </w:p>
        </w:tc>
        <w:tc>
          <w:tcPr>
            <w:tcW w:w="400" w:type="dxa"/>
            <w:vAlign w:val="bottom"/>
            <w:shd w:val="clear" w:color="auto" w:fill="FFC000"/>
          </w:tcPr>
          <w:p>
            <w:pPr>
              <w:spacing w:after="0"/>
              <w:rPr>
                <w:sz w:val="12"/>
                <w:szCs w:val="12"/>
                <w:color w:val="auto"/>
              </w:rPr>
            </w:pPr>
          </w:p>
        </w:tc>
        <w:tc>
          <w:tcPr>
            <w:tcW w:w="400" w:type="dxa"/>
            <w:vAlign w:val="bottom"/>
            <w:shd w:val="clear" w:color="auto" w:fill="FFC000"/>
          </w:tcPr>
          <w:p>
            <w:pPr>
              <w:spacing w:after="0"/>
              <w:rPr>
                <w:sz w:val="12"/>
                <w:szCs w:val="12"/>
                <w:color w:val="auto"/>
              </w:rPr>
            </w:pPr>
          </w:p>
        </w:tc>
        <w:tc>
          <w:tcPr>
            <w:tcW w:w="1100" w:type="dxa"/>
            <w:vAlign w:val="bottom"/>
            <w:shd w:val="clear" w:color="auto" w:fill="FFC000"/>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140" w:type="dxa"/>
            <w:vAlign w:val="bottom"/>
            <w:vMerge w:val="continue"/>
            <w:shd w:val="clear" w:color="auto" w:fill="FFC000"/>
          </w:tcPr>
          <w:p>
            <w:pPr>
              <w:spacing w:after="0"/>
              <w:rPr>
                <w:sz w:val="14"/>
                <w:szCs w:val="14"/>
                <w:color w:val="auto"/>
              </w:rPr>
            </w:pPr>
          </w:p>
        </w:tc>
        <w:tc>
          <w:tcPr>
            <w:tcW w:w="1080" w:type="dxa"/>
            <w:vAlign w:val="bottom"/>
            <w:vMerge w:val="restart"/>
            <w:shd w:val="clear" w:color="auto" w:fill="FFC000"/>
          </w:tcPr>
          <w:p>
            <w:pPr>
              <w:jc w:val="right"/>
              <w:ind w:right="4"/>
              <w:spacing w:after="0"/>
              <w:rPr>
                <w:sz w:val="20"/>
                <w:szCs w:val="20"/>
                <w:color w:val="auto"/>
              </w:rPr>
            </w:pPr>
            <w:r>
              <w:rPr>
                <w:rFonts w:ascii="Arial" w:cs="Arial" w:eastAsia="Arial" w:hAnsi="Arial"/>
                <w:sz w:val="15"/>
                <w:szCs w:val="15"/>
                <w:b w:val="1"/>
                <w:bCs w:val="1"/>
                <w:color w:val="auto"/>
              </w:rPr>
              <w:t>Print</w:t>
            </w:r>
          </w:p>
        </w:tc>
        <w:tc>
          <w:tcPr>
            <w:tcW w:w="480" w:type="dxa"/>
            <w:vAlign w:val="bottom"/>
            <w:shd w:val="clear" w:color="auto" w:fill="FFC000"/>
          </w:tcPr>
          <w:p>
            <w:pPr>
              <w:spacing w:after="0"/>
              <w:rPr>
                <w:sz w:val="14"/>
                <w:szCs w:val="14"/>
                <w:color w:val="auto"/>
              </w:rPr>
            </w:pPr>
          </w:p>
        </w:tc>
        <w:tc>
          <w:tcPr>
            <w:tcW w:w="1160" w:type="dxa"/>
            <w:vAlign w:val="bottom"/>
            <w:shd w:val="clear" w:color="auto" w:fill="FFC000"/>
          </w:tcPr>
          <w:p>
            <w:pPr>
              <w:jc w:val="center"/>
              <w:ind w:left="224"/>
              <w:spacing w:after="0" w:line="162" w:lineRule="exact"/>
              <w:rPr>
                <w:sz w:val="20"/>
                <w:szCs w:val="20"/>
                <w:color w:val="auto"/>
              </w:rPr>
            </w:pPr>
            <w:r>
              <w:rPr>
                <w:rFonts w:ascii="Arial" w:cs="Arial" w:eastAsia="Arial" w:hAnsi="Arial"/>
                <w:sz w:val="15"/>
                <w:szCs w:val="15"/>
                <w:b w:val="1"/>
                <w:bCs w:val="1"/>
                <w:color w:val="auto"/>
              </w:rPr>
              <w:t>Materials &amp;</w:t>
            </w:r>
          </w:p>
        </w:tc>
        <w:tc>
          <w:tcPr>
            <w:tcW w:w="340" w:type="dxa"/>
            <w:vAlign w:val="bottom"/>
            <w:shd w:val="clear" w:color="auto" w:fill="FFC000"/>
          </w:tcPr>
          <w:p>
            <w:pPr>
              <w:spacing w:after="0"/>
              <w:rPr>
                <w:sz w:val="14"/>
                <w:szCs w:val="14"/>
                <w:color w:val="auto"/>
              </w:rPr>
            </w:pPr>
          </w:p>
        </w:tc>
        <w:tc>
          <w:tcPr>
            <w:tcW w:w="1140" w:type="dxa"/>
            <w:vAlign w:val="bottom"/>
            <w:vMerge w:val="restart"/>
            <w:shd w:val="clear" w:color="auto" w:fill="FFC000"/>
          </w:tcPr>
          <w:p>
            <w:pPr>
              <w:jc w:val="right"/>
              <w:ind w:right="64"/>
              <w:spacing w:after="0"/>
              <w:rPr>
                <w:sz w:val="20"/>
                <w:szCs w:val="20"/>
                <w:color w:val="auto"/>
              </w:rPr>
            </w:pPr>
            <w:r>
              <w:rPr>
                <w:rFonts w:ascii="Arial" w:cs="Arial" w:eastAsia="Arial" w:hAnsi="Arial"/>
                <w:sz w:val="15"/>
                <w:szCs w:val="15"/>
                <w:b w:val="1"/>
                <w:bCs w:val="1"/>
                <w:color w:val="auto"/>
              </w:rPr>
              <w:t>Brand</w:t>
            </w:r>
          </w:p>
        </w:tc>
        <w:tc>
          <w:tcPr>
            <w:tcW w:w="400" w:type="dxa"/>
            <w:vAlign w:val="bottom"/>
            <w:shd w:val="clear" w:color="auto" w:fill="FFC000"/>
          </w:tcPr>
          <w:p>
            <w:pPr>
              <w:spacing w:after="0"/>
              <w:rPr>
                <w:sz w:val="14"/>
                <w:szCs w:val="14"/>
                <w:color w:val="auto"/>
              </w:rPr>
            </w:pPr>
          </w:p>
        </w:tc>
        <w:tc>
          <w:tcPr>
            <w:tcW w:w="400" w:type="dxa"/>
            <w:vAlign w:val="bottom"/>
            <w:shd w:val="clear" w:color="auto" w:fill="FFC000"/>
          </w:tcPr>
          <w:p>
            <w:pPr>
              <w:spacing w:after="0"/>
              <w:rPr>
                <w:sz w:val="14"/>
                <w:szCs w:val="14"/>
                <w:color w:val="auto"/>
              </w:rPr>
            </w:pPr>
          </w:p>
        </w:tc>
        <w:tc>
          <w:tcPr>
            <w:tcW w:w="1100" w:type="dxa"/>
            <w:vAlign w:val="bottom"/>
            <w:vMerge w:val="restart"/>
            <w:shd w:val="clear" w:color="auto" w:fill="FFC000"/>
          </w:tcPr>
          <w:p>
            <w:pPr>
              <w:jc w:val="right"/>
              <w:ind w:right="484"/>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81"/>
        </w:trPr>
        <w:tc>
          <w:tcPr>
            <w:tcW w:w="5140" w:type="dxa"/>
            <w:vAlign w:val="bottom"/>
            <w:shd w:val="clear" w:color="auto" w:fill="FFC000"/>
          </w:tcPr>
          <w:p>
            <w:pPr>
              <w:spacing w:after="0"/>
              <w:rPr>
                <w:sz w:val="15"/>
                <w:szCs w:val="15"/>
                <w:color w:val="auto"/>
              </w:rPr>
            </w:pPr>
          </w:p>
        </w:tc>
        <w:tc>
          <w:tcPr>
            <w:tcW w:w="1080" w:type="dxa"/>
            <w:vAlign w:val="bottom"/>
            <w:vMerge w:val="continue"/>
            <w:shd w:val="clear" w:color="auto" w:fill="FFC000"/>
          </w:tcPr>
          <w:p>
            <w:pPr>
              <w:spacing w:after="0"/>
              <w:rPr>
                <w:sz w:val="15"/>
                <w:szCs w:val="15"/>
                <w:color w:val="auto"/>
              </w:rPr>
            </w:pPr>
          </w:p>
        </w:tc>
        <w:tc>
          <w:tcPr>
            <w:tcW w:w="480" w:type="dxa"/>
            <w:vAlign w:val="bottom"/>
            <w:shd w:val="clear" w:color="auto" w:fill="FFC000"/>
          </w:tcPr>
          <w:p>
            <w:pPr>
              <w:spacing w:after="0"/>
              <w:rPr>
                <w:sz w:val="15"/>
                <w:szCs w:val="15"/>
                <w:color w:val="auto"/>
              </w:rPr>
            </w:pPr>
          </w:p>
        </w:tc>
        <w:tc>
          <w:tcPr>
            <w:tcW w:w="1160" w:type="dxa"/>
            <w:vAlign w:val="bottom"/>
            <w:shd w:val="clear" w:color="auto" w:fill="FFC000"/>
          </w:tcPr>
          <w:p>
            <w:pPr>
              <w:jc w:val="center"/>
              <w:ind w:left="284"/>
              <w:spacing w:after="0"/>
              <w:rPr>
                <w:sz w:val="20"/>
                <w:szCs w:val="20"/>
                <w:color w:val="auto"/>
              </w:rPr>
            </w:pPr>
            <w:r>
              <w:rPr>
                <w:rFonts w:ascii="Arial" w:cs="Arial" w:eastAsia="Arial" w:hAnsi="Arial"/>
                <w:sz w:val="15"/>
                <w:szCs w:val="15"/>
                <w:b w:val="1"/>
                <w:bCs w:val="1"/>
                <w:color w:val="auto"/>
              </w:rPr>
              <w:t>Chemicals</w:t>
            </w:r>
          </w:p>
        </w:tc>
        <w:tc>
          <w:tcPr>
            <w:tcW w:w="340" w:type="dxa"/>
            <w:vAlign w:val="bottom"/>
            <w:shd w:val="clear" w:color="auto" w:fill="FFC000"/>
          </w:tcPr>
          <w:p>
            <w:pPr>
              <w:spacing w:after="0"/>
              <w:rPr>
                <w:sz w:val="15"/>
                <w:szCs w:val="15"/>
                <w:color w:val="auto"/>
              </w:rPr>
            </w:pPr>
          </w:p>
        </w:tc>
        <w:tc>
          <w:tcPr>
            <w:tcW w:w="1140" w:type="dxa"/>
            <w:vAlign w:val="bottom"/>
            <w:vMerge w:val="continue"/>
            <w:shd w:val="clear" w:color="auto" w:fill="FFC000"/>
          </w:tcPr>
          <w:p>
            <w:pPr>
              <w:spacing w:after="0"/>
              <w:rPr>
                <w:sz w:val="15"/>
                <w:szCs w:val="15"/>
                <w:color w:val="auto"/>
              </w:rPr>
            </w:pPr>
          </w:p>
        </w:tc>
        <w:tc>
          <w:tcPr>
            <w:tcW w:w="400" w:type="dxa"/>
            <w:vAlign w:val="bottom"/>
            <w:shd w:val="clear" w:color="auto" w:fill="FFC000"/>
          </w:tcPr>
          <w:p>
            <w:pPr>
              <w:spacing w:after="0"/>
              <w:rPr>
                <w:sz w:val="15"/>
                <w:szCs w:val="15"/>
                <w:color w:val="auto"/>
              </w:rPr>
            </w:pPr>
          </w:p>
        </w:tc>
        <w:tc>
          <w:tcPr>
            <w:tcW w:w="400" w:type="dxa"/>
            <w:vAlign w:val="bottom"/>
            <w:shd w:val="clear" w:color="auto" w:fill="FFC000"/>
          </w:tcPr>
          <w:p>
            <w:pPr>
              <w:spacing w:after="0"/>
              <w:rPr>
                <w:sz w:val="15"/>
                <w:szCs w:val="15"/>
                <w:color w:val="auto"/>
              </w:rPr>
            </w:pPr>
          </w:p>
        </w:tc>
        <w:tc>
          <w:tcPr>
            <w:tcW w:w="1100" w:type="dxa"/>
            <w:vAlign w:val="bottom"/>
            <w:vMerge w:val="continue"/>
            <w:shd w:val="clear" w:color="auto" w:fill="FFC000"/>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5140" w:type="dxa"/>
            <w:vAlign w:val="bottom"/>
          </w:tcPr>
          <w:p>
            <w:pPr>
              <w:spacing w:after="0" w:line="143" w:lineRule="exact"/>
              <w:rPr>
                <w:sz w:val="20"/>
                <w:szCs w:val="20"/>
                <w:color w:val="auto"/>
              </w:rPr>
            </w:pPr>
            <w:r>
              <w:rPr>
                <w:rFonts w:ascii="Arial" w:cs="Arial" w:eastAsia="Arial" w:hAnsi="Arial"/>
                <w:sz w:val="15"/>
                <w:szCs w:val="15"/>
                <w:b w:val="1"/>
                <w:bCs w:val="1"/>
                <w:color w:val="auto"/>
              </w:rPr>
              <w:t>Revenue</w:t>
            </w:r>
          </w:p>
        </w:tc>
        <w:tc>
          <w:tcPr>
            <w:tcW w:w="1080" w:type="dxa"/>
            <w:vAlign w:val="bottom"/>
          </w:tcPr>
          <w:p>
            <w:pPr>
              <w:jc w:val="right"/>
              <w:ind w:right="684"/>
              <w:spacing w:after="0" w:line="143" w:lineRule="exact"/>
              <w:rPr>
                <w:sz w:val="20"/>
                <w:szCs w:val="20"/>
                <w:color w:val="auto"/>
              </w:rPr>
            </w:pPr>
            <w:r>
              <w:rPr>
                <w:rFonts w:ascii="Arial" w:cs="Arial" w:eastAsia="Arial" w:hAnsi="Arial"/>
                <w:sz w:val="15"/>
                <w:szCs w:val="15"/>
                <w:b w:val="1"/>
                <w:bCs w:val="1"/>
                <w:color w:val="auto"/>
              </w:rPr>
              <w:t>$</w:t>
            </w:r>
          </w:p>
        </w:tc>
        <w:tc>
          <w:tcPr>
            <w:tcW w:w="480" w:type="dxa"/>
            <w:vAlign w:val="bottom"/>
          </w:tcPr>
          <w:p>
            <w:pPr>
              <w:jc w:val="right"/>
              <w:ind w:right="84"/>
              <w:spacing w:after="0" w:line="143" w:lineRule="exact"/>
              <w:rPr>
                <w:sz w:val="20"/>
                <w:szCs w:val="20"/>
                <w:color w:val="auto"/>
              </w:rPr>
            </w:pPr>
            <w:r>
              <w:rPr>
                <w:rFonts w:ascii="Arial" w:cs="Arial" w:eastAsia="Arial" w:hAnsi="Arial"/>
                <w:sz w:val="15"/>
                <w:szCs w:val="15"/>
                <w:b w:val="1"/>
                <w:bCs w:val="1"/>
                <w:color w:val="auto"/>
              </w:rPr>
              <w:t>187</w:t>
            </w:r>
          </w:p>
        </w:tc>
        <w:tc>
          <w:tcPr>
            <w:tcW w:w="1160" w:type="dxa"/>
            <w:vAlign w:val="bottom"/>
          </w:tcPr>
          <w:p>
            <w:pPr>
              <w:jc w:val="right"/>
              <w:ind w:right="844"/>
              <w:spacing w:after="0" w:line="143" w:lineRule="exact"/>
              <w:rPr>
                <w:sz w:val="20"/>
                <w:szCs w:val="20"/>
                <w:color w:val="auto"/>
              </w:rPr>
            </w:pPr>
            <w:r>
              <w:rPr>
                <w:rFonts w:ascii="Arial" w:cs="Arial" w:eastAsia="Arial" w:hAnsi="Arial"/>
                <w:sz w:val="15"/>
                <w:szCs w:val="15"/>
                <w:b w:val="1"/>
                <w:bCs w:val="1"/>
                <w:color w:val="auto"/>
              </w:rPr>
              <w:t>$</w:t>
            </w:r>
          </w:p>
        </w:tc>
        <w:tc>
          <w:tcPr>
            <w:tcW w:w="340" w:type="dxa"/>
            <w:vAlign w:val="bottom"/>
          </w:tcPr>
          <w:p>
            <w:pPr>
              <w:jc w:val="right"/>
              <w:ind w:right="64"/>
              <w:spacing w:after="0" w:line="143" w:lineRule="exact"/>
              <w:rPr>
                <w:sz w:val="20"/>
                <w:szCs w:val="20"/>
                <w:color w:val="auto"/>
              </w:rPr>
            </w:pPr>
            <w:r>
              <w:rPr>
                <w:rFonts w:ascii="Arial" w:cs="Arial" w:eastAsia="Arial" w:hAnsi="Arial"/>
                <w:sz w:val="15"/>
                <w:szCs w:val="15"/>
                <w:b w:val="1"/>
                <w:bCs w:val="1"/>
                <w:color w:val="auto"/>
              </w:rPr>
              <w:t>68</w:t>
            </w:r>
          </w:p>
        </w:tc>
        <w:tc>
          <w:tcPr>
            <w:tcW w:w="1140" w:type="dxa"/>
            <w:vAlign w:val="bottom"/>
          </w:tcPr>
          <w:p>
            <w:pPr>
              <w:jc w:val="right"/>
              <w:ind w:right="824"/>
              <w:spacing w:after="0" w:line="143" w:lineRule="exact"/>
              <w:rPr>
                <w:sz w:val="20"/>
                <w:szCs w:val="20"/>
                <w:color w:val="auto"/>
              </w:rPr>
            </w:pPr>
            <w:r>
              <w:rPr>
                <w:rFonts w:ascii="Arial" w:cs="Arial" w:eastAsia="Arial" w:hAnsi="Arial"/>
                <w:sz w:val="15"/>
                <w:szCs w:val="15"/>
                <w:b w:val="1"/>
                <w:bCs w:val="1"/>
                <w:color w:val="auto"/>
              </w:rPr>
              <w:t>$</w:t>
            </w:r>
          </w:p>
        </w:tc>
        <w:tc>
          <w:tcPr>
            <w:tcW w:w="400" w:type="dxa"/>
            <w:vAlign w:val="bottom"/>
          </w:tcPr>
          <w:p>
            <w:pPr>
              <w:jc w:val="right"/>
              <w:ind w:right="84"/>
              <w:spacing w:after="0" w:line="143" w:lineRule="exact"/>
              <w:rPr>
                <w:sz w:val="20"/>
                <w:szCs w:val="20"/>
                <w:color w:val="auto"/>
              </w:rPr>
            </w:pPr>
            <w:r>
              <w:rPr>
                <w:rFonts w:ascii="Arial" w:cs="Arial" w:eastAsia="Arial" w:hAnsi="Arial"/>
                <w:sz w:val="15"/>
                <w:szCs w:val="15"/>
                <w:b w:val="1"/>
                <w:bCs w:val="1"/>
                <w:color w:val="auto"/>
              </w:rPr>
              <w:t>7</w:t>
            </w:r>
          </w:p>
        </w:tc>
        <w:tc>
          <w:tcPr>
            <w:tcW w:w="400" w:type="dxa"/>
            <w:vAlign w:val="bottom"/>
          </w:tcPr>
          <w:p>
            <w:pPr>
              <w:jc w:val="right"/>
              <w:ind w:right="84"/>
              <w:spacing w:after="0" w:line="143" w:lineRule="exact"/>
              <w:rPr>
                <w:sz w:val="20"/>
                <w:szCs w:val="20"/>
                <w:color w:val="auto"/>
              </w:rPr>
            </w:pPr>
            <w:r>
              <w:rPr>
                <w:rFonts w:ascii="Arial" w:cs="Arial" w:eastAsia="Arial" w:hAnsi="Arial"/>
                <w:sz w:val="15"/>
                <w:szCs w:val="15"/>
                <w:b w:val="1"/>
                <w:bCs w:val="1"/>
                <w:color w:val="auto"/>
              </w:rPr>
              <w:t>$</w:t>
            </w:r>
          </w:p>
        </w:tc>
        <w:tc>
          <w:tcPr>
            <w:tcW w:w="1100" w:type="dxa"/>
            <w:vAlign w:val="bottom"/>
          </w:tcPr>
          <w:p>
            <w:pPr>
              <w:jc w:val="right"/>
              <w:ind w:right="64"/>
              <w:spacing w:after="0" w:line="143" w:lineRule="exact"/>
              <w:rPr>
                <w:sz w:val="20"/>
                <w:szCs w:val="20"/>
                <w:color w:val="auto"/>
              </w:rPr>
            </w:pPr>
            <w:r>
              <w:rPr>
                <w:rFonts w:ascii="Arial" w:cs="Arial" w:eastAsia="Arial" w:hAnsi="Arial"/>
                <w:sz w:val="15"/>
                <w:szCs w:val="15"/>
                <w:b w:val="1"/>
                <w:bCs w:val="1"/>
                <w:color w:val="auto"/>
              </w:rPr>
              <w:t>262</w:t>
            </w:r>
          </w:p>
        </w:tc>
        <w:tc>
          <w:tcPr>
            <w:tcW w:w="0" w:type="dxa"/>
            <w:vAlign w:val="bottom"/>
          </w:tcPr>
          <w:p>
            <w:pPr>
              <w:spacing w:after="0"/>
              <w:rPr>
                <w:sz w:val="1"/>
                <w:szCs w:val="1"/>
                <w:color w:val="auto"/>
              </w:rPr>
            </w:pPr>
          </w:p>
        </w:tc>
      </w:tr>
      <w:tr>
        <w:trPr>
          <w:trHeight w:val="210"/>
        </w:trPr>
        <w:tc>
          <w:tcPr>
            <w:tcW w:w="5140" w:type="dxa"/>
            <w:vAlign w:val="bottom"/>
          </w:tcPr>
          <w:p>
            <w:pPr>
              <w:spacing w:after="0"/>
              <w:rPr>
                <w:sz w:val="20"/>
                <w:szCs w:val="20"/>
                <w:color w:val="auto"/>
              </w:rPr>
            </w:pPr>
            <w:r>
              <w:rPr>
                <w:rFonts w:ascii="Arial" w:cs="Arial" w:eastAsia="Arial" w:hAnsi="Arial"/>
                <w:sz w:val="15"/>
                <w:szCs w:val="15"/>
                <w:b w:val="1"/>
                <w:bCs w:val="1"/>
                <w:color w:val="auto"/>
              </w:rPr>
              <w:t>Operational EBITDA *</w:t>
            </w:r>
          </w:p>
        </w:tc>
        <w:tc>
          <w:tcPr>
            <w:tcW w:w="1080" w:type="dxa"/>
            <w:vAlign w:val="bottom"/>
          </w:tcPr>
          <w:p>
            <w:pPr>
              <w:jc w:val="right"/>
              <w:ind w:right="684"/>
              <w:spacing w:after="0"/>
              <w:rPr>
                <w:sz w:val="20"/>
                <w:szCs w:val="20"/>
                <w:color w:val="auto"/>
              </w:rPr>
            </w:pPr>
            <w:r>
              <w:rPr>
                <w:rFonts w:ascii="Arial" w:cs="Arial" w:eastAsia="Arial" w:hAnsi="Arial"/>
                <w:sz w:val="15"/>
                <w:szCs w:val="15"/>
                <w:b w:val="1"/>
                <w:bCs w:val="1"/>
                <w:color w:val="auto"/>
              </w:rPr>
              <w:t>$</w:t>
            </w:r>
          </w:p>
        </w:tc>
        <w:tc>
          <w:tcPr>
            <w:tcW w:w="480" w:type="dxa"/>
            <w:vAlign w:val="bottom"/>
          </w:tcPr>
          <w:p>
            <w:pPr>
              <w:jc w:val="right"/>
              <w:ind w:right="84"/>
              <w:spacing w:after="0"/>
              <w:rPr>
                <w:sz w:val="20"/>
                <w:szCs w:val="20"/>
                <w:color w:val="auto"/>
              </w:rPr>
            </w:pPr>
            <w:r>
              <w:rPr>
                <w:rFonts w:ascii="Arial" w:cs="Arial" w:eastAsia="Arial" w:hAnsi="Arial"/>
                <w:sz w:val="15"/>
                <w:szCs w:val="15"/>
                <w:b w:val="1"/>
                <w:bCs w:val="1"/>
                <w:color w:val="auto"/>
              </w:rPr>
              <w:t>1</w:t>
            </w:r>
          </w:p>
        </w:tc>
        <w:tc>
          <w:tcPr>
            <w:tcW w:w="1160" w:type="dxa"/>
            <w:vAlign w:val="bottom"/>
          </w:tcPr>
          <w:p>
            <w:pPr>
              <w:jc w:val="right"/>
              <w:ind w:right="844"/>
              <w:spacing w:after="0"/>
              <w:rPr>
                <w:sz w:val="20"/>
                <w:szCs w:val="20"/>
                <w:color w:val="auto"/>
              </w:rPr>
            </w:pPr>
            <w:r>
              <w:rPr>
                <w:rFonts w:ascii="Arial" w:cs="Arial" w:eastAsia="Arial" w:hAnsi="Arial"/>
                <w:sz w:val="15"/>
                <w:szCs w:val="15"/>
                <w:b w:val="1"/>
                <w:bCs w:val="1"/>
                <w:color w:val="auto"/>
              </w:rPr>
              <w:t>$</w:t>
            </w:r>
          </w:p>
        </w:tc>
        <w:tc>
          <w:tcPr>
            <w:tcW w:w="340" w:type="dxa"/>
            <w:vAlign w:val="bottom"/>
          </w:tcPr>
          <w:p>
            <w:pPr>
              <w:jc w:val="right"/>
              <w:ind w:right="64"/>
              <w:spacing w:after="0"/>
              <w:rPr>
                <w:sz w:val="20"/>
                <w:szCs w:val="20"/>
                <w:color w:val="auto"/>
              </w:rPr>
            </w:pPr>
            <w:r>
              <w:rPr>
                <w:rFonts w:ascii="Arial" w:cs="Arial" w:eastAsia="Arial" w:hAnsi="Arial"/>
                <w:sz w:val="15"/>
                <w:szCs w:val="15"/>
                <w:b w:val="1"/>
                <w:bCs w:val="1"/>
                <w:color w:val="auto"/>
              </w:rPr>
              <w:t>2</w:t>
            </w:r>
          </w:p>
        </w:tc>
        <w:tc>
          <w:tcPr>
            <w:tcW w:w="1140" w:type="dxa"/>
            <w:vAlign w:val="bottom"/>
          </w:tcPr>
          <w:p>
            <w:pPr>
              <w:jc w:val="right"/>
              <w:ind w:right="824"/>
              <w:spacing w:after="0"/>
              <w:rPr>
                <w:sz w:val="20"/>
                <w:szCs w:val="20"/>
                <w:color w:val="auto"/>
              </w:rPr>
            </w:pPr>
            <w:r>
              <w:rPr>
                <w:rFonts w:ascii="Arial" w:cs="Arial" w:eastAsia="Arial" w:hAnsi="Arial"/>
                <w:sz w:val="15"/>
                <w:szCs w:val="15"/>
                <w:b w:val="1"/>
                <w:bCs w:val="1"/>
                <w:color w:val="auto"/>
              </w:rPr>
              <w:t>$</w:t>
            </w:r>
          </w:p>
        </w:tc>
        <w:tc>
          <w:tcPr>
            <w:tcW w:w="400" w:type="dxa"/>
            <w:vAlign w:val="bottom"/>
          </w:tcPr>
          <w:p>
            <w:pPr>
              <w:jc w:val="right"/>
              <w:ind w:right="84"/>
              <w:spacing w:after="0"/>
              <w:rPr>
                <w:sz w:val="20"/>
                <w:szCs w:val="20"/>
                <w:color w:val="auto"/>
              </w:rPr>
            </w:pPr>
            <w:r>
              <w:rPr>
                <w:rFonts w:ascii="Arial" w:cs="Arial" w:eastAsia="Arial" w:hAnsi="Arial"/>
                <w:sz w:val="15"/>
                <w:szCs w:val="15"/>
                <w:b w:val="1"/>
                <w:bCs w:val="1"/>
                <w:color w:val="auto"/>
              </w:rPr>
              <w:t>6</w:t>
            </w:r>
          </w:p>
        </w:tc>
        <w:tc>
          <w:tcPr>
            <w:tcW w:w="400" w:type="dxa"/>
            <w:vAlign w:val="bottom"/>
          </w:tcPr>
          <w:p>
            <w:pPr>
              <w:jc w:val="right"/>
              <w:ind w:right="84"/>
              <w:spacing w:after="0"/>
              <w:rPr>
                <w:sz w:val="20"/>
                <w:szCs w:val="20"/>
                <w:color w:val="auto"/>
              </w:rPr>
            </w:pPr>
            <w:r>
              <w:rPr>
                <w:rFonts w:ascii="Arial" w:cs="Arial" w:eastAsia="Arial" w:hAnsi="Arial"/>
                <w:sz w:val="15"/>
                <w:szCs w:val="15"/>
                <w:b w:val="1"/>
                <w:bCs w:val="1"/>
                <w:color w:val="auto"/>
              </w:rPr>
              <w:t>$</w:t>
            </w:r>
          </w:p>
        </w:tc>
        <w:tc>
          <w:tcPr>
            <w:tcW w:w="1100" w:type="dxa"/>
            <w:vAlign w:val="bottom"/>
          </w:tcPr>
          <w:p>
            <w:pPr>
              <w:jc w:val="right"/>
              <w:ind w:right="64"/>
              <w:spacing w:after="0"/>
              <w:rPr>
                <w:sz w:val="20"/>
                <w:szCs w:val="20"/>
                <w:color w:val="auto"/>
              </w:rPr>
            </w:pPr>
            <w:r>
              <w:rPr>
                <w:rFonts w:ascii="Arial" w:cs="Arial" w:eastAsia="Arial" w:hAnsi="Arial"/>
                <w:sz w:val="15"/>
                <w:szCs w:val="15"/>
                <w:b w:val="1"/>
                <w:bCs w:val="1"/>
                <w:color w:val="auto"/>
              </w:rPr>
              <w:t>9</w:t>
            </w:r>
          </w:p>
        </w:tc>
        <w:tc>
          <w:tcPr>
            <w:tcW w:w="0" w:type="dxa"/>
            <w:vAlign w:val="bottom"/>
          </w:tcPr>
          <w:p>
            <w:pPr>
              <w:spacing w:after="0"/>
              <w:rPr>
                <w:sz w:val="1"/>
                <w:szCs w:val="1"/>
                <w:color w:val="auto"/>
              </w:rPr>
            </w:pPr>
          </w:p>
        </w:tc>
      </w:tr>
      <w:tr>
        <w:trPr>
          <w:trHeight w:val="133"/>
        </w:trPr>
        <w:tc>
          <w:tcPr>
            <w:tcW w:w="5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5140" w:type="dxa"/>
            <w:vAlign w:val="bottom"/>
            <w:vMerge w:val="restart"/>
            <w:shd w:val="clear" w:color="auto" w:fill="FFC000"/>
          </w:tcPr>
          <w:p>
            <w:pPr>
              <w:jc w:val="center"/>
              <w:ind w:left="164"/>
              <w:spacing w:after="0"/>
              <w:rPr>
                <w:sz w:val="20"/>
                <w:szCs w:val="20"/>
                <w:color w:val="auto"/>
              </w:rPr>
            </w:pPr>
            <w:r>
              <w:rPr>
                <w:rFonts w:ascii="Arial" w:cs="Arial" w:eastAsia="Arial" w:hAnsi="Arial"/>
                <w:sz w:val="15"/>
                <w:szCs w:val="15"/>
                <w:b w:val="1"/>
                <w:bCs w:val="1"/>
                <w:color w:val="auto"/>
              </w:rPr>
              <w:t>Q4 2025 vs. Q4 2024 Actuals</w:t>
            </w:r>
          </w:p>
        </w:tc>
        <w:tc>
          <w:tcPr>
            <w:tcW w:w="1080" w:type="dxa"/>
            <w:vAlign w:val="bottom"/>
            <w:shd w:val="clear" w:color="auto" w:fill="FFC000"/>
          </w:tcPr>
          <w:p>
            <w:pPr>
              <w:spacing w:after="0"/>
              <w:rPr>
                <w:sz w:val="12"/>
                <w:szCs w:val="12"/>
                <w:color w:val="auto"/>
              </w:rPr>
            </w:pPr>
          </w:p>
        </w:tc>
        <w:tc>
          <w:tcPr>
            <w:tcW w:w="480" w:type="dxa"/>
            <w:vAlign w:val="bottom"/>
            <w:shd w:val="clear" w:color="auto" w:fill="FFC000"/>
          </w:tcPr>
          <w:p>
            <w:pPr>
              <w:spacing w:after="0"/>
              <w:rPr>
                <w:sz w:val="12"/>
                <w:szCs w:val="12"/>
                <w:color w:val="auto"/>
              </w:rPr>
            </w:pPr>
          </w:p>
        </w:tc>
        <w:tc>
          <w:tcPr>
            <w:tcW w:w="1160" w:type="dxa"/>
            <w:vAlign w:val="bottom"/>
            <w:shd w:val="clear" w:color="auto" w:fill="FFC000"/>
          </w:tcPr>
          <w:p>
            <w:pPr>
              <w:jc w:val="center"/>
              <w:ind w:left="224"/>
              <w:spacing w:after="0" w:line="143" w:lineRule="exact"/>
              <w:rPr>
                <w:sz w:val="20"/>
                <w:szCs w:val="20"/>
                <w:color w:val="auto"/>
              </w:rPr>
            </w:pPr>
            <w:r>
              <w:rPr>
                <w:rFonts w:ascii="Arial" w:cs="Arial" w:eastAsia="Arial" w:hAnsi="Arial"/>
                <w:sz w:val="15"/>
                <w:szCs w:val="15"/>
                <w:b w:val="1"/>
                <w:bCs w:val="1"/>
                <w:color w:val="auto"/>
              </w:rPr>
              <w:t>Advanced</w:t>
            </w:r>
          </w:p>
        </w:tc>
        <w:tc>
          <w:tcPr>
            <w:tcW w:w="340" w:type="dxa"/>
            <w:vAlign w:val="bottom"/>
            <w:shd w:val="clear" w:color="auto" w:fill="FFC000"/>
          </w:tcPr>
          <w:p>
            <w:pPr>
              <w:spacing w:after="0"/>
              <w:rPr>
                <w:sz w:val="12"/>
                <w:szCs w:val="12"/>
                <w:color w:val="auto"/>
              </w:rPr>
            </w:pPr>
          </w:p>
        </w:tc>
        <w:tc>
          <w:tcPr>
            <w:tcW w:w="1140" w:type="dxa"/>
            <w:vAlign w:val="bottom"/>
            <w:shd w:val="clear" w:color="auto" w:fill="FFC000"/>
          </w:tcPr>
          <w:p>
            <w:pPr>
              <w:spacing w:after="0"/>
              <w:rPr>
                <w:sz w:val="12"/>
                <w:szCs w:val="12"/>
                <w:color w:val="auto"/>
              </w:rPr>
            </w:pPr>
          </w:p>
        </w:tc>
        <w:tc>
          <w:tcPr>
            <w:tcW w:w="400" w:type="dxa"/>
            <w:vAlign w:val="bottom"/>
            <w:shd w:val="clear" w:color="auto" w:fill="FFC000"/>
          </w:tcPr>
          <w:p>
            <w:pPr>
              <w:spacing w:after="0"/>
              <w:rPr>
                <w:sz w:val="12"/>
                <w:szCs w:val="12"/>
                <w:color w:val="auto"/>
              </w:rPr>
            </w:pPr>
          </w:p>
        </w:tc>
        <w:tc>
          <w:tcPr>
            <w:tcW w:w="400" w:type="dxa"/>
            <w:vAlign w:val="bottom"/>
            <w:shd w:val="clear" w:color="auto" w:fill="FFC000"/>
          </w:tcPr>
          <w:p>
            <w:pPr>
              <w:spacing w:after="0"/>
              <w:rPr>
                <w:sz w:val="12"/>
                <w:szCs w:val="12"/>
                <w:color w:val="auto"/>
              </w:rPr>
            </w:pPr>
          </w:p>
        </w:tc>
        <w:tc>
          <w:tcPr>
            <w:tcW w:w="1100" w:type="dxa"/>
            <w:vAlign w:val="bottom"/>
            <w:shd w:val="clear" w:color="auto" w:fill="FFC000"/>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5140" w:type="dxa"/>
            <w:vAlign w:val="bottom"/>
            <w:vMerge w:val="continue"/>
            <w:shd w:val="clear" w:color="auto" w:fill="FFC000"/>
          </w:tcPr>
          <w:p>
            <w:pPr>
              <w:spacing w:after="0"/>
              <w:rPr>
                <w:sz w:val="7"/>
                <w:szCs w:val="7"/>
                <w:color w:val="auto"/>
              </w:rPr>
            </w:pPr>
          </w:p>
        </w:tc>
        <w:tc>
          <w:tcPr>
            <w:tcW w:w="1080" w:type="dxa"/>
            <w:vAlign w:val="bottom"/>
            <w:shd w:val="clear" w:color="auto" w:fill="FFC000"/>
          </w:tcPr>
          <w:p>
            <w:pPr>
              <w:spacing w:after="0"/>
              <w:rPr>
                <w:sz w:val="7"/>
                <w:szCs w:val="7"/>
                <w:color w:val="auto"/>
              </w:rPr>
            </w:pPr>
          </w:p>
        </w:tc>
        <w:tc>
          <w:tcPr>
            <w:tcW w:w="480" w:type="dxa"/>
            <w:vAlign w:val="bottom"/>
            <w:shd w:val="clear" w:color="auto" w:fill="FFC000"/>
          </w:tcPr>
          <w:p>
            <w:pPr>
              <w:spacing w:after="0"/>
              <w:rPr>
                <w:sz w:val="7"/>
                <w:szCs w:val="7"/>
                <w:color w:val="auto"/>
              </w:rPr>
            </w:pPr>
          </w:p>
        </w:tc>
        <w:tc>
          <w:tcPr>
            <w:tcW w:w="1160" w:type="dxa"/>
            <w:vAlign w:val="bottom"/>
            <w:vMerge w:val="restart"/>
            <w:shd w:val="clear" w:color="auto" w:fill="FFC000"/>
          </w:tcPr>
          <w:p>
            <w:pPr>
              <w:jc w:val="center"/>
              <w:ind w:left="224"/>
              <w:spacing w:after="0" w:line="162" w:lineRule="exact"/>
              <w:rPr>
                <w:sz w:val="20"/>
                <w:szCs w:val="20"/>
                <w:color w:val="auto"/>
              </w:rPr>
            </w:pPr>
            <w:r>
              <w:rPr>
                <w:rFonts w:ascii="Arial" w:cs="Arial" w:eastAsia="Arial" w:hAnsi="Arial"/>
                <w:sz w:val="15"/>
                <w:szCs w:val="15"/>
                <w:b w:val="1"/>
                <w:bCs w:val="1"/>
                <w:color w:val="auto"/>
              </w:rPr>
              <w:t>Materials &amp;</w:t>
            </w:r>
          </w:p>
        </w:tc>
        <w:tc>
          <w:tcPr>
            <w:tcW w:w="340" w:type="dxa"/>
            <w:vAlign w:val="bottom"/>
            <w:shd w:val="clear" w:color="auto" w:fill="FFC000"/>
          </w:tcPr>
          <w:p>
            <w:pPr>
              <w:spacing w:after="0"/>
              <w:rPr>
                <w:sz w:val="7"/>
                <w:szCs w:val="7"/>
                <w:color w:val="auto"/>
              </w:rPr>
            </w:pPr>
          </w:p>
        </w:tc>
        <w:tc>
          <w:tcPr>
            <w:tcW w:w="1140" w:type="dxa"/>
            <w:vAlign w:val="bottom"/>
            <w:shd w:val="clear" w:color="auto" w:fill="FFC000"/>
          </w:tcPr>
          <w:p>
            <w:pPr>
              <w:spacing w:after="0"/>
              <w:rPr>
                <w:sz w:val="7"/>
                <w:szCs w:val="7"/>
                <w:color w:val="auto"/>
              </w:rPr>
            </w:pPr>
          </w:p>
        </w:tc>
        <w:tc>
          <w:tcPr>
            <w:tcW w:w="400" w:type="dxa"/>
            <w:vAlign w:val="bottom"/>
            <w:shd w:val="clear" w:color="auto" w:fill="FFC000"/>
          </w:tcPr>
          <w:p>
            <w:pPr>
              <w:spacing w:after="0"/>
              <w:rPr>
                <w:sz w:val="7"/>
                <w:szCs w:val="7"/>
                <w:color w:val="auto"/>
              </w:rPr>
            </w:pPr>
          </w:p>
        </w:tc>
        <w:tc>
          <w:tcPr>
            <w:tcW w:w="400" w:type="dxa"/>
            <w:vAlign w:val="bottom"/>
            <w:shd w:val="clear" w:color="auto" w:fill="FFC000"/>
          </w:tcPr>
          <w:p>
            <w:pPr>
              <w:spacing w:after="0"/>
              <w:rPr>
                <w:sz w:val="7"/>
                <w:szCs w:val="7"/>
                <w:color w:val="auto"/>
              </w:rPr>
            </w:pPr>
          </w:p>
        </w:tc>
        <w:tc>
          <w:tcPr>
            <w:tcW w:w="1100" w:type="dxa"/>
            <w:vAlign w:val="bottom"/>
            <w:shd w:val="clear" w:color="auto" w:fill="FFC000"/>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5140" w:type="dxa"/>
            <w:vAlign w:val="bottom"/>
            <w:vMerge w:val="restart"/>
            <w:shd w:val="clear" w:color="auto" w:fill="FFC000"/>
          </w:tcPr>
          <w:p>
            <w:pPr>
              <w:jc w:val="center"/>
              <w:ind w:left="144"/>
              <w:spacing w:after="0"/>
              <w:rPr>
                <w:sz w:val="20"/>
                <w:szCs w:val="20"/>
                <w:color w:val="auto"/>
              </w:rPr>
            </w:pPr>
            <w:r>
              <w:rPr>
                <w:rFonts w:ascii="Arial" w:cs="Arial" w:eastAsia="Arial" w:hAnsi="Arial"/>
                <w:sz w:val="15"/>
                <w:szCs w:val="15"/>
                <w:b w:val="1"/>
                <w:bCs w:val="1"/>
                <w:color w:val="auto"/>
              </w:rPr>
              <w:t>B(W)</w:t>
            </w:r>
          </w:p>
        </w:tc>
        <w:tc>
          <w:tcPr>
            <w:tcW w:w="1080" w:type="dxa"/>
            <w:vAlign w:val="bottom"/>
            <w:shd w:val="clear" w:color="auto" w:fill="FFC000"/>
          </w:tcPr>
          <w:p>
            <w:pPr>
              <w:spacing w:after="0"/>
              <w:rPr>
                <w:sz w:val="7"/>
                <w:szCs w:val="7"/>
                <w:color w:val="auto"/>
              </w:rPr>
            </w:pPr>
          </w:p>
        </w:tc>
        <w:tc>
          <w:tcPr>
            <w:tcW w:w="480" w:type="dxa"/>
            <w:vAlign w:val="bottom"/>
            <w:shd w:val="clear" w:color="auto" w:fill="FFC000"/>
          </w:tcPr>
          <w:p>
            <w:pPr>
              <w:spacing w:after="0"/>
              <w:rPr>
                <w:sz w:val="7"/>
                <w:szCs w:val="7"/>
                <w:color w:val="auto"/>
              </w:rPr>
            </w:pPr>
          </w:p>
        </w:tc>
        <w:tc>
          <w:tcPr>
            <w:tcW w:w="1160" w:type="dxa"/>
            <w:vAlign w:val="bottom"/>
            <w:vMerge w:val="continue"/>
            <w:shd w:val="clear" w:color="auto" w:fill="FFC000"/>
          </w:tcPr>
          <w:p>
            <w:pPr>
              <w:spacing w:after="0"/>
              <w:rPr>
                <w:sz w:val="7"/>
                <w:szCs w:val="7"/>
                <w:color w:val="auto"/>
              </w:rPr>
            </w:pPr>
          </w:p>
        </w:tc>
        <w:tc>
          <w:tcPr>
            <w:tcW w:w="340" w:type="dxa"/>
            <w:vAlign w:val="bottom"/>
            <w:shd w:val="clear" w:color="auto" w:fill="FFC000"/>
          </w:tcPr>
          <w:p>
            <w:pPr>
              <w:spacing w:after="0"/>
              <w:rPr>
                <w:sz w:val="7"/>
                <w:szCs w:val="7"/>
                <w:color w:val="auto"/>
              </w:rPr>
            </w:pPr>
          </w:p>
        </w:tc>
        <w:tc>
          <w:tcPr>
            <w:tcW w:w="1140" w:type="dxa"/>
            <w:vAlign w:val="bottom"/>
            <w:shd w:val="clear" w:color="auto" w:fill="FFC000"/>
          </w:tcPr>
          <w:p>
            <w:pPr>
              <w:spacing w:after="0"/>
              <w:rPr>
                <w:sz w:val="7"/>
                <w:szCs w:val="7"/>
                <w:color w:val="auto"/>
              </w:rPr>
            </w:pPr>
          </w:p>
        </w:tc>
        <w:tc>
          <w:tcPr>
            <w:tcW w:w="400" w:type="dxa"/>
            <w:vAlign w:val="bottom"/>
            <w:shd w:val="clear" w:color="auto" w:fill="FFC000"/>
          </w:tcPr>
          <w:p>
            <w:pPr>
              <w:spacing w:after="0"/>
              <w:rPr>
                <w:sz w:val="7"/>
                <w:szCs w:val="7"/>
                <w:color w:val="auto"/>
              </w:rPr>
            </w:pPr>
          </w:p>
        </w:tc>
        <w:tc>
          <w:tcPr>
            <w:tcW w:w="400" w:type="dxa"/>
            <w:vAlign w:val="bottom"/>
            <w:shd w:val="clear" w:color="auto" w:fill="FFC000"/>
          </w:tcPr>
          <w:p>
            <w:pPr>
              <w:spacing w:after="0"/>
              <w:rPr>
                <w:sz w:val="7"/>
                <w:szCs w:val="7"/>
                <w:color w:val="auto"/>
              </w:rPr>
            </w:pPr>
          </w:p>
        </w:tc>
        <w:tc>
          <w:tcPr>
            <w:tcW w:w="1100" w:type="dxa"/>
            <w:vAlign w:val="bottom"/>
            <w:shd w:val="clear" w:color="auto" w:fill="FFC000"/>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5140" w:type="dxa"/>
            <w:vAlign w:val="bottom"/>
            <w:tcBorders>
              <w:bottom w:val="single" w:sz="8" w:color="FFC000"/>
            </w:tcBorders>
            <w:vMerge w:val="continue"/>
            <w:shd w:val="clear" w:color="auto" w:fill="FFC000"/>
          </w:tcPr>
          <w:p>
            <w:pPr>
              <w:spacing w:after="0"/>
              <w:rPr>
                <w:sz w:val="14"/>
                <w:szCs w:val="14"/>
                <w:color w:val="auto"/>
              </w:rPr>
            </w:pPr>
          </w:p>
        </w:tc>
        <w:tc>
          <w:tcPr>
            <w:tcW w:w="1080" w:type="dxa"/>
            <w:vAlign w:val="bottom"/>
            <w:tcBorders>
              <w:bottom w:val="single" w:sz="8" w:color="FFC000"/>
            </w:tcBorders>
            <w:shd w:val="clear" w:color="auto" w:fill="FFC000"/>
          </w:tcPr>
          <w:p>
            <w:pPr>
              <w:jc w:val="right"/>
              <w:ind w:right="4"/>
              <w:spacing w:after="0" w:line="161" w:lineRule="exact"/>
              <w:rPr>
                <w:sz w:val="20"/>
                <w:szCs w:val="20"/>
                <w:color w:val="auto"/>
              </w:rPr>
            </w:pPr>
            <w:r>
              <w:rPr>
                <w:rFonts w:ascii="Arial" w:cs="Arial" w:eastAsia="Arial" w:hAnsi="Arial"/>
                <w:sz w:val="15"/>
                <w:szCs w:val="15"/>
                <w:b w:val="1"/>
                <w:bCs w:val="1"/>
                <w:color w:val="auto"/>
              </w:rPr>
              <w:t>Print</w:t>
            </w:r>
          </w:p>
        </w:tc>
        <w:tc>
          <w:tcPr>
            <w:tcW w:w="480" w:type="dxa"/>
            <w:vAlign w:val="bottom"/>
            <w:tcBorders>
              <w:bottom w:val="single" w:sz="8" w:color="FFC000"/>
            </w:tcBorders>
            <w:shd w:val="clear" w:color="auto" w:fill="FFC000"/>
          </w:tcPr>
          <w:p>
            <w:pPr>
              <w:spacing w:after="0"/>
              <w:rPr>
                <w:sz w:val="14"/>
                <w:szCs w:val="14"/>
                <w:color w:val="auto"/>
              </w:rPr>
            </w:pPr>
          </w:p>
        </w:tc>
        <w:tc>
          <w:tcPr>
            <w:tcW w:w="1160" w:type="dxa"/>
            <w:vAlign w:val="bottom"/>
            <w:tcBorders>
              <w:bottom w:val="single" w:sz="8" w:color="FFC000"/>
            </w:tcBorders>
            <w:shd w:val="clear" w:color="auto" w:fill="FFC000"/>
          </w:tcPr>
          <w:p>
            <w:pPr>
              <w:jc w:val="center"/>
              <w:ind w:left="284"/>
              <w:spacing w:after="0" w:line="161" w:lineRule="exact"/>
              <w:rPr>
                <w:sz w:val="20"/>
                <w:szCs w:val="20"/>
                <w:color w:val="auto"/>
              </w:rPr>
            </w:pPr>
            <w:r>
              <w:rPr>
                <w:rFonts w:ascii="Arial" w:cs="Arial" w:eastAsia="Arial" w:hAnsi="Arial"/>
                <w:sz w:val="15"/>
                <w:szCs w:val="15"/>
                <w:b w:val="1"/>
                <w:bCs w:val="1"/>
                <w:color w:val="auto"/>
              </w:rPr>
              <w:t>Chemicals</w:t>
            </w:r>
          </w:p>
        </w:tc>
        <w:tc>
          <w:tcPr>
            <w:tcW w:w="340" w:type="dxa"/>
            <w:vAlign w:val="bottom"/>
            <w:tcBorders>
              <w:bottom w:val="single" w:sz="8" w:color="FFC000"/>
            </w:tcBorders>
            <w:shd w:val="clear" w:color="auto" w:fill="FFC000"/>
          </w:tcPr>
          <w:p>
            <w:pPr>
              <w:spacing w:after="0"/>
              <w:rPr>
                <w:sz w:val="14"/>
                <w:szCs w:val="14"/>
                <w:color w:val="auto"/>
              </w:rPr>
            </w:pPr>
          </w:p>
        </w:tc>
        <w:tc>
          <w:tcPr>
            <w:tcW w:w="1140" w:type="dxa"/>
            <w:vAlign w:val="bottom"/>
            <w:tcBorders>
              <w:bottom w:val="single" w:sz="8" w:color="FFC000"/>
            </w:tcBorders>
            <w:shd w:val="clear" w:color="auto" w:fill="FFC000"/>
          </w:tcPr>
          <w:p>
            <w:pPr>
              <w:jc w:val="right"/>
              <w:ind w:right="64"/>
              <w:spacing w:after="0" w:line="161" w:lineRule="exact"/>
              <w:rPr>
                <w:sz w:val="20"/>
                <w:szCs w:val="20"/>
                <w:color w:val="auto"/>
              </w:rPr>
            </w:pPr>
            <w:r>
              <w:rPr>
                <w:rFonts w:ascii="Arial" w:cs="Arial" w:eastAsia="Arial" w:hAnsi="Arial"/>
                <w:sz w:val="15"/>
                <w:szCs w:val="15"/>
                <w:b w:val="1"/>
                <w:bCs w:val="1"/>
                <w:color w:val="auto"/>
              </w:rPr>
              <w:t>Brand</w:t>
            </w:r>
          </w:p>
        </w:tc>
        <w:tc>
          <w:tcPr>
            <w:tcW w:w="400" w:type="dxa"/>
            <w:vAlign w:val="bottom"/>
            <w:tcBorders>
              <w:bottom w:val="single" w:sz="8" w:color="FFC000"/>
            </w:tcBorders>
            <w:shd w:val="clear" w:color="auto" w:fill="FFC000"/>
          </w:tcPr>
          <w:p>
            <w:pPr>
              <w:spacing w:after="0"/>
              <w:rPr>
                <w:sz w:val="14"/>
                <w:szCs w:val="14"/>
                <w:color w:val="auto"/>
              </w:rPr>
            </w:pPr>
          </w:p>
        </w:tc>
        <w:tc>
          <w:tcPr>
            <w:tcW w:w="400" w:type="dxa"/>
            <w:vAlign w:val="bottom"/>
            <w:tcBorders>
              <w:bottom w:val="single" w:sz="8" w:color="FFC000"/>
            </w:tcBorders>
            <w:shd w:val="clear" w:color="auto" w:fill="FFC000"/>
          </w:tcPr>
          <w:p>
            <w:pPr>
              <w:spacing w:after="0"/>
              <w:rPr>
                <w:sz w:val="14"/>
                <w:szCs w:val="14"/>
                <w:color w:val="auto"/>
              </w:rPr>
            </w:pPr>
          </w:p>
        </w:tc>
        <w:tc>
          <w:tcPr>
            <w:tcW w:w="1100" w:type="dxa"/>
            <w:vAlign w:val="bottom"/>
            <w:tcBorders>
              <w:bottom w:val="single" w:sz="8" w:color="FFC000"/>
            </w:tcBorders>
            <w:shd w:val="clear" w:color="auto" w:fill="FFC000"/>
          </w:tcPr>
          <w:p>
            <w:pPr>
              <w:jc w:val="right"/>
              <w:ind w:right="484"/>
              <w:spacing w:after="0" w:line="161" w:lineRule="exact"/>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43"/>
        </w:trPr>
        <w:tc>
          <w:tcPr>
            <w:tcW w:w="5140" w:type="dxa"/>
            <w:vAlign w:val="bottom"/>
          </w:tcPr>
          <w:p>
            <w:pPr>
              <w:spacing w:after="0" w:line="143" w:lineRule="exact"/>
              <w:rPr>
                <w:sz w:val="20"/>
                <w:szCs w:val="20"/>
                <w:color w:val="auto"/>
              </w:rPr>
            </w:pPr>
            <w:r>
              <w:rPr>
                <w:rFonts w:ascii="Arial" w:cs="Arial" w:eastAsia="Arial" w:hAnsi="Arial"/>
                <w:sz w:val="15"/>
                <w:szCs w:val="15"/>
                <w:b w:val="1"/>
                <w:bCs w:val="1"/>
                <w:color w:val="auto"/>
              </w:rPr>
              <w:t>Revenue</w:t>
            </w:r>
          </w:p>
        </w:tc>
        <w:tc>
          <w:tcPr>
            <w:tcW w:w="1080" w:type="dxa"/>
            <w:vAlign w:val="bottom"/>
          </w:tcPr>
          <w:p>
            <w:pPr>
              <w:jc w:val="right"/>
              <w:ind w:right="684"/>
              <w:spacing w:after="0" w:line="143" w:lineRule="exact"/>
              <w:rPr>
                <w:sz w:val="20"/>
                <w:szCs w:val="20"/>
                <w:color w:val="auto"/>
              </w:rPr>
            </w:pPr>
            <w:r>
              <w:rPr>
                <w:rFonts w:ascii="Arial" w:cs="Arial" w:eastAsia="Arial" w:hAnsi="Arial"/>
                <w:sz w:val="15"/>
                <w:szCs w:val="15"/>
                <w:b w:val="1"/>
                <w:bCs w:val="1"/>
                <w:color w:val="auto"/>
              </w:rPr>
              <w:t>$</w:t>
            </w:r>
          </w:p>
        </w:tc>
        <w:tc>
          <w:tcPr>
            <w:tcW w:w="480" w:type="dxa"/>
            <w:vAlign w:val="bottom"/>
          </w:tcPr>
          <w:p>
            <w:pPr>
              <w:jc w:val="right"/>
              <w:ind w:right="84"/>
              <w:spacing w:after="0" w:line="143" w:lineRule="exact"/>
              <w:rPr>
                <w:sz w:val="20"/>
                <w:szCs w:val="20"/>
                <w:color w:val="auto"/>
              </w:rPr>
            </w:pPr>
            <w:r>
              <w:rPr>
                <w:rFonts w:ascii="Arial" w:cs="Arial" w:eastAsia="Arial" w:hAnsi="Arial"/>
                <w:sz w:val="15"/>
                <w:szCs w:val="15"/>
                <w:b w:val="1"/>
                <w:bCs w:val="1"/>
                <w:color w:val="auto"/>
              </w:rPr>
              <w:t>8</w:t>
            </w:r>
          </w:p>
        </w:tc>
        <w:tc>
          <w:tcPr>
            <w:tcW w:w="1160" w:type="dxa"/>
            <w:vAlign w:val="bottom"/>
          </w:tcPr>
          <w:p>
            <w:pPr>
              <w:jc w:val="right"/>
              <w:ind w:right="844"/>
              <w:spacing w:after="0" w:line="143" w:lineRule="exact"/>
              <w:rPr>
                <w:sz w:val="20"/>
                <w:szCs w:val="20"/>
                <w:color w:val="auto"/>
              </w:rPr>
            </w:pPr>
            <w:r>
              <w:rPr>
                <w:rFonts w:ascii="Arial" w:cs="Arial" w:eastAsia="Arial" w:hAnsi="Arial"/>
                <w:sz w:val="15"/>
                <w:szCs w:val="15"/>
                <w:b w:val="1"/>
                <w:bCs w:val="1"/>
                <w:color w:val="auto"/>
              </w:rPr>
              <w:t>$</w:t>
            </w:r>
          </w:p>
        </w:tc>
        <w:tc>
          <w:tcPr>
            <w:tcW w:w="340" w:type="dxa"/>
            <w:vAlign w:val="bottom"/>
          </w:tcPr>
          <w:p>
            <w:pPr>
              <w:jc w:val="right"/>
              <w:ind w:right="64"/>
              <w:spacing w:after="0" w:line="143" w:lineRule="exact"/>
              <w:rPr>
                <w:sz w:val="20"/>
                <w:szCs w:val="20"/>
                <w:color w:val="auto"/>
              </w:rPr>
            </w:pPr>
            <w:r>
              <w:rPr>
                <w:rFonts w:ascii="Arial" w:cs="Arial" w:eastAsia="Arial" w:hAnsi="Arial"/>
                <w:sz w:val="15"/>
                <w:szCs w:val="15"/>
                <w:b w:val="1"/>
                <w:bCs w:val="1"/>
                <w:color w:val="auto"/>
              </w:rPr>
              <w:t>17</w:t>
            </w:r>
          </w:p>
        </w:tc>
        <w:tc>
          <w:tcPr>
            <w:tcW w:w="1140" w:type="dxa"/>
            <w:vAlign w:val="bottom"/>
          </w:tcPr>
          <w:p>
            <w:pPr>
              <w:jc w:val="right"/>
              <w:ind w:right="824"/>
              <w:spacing w:after="0" w:line="143" w:lineRule="exact"/>
              <w:rPr>
                <w:sz w:val="20"/>
                <w:szCs w:val="20"/>
                <w:color w:val="auto"/>
              </w:rPr>
            </w:pPr>
            <w:r>
              <w:rPr>
                <w:rFonts w:ascii="Arial" w:cs="Arial" w:eastAsia="Arial" w:hAnsi="Arial"/>
                <w:sz w:val="15"/>
                <w:szCs w:val="15"/>
                <w:b w:val="1"/>
                <w:bCs w:val="1"/>
                <w:color w:val="auto"/>
              </w:rPr>
              <w:t>$</w:t>
            </w:r>
          </w:p>
        </w:tc>
        <w:tc>
          <w:tcPr>
            <w:tcW w:w="400" w:type="dxa"/>
            <w:vAlign w:val="bottom"/>
          </w:tcPr>
          <w:p>
            <w:pPr>
              <w:jc w:val="right"/>
              <w:ind w:right="84"/>
              <w:spacing w:after="0" w:line="143" w:lineRule="exact"/>
              <w:rPr>
                <w:sz w:val="20"/>
                <w:szCs w:val="20"/>
                <w:color w:val="auto"/>
              </w:rPr>
            </w:pPr>
            <w:r>
              <w:rPr>
                <w:rFonts w:ascii="Arial" w:cs="Arial" w:eastAsia="Arial" w:hAnsi="Arial"/>
                <w:sz w:val="15"/>
                <w:szCs w:val="15"/>
                <w:b w:val="1"/>
                <w:bCs w:val="1"/>
                <w:color w:val="auto"/>
              </w:rPr>
              <w:t>-</w:t>
            </w:r>
          </w:p>
        </w:tc>
        <w:tc>
          <w:tcPr>
            <w:tcW w:w="400" w:type="dxa"/>
            <w:vAlign w:val="bottom"/>
          </w:tcPr>
          <w:p>
            <w:pPr>
              <w:jc w:val="right"/>
              <w:ind w:right="84"/>
              <w:spacing w:after="0" w:line="143" w:lineRule="exact"/>
              <w:rPr>
                <w:sz w:val="20"/>
                <w:szCs w:val="20"/>
                <w:color w:val="auto"/>
              </w:rPr>
            </w:pPr>
            <w:r>
              <w:rPr>
                <w:rFonts w:ascii="Arial" w:cs="Arial" w:eastAsia="Arial" w:hAnsi="Arial"/>
                <w:sz w:val="15"/>
                <w:szCs w:val="15"/>
                <w:b w:val="1"/>
                <w:bCs w:val="1"/>
                <w:color w:val="auto"/>
              </w:rPr>
              <w:t>$</w:t>
            </w:r>
          </w:p>
        </w:tc>
        <w:tc>
          <w:tcPr>
            <w:tcW w:w="1100" w:type="dxa"/>
            <w:vAlign w:val="bottom"/>
          </w:tcPr>
          <w:p>
            <w:pPr>
              <w:jc w:val="right"/>
              <w:ind w:right="64"/>
              <w:spacing w:after="0" w:line="143" w:lineRule="exact"/>
              <w:rPr>
                <w:sz w:val="20"/>
                <w:szCs w:val="20"/>
                <w:color w:val="auto"/>
              </w:rPr>
            </w:pPr>
            <w:r>
              <w:rPr>
                <w:rFonts w:ascii="Arial" w:cs="Arial" w:eastAsia="Arial" w:hAnsi="Arial"/>
                <w:sz w:val="15"/>
                <w:szCs w:val="15"/>
                <w:b w:val="1"/>
                <w:bCs w:val="1"/>
                <w:color w:val="auto"/>
              </w:rPr>
              <w:t>25</w:t>
            </w:r>
          </w:p>
        </w:tc>
        <w:tc>
          <w:tcPr>
            <w:tcW w:w="0" w:type="dxa"/>
            <w:vAlign w:val="bottom"/>
          </w:tcPr>
          <w:p>
            <w:pPr>
              <w:spacing w:after="0"/>
              <w:rPr>
                <w:sz w:val="1"/>
                <w:szCs w:val="1"/>
                <w:color w:val="auto"/>
              </w:rPr>
            </w:pPr>
          </w:p>
        </w:tc>
      </w:tr>
      <w:tr>
        <w:trPr>
          <w:trHeight w:val="210"/>
        </w:trPr>
        <w:tc>
          <w:tcPr>
            <w:tcW w:w="5140" w:type="dxa"/>
            <w:vAlign w:val="bottom"/>
          </w:tcPr>
          <w:p>
            <w:pPr>
              <w:spacing w:after="0"/>
              <w:rPr>
                <w:sz w:val="20"/>
                <w:szCs w:val="20"/>
                <w:color w:val="auto"/>
              </w:rPr>
            </w:pPr>
            <w:r>
              <w:rPr>
                <w:rFonts w:ascii="Arial" w:cs="Arial" w:eastAsia="Arial" w:hAnsi="Arial"/>
                <w:sz w:val="15"/>
                <w:szCs w:val="15"/>
                <w:b w:val="1"/>
                <w:bCs w:val="1"/>
                <w:color w:val="auto"/>
              </w:rPr>
              <w:t>Operational EBITDA *</w:t>
            </w:r>
          </w:p>
        </w:tc>
        <w:tc>
          <w:tcPr>
            <w:tcW w:w="1080" w:type="dxa"/>
            <w:vAlign w:val="bottom"/>
          </w:tcPr>
          <w:p>
            <w:pPr>
              <w:jc w:val="right"/>
              <w:ind w:right="684"/>
              <w:spacing w:after="0"/>
              <w:rPr>
                <w:sz w:val="20"/>
                <w:szCs w:val="20"/>
                <w:color w:val="auto"/>
              </w:rPr>
            </w:pPr>
            <w:r>
              <w:rPr>
                <w:rFonts w:ascii="Arial" w:cs="Arial" w:eastAsia="Arial" w:hAnsi="Arial"/>
                <w:sz w:val="15"/>
                <w:szCs w:val="15"/>
                <w:b w:val="1"/>
                <w:bCs w:val="1"/>
                <w:color w:val="auto"/>
              </w:rPr>
              <w:t>$</w:t>
            </w:r>
          </w:p>
        </w:tc>
        <w:tc>
          <w:tcPr>
            <w:tcW w:w="480" w:type="dxa"/>
            <w:vAlign w:val="bottom"/>
          </w:tcPr>
          <w:p>
            <w:pPr>
              <w:jc w:val="right"/>
              <w:ind w:right="84"/>
              <w:spacing w:after="0"/>
              <w:rPr>
                <w:sz w:val="20"/>
                <w:szCs w:val="20"/>
                <w:color w:val="auto"/>
              </w:rPr>
            </w:pPr>
            <w:r>
              <w:rPr>
                <w:rFonts w:ascii="Arial" w:cs="Arial" w:eastAsia="Arial" w:hAnsi="Arial"/>
                <w:sz w:val="15"/>
                <w:szCs w:val="15"/>
                <w:b w:val="1"/>
                <w:bCs w:val="1"/>
                <w:color w:val="auto"/>
              </w:rPr>
              <w:t>7</w:t>
            </w:r>
          </w:p>
        </w:tc>
        <w:tc>
          <w:tcPr>
            <w:tcW w:w="1160" w:type="dxa"/>
            <w:vAlign w:val="bottom"/>
          </w:tcPr>
          <w:p>
            <w:pPr>
              <w:jc w:val="right"/>
              <w:ind w:right="844"/>
              <w:spacing w:after="0"/>
              <w:rPr>
                <w:sz w:val="20"/>
                <w:szCs w:val="20"/>
                <w:color w:val="auto"/>
              </w:rPr>
            </w:pPr>
            <w:r>
              <w:rPr>
                <w:rFonts w:ascii="Arial" w:cs="Arial" w:eastAsia="Arial" w:hAnsi="Arial"/>
                <w:sz w:val="15"/>
                <w:szCs w:val="15"/>
                <w:b w:val="1"/>
                <w:bCs w:val="1"/>
                <w:color w:val="auto"/>
              </w:rPr>
              <w:t>$</w:t>
            </w:r>
          </w:p>
        </w:tc>
        <w:tc>
          <w:tcPr>
            <w:tcW w:w="340" w:type="dxa"/>
            <w:vAlign w:val="bottom"/>
          </w:tcPr>
          <w:p>
            <w:pPr>
              <w:jc w:val="right"/>
              <w:ind w:right="64"/>
              <w:spacing w:after="0"/>
              <w:rPr>
                <w:sz w:val="20"/>
                <w:szCs w:val="20"/>
                <w:color w:val="auto"/>
              </w:rPr>
            </w:pPr>
            <w:r>
              <w:rPr>
                <w:rFonts w:ascii="Arial" w:cs="Arial" w:eastAsia="Arial" w:hAnsi="Arial"/>
                <w:sz w:val="15"/>
                <w:szCs w:val="15"/>
                <w:b w:val="1"/>
                <w:bCs w:val="1"/>
                <w:color w:val="auto"/>
              </w:rPr>
              <w:t>6</w:t>
            </w:r>
          </w:p>
        </w:tc>
        <w:tc>
          <w:tcPr>
            <w:tcW w:w="1140" w:type="dxa"/>
            <w:vAlign w:val="bottom"/>
          </w:tcPr>
          <w:p>
            <w:pPr>
              <w:jc w:val="right"/>
              <w:ind w:right="824"/>
              <w:spacing w:after="0"/>
              <w:rPr>
                <w:sz w:val="20"/>
                <w:szCs w:val="20"/>
                <w:color w:val="auto"/>
              </w:rPr>
            </w:pPr>
            <w:r>
              <w:rPr>
                <w:rFonts w:ascii="Arial" w:cs="Arial" w:eastAsia="Arial" w:hAnsi="Arial"/>
                <w:sz w:val="15"/>
                <w:szCs w:val="15"/>
                <w:b w:val="1"/>
                <w:bCs w:val="1"/>
                <w:color w:val="auto"/>
              </w:rPr>
              <w:t>$</w:t>
            </w:r>
          </w:p>
        </w:tc>
        <w:tc>
          <w:tcPr>
            <w:tcW w:w="400" w:type="dxa"/>
            <w:vAlign w:val="bottom"/>
          </w:tcPr>
          <w:p>
            <w:pPr>
              <w:jc w:val="right"/>
              <w:ind w:right="84"/>
              <w:spacing w:after="0"/>
              <w:rPr>
                <w:sz w:val="20"/>
                <w:szCs w:val="20"/>
                <w:color w:val="auto"/>
              </w:rPr>
            </w:pPr>
            <w:r>
              <w:rPr>
                <w:rFonts w:ascii="Arial" w:cs="Arial" w:eastAsia="Arial" w:hAnsi="Arial"/>
                <w:sz w:val="15"/>
                <w:szCs w:val="15"/>
                <w:b w:val="1"/>
                <w:bCs w:val="1"/>
                <w:color w:val="auto"/>
              </w:rPr>
              <w:t>-</w:t>
            </w:r>
          </w:p>
        </w:tc>
        <w:tc>
          <w:tcPr>
            <w:tcW w:w="400" w:type="dxa"/>
            <w:vAlign w:val="bottom"/>
          </w:tcPr>
          <w:p>
            <w:pPr>
              <w:jc w:val="right"/>
              <w:ind w:right="84"/>
              <w:spacing w:after="0"/>
              <w:rPr>
                <w:sz w:val="20"/>
                <w:szCs w:val="20"/>
                <w:color w:val="auto"/>
              </w:rPr>
            </w:pPr>
            <w:r>
              <w:rPr>
                <w:rFonts w:ascii="Arial" w:cs="Arial" w:eastAsia="Arial" w:hAnsi="Arial"/>
                <w:sz w:val="15"/>
                <w:szCs w:val="15"/>
                <w:b w:val="1"/>
                <w:bCs w:val="1"/>
                <w:color w:val="auto"/>
              </w:rPr>
              <w:t>$</w:t>
            </w:r>
          </w:p>
        </w:tc>
        <w:tc>
          <w:tcPr>
            <w:tcW w:w="1100" w:type="dxa"/>
            <w:vAlign w:val="bottom"/>
          </w:tcPr>
          <w:p>
            <w:pPr>
              <w:jc w:val="right"/>
              <w:ind w:right="64"/>
              <w:spacing w:after="0"/>
              <w:rPr>
                <w:sz w:val="20"/>
                <w:szCs w:val="20"/>
                <w:color w:val="auto"/>
              </w:rPr>
            </w:pPr>
            <w:r>
              <w:rPr>
                <w:rFonts w:ascii="Arial" w:cs="Arial" w:eastAsia="Arial" w:hAnsi="Arial"/>
                <w:sz w:val="15"/>
                <w:szCs w:val="15"/>
                <w:b w:val="1"/>
                <w:bCs w:val="1"/>
                <w:color w:val="auto"/>
              </w:rPr>
              <w:t>13</w:t>
            </w:r>
          </w:p>
        </w:tc>
        <w:tc>
          <w:tcPr>
            <w:tcW w:w="0" w:type="dxa"/>
            <w:vAlign w:val="bottom"/>
          </w:tcPr>
          <w:p>
            <w:pPr>
              <w:spacing w:after="0"/>
              <w:rPr>
                <w:sz w:val="1"/>
                <w:szCs w:val="1"/>
                <w:color w:val="auto"/>
              </w:rPr>
            </w:pPr>
          </w:p>
        </w:tc>
      </w:tr>
      <w:tr>
        <w:trPr>
          <w:trHeight w:val="133"/>
        </w:trPr>
        <w:tc>
          <w:tcPr>
            <w:tcW w:w="5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5140" w:type="dxa"/>
            <w:vAlign w:val="bottom"/>
            <w:vMerge w:val="restart"/>
            <w:shd w:val="clear" w:color="auto" w:fill="FFC000"/>
          </w:tcPr>
          <w:p>
            <w:pPr>
              <w:jc w:val="center"/>
              <w:ind w:left="164"/>
              <w:spacing w:after="0"/>
              <w:rPr>
                <w:sz w:val="20"/>
                <w:szCs w:val="20"/>
                <w:color w:val="auto"/>
              </w:rPr>
            </w:pPr>
            <w:r>
              <w:rPr>
                <w:rFonts w:ascii="Arial" w:cs="Arial" w:eastAsia="Arial" w:hAnsi="Arial"/>
                <w:sz w:val="15"/>
                <w:szCs w:val="15"/>
                <w:b w:val="1"/>
                <w:bCs w:val="1"/>
                <w:color w:val="auto"/>
              </w:rPr>
              <w:t>Q4 2025 Actuals on constant currency ** vs. Q4 2024 Actuals</w:t>
            </w:r>
          </w:p>
        </w:tc>
        <w:tc>
          <w:tcPr>
            <w:tcW w:w="1080" w:type="dxa"/>
            <w:vAlign w:val="bottom"/>
            <w:shd w:val="clear" w:color="auto" w:fill="FFC000"/>
          </w:tcPr>
          <w:p>
            <w:pPr>
              <w:spacing w:after="0"/>
              <w:rPr>
                <w:sz w:val="12"/>
                <w:szCs w:val="12"/>
                <w:color w:val="auto"/>
              </w:rPr>
            </w:pPr>
          </w:p>
        </w:tc>
        <w:tc>
          <w:tcPr>
            <w:tcW w:w="480" w:type="dxa"/>
            <w:vAlign w:val="bottom"/>
            <w:shd w:val="clear" w:color="auto" w:fill="FFC000"/>
          </w:tcPr>
          <w:p>
            <w:pPr>
              <w:spacing w:after="0"/>
              <w:rPr>
                <w:sz w:val="12"/>
                <w:szCs w:val="12"/>
                <w:color w:val="auto"/>
              </w:rPr>
            </w:pPr>
          </w:p>
        </w:tc>
        <w:tc>
          <w:tcPr>
            <w:tcW w:w="1160" w:type="dxa"/>
            <w:vAlign w:val="bottom"/>
            <w:shd w:val="clear" w:color="auto" w:fill="FFC000"/>
          </w:tcPr>
          <w:p>
            <w:pPr>
              <w:jc w:val="center"/>
              <w:ind w:left="224"/>
              <w:spacing w:after="0" w:line="143" w:lineRule="exact"/>
              <w:rPr>
                <w:sz w:val="20"/>
                <w:szCs w:val="20"/>
                <w:color w:val="auto"/>
              </w:rPr>
            </w:pPr>
            <w:r>
              <w:rPr>
                <w:rFonts w:ascii="Arial" w:cs="Arial" w:eastAsia="Arial" w:hAnsi="Arial"/>
                <w:sz w:val="15"/>
                <w:szCs w:val="15"/>
                <w:b w:val="1"/>
                <w:bCs w:val="1"/>
                <w:color w:val="auto"/>
              </w:rPr>
              <w:t>Advanced</w:t>
            </w:r>
          </w:p>
        </w:tc>
        <w:tc>
          <w:tcPr>
            <w:tcW w:w="340" w:type="dxa"/>
            <w:vAlign w:val="bottom"/>
            <w:shd w:val="clear" w:color="auto" w:fill="FFC000"/>
          </w:tcPr>
          <w:p>
            <w:pPr>
              <w:spacing w:after="0"/>
              <w:rPr>
                <w:sz w:val="12"/>
                <w:szCs w:val="12"/>
                <w:color w:val="auto"/>
              </w:rPr>
            </w:pPr>
          </w:p>
        </w:tc>
        <w:tc>
          <w:tcPr>
            <w:tcW w:w="1140" w:type="dxa"/>
            <w:vAlign w:val="bottom"/>
            <w:shd w:val="clear" w:color="auto" w:fill="FFC000"/>
          </w:tcPr>
          <w:p>
            <w:pPr>
              <w:spacing w:after="0"/>
              <w:rPr>
                <w:sz w:val="12"/>
                <w:szCs w:val="12"/>
                <w:color w:val="auto"/>
              </w:rPr>
            </w:pPr>
          </w:p>
        </w:tc>
        <w:tc>
          <w:tcPr>
            <w:tcW w:w="400" w:type="dxa"/>
            <w:vAlign w:val="bottom"/>
            <w:shd w:val="clear" w:color="auto" w:fill="FFC000"/>
          </w:tcPr>
          <w:p>
            <w:pPr>
              <w:spacing w:after="0"/>
              <w:rPr>
                <w:sz w:val="12"/>
                <w:szCs w:val="12"/>
                <w:color w:val="auto"/>
              </w:rPr>
            </w:pPr>
          </w:p>
        </w:tc>
        <w:tc>
          <w:tcPr>
            <w:tcW w:w="400" w:type="dxa"/>
            <w:vAlign w:val="bottom"/>
            <w:shd w:val="clear" w:color="auto" w:fill="FFC000"/>
          </w:tcPr>
          <w:p>
            <w:pPr>
              <w:spacing w:after="0"/>
              <w:rPr>
                <w:sz w:val="12"/>
                <w:szCs w:val="12"/>
                <w:color w:val="auto"/>
              </w:rPr>
            </w:pPr>
          </w:p>
        </w:tc>
        <w:tc>
          <w:tcPr>
            <w:tcW w:w="1100" w:type="dxa"/>
            <w:vAlign w:val="bottom"/>
            <w:shd w:val="clear" w:color="auto" w:fill="FFC000"/>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5140" w:type="dxa"/>
            <w:vAlign w:val="bottom"/>
            <w:vMerge w:val="continue"/>
            <w:shd w:val="clear" w:color="auto" w:fill="FFC000"/>
          </w:tcPr>
          <w:p>
            <w:pPr>
              <w:spacing w:after="0"/>
              <w:rPr>
                <w:sz w:val="7"/>
                <w:szCs w:val="7"/>
                <w:color w:val="auto"/>
              </w:rPr>
            </w:pPr>
          </w:p>
        </w:tc>
        <w:tc>
          <w:tcPr>
            <w:tcW w:w="1080" w:type="dxa"/>
            <w:vAlign w:val="bottom"/>
            <w:shd w:val="clear" w:color="auto" w:fill="FFC000"/>
          </w:tcPr>
          <w:p>
            <w:pPr>
              <w:spacing w:after="0"/>
              <w:rPr>
                <w:sz w:val="7"/>
                <w:szCs w:val="7"/>
                <w:color w:val="auto"/>
              </w:rPr>
            </w:pPr>
          </w:p>
        </w:tc>
        <w:tc>
          <w:tcPr>
            <w:tcW w:w="480" w:type="dxa"/>
            <w:vAlign w:val="bottom"/>
            <w:shd w:val="clear" w:color="auto" w:fill="FFC000"/>
          </w:tcPr>
          <w:p>
            <w:pPr>
              <w:spacing w:after="0"/>
              <w:rPr>
                <w:sz w:val="7"/>
                <w:szCs w:val="7"/>
                <w:color w:val="auto"/>
              </w:rPr>
            </w:pPr>
          </w:p>
        </w:tc>
        <w:tc>
          <w:tcPr>
            <w:tcW w:w="1160" w:type="dxa"/>
            <w:vAlign w:val="bottom"/>
            <w:vMerge w:val="restart"/>
            <w:shd w:val="clear" w:color="auto" w:fill="FFC000"/>
          </w:tcPr>
          <w:p>
            <w:pPr>
              <w:jc w:val="center"/>
              <w:ind w:left="224"/>
              <w:spacing w:after="0" w:line="162" w:lineRule="exact"/>
              <w:rPr>
                <w:sz w:val="20"/>
                <w:szCs w:val="20"/>
                <w:color w:val="auto"/>
              </w:rPr>
            </w:pPr>
            <w:r>
              <w:rPr>
                <w:rFonts w:ascii="Arial" w:cs="Arial" w:eastAsia="Arial" w:hAnsi="Arial"/>
                <w:sz w:val="15"/>
                <w:szCs w:val="15"/>
                <w:b w:val="1"/>
                <w:bCs w:val="1"/>
                <w:color w:val="auto"/>
              </w:rPr>
              <w:t>Materials &amp;</w:t>
            </w:r>
          </w:p>
        </w:tc>
        <w:tc>
          <w:tcPr>
            <w:tcW w:w="340" w:type="dxa"/>
            <w:vAlign w:val="bottom"/>
            <w:shd w:val="clear" w:color="auto" w:fill="FFC000"/>
          </w:tcPr>
          <w:p>
            <w:pPr>
              <w:spacing w:after="0"/>
              <w:rPr>
                <w:sz w:val="7"/>
                <w:szCs w:val="7"/>
                <w:color w:val="auto"/>
              </w:rPr>
            </w:pPr>
          </w:p>
        </w:tc>
        <w:tc>
          <w:tcPr>
            <w:tcW w:w="1140" w:type="dxa"/>
            <w:vAlign w:val="bottom"/>
            <w:shd w:val="clear" w:color="auto" w:fill="FFC000"/>
          </w:tcPr>
          <w:p>
            <w:pPr>
              <w:spacing w:after="0"/>
              <w:rPr>
                <w:sz w:val="7"/>
                <w:szCs w:val="7"/>
                <w:color w:val="auto"/>
              </w:rPr>
            </w:pPr>
          </w:p>
        </w:tc>
        <w:tc>
          <w:tcPr>
            <w:tcW w:w="400" w:type="dxa"/>
            <w:vAlign w:val="bottom"/>
            <w:shd w:val="clear" w:color="auto" w:fill="FFC000"/>
          </w:tcPr>
          <w:p>
            <w:pPr>
              <w:spacing w:after="0"/>
              <w:rPr>
                <w:sz w:val="7"/>
                <w:szCs w:val="7"/>
                <w:color w:val="auto"/>
              </w:rPr>
            </w:pPr>
          </w:p>
        </w:tc>
        <w:tc>
          <w:tcPr>
            <w:tcW w:w="400" w:type="dxa"/>
            <w:vAlign w:val="bottom"/>
            <w:shd w:val="clear" w:color="auto" w:fill="FFC000"/>
          </w:tcPr>
          <w:p>
            <w:pPr>
              <w:spacing w:after="0"/>
              <w:rPr>
                <w:sz w:val="7"/>
                <w:szCs w:val="7"/>
                <w:color w:val="auto"/>
              </w:rPr>
            </w:pPr>
          </w:p>
        </w:tc>
        <w:tc>
          <w:tcPr>
            <w:tcW w:w="1100" w:type="dxa"/>
            <w:vAlign w:val="bottom"/>
            <w:shd w:val="clear" w:color="auto" w:fill="FFC000"/>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5140" w:type="dxa"/>
            <w:vAlign w:val="bottom"/>
            <w:vMerge w:val="restart"/>
            <w:shd w:val="clear" w:color="auto" w:fill="FFC000"/>
          </w:tcPr>
          <w:p>
            <w:pPr>
              <w:jc w:val="center"/>
              <w:ind w:left="144"/>
              <w:spacing w:after="0"/>
              <w:rPr>
                <w:sz w:val="20"/>
                <w:szCs w:val="20"/>
                <w:color w:val="auto"/>
              </w:rPr>
            </w:pPr>
            <w:r>
              <w:rPr>
                <w:rFonts w:ascii="Arial" w:cs="Arial" w:eastAsia="Arial" w:hAnsi="Arial"/>
                <w:sz w:val="15"/>
                <w:szCs w:val="15"/>
                <w:b w:val="1"/>
                <w:bCs w:val="1"/>
                <w:color w:val="auto"/>
              </w:rPr>
              <w:t>B(W)</w:t>
            </w:r>
          </w:p>
        </w:tc>
        <w:tc>
          <w:tcPr>
            <w:tcW w:w="1080" w:type="dxa"/>
            <w:vAlign w:val="bottom"/>
            <w:shd w:val="clear" w:color="auto" w:fill="FFC000"/>
          </w:tcPr>
          <w:p>
            <w:pPr>
              <w:spacing w:after="0"/>
              <w:rPr>
                <w:sz w:val="7"/>
                <w:szCs w:val="7"/>
                <w:color w:val="auto"/>
              </w:rPr>
            </w:pPr>
          </w:p>
        </w:tc>
        <w:tc>
          <w:tcPr>
            <w:tcW w:w="480" w:type="dxa"/>
            <w:vAlign w:val="bottom"/>
            <w:shd w:val="clear" w:color="auto" w:fill="FFC000"/>
          </w:tcPr>
          <w:p>
            <w:pPr>
              <w:spacing w:after="0"/>
              <w:rPr>
                <w:sz w:val="7"/>
                <w:szCs w:val="7"/>
                <w:color w:val="auto"/>
              </w:rPr>
            </w:pPr>
          </w:p>
        </w:tc>
        <w:tc>
          <w:tcPr>
            <w:tcW w:w="1160" w:type="dxa"/>
            <w:vAlign w:val="bottom"/>
            <w:vMerge w:val="continue"/>
            <w:shd w:val="clear" w:color="auto" w:fill="FFC000"/>
          </w:tcPr>
          <w:p>
            <w:pPr>
              <w:spacing w:after="0"/>
              <w:rPr>
                <w:sz w:val="7"/>
                <w:szCs w:val="7"/>
                <w:color w:val="auto"/>
              </w:rPr>
            </w:pPr>
          </w:p>
        </w:tc>
        <w:tc>
          <w:tcPr>
            <w:tcW w:w="340" w:type="dxa"/>
            <w:vAlign w:val="bottom"/>
            <w:shd w:val="clear" w:color="auto" w:fill="FFC000"/>
          </w:tcPr>
          <w:p>
            <w:pPr>
              <w:spacing w:after="0"/>
              <w:rPr>
                <w:sz w:val="7"/>
                <w:szCs w:val="7"/>
                <w:color w:val="auto"/>
              </w:rPr>
            </w:pPr>
          </w:p>
        </w:tc>
        <w:tc>
          <w:tcPr>
            <w:tcW w:w="1140" w:type="dxa"/>
            <w:vAlign w:val="bottom"/>
            <w:shd w:val="clear" w:color="auto" w:fill="FFC000"/>
          </w:tcPr>
          <w:p>
            <w:pPr>
              <w:spacing w:after="0"/>
              <w:rPr>
                <w:sz w:val="7"/>
                <w:szCs w:val="7"/>
                <w:color w:val="auto"/>
              </w:rPr>
            </w:pPr>
          </w:p>
        </w:tc>
        <w:tc>
          <w:tcPr>
            <w:tcW w:w="400" w:type="dxa"/>
            <w:vAlign w:val="bottom"/>
            <w:shd w:val="clear" w:color="auto" w:fill="FFC000"/>
          </w:tcPr>
          <w:p>
            <w:pPr>
              <w:spacing w:after="0"/>
              <w:rPr>
                <w:sz w:val="7"/>
                <w:szCs w:val="7"/>
                <w:color w:val="auto"/>
              </w:rPr>
            </w:pPr>
          </w:p>
        </w:tc>
        <w:tc>
          <w:tcPr>
            <w:tcW w:w="400" w:type="dxa"/>
            <w:vAlign w:val="bottom"/>
            <w:shd w:val="clear" w:color="auto" w:fill="FFC000"/>
          </w:tcPr>
          <w:p>
            <w:pPr>
              <w:spacing w:after="0"/>
              <w:rPr>
                <w:sz w:val="7"/>
                <w:szCs w:val="7"/>
                <w:color w:val="auto"/>
              </w:rPr>
            </w:pPr>
          </w:p>
        </w:tc>
        <w:tc>
          <w:tcPr>
            <w:tcW w:w="1100" w:type="dxa"/>
            <w:vAlign w:val="bottom"/>
            <w:shd w:val="clear" w:color="auto" w:fill="FFC000"/>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5140" w:type="dxa"/>
            <w:vAlign w:val="bottom"/>
            <w:tcBorders>
              <w:bottom w:val="single" w:sz="8" w:color="FFC000"/>
            </w:tcBorders>
            <w:vMerge w:val="continue"/>
            <w:shd w:val="clear" w:color="auto" w:fill="FFC000"/>
          </w:tcPr>
          <w:p>
            <w:pPr>
              <w:spacing w:after="0"/>
              <w:rPr>
                <w:sz w:val="14"/>
                <w:szCs w:val="14"/>
                <w:color w:val="auto"/>
              </w:rPr>
            </w:pPr>
          </w:p>
        </w:tc>
        <w:tc>
          <w:tcPr>
            <w:tcW w:w="1080" w:type="dxa"/>
            <w:vAlign w:val="bottom"/>
            <w:tcBorders>
              <w:bottom w:val="single" w:sz="8" w:color="FFC000"/>
            </w:tcBorders>
            <w:shd w:val="clear" w:color="auto" w:fill="FFC000"/>
          </w:tcPr>
          <w:p>
            <w:pPr>
              <w:jc w:val="right"/>
              <w:ind w:right="4"/>
              <w:spacing w:after="0" w:line="161" w:lineRule="exact"/>
              <w:rPr>
                <w:sz w:val="20"/>
                <w:szCs w:val="20"/>
                <w:color w:val="auto"/>
              </w:rPr>
            </w:pPr>
            <w:r>
              <w:rPr>
                <w:rFonts w:ascii="Arial" w:cs="Arial" w:eastAsia="Arial" w:hAnsi="Arial"/>
                <w:sz w:val="15"/>
                <w:szCs w:val="15"/>
                <w:b w:val="1"/>
                <w:bCs w:val="1"/>
                <w:color w:val="auto"/>
              </w:rPr>
              <w:t>Print</w:t>
            </w:r>
          </w:p>
        </w:tc>
        <w:tc>
          <w:tcPr>
            <w:tcW w:w="480" w:type="dxa"/>
            <w:vAlign w:val="bottom"/>
            <w:tcBorders>
              <w:bottom w:val="single" w:sz="8" w:color="FFC000"/>
            </w:tcBorders>
            <w:shd w:val="clear" w:color="auto" w:fill="FFC000"/>
          </w:tcPr>
          <w:p>
            <w:pPr>
              <w:spacing w:after="0"/>
              <w:rPr>
                <w:sz w:val="14"/>
                <w:szCs w:val="14"/>
                <w:color w:val="auto"/>
              </w:rPr>
            </w:pPr>
          </w:p>
        </w:tc>
        <w:tc>
          <w:tcPr>
            <w:tcW w:w="1160" w:type="dxa"/>
            <w:vAlign w:val="bottom"/>
            <w:tcBorders>
              <w:bottom w:val="single" w:sz="8" w:color="FFC000"/>
            </w:tcBorders>
            <w:shd w:val="clear" w:color="auto" w:fill="FFC000"/>
          </w:tcPr>
          <w:p>
            <w:pPr>
              <w:jc w:val="center"/>
              <w:ind w:left="284"/>
              <w:spacing w:after="0" w:line="161" w:lineRule="exact"/>
              <w:rPr>
                <w:sz w:val="20"/>
                <w:szCs w:val="20"/>
                <w:color w:val="auto"/>
              </w:rPr>
            </w:pPr>
            <w:r>
              <w:rPr>
                <w:rFonts w:ascii="Arial" w:cs="Arial" w:eastAsia="Arial" w:hAnsi="Arial"/>
                <w:sz w:val="15"/>
                <w:szCs w:val="15"/>
                <w:b w:val="1"/>
                <w:bCs w:val="1"/>
                <w:color w:val="auto"/>
              </w:rPr>
              <w:t>Chemicals</w:t>
            </w:r>
          </w:p>
        </w:tc>
        <w:tc>
          <w:tcPr>
            <w:tcW w:w="340" w:type="dxa"/>
            <w:vAlign w:val="bottom"/>
            <w:tcBorders>
              <w:bottom w:val="single" w:sz="8" w:color="FFC000"/>
            </w:tcBorders>
            <w:shd w:val="clear" w:color="auto" w:fill="FFC000"/>
          </w:tcPr>
          <w:p>
            <w:pPr>
              <w:spacing w:after="0"/>
              <w:rPr>
                <w:sz w:val="14"/>
                <w:szCs w:val="14"/>
                <w:color w:val="auto"/>
              </w:rPr>
            </w:pPr>
          </w:p>
        </w:tc>
        <w:tc>
          <w:tcPr>
            <w:tcW w:w="1140" w:type="dxa"/>
            <w:vAlign w:val="bottom"/>
            <w:tcBorders>
              <w:bottom w:val="single" w:sz="8" w:color="FFC000"/>
            </w:tcBorders>
            <w:shd w:val="clear" w:color="auto" w:fill="FFC000"/>
          </w:tcPr>
          <w:p>
            <w:pPr>
              <w:jc w:val="right"/>
              <w:ind w:right="64"/>
              <w:spacing w:after="0" w:line="161" w:lineRule="exact"/>
              <w:rPr>
                <w:sz w:val="20"/>
                <w:szCs w:val="20"/>
                <w:color w:val="auto"/>
              </w:rPr>
            </w:pPr>
            <w:r>
              <w:rPr>
                <w:rFonts w:ascii="Arial" w:cs="Arial" w:eastAsia="Arial" w:hAnsi="Arial"/>
                <w:sz w:val="15"/>
                <w:szCs w:val="15"/>
                <w:b w:val="1"/>
                <w:bCs w:val="1"/>
                <w:color w:val="auto"/>
              </w:rPr>
              <w:t>Brand</w:t>
            </w:r>
          </w:p>
        </w:tc>
        <w:tc>
          <w:tcPr>
            <w:tcW w:w="400" w:type="dxa"/>
            <w:vAlign w:val="bottom"/>
            <w:tcBorders>
              <w:bottom w:val="single" w:sz="8" w:color="FFC000"/>
            </w:tcBorders>
            <w:shd w:val="clear" w:color="auto" w:fill="FFC000"/>
          </w:tcPr>
          <w:p>
            <w:pPr>
              <w:spacing w:after="0"/>
              <w:rPr>
                <w:sz w:val="14"/>
                <w:szCs w:val="14"/>
                <w:color w:val="auto"/>
              </w:rPr>
            </w:pPr>
          </w:p>
        </w:tc>
        <w:tc>
          <w:tcPr>
            <w:tcW w:w="400" w:type="dxa"/>
            <w:vAlign w:val="bottom"/>
            <w:tcBorders>
              <w:bottom w:val="single" w:sz="8" w:color="FFC000"/>
            </w:tcBorders>
            <w:shd w:val="clear" w:color="auto" w:fill="FFC000"/>
          </w:tcPr>
          <w:p>
            <w:pPr>
              <w:spacing w:after="0"/>
              <w:rPr>
                <w:sz w:val="14"/>
                <w:szCs w:val="14"/>
                <w:color w:val="auto"/>
              </w:rPr>
            </w:pPr>
          </w:p>
        </w:tc>
        <w:tc>
          <w:tcPr>
            <w:tcW w:w="1100" w:type="dxa"/>
            <w:vAlign w:val="bottom"/>
            <w:tcBorders>
              <w:bottom w:val="single" w:sz="8" w:color="FFC000"/>
            </w:tcBorders>
            <w:shd w:val="clear" w:color="auto" w:fill="FFC000"/>
          </w:tcPr>
          <w:p>
            <w:pPr>
              <w:jc w:val="right"/>
              <w:ind w:right="484"/>
              <w:spacing w:after="0" w:line="161" w:lineRule="exact"/>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43"/>
        </w:trPr>
        <w:tc>
          <w:tcPr>
            <w:tcW w:w="5140" w:type="dxa"/>
            <w:vAlign w:val="bottom"/>
          </w:tcPr>
          <w:p>
            <w:pPr>
              <w:spacing w:after="0" w:line="143" w:lineRule="exact"/>
              <w:rPr>
                <w:sz w:val="20"/>
                <w:szCs w:val="20"/>
                <w:color w:val="auto"/>
              </w:rPr>
            </w:pPr>
            <w:r>
              <w:rPr>
                <w:rFonts w:ascii="Arial" w:cs="Arial" w:eastAsia="Arial" w:hAnsi="Arial"/>
                <w:sz w:val="15"/>
                <w:szCs w:val="15"/>
                <w:b w:val="1"/>
                <w:bCs w:val="1"/>
                <w:color w:val="auto"/>
              </w:rPr>
              <w:t>Revenue</w:t>
            </w:r>
          </w:p>
        </w:tc>
        <w:tc>
          <w:tcPr>
            <w:tcW w:w="1080" w:type="dxa"/>
            <w:vAlign w:val="bottom"/>
          </w:tcPr>
          <w:p>
            <w:pPr>
              <w:jc w:val="right"/>
              <w:ind w:right="684"/>
              <w:spacing w:after="0" w:line="143" w:lineRule="exact"/>
              <w:rPr>
                <w:sz w:val="20"/>
                <w:szCs w:val="20"/>
                <w:color w:val="auto"/>
              </w:rPr>
            </w:pPr>
            <w:r>
              <w:rPr>
                <w:rFonts w:ascii="Arial" w:cs="Arial" w:eastAsia="Arial" w:hAnsi="Arial"/>
                <w:sz w:val="15"/>
                <w:szCs w:val="15"/>
                <w:b w:val="1"/>
                <w:bCs w:val="1"/>
                <w:color w:val="auto"/>
              </w:rPr>
              <w:t>$</w:t>
            </w:r>
          </w:p>
        </w:tc>
        <w:tc>
          <w:tcPr>
            <w:tcW w:w="480" w:type="dxa"/>
            <w:vAlign w:val="bottom"/>
          </w:tcPr>
          <w:p>
            <w:pPr>
              <w:jc w:val="right"/>
              <w:ind w:right="84"/>
              <w:spacing w:after="0" w:line="143" w:lineRule="exact"/>
              <w:rPr>
                <w:sz w:val="20"/>
                <w:szCs w:val="20"/>
                <w:color w:val="auto"/>
              </w:rPr>
            </w:pPr>
            <w:r>
              <w:rPr>
                <w:rFonts w:ascii="Arial" w:cs="Arial" w:eastAsia="Arial" w:hAnsi="Arial"/>
                <w:sz w:val="15"/>
                <w:szCs w:val="15"/>
                <w:b w:val="1"/>
                <w:bCs w:val="1"/>
                <w:color w:val="auto"/>
              </w:rPr>
              <w:t>3</w:t>
            </w:r>
          </w:p>
        </w:tc>
        <w:tc>
          <w:tcPr>
            <w:tcW w:w="1160" w:type="dxa"/>
            <w:vAlign w:val="bottom"/>
          </w:tcPr>
          <w:p>
            <w:pPr>
              <w:jc w:val="right"/>
              <w:ind w:right="844"/>
              <w:spacing w:after="0" w:line="143" w:lineRule="exact"/>
              <w:rPr>
                <w:sz w:val="20"/>
                <w:szCs w:val="20"/>
                <w:color w:val="auto"/>
              </w:rPr>
            </w:pPr>
            <w:r>
              <w:rPr>
                <w:rFonts w:ascii="Arial" w:cs="Arial" w:eastAsia="Arial" w:hAnsi="Arial"/>
                <w:sz w:val="15"/>
                <w:szCs w:val="15"/>
                <w:b w:val="1"/>
                <w:bCs w:val="1"/>
                <w:color w:val="auto"/>
              </w:rPr>
              <w:t>$</w:t>
            </w:r>
          </w:p>
        </w:tc>
        <w:tc>
          <w:tcPr>
            <w:tcW w:w="340" w:type="dxa"/>
            <w:vAlign w:val="bottom"/>
          </w:tcPr>
          <w:p>
            <w:pPr>
              <w:jc w:val="right"/>
              <w:ind w:right="64"/>
              <w:spacing w:after="0" w:line="143" w:lineRule="exact"/>
              <w:rPr>
                <w:sz w:val="20"/>
                <w:szCs w:val="20"/>
                <w:color w:val="auto"/>
              </w:rPr>
            </w:pPr>
            <w:r>
              <w:rPr>
                <w:rFonts w:ascii="Arial" w:cs="Arial" w:eastAsia="Arial" w:hAnsi="Arial"/>
                <w:sz w:val="15"/>
                <w:szCs w:val="15"/>
                <w:b w:val="1"/>
                <w:bCs w:val="1"/>
                <w:color w:val="auto"/>
              </w:rPr>
              <w:t>17</w:t>
            </w:r>
          </w:p>
        </w:tc>
        <w:tc>
          <w:tcPr>
            <w:tcW w:w="1140" w:type="dxa"/>
            <w:vAlign w:val="bottom"/>
          </w:tcPr>
          <w:p>
            <w:pPr>
              <w:jc w:val="right"/>
              <w:ind w:right="824"/>
              <w:spacing w:after="0" w:line="143" w:lineRule="exact"/>
              <w:rPr>
                <w:sz w:val="20"/>
                <w:szCs w:val="20"/>
                <w:color w:val="auto"/>
              </w:rPr>
            </w:pPr>
            <w:r>
              <w:rPr>
                <w:rFonts w:ascii="Arial" w:cs="Arial" w:eastAsia="Arial" w:hAnsi="Arial"/>
                <w:sz w:val="15"/>
                <w:szCs w:val="15"/>
                <w:b w:val="1"/>
                <w:bCs w:val="1"/>
                <w:color w:val="auto"/>
              </w:rPr>
              <w:t>$</w:t>
            </w:r>
          </w:p>
        </w:tc>
        <w:tc>
          <w:tcPr>
            <w:tcW w:w="400" w:type="dxa"/>
            <w:vAlign w:val="bottom"/>
          </w:tcPr>
          <w:p>
            <w:pPr>
              <w:jc w:val="right"/>
              <w:ind w:right="84"/>
              <w:spacing w:after="0" w:line="143" w:lineRule="exact"/>
              <w:rPr>
                <w:sz w:val="20"/>
                <w:szCs w:val="20"/>
                <w:color w:val="auto"/>
              </w:rPr>
            </w:pPr>
            <w:r>
              <w:rPr>
                <w:rFonts w:ascii="Arial" w:cs="Arial" w:eastAsia="Arial" w:hAnsi="Arial"/>
                <w:sz w:val="15"/>
                <w:szCs w:val="15"/>
                <w:b w:val="1"/>
                <w:bCs w:val="1"/>
                <w:color w:val="auto"/>
              </w:rPr>
              <w:t>-</w:t>
            </w:r>
          </w:p>
        </w:tc>
        <w:tc>
          <w:tcPr>
            <w:tcW w:w="400" w:type="dxa"/>
            <w:vAlign w:val="bottom"/>
          </w:tcPr>
          <w:p>
            <w:pPr>
              <w:jc w:val="right"/>
              <w:ind w:right="84"/>
              <w:spacing w:after="0" w:line="143" w:lineRule="exact"/>
              <w:rPr>
                <w:sz w:val="20"/>
                <w:szCs w:val="20"/>
                <w:color w:val="auto"/>
              </w:rPr>
            </w:pPr>
            <w:r>
              <w:rPr>
                <w:rFonts w:ascii="Arial" w:cs="Arial" w:eastAsia="Arial" w:hAnsi="Arial"/>
                <w:sz w:val="15"/>
                <w:szCs w:val="15"/>
                <w:b w:val="1"/>
                <w:bCs w:val="1"/>
                <w:color w:val="auto"/>
              </w:rPr>
              <w:t>$</w:t>
            </w:r>
          </w:p>
        </w:tc>
        <w:tc>
          <w:tcPr>
            <w:tcW w:w="1100" w:type="dxa"/>
            <w:vAlign w:val="bottom"/>
          </w:tcPr>
          <w:p>
            <w:pPr>
              <w:jc w:val="right"/>
              <w:ind w:right="64"/>
              <w:spacing w:after="0" w:line="143" w:lineRule="exact"/>
              <w:rPr>
                <w:sz w:val="20"/>
                <w:szCs w:val="20"/>
                <w:color w:val="auto"/>
              </w:rPr>
            </w:pPr>
            <w:r>
              <w:rPr>
                <w:rFonts w:ascii="Arial" w:cs="Arial" w:eastAsia="Arial" w:hAnsi="Arial"/>
                <w:sz w:val="15"/>
                <w:szCs w:val="15"/>
                <w:b w:val="1"/>
                <w:bCs w:val="1"/>
                <w:color w:val="auto"/>
              </w:rPr>
              <w:t>20</w:t>
            </w:r>
          </w:p>
        </w:tc>
        <w:tc>
          <w:tcPr>
            <w:tcW w:w="0" w:type="dxa"/>
            <w:vAlign w:val="bottom"/>
          </w:tcPr>
          <w:p>
            <w:pPr>
              <w:spacing w:after="0"/>
              <w:rPr>
                <w:sz w:val="1"/>
                <w:szCs w:val="1"/>
                <w:color w:val="auto"/>
              </w:rPr>
            </w:pPr>
          </w:p>
        </w:tc>
      </w:tr>
      <w:tr>
        <w:trPr>
          <w:trHeight w:val="210"/>
        </w:trPr>
        <w:tc>
          <w:tcPr>
            <w:tcW w:w="5140" w:type="dxa"/>
            <w:vAlign w:val="bottom"/>
          </w:tcPr>
          <w:p>
            <w:pPr>
              <w:spacing w:after="0"/>
              <w:rPr>
                <w:sz w:val="20"/>
                <w:szCs w:val="20"/>
                <w:color w:val="auto"/>
              </w:rPr>
            </w:pPr>
            <w:r>
              <w:rPr>
                <w:rFonts w:ascii="Arial" w:cs="Arial" w:eastAsia="Arial" w:hAnsi="Arial"/>
                <w:sz w:val="15"/>
                <w:szCs w:val="15"/>
                <w:b w:val="1"/>
                <w:bCs w:val="1"/>
                <w:color w:val="auto"/>
              </w:rPr>
              <w:t>Operational EBITDA *</w:t>
            </w:r>
          </w:p>
        </w:tc>
        <w:tc>
          <w:tcPr>
            <w:tcW w:w="1080" w:type="dxa"/>
            <w:vAlign w:val="bottom"/>
          </w:tcPr>
          <w:p>
            <w:pPr>
              <w:jc w:val="right"/>
              <w:ind w:right="684"/>
              <w:spacing w:after="0"/>
              <w:rPr>
                <w:sz w:val="20"/>
                <w:szCs w:val="20"/>
                <w:color w:val="auto"/>
              </w:rPr>
            </w:pPr>
            <w:r>
              <w:rPr>
                <w:rFonts w:ascii="Arial" w:cs="Arial" w:eastAsia="Arial" w:hAnsi="Arial"/>
                <w:sz w:val="15"/>
                <w:szCs w:val="15"/>
                <w:b w:val="1"/>
                <w:bCs w:val="1"/>
                <w:color w:val="auto"/>
              </w:rPr>
              <w:t>$</w:t>
            </w:r>
          </w:p>
        </w:tc>
        <w:tc>
          <w:tcPr>
            <w:tcW w:w="480" w:type="dxa"/>
            <w:vAlign w:val="bottom"/>
          </w:tcPr>
          <w:p>
            <w:pPr>
              <w:jc w:val="right"/>
              <w:ind w:right="84"/>
              <w:spacing w:after="0"/>
              <w:rPr>
                <w:sz w:val="20"/>
                <w:szCs w:val="20"/>
                <w:color w:val="auto"/>
              </w:rPr>
            </w:pPr>
            <w:r>
              <w:rPr>
                <w:rFonts w:ascii="Arial" w:cs="Arial" w:eastAsia="Arial" w:hAnsi="Arial"/>
                <w:sz w:val="15"/>
                <w:szCs w:val="15"/>
                <w:b w:val="1"/>
                <w:bCs w:val="1"/>
                <w:color w:val="auto"/>
              </w:rPr>
              <w:t>7</w:t>
            </w:r>
          </w:p>
        </w:tc>
        <w:tc>
          <w:tcPr>
            <w:tcW w:w="1160" w:type="dxa"/>
            <w:vAlign w:val="bottom"/>
          </w:tcPr>
          <w:p>
            <w:pPr>
              <w:jc w:val="right"/>
              <w:ind w:right="844"/>
              <w:spacing w:after="0"/>
              <w:rPr>
                <w:sz w:val="20"/>
                <w:szCs w:val="20"/>
                <w:color w:val="auto"/>
              </w:rPr>
            </w:pPr>
            <w:r>
              <w:rPr>
                <w:rFonts w:ascii="Arial" w:cs="Arial" w:eastAsia="Arial" w:hAnsi="Arial"/>
                <w:sz w:val="15"/>
                <w:szCs w:val="15"/>
                <w:b w:val="1"/>
                <w:bCs w:val="1"/>
                <w:color w:val="auto"/>
              </w:rPr>
              <w:t>$</w:t>
            </w:r>
          </w:p>
        </w:tc>
        <w:tc>
          <w:tcPr>
            <w:tcW w:w="340" w:type="dxa"/>
            <w:vAlign w:val="bottom"/>
          </w:tcPr>
          <w:p>
            <w:pPr>
              <w:jc w:val="right"/>
              <w:ind w:right="64"/>
              <w:spacing w:after="0"/>
              <w:rPr>
                <w:sz w:val="20"/>
                <w:szCs w:val="20"/>
                <w:color w:val="auto"/>
              </w:rPr>
            </w:pPr>
            <w:r>
              <w:rPr>
                <w:rFonts w:ascii="Arial" w:cs="Arial" w:eastAsia="Arial" w:hAnsi="Arial"/>
                <w:sz w:val="15"/>
                <w:szCs w:val="15"/>
                <w:b w:val="1"/>
                <w:bCs w:val="1"/>
                <w:color w:val="auto"/>
              </w:rPr>
              <w:t>6</w:t>
            </w:r>
          </w:p>
        </w:tc>
        <w:tc>
          <w:tcPr>
            <w:tcW w:w="1140" w:type="dxa"/>
            <w:vAlign w:val="bottom"/>
          </w:tcPr>
          <w:p>
            <w:pPr>
              <w:jc w:val="right"/>
              <w:ind w:right="824"/>
              <w:spacing w:after="0"/>
              <w:rPr>
                <w:sz w:val="20"/>
                <w:szCs w:val="20"/>
                <w:color w:val="auto"/>
              </w:rPr>
            </w:pPr>
            <w:r>
              <w:rPr>
                <w:rFonts w:ascii="Arial" w:cs="Arial" w:eastAsia="Arial" w:hAnsi="Arial"/>
                <w:sz w:val="15"/>
                <w:szCs w:val="15"/>
                <w:b w:val="1"/>
                <w:bCs w:val="1"/>
                <w:color w:val="auto"/>
              </w:rPr>
              <w:t>$</w:t>
            </w:r>
          </w:p>
        </w:tc>
        <w:tc>
          <w:tcPr>
            <w:tcW w:w="400" w:type="dxa"/>
            <w:vAlign w:val="bottom"/>
          </w:tcPr>
          <w:p>
            <w:pPr>
              <w:jc w:val="right"/>
              <w:ind w:right="84"/>
              <w:spacing w:after="0"/>
              <w:rPr>
                <w:sz w:val="20"/>
                <w:szCs w:val="20"/>
                <w:color w:val="auto"/>
              </w:rPr>
            </w:pPr>
            <w:r>
              <w:rPr>
                <w:rFonts w:ascii="Arial" w:cs="Arial" w:eastAsia="Arial" w:hAnsi="Arial"/>
                <w:sz w:val="15"/>
                <w:szCs w:val="15"/>
                <w:b w:val="1"/>
                <w:bCs w:val="1"/>
                <w:color w:val="auto"/>
              </w:rPr>
              <w:t>-</w:t>
            </w:r>
          </w:p>
        </w:tc>
        <w:tc>
          <w:tcPr>
            <w:tcW w:w="400" w:type="dxa"/>
            <w:vAlign w:val="bottom"/>
          </w:tcPr>
          <w:p>
            <w:pPr>
              <w:jc w:val="right"/>
              <w:ind w:right="84"/>
              <w:spacing w:after="0"/>
              <w:rPr>
                <w:sz w:val="20"/>
                <w:szCs w:val="20"/>
                <w:color w:val="auto"/>
              </w:rPr>
            </w:pPr>
            <w:r>
              <w:rPr>
                <w:rFonts w:ascii="Arial" w:cs="Arial" w:eastAsia="Arial" w:hAnsi="Arial"/>
                <w:sz w:val="15"/>
                <w:szCs w:val="15"/>
                <w:b w:val="1"/>
                <w:bCs w:val="1"/>
                <w:color w:val="auto"/>
              </w:rPr>
              <w:t>$</w:t>
            </w:r>
          </w:p>
        </w:tc>
        <w:tc>
          <w:tcPr>
            <w:tcW w:w="1100" w:type="dxa"/>
            <w:vAlign w:val="bottom"/>
          </w:tcPr>
          <w:p>
            <w:pPr>
              <w:jc w:val="right"/>
              <w:ind w:right="64"/>
              <w:spacing w:after="0"/>
              <w:rPr>
                <w:sz w:val="20"/>
                <w:szCs w:val="20"/>
                <w:color w:val="auto"/>
              </w:rPr>
            </w:pPr>
            <w:r>
              <w:rPr>
                <w:rFonts w:ascii="Arial" w:cs="Arial" w:eastAsia="Arial" w:hAnsi="Arial"/>
                <w:sz w:val="15"/>
                <w:szCs w:val="15"/>
                <w:b w:val="1"/>
                <w:bCs w:val="1"/>
                <w:color w:val="auto"/>
              </w:rPr>
              <w:t>13</w:t>
            </w:r>
          </w:p>
        </w:tc>
        <w:tc>
          <w:tcPr>
            <w:tcW w:w="0" w:type="dxa"/>
            <w:vAlign w:val="bottom"/>
          </w:tcPr>
          <w:p>
            <w:pPr>
              <w:spacing w:after="0"/>
              <w:rPr>
                <w:sz w:val="1"/>
                <w:szCs w:val="1"/>
                <w:color w:val="auto"/>
              </w:rPr>
            </w:pPr>
          </w:p>
        </w:tc>
      </w:tr>
    </w:tbl>
    <w:p>
      <w:pPr>
        <w:spacing w:after="0" w:line="2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Revenue and Operational EBITDA by Reportable Segment FY 2025 vs. FY 2024</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5040" w:type="dxa"/>
            <w:vAlign w:val="bottom"/>
          </w:tcPr>
          <w:p>
            <w:pPr>
              <w:spacing w:after="0"/>
              <w:rPr>
                <w:sz w:val="20"/>
                <w:szCs w:val="20"/>
                <w:color w:val="auto"/>
              </w:rPr>
            </w:pPr>
            <w:r>
              <w:rPr>
                <w:rFonts w:ascii="Arial" w:cs="Arial" w:eastAsia="Arial" w:hAnsi="Arial"/>
                <w:sz w:val="15"/>
                <w:szCs w:val="15"/>
                <w:color w:val="auto"/>
              </w:rPr>
              <w:t>(in millions)</w:t>
            </w:r>
          </w:p>
        </w:tc>
        <w:tc>
          <w:tcPr>
            <w:tcW w:w="10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5040" w:type="dxa"/>
            <w:vAlign w:val="bottom"/>
            <w:vMerge w:val="restart"/>
            <w:shd w:val="clear" w:color="auto" w:fill="FFC000"/>
          </w:tcPr>
          <w:p>
            <w:pPr>
              <w:jc w:val="center"/>
              <w:ind w:left="124"/>
              <w:spacing w:after="0"/>
              <w:rPr>
                <w:sz w:val="20"/>
                <w:szCs w:val="20"/>
                <w:color w:val="auto"/>
              </w:rPr>
            </w:pPr>
            <w:r>
              <w:rPr>
                <w:rFonts w:ascii="Arial" w:cs="Arial" w:eastAsia="Arial" w:hAnsi="Arial"/>
                <w:sz w:val="15"/>
                <w:szCs w:val="15"/>
                <w:b w:val="1"/>
                <w:bCs w:val="1"/>
                <w:color w:val="auto"/>
              </w:rPr>
              <w:t>FY 2025 Actuals</w:t>
            </w:r>
          </w:p>
        </w:tc>
        <w:tc>
          <w:tcPr>
            <w:tcW w:w="1060" w:type="dxa"/>
            <w:vAlign w:val="bottom"/>
            <w:shd w:val="clear" w:color="auto" w:fill="FFC000"/>
          </w:tcPr>
          <w:p>
            <w:pPr>
              <w:spacing w:after="0"/>
              <w:rPr>
                <w:sz w:val="12"/>
                <w:szCs w:val="12"/>
                <w:color w:val="auto"/>
              </w:rPr>
            </w:pPr>
          </w:p>
        </w:tc>
        <w:tc>
          <w:tcPr>
            <w:tcW w:w="540" w:type="dxa"/>
            <w:vAlign w:val="bottom"/>
            <w:shd w:val="clear" w:color="auto" w:fill="FFC000"/>
          </w:tcPr>
          <w:p>
            <w:pPr>
              <w:spacing w:after="0"/>
              <w:rPr>
                <w:sz w:val="12"/>
                <w:szCs w:val="12"/>
                <w:color w:val="auto"/>
              </w:rPr>
            </w:pPr>
          </w:p>
        </w:tc>
        <w:tc>
          <w:tcPr>
            <w:tcW w:w="260" w:type="dxa"/>
            <w:vAlign w:val="bottom"/>
            <w:shd w:val="clear" w:color="auto" w:fill="FFC000"/>
          </w:tcPr>
          <w:p>
            <w:pPr>
              <w:spacing w:after="0"/>
              <w:rPr>
                <w:sz w:val="12"/>
                <w:szCs w:val="12"/>
                <w:color w:val="auto"/>
              </w:rPr>
            </w:pPr>
          </w:p>
        </w:tc>
        <w:tc>
          <w:tcPr>
            <w:tcW w:w="1240" w:type="dxa"/>
            <w:vAlign w:val="bottom"/>
            <w:shd w:val="clear" w:color="auto" w:fill="FFC000"/>
          </w:tcPr>
          <w:p>
            <w:pPr>
              <w:jc w:val="right"/>
              <w:ind w:right="344"/>
              <w:spacing w:after="0" w:line="143" w:lineRule="exact"/>
              <w:rPr>
                <w:sz w:val="20"/>
                <w:szCs w:val="20"/>
                <w:color w:val="auto"/>
              </w:rPr>
            </w:pPr>
            <w:r>
              <w:rPr>
                <w:rFonts w:ascii="Arial" w:cs="Arial" w:eastAsia="Arial" w:hAnsi="Arial"/>
                <w:sz w:val="15"/>
                <w:szCs w:val="15"/>
                <w:b w:val="1"/>
                <w:bCs w:val="1"/>
                <w:color w:val="auto"/>
              </w:rPr>
              <w:t>Advanced</w:t>
            </w:r>
          </w:p>
        </w:tc>
        <w:tc>
          <w:tcPr>
            <w:tcW w:w="400" w:type="dxa"/>
            <w:vAlign w:val="bottom"/>
            <w:shd w:val="clear" w:color="auto" w:fill="FFC000"/>
          </w:tcPr>
          <w:p>
            <w:pPr>
              <w:spacing w:after="0"/>
              <w:rPr>
                <w:sz w:val="12"/>
                <w:szCs w:val="12"/>
                <w:color w:val="auto"/>
              </w:rPr>
            </w:pPr>
          </w:p>
        </w:tc>
        <w:tc>
          <w:tcPr>
            <w:tcW w:w="1160" w:type="dxa"/>
            <w:vAlign w:val="bottom"/>
            <w:shd w:val="clear" w:color="auto" w:fill="FFC000"/>
          </w:tcPr>
          <w:p>
            <w:pPr>
              <w:spacing w:after="0"/>
              <w:rPr>
                <w:sz w:val="12"/>
                <w:szCs w:val="12"/>
                <w:color w:val="auto"/>
              </w:rPr>
            </w:pPr>
          </w:p>
        </w:tc>
        <w:tc>
          <w:tcPr>
            <w:tcW w:w="420" w:type="dxa"/>
            <w:vAlign w:val="bottom"/>
            <w:shd w:val="clear" w:color="auto" w:fill="FFC000"/>
          </w:tcPr>
          <w:p>
            <w:pPr>
              <w:spacing w:after="0"/>
              <w:rPr>
                <w:sz w:val="12"/>
                <w:szCs w:val="12"/>
                <w:color w:val="auto"/>
              </w:rPr>
            </w:pPr>
          </w:p>
        </w:tc>
        <w:tc>
          <w:tcPr>
            <w:tcW w:w="1120" w:type="dxa"/>
            <w:vAlign w:val="bottom"/>
            <w:shd w:val="clear" w:color="auto" w:fill="FFC000"/>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040" w:type="dxa"/>
            <w:vAlign w:val="bottom"/>
            <w:vMerge w:val="continue"/>
            <w:shd w:val="clear" w:color="auto" w:fill="FFC000"/>
          </w:tcPr>
          <w:p>
            <w:pPr>
              <w:spacing w:after="0"/>
              <w:rPr>
                <w:sz w:val="14"/>
                <w:szCs w:val="14"/>
                <w:color w:val="auto"/>
              </w:rPr>
            </w:pPr>
          </w:p>
        </w:tc>
        <w:tc>
          <w:tcPr>
            <w:tcW w:w="1060" w:type="dxa"/>
            <w:vAlign w:val="bottom"/>
            <w:vMerge w:val="restart"/>
            <w:shd w:val="clear" w:color="auto" w:fill="FFC000"/>
          </w:tcPr>
          <w:p>
            <w:pPr>
              <w:jc w:val="right"/>
              <w:ind w:right="4"/>
              <w:spacing w:after="0"/>
              <w:rPr>
                <w:sz w:val="20"/>
                <w:szCs w:val="20"/>
                <w:color w:val="auto"/>
              </w:rPr>
            </w:pPr>
            <w:r>
              <w:rPr>
                <w:rFonts w:ascii="Arial" w:cs="Arial" w:eastAsia="Arial" w:hAnsi="Arial"/>
                <w:sz w:val="15"/>
                <w:szCs w:val="15"/>
                <w:b w:val="1"/>
                <w:bCs w:val="1"/>
                <w:color w:val="auto"/>
              </w:rPr>
              <w:t>Print</w:t>
            </w:r>
          </w:p>
        </w:tc>
        <w:tc>
          <w:tcPr>
            <w:tcW w:w="540" w:type="dxa"/>
            <w:vAlign w:val="bottom"/>
            <w:shd w:val="clear" w:color="auto" w:fill="FFC000"/>
          </w:tcPr>
          <w:p>
            <w:pPr>
              <w:spacing w:after="0"/>
              <w:rPr>
                <w:sz w:val="14"/>
                <w:szCs w:val="14"/>
                <w:color w:val="auto"/>
              </w:rPr>
            </w:pPr>
          </w:p>
        </w:tc>
        <w:tc>
          <w:tcPr>
            <w:tcW w:w="260" w:type="dxa"/>
            <w:vAlign w:val="bottom"/>
            <w:shd w:val="clear" w:color="auto" w:fill="FFC000"/>
          </w:tcPr>
          <w:p>
            <w:pPr>
              <w:spacing w:after="0"/>
              <w:rPr>
                <w:sz w:val="14"/>
                <w:szCs w:val="14"/>
                <w:color w:val="auto"/>
              </w:rPr>
            </w:pPr>
          </w:p>
        </w:tc>
        <w:tc>
          <w:tcPr>
            <w:tcW w:w="1240" w:type="dxa"/>
            <w:vAlign w:val="bottom"/>
            <w:shd w:val="clear" w:color="auto" w:fill="FFC000"/>
          </w:tcPr>
          <w:p>
            <w:pPr>
              <w:jc w:val="center"/>
              <w:ind w:right="264"/>
              <w:spacing w:after="0" w:line="162" w:lineRule="exact"/>
              <w:rPr>
                <w:sz w:val="20"/>
                <w:szCs w:val="20"/>
                <w:color w:val="auto"/>
              </w:rPr>
            </w:pPr>
            <w:r>
              <w:rPr>
                <w:rFonts w:ascii="Arial" w:cs="Arial" w:eastAsia="Arial" w:hAnsi="Arial"/>
                <w:sz w:val="15"/>
                <w:szCs w:val="15"/>
                <w:b w:val="1"/>
                <w:bCs w:val="1"/>
                <w:color w:val="auto"/>
              </w:rPr>
              <w:t>Materials &amp;</w:t>
            </w:r>
          </w:p>
        </w:tc>
        <w:tc>
          <w:tcPr>
            <w:tcW w:w="400" w:type="dxa"/>
            <w:vAlign w:val="bottom"/>
            <w:shd w:val="clear" w:color="auto" w:fill="FFC000"/>
          </w:tcPr>
          <w:p>
            <w:pPr>
              <w:spacing w:after="0"/>
              <w:rPr>
                <w:sz w:val="14"/>
                <w:szCs w:val="14"/>
                <w:color w:val="auto"/>
              </w:rPr>
            </w:pPr>
          </w:p>
        </w:tc>
        <w:tc>
          <w:tcPr>
            <w:tcW w:w="1160" w:type="dxa"/>
            <w:vAlign w:val="bottom"/>
            <w:vMerge w:val="restart"/>
            <w:shd w:val="clear" w:color="auto" w:fill="FFC000"/>
          </w:tcPr>
          <w:p>
            <w:pPr>
              <w:jc w:val="right"/>
              <w:ind w:right="484"/>
              <w:spacing w:after="0"/>
              <w:rPr>
                <w:sz w:val="20"/>
                <w:szCs w:val="20"/>
                <w:color w:val="auto"/>
              </w:rPr>
            </w:pPr>
            <w:r>
              <w:rPr>
                <w:rFonts w:ascii="Arial" w:cs="Arial" w:eastAsia="Arial" w:hAnsi="Arial"/>
                <w:sz w:val="15"/>
                <w:szCs w:val="15"/>
                <w:b w:val="1"/>
                <w:bCs w:val="1"/>
                <w:color w:val="auto"/>
              </w:rPr>
              <w:t>Brand</w:t>
            </w:r>
          </w:p>
        </w:tc>
        <w:tc>
          <w:tcPr>
            <w:tcW w:w="420" w:type="dxa"/>
            <w:vAlign w:val="bottom"/>
            <w:shd w:val="clear" w:color="auto" w:fill="FFC000"/>
          </w:tcPr>
          <w:p>
            <w:pPr>
              <w:spacing w:after="0"/>
              <w:rPr>
                <w:sz w:val="14"/>
                <w:szCs w:val="14"/>
                <w:color w:val="auto"/>
              </w:rPr>
            </w:pPr>
          </w:p>
        </w:tc>
        <w:tc>
          <w:tcPr>
            <w:tcW w:w="1120" w:type="dxa"/>
            <w:vAlign w:val="bottom"/>
            <w:vMerge w:val="restart"/>
            <w:shd w:val="clear" w:color="auto" w:fill="FFC000"/>
          </w:tcPr>
          <w:p>
            <w:pPr>
              <w:jc w:val="right"/>
              <w:ind w:right="504"/>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81"/>
        </w:trPr>
        <w:tc>
          <w:tcPr>
            <w:tcW w:w="5040" w:type="dxa"/>
            <w:vAlign w:val="bottom"/>
            <w:shd w:val="clear" w:color="auto" w:fill="FFC000"/>
          </w:tcPr>
          <w:p>
            <w:pPr>
              <w:spacing w:after="0"/>
              <w:rPr>
                <w:sz w:val="15"/>
                <w:szCs w:val="15"/>
                <w:color w:val="auto"/>
              </w:rPr>
            </w:pPr>
          </w:p>
        </w:tc>
        <w:tc>
          <w:tcPr>
            <w:tcW w:w="1060" w:type="dxa"/>
            <w:vAlign w:val="bottom"/>
            <w:vMerge w:val="continue"/>
            <w:shd w:val="clear" w:color="auto" w:fill="FFC000"/>
          </w:tcPr>
          <w:p>
            <w:pPr>
              <w:spacing w:after="0"/>
              <w:rPr>
                <w:sz w:val="15"/>
                <w:szCs w:val="15"/>
                <w:color w:val="auto"/>
              </w:rPr>
            </w:pPr>
          </w:p>
        </w:tc>
        <w:tc>
          <w:tcPr>
            <w:tcW w:w="540" w:type="dxa"/>
            <w:vAlign w:val="bottom"/>
            <w:shd w:val="clear" w:color="auto" w:fill="FFC000"/>
          </w:tcPr>
          <w:p>
            <w:pPr>
              <w:spacing w:after="0"/>
              <w:rPr>
                <w:sz w:val="15"/>
                <w:szCs w:val="15"/>
                <w:color w:val="auto"/>
              </w:rPr>
            </w:pPr>
          </w:p>
        </w:tc>
        <w:tc>
          <w:tcPr>
            <w:tcW w:w="260" w:type="dxa"/>
            <w:vAlign w:val="bottom"/>
            <w:shd w:val="clear" w:color="auto" w:fill="FFC000"/>
          </w:tcPr>
          <w:p>
            <w:pPr>
              <w:spacing w:after="0"/>
              <w:rPr>
                <w:sz w:val="15"/>
                <w:szCs w:val="15"/>
                <w:color w:val="auto"/>
              </w:rPr>
            </w:pPr>
          </w:p>
        </w:tc>
        <w:tc>
          <w:tcPr>
            <w:tcW w:w="1240" w:type="dxa"/>
            <w:vAlign w:val="bottom"/>
            <w:shd w:val="clear" w:color="auto" w:fill="FFC000"/>
          </w:tcPr>
          <w:p>
            <w:pPr>
              <w:jc w:val="center"/>
              <w:ind w:right="204"/>
              <w:spacing w:after="0"/>
              <w:rPr>
                <w:sz w:val="20"/>
                <w:szCs w:val="20"/>
                <w:color w:val="auto"/>
              </w:rPr>
            </w:pPr>
            <w:r>
              <w:rPr>
                <w:rFonts w:ascii="Arial" w:cs="Arial" w:eastAsia="Arial" w:hAnsi="Arial"/>
                <w:sz w:val="15"/>
                <w:szCs w:val="15"/>
                <w:b w:val="1"/>
                <w:bCs w:val="1"/>
                <w:color w:val="auto"/>
              </w:rPr>
              <w:t>Chemicals</w:t>
            </w:r>
          </w:p>
        </w:tc>
        <w:tc>
          <w:tcPr>
            <w:tcW w:w="400" w:type="dxa"/>
            <w:vAlign w:val="bottom"/>
            <w:shd w:val="clear" w:color="auto" w:fill="FFC000"/>
          </w:tcPr>
          <w:p>
            <w:pPr>
              <w:spacing w:after="0"/>
              <w:rPr>
                <w:sz w:val="15"/>
                <w:szCs w:val="15"/>
                <w:color w:val="auto"/>
              </w:rPr>
            </w:pPr>
          </w:p>
        </w:tc>
        <w:tc>
          <w:tcPr>
            <w:tcW w:w="1160" w:type="dxa"/>
            <w:vAlign w:val="bottom"/>
            <w:vMerge w:val="continue"/>
            <w:shd w:val="clear" w:color="auto" w:fill="FFC000"/>
          </w:tcPr>
          <w:p>
            <w:pPr>
              <w:spacing w:after="0"/>
              <w:rPr>
                <w:sz w:val="15"/>
                <w:szCs w:val="15"/>
                <w:color w:val="auto"/>
              </w:rPr>
            </w:pPr>
          </w:p>
        </w:tc>
        <w:tc>
          <w:tcPr>
            <w:tcW w:w="420" w:type="dxa"/>
            <w:vAlign w:val="bottom"/>
            <w:shd w:val="clear" w:color="auto" w:fill="FFC000"/>
          </w:tcPr>
          <w:p>
            <w:pPr>
              <w:spacing w:after="0"/>
              <w:rPr>
                <w:sz w:val="15"/>
                <w:szCs w:val="15"/>
                <w:color w:val="auto"/>
              </w:rPr>
            </w:pPr>
          </w:p>
        </w:tc>
        <w:tc>
          <w:tcPr>
            <w:tcW w:w="1120" w:type="dxa"/>
            <w:vAlign w:val="bottom"/>
            <w:vMerge w:val="continue"/>
            <w:shd w:val="clear" w:color="auto" w:fill="FFC000"/>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5040" w:type="dxa"/>
            <w:vAlign w:val="bottom"/>
          </w:tcPr>
          <w:p>
            <w:pPr>
              <w:spacing w:after="0" w:line="143" w:lineRule="exact"/>
              <w:rPr>
                <w:sz w:val="20"/>
                <w:szCs w:val="20"/>
                <w:color w:val="auto"/>
              </w:rPr>
            </w:pPr>
            <w:r>
              <w:rPr>
                <w:rFonts w:ascii="Arial" w:cs="Arial" w:eastAsia="Arial" w:hAnsi="Arial"/>
                <w:sz w:val="15"/>
                <w:szCs w:val="15"/>
                <w:b w:val="1"/>
                <w:bCs w:val="1"/>
                <w:color w:val="auto"/>
              </w:rPr>
              <w:t>Revenue</w:t>
            </w:r>
          </w:p>
        </w:tc>
        <w:tc>
          <w:tcPr>
            <w:tcW w:w="1060" w:type="dxa"/>
            <w:vAlign w:val="bottom"/>
          </w:tcPr>
          <w:p>
            <w:pPr>
              <w:jc w:val="right"/>
              <w:ind w:right="684"/>
              <w:spacing w:after="0" w:line="143" w:lineRule="exact"/>
              <w:rPr>
                <w:sz w:val="20"/>
                <w:szCs w:val="20"/>
                <w:color w:val="auto"/>
              </w:rPr>
            </w:pPr>
            <w:r>
              <w:rPr>
                <w:rFonts w:ascii="Arial" w:cs="Arial" w:eastAsia="Arial" w:hAnsi="Arial"/>
                <w:sz w:val="15"/>
                <w:szCs w:val="15"/>
                <w:b w:val="1"/>
                <w:bCs w:val="1"/>
                <w:color w:val="auto"/>
              </w:rPr>
              <w:t>$</w:t>
            </w:r>
          </w:p>
        </w:tc>
        <w:tc>
          <w:tcPr>
            <w:tcW w:w="540" w:type="dxa"/>
            <w:vAlign w:val="bottom"/>
          </w:tcPr>
          <w:p>
            <w:pPr>
              <w:jc w:val="right"/>
              <w:ind w:right="124"/>
              <w:spacing w:after="0" w:line="143" w:lineRule="exact"/>
              <w:rPr>
                <w:sz w:val="20"/>
                <w:szCs w:val="20"/>
                <w:color w:val="auto"/>
              </w:rPr>
            </w:pPr>
            <w:r>
              <w:rPr>
                <w:rFonts w:ascii="Arial" w:cs="Arial" w:eastAsia="Arial" w:hAnsi="Arial"/>
                <w:sz w:val="15"/>
                <w:szCs w:val="15"/>
                <w:b w:val="1"/>
                <w:bCs w:val="1"/>
                <w:color w:val="auto"/>
              </w:rPr>
              <w:t>715</w:t>
            </w:r>
          </w:p>
        </w:tc>
        <w:tc>
          <w:tcPr>
            <w:tcW w:w="260" w:type="dxa"/>
            <w:vAlign w:val="bottom"/>
          </w:tcPr>
          <w:p>
            <w:pPr>
              <w:jc w:val="right"/>
              <w:spacing w:after="0" w:line="143" w:lineRule="exact"/>
              <w:rPr>
                <w:sz w:val="20"/>
                <w:szCs w:val="20"/>
                <w:color w:val="auto"/>
              </w:rPr>
            </w:pPr>
            <w:r>
              <w:rPr>
                <w:rFonts w:ascii="Arial" w:cs="Arial" w:eastAsia="Arial" w:hAnsi="Arial"/>
                <w:sz w:val="15"/>
                <w:szCs w:val="15"/>
                <w:b w:val="1"/>
                <w:bCs w:val="1"/>
                <w:color w:val="auto"/>
              </w:rPr>
              <w:t>$</w:t>
            </w:r>
          </w:p>
        </w:tc>
        <w:tc>
          <w:tcPr>
            <w:tcW w:w="1240" w:type="dxa"/>
            <w:vAlign w:val="bottom"/>
          </w:tcPr>
          <w:p>
            <w:pPr>
              <w:jc w:val="right"/>
              <w:ind w:right="84"/>
              <w:spacing w:after="0" w:line="143" w:lineRule="exact"/>
              <w:rPr>
                <w:sz w:val="20"/>
                <w:szCs w:val="20"/>
                <w:color w:val="auto"/>
              </w:rPr>
            </w:pPr>
            <w:r>
              <w:rPr>
                <w:rFonts w:ascii="Arial" w:cs="Arial" w:eastAsia="Arial" w:hAnsi="Arial"/>
                <w:sz w:val="15"/>
                <w:szCs w:val="15"/>
                <w:b w:val="1"/>
                <w:bCs w:val="1"/>
                <w:color w:val="auto"/>
              </w:rPr>
              <w:t>316</w:t>
            </w:r>
          </w:p>
        </w:tc>
        <w:tc>
          <w:tcPr>
            <w:tcW w:w="400" w:type="dxa"/>
            <w:vAlign w:val="bottom"/>
          </w:tcPr>
          <w:p>
            <w:pPr>
              <w:jc w:val="right"/>
              <w:ind w:right="84"/>
              <w:spacing w:after="0" w:line="143" w:lineRule="exact"/>
              <w:rPr>
                <w:sz w:val="20"/>
                <w:szCs w:val="20"/>
                <w:color w:val="auto"/>
              </w:rPr>
            </w:pPr>
            <w:r>
              <w:rPr>
                <w:rFonts w:ascii="Arial" w:cs="Arial" w:eastAsia="Arial" w:hAnsi="Arial"/>
                <w:sz w:val="15"/>
                <w:szCs w:val="15"/>
                <w:b w:val="1"/>
                <w:bCs w:val="1"/>
                <w:color w:val="auto"/>
              </w:rPr>
              <w:t>$</w:t>
            </w:r>
          </w:p>
        </w:tc>
        <w:tc>
          <w:tcPr>
            <w:tcW w:w="1160" w:type="dxa"/>
            <w:vAlign w:val="bottom"/>
          </w:tcPr>
          <w:p>
            <w:pPr>
              <w:jc w:val="right"/>
              <w:ind w:right="84"/>
              <w:spacing w:after="0" w:line="143" w:lineRule="exact"/>
              <w:rPr>
                <w:sz w:val="20"/>
                <w:szCs w:val="20"/>
                <w:color w:val="auto"/>
              </w:rPr>
            </w:pPr>
            <w:r>
              <w:rPr>
                <w:rFonts w:ascii="Arial" w:cs="Arial" w:eastAsia="Arial" w:hAnsi="Arial"/>
                <w:sz w:val="15"/>
                <w:szCs w:val="15"/>
                <w:b w:val="1"/>
                <w:bCs w:val="1"/>
                <w:color w:val="auto"/>
              </w:rPr>
              <w:t>23</w:t>
            </w:r>
          </w:p>
        </w:tc>
        <w:tc>
          <w:tcPr>
            <w:tcW w:w="420" w:type="dxa"/>
            <w:vAlign w:val="bottom"/>
          </w:tcPr>
          <w:p>
            <w:pPr>
              <w:jc w:val="right"/>
              <w:ind w:right="104"/>
              <w:spacing w:after="0" w:line="143" w:lineRule="exact"/>
              <w:rPr>
                <w:sz w:val="20"/>
                <w:szCs w:val="20"/>
                <w:color w:val="auto"/>
              </w:rPr>
            </w:pPr>
            <w:r>
              <w:rPr>
                <w:rFonts w:ascii="Arial" w:cs="Arial" w:eastAsia="Arial" w:hAnsi="Arial"/>
                <w:sz w:val="15"/>
                <w:szCs w:val="15"/>
                <w:b w:val="1"/>
                <w:bCs w:val="1"/>
                <w:color w:val="auto"/>
              </w:rPr>
              <w:t>$</w:t>
            </w:r>
          </w:p>
        </w:tc>
        <w:tc>
          <w:tcPr>
            <w:tcW w:w="1120" w:type="dxa"/>
            <w:vAlign w:val="bottom"/>
          </w:tcPr>
          <w:p>
            <w:pPr>
              <w:jc w:val="right"/>
              <w:ind w:right="64"/>
              <w:spacing w:after="0" w:line="143" w:lineRule="exact"/>
              <w:rPr>
                <w:sz w:val="20"/>
                <w:szCs w:val="20"/>
                <w:color w:val="auto"/>
              </w:rPr>
            </w:pPr>
            <w:r>
              <w:rPr>
                <w:rFonts w:ascii="Arial" w:cs="Arial" w:eastAsia="Arial" w:hAnsi="Arial"/>
                <w:sz w:val="15"/>
                <w:szCs w:val="15"/>
                <w:b w:val="1"/>
                <w:bCs w:val="1"/>
                <w:color w:val="auto"/>
              </w:rPr>
              <w:t>1,054</w:t>
            </w:r>
          </w:p>
        </w:tc>
        <w:tc>
          <w:tcPr>
            <w:tcW w:w="0" w:type="dxa"/>
            <w:vAlign w:val="bottom"/>
          </w:tcPr>
          <w:p>
            <w:pPr>
              <w:spacing w:after="0"/>
              <w:rPr>
                <w:sz w:val="1"/>
                <w:szCs w:val="1"/>
                <w:color w:val="auto"/>
              </w:rPr>
            </w:pPr>
          </w:p>
        </w:tc>
      </w:tr>
      <w:tr>
        <w:trPr>
          <w:trHeight w:val="210"/>
        </w:trPr>
        <w:tc>
          <w:tcPr>
            <w:tcW w:w="5040" w:type="dxa"/>
            <w:vAlign w:val="bottom"/>
          </w:tcPr>
          <w:p>
            <w:pPr>
              <w:spacing w:after="0"/>
              <w:rPr>
                <w:sz w:val="20"/>
                <w:szCs w:val="20"/>
                <w:color w:val="auto"/>
              </w:rPr>
            </w:pPr>
            <w:r>
              <w:rPr>
                <w:rFonts w:ascii="Arial" w:cs="Arial" w:eastAsia="Arial" w:hAnsi="Arial"/>
                <w:sz w:val="15"/>
                <w:szCs w:val="15"/>
                <w:b w:val="1"/>
                <w:bCs w:val="1"/>
                <w:color w:val="auto"/>
              </w:rPr>
              <w:t>Operational EBITDA *</w:t>
            </w:r>
          </w:p>
        </w:tc>
        <w:tc>
          <w:tcPr>
            <w:tcW w:w="1060" w:type="dxa"/>
            <w:vAlign w:val="bottom"/>
          </w:tcPr>
          <w:p>
            <w:pPr>
              <w:jc w:val="right"/>
              <w:ind w:right="684"/>
              <w:spacing w:after="0"/>
              <w:rPr>
                <w:sz w:val="20"/>
                <w:szCs w:val="20"/>
                <w:color w:val="auto"/>
              </w:rPr>
            </w:pPr>
            <w:r>
              <w:rPr>
                <w:rFonts w:ascii="Arial" w:cs="Arial" w:eastAsia="Arial" w:hAnsi="Arial"/>
                <w:sz w:val="15"/>
                <w:szCs w:val="15"/>
                <w:b w:val="1"/>
                <w:bCs w:val="1"/>
                <w:color w:val="auto"/>
              </w:rPr>
              <w:t>$</w:t>
            </w:r>
          </w:p>
        </w:tc>
        <w:tc>
          <w:tcPr>
            <w:tcW w:w="540" w:type="dxa"/>
            <w:vAlign w:val="bottom"/>
          </w:tcPr>
          <w:p>
            <w:pPr>
              <w:jc w:val="right"/>
              <w:ind w:right="124"/>
              <w:spacing w:after="0"/>
              <w:rPr>
                <w:sz w:val="20"/>
                <w:szCs w:val="20"/>
                <w:color w:val="auto"/>
              </w:rPr>
            </w:pPr>
            <w:r>
              <w:rPr>
                <w:rFonts w:ascii="Arial" w:cs="Arial" w:eastAsia="Arial" w:hAnsi="Arial"/>
                <w:sz w:val="15"/>
                <w:szCs w:val="15"/>
                <w:b w:val="1"/>
                <w:bCs w:val="1"/>
                <w:color w:val="auto"/>
              </w:rPr>
              <w:t>3</w:t>
            </w:r>
          </w:p>
        </w:tc>
        <w:tc>
          <w:tcPr>
            <w:tcW w:w="2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240" w:type="dxa"/>
            <w:vAlign w:val="bottom"/>
          </w:tcPr>
          <w:p>
            <w:pPr>
              <w:jc w:val="right"/>
              <w:ind w:right="84"/>
              <w:spacing w:after="0"/>
              <w:rPr>
                <w:sz w:val="20"/>
                <w:szCs w:val="20"/>
                <w:color w:val="auto"/>
              </w:rPr>
            </w:pPr>
            <w:r>
              <w:rPr>
                <w:rFonts w:ascii="Arial" w:cs="Arial" w:eastAsia="Arial" w:hAnsi="Arial"/>
                <w:sz w:val="15"/>
                <w:szCs w:val="15"/>
                <w:b w:val="1"/>
                <w:bCs w:val="1"/>
                <w:color w:val="auto"/>
              </w:rPr>
              <w:t>39</w:t>
            </w:r>
          </w:p>
        </w:tc>
        <w:tc>
          <w:tcPr>
            <w:tcW w:w="400" w:type="dxa"/>
            <w:vAlign w:val="bottom"/>
          </w:tcPr>
          <w:p>
            <w:pPr>
              <w:jc w:val="right"/>
              <w:ind w:right="84"/>
              <w:spacing w:after="0"/>
              <w:rPr>
                <w:sz w:val="20"/>
                <w:szCs w:val="20"/>
                <w:color w:val="auto"/>
              </w:rPr>
            </w:pPr>
            <w:r>
              <w:rPr>
                <w:rFonts w:ascii="Arial" w:cs="Arial" w:eastAsia="Arial" w:hAnsi="Arial"/>
                <w:sz w:val="15"/>
                <w:szCs w:val="15"/>
                <w:b w:val="1"/>
                <w:bCs w:val="1"/>
                <w:color w:val="auto"/>
              </w:rPr>
              <w:t>$</w:t>
            </w:r>
          </w:p>
        </w:tc>
        <w:tc>
          <w:tcPr>
            <w:tcW w:w="1160" w:type="dxa"/>
            <w:vAlign w:val="bottom"/>
          </w:tcPr>
          <w:p>
            <w:pPr>
              <w:jc w:val="right"/>
              <w:ind w:right="84"/>
              <w:spacing w:after="0"/>
              <w:rPr>
                <w:sz w:val="20"/>
                <w:szCs w:val="20"/>
                <w:color w:val="auto"/>
              </w:rPr>
            </w:pPr>
            <w:r>
              <w:rPr>
                <w:rFonts w:ascii="Arial" w:cs="Arial" w:eastAsia="Arial" w:hAnsi="Arial"/>
                <w:sz w:val="15"/>
                <w:szCs w:val="15"/>
                <w:b w:val="1"/>
                <w:bCs w:val="1"/>
                <w:color w:val="auto"/>
              </w:rPr>
              <w:t>20</w:t>
            </w:r>
          </w:p>
        </w:tc>
        <w:tc>
          <w:tcPr>
            <w:tcW w:w="420" w:type="dxa"/>
            <w:vAlign w:val="bottom"/>
          </w:tcPr>
          <w:p>
            <w:pPr>
              <w:jc w:val="right"/>
              <w:ind w:right="104"/>
              <w:spacing w:after="0"/>
              <w:rPr>
                <w:sz w:val="20"/>
                <w:szCs w:val="20"/>
                <w:color w:val="auto"/>
              </w:rPr>
            </w:pPr>
            <w:r>
              <w:rPr>
                <w:rFonts w:ascii="Arial" w:cs="Arial" w:eastAsia="Arial" w:hAnsi="Arial"/>
                <w:sz w:val="15"/>
                <w:szCs w:val="15"/>
                <w:b w:val="1"/>
                <w:bCs w:val="1"/>
                <w:color w:val="auto"/>
              </w:rPr>
              <w:t>$</w:t>
            </w:r>
          </w:p>
        </w:tc>
        <w:tc>
          <w:tcPr>
            <w:tcW w:w="1120" w:type="dxa"/>
            <w:vAlign w:val="bottom"/>
          </w:tcPr>
          <w:p>
            <w:pPr>
              <w:jc w:val="right"/>
              <w:ind w:right="64"/>
              <w:spacing w:after="0"/>
              <w:rPr>
                <w:sz w:val="20"/>
                <w:szCs w:val="20"/>
                <w:color w:val="auto"/>
              </w:rPr>
            </w:pPr>
            <w:r>
              <w:rPr>
                <w:rFonts w:ascii="Arial" w:cs="Arial" w:eastAsia="Arial" w:hAnsi="Arial"/>
                <w:sz w:val="15"/>
                <w:szCs w:val="15"/>
                <w:b w:val="1"/>
                <w:bCs w:val="1"/>
                <w:color w:val="auto"/>
              </w:rPr>
              <w:t>62</w:t>
            </w:r>
          </w:p>
        </w:tc>
        <w:tc>
          <w:tcPr>
            <w:tcW w:w="0" w:type="dxa"/>
            <w:vAlign w:val="bottom"/>
          </w:tcPr>
          <w:p>
            <w:pPr>
              <w:spacing w:after="0"/>
              <w:rPr>
                <w:sz w:val="1"/>
                <w:szCs w:val="1"/>
                <w:color w:val="auto"/>
              </w:rPr>
            </w:pPr>
          </w:p>
        </w:tc>
      </w:tr>
      <w:tr>
        <w:trPr>
          <w:trHeight w:val="133"/>
        </w:trPr>
        <w:tc>
          <w:tcPr>
            <w:tcW w:w="5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5040" w:type="dxa"/>
            <w:vAlign w:val="bottom"/>
            <w:vMerge w:val="restart"/>
            <w:shd w:val="clear" w:color="auto" w:fill="FFC000"/>
          </w:tcPr>
          <w:p>
            <w:pPr>
              <w:jc w:val="center"/>
              <w:ind w:left="124"/>
              <w:spacing w:after="0"/>
              <w:rPr>
                <w:sz w:val="20"/>
                <w:szCs w:val="20"/>
                <w:color w:val="auto"/>
              </w:rPr>
            </w:pPr>
            <w:r>
              <w:rPr>
                <w:rFonts w:ascii="Arial" w:cs="Arial" w:eastAsia="Arial" w:hAnsi="Arial"/>
                <w:sz w:val="15"/>
                <w:szCs w:val="15"/>
                <w:b w:val="1"/>
                <w:bCs w:val="1"/>
                <w:color w:val="auto"/>
              </w:rPr>
              <w:t>FY 2024 Actuals</w:t>
            </w:r>
          </w:p>
        </w:tc>
        <w:tc>
          <w:tcPr>
            <w:tcW w:w="1060" w:type="dxa"/>
            <w:vAlign w:val="bottom"/>
            <w:shd w:val="clear" w:color="auto" w:fill="FFC000"/>
          </w:tcPr>
          <w:p>
            <w:pPr>
              <w:spacing w:after="0"/>
              <w:rPr>
                <w:sz w:val="12"/>
                <w:szCs w:val="12"/>
                <w:color w:val="auto"/>
              </w:rPr>
            </w:pPr>
          </w:p>
        </w:tc>
        <w:tc>
          <w:tcPr>
            <w:tcW w:w="540" w:type="dxa"/>
            <w:vAlign w:val="bottom"/>
            <w:shd w:val="clear" w:color="auto" w:fill="FFC000"/>
          </w:tcPr>
          <w:p>
            <w:pPr>
              <w:spacing w:after="0"/>
              <w:rPr>
                <w:sz w:val="12"/>
                <w:szCs w:val="12"/>
                <w:color w:val="auto"/>
              </w:rPr>
            </w:pPr>
          </w:p>
        </w:tc>
        <w:tc>
          <w:tcPr>
            <w:tcW w:w="260" w:type="dxa"/>
            <w:vAlign w:val="bottom"/>
            <w:shd w:val="clear" w:color="auto" w:fill="FFC000"/>
          </w:tcPr>
          <w:p>
            <w:pPr>
              <w:spacing w:after="0"/>
              <w:rPr>
                <w:sz w:val="12"/>
                <w:szCs w:val="12"/>
                <w:color w:val="auto"/>
              </w:rPr>
            </w:pPr>
          </w:p>
        </w:tc>
        <w:tc>
          <w:tcPr>
            <w:tcW w:w="1240" w:type="dxa"/>
            <w:vAlign w:val="bottom"/>
            <w:shd w:val="clear" w:color="auto" w:fill="FFC000"/>
          </w:tcPr>
          <w:p>
            <w:pPr>
              <w:jc w:val="center"/>
              <w:ind w:right="264"/>
              <w:spacing w:after="0" w:line="143" w:lineRule="exact"/>
              <w:rPr>
                <w:sz w:val="20"/>
                <w:szCs w:val="20"/>
                <w:color w:val="auto"/>
              </w:rPr>
            </w:pPr>
            <w:r>
              <w:rPr>
                <w:rFonts w:ascii="Arial" w:cs="Arial" w:eastAsia="Arial" w:hAnsi="Arial"/>
                <w:sz w:val="15"/>
                <w:szCs w:val="15"/>
                <w:b w:val="1"/>
                <w:bCs w:val="1"/>
                <w:color w:val="auto"/>
              </w:rPr>
              <w:t>Advanced</w:t>
            </w:r>
          </w:p>
        </w:tc>
        <w:tc>
          <w:tcPr>
            <w:tcW w:w="400" w:type="dxa"/>
            <w:vAlign w:val="bottom"/>
            <w:shd w:val="clear" w:color="auto" w:fill="FFC000"/>
          </w:tcPr>
          <w:p>
            <w:pPr>
              <w:spacing w:after="0"/>
              <w:rPr>
                <w:sz w:val="12"/>
                <w:szCs w:val="12"/>
                <w:color w:val="auto"/>
              </w:rPr>
            </w:pPr>
          </w:p>
        </w:tc>
        <w:tc>
          <w:tcPr>
            <w:tcW w:w="1160" w:type="dxa"/>
            <w:vAlign w:val="bottom"/>
            <w:shd w:val="clear" w:color="auto" w:fill="FFC000"/>
          </w:tcPr>
          <w:p>
            <w:pPr>
              <w:spacing w:after="0"/>
              <w:rPr>
                <w:sz w:val="12"/>
                <w:szCs w:val="12"/>
                <w:color w:val="auto"/>
              </w:rPr>
            </w:pPr>
          </w:p>
        </w:tc>
        <w:tc>
          <w:tcPr>
            <w:tcW w:w="420" w:type="dxa"/>
            <w:vAlign w:val="bottom"/>
            <w:shd w:val="clear" w:color="auto" w:fill="FFC000"/>
          </w:tcPr>
          <w:p>
            <w:pPr>
              <w:spacing w:after="0"/>
              <w:rPr>
                <w:sz w:val="12"/>
                <w:szCs w:val="12"/>
                <w:color w:val="auto"/>
              </w:rPr>
            </w:pPr>
          </w:p>
        </w:tc>
        <w:tc>
          <w:tcPr>
            <w:tcW w:w="1120" w:type="dxa"/>
            <w:vAlign w:val="bottom"/>
            <w:shd w:val="clear" w:color="auto" w:fill="FFC000"/>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040" w:type="dxa"/>
            <w:vAlign w:val="bottom"/>
            <w:vMerge w:val="continue"/>
            <w:shd w:val="clear" w:color="auto" w:fill="FFC000"/>
          </w:tcPr>
          <w:p>
            <w:pPr>
              <w:spacing w:after="0"/>
              <w:rPr>
                <w:sz w:val="14"/>
                <w:szCs w:val="14"/>
                <w:color w:val="auto"/>
              </w:rPr>
            </w:pPr>
          </w:p>
        </w:tc>
        <w:tc>
          <w:tcPr>
            <w:tcW w:w="1060" w:type="dxa"/>
            <w:vAlign w:val="bottom"/>
            <w:vMerge w:val="restart"/>
            <w:shd w:val="clear" w:color="auto" w:fill="FFC000"/>
          </w:tcPr>
          <w:p>
            <w:pPr>
              <w:jc w:val="right"/>
              <w:ind w:right="4"/>
              <w:spacing w:after="0"/>
              <w:rPr>
                <w:sz w:val="20"/>
                <w:szCs w:val="20"/>
                <w:color w:val="auto"/>
              </w:rPr>
            </w:pPr>
            <w:r>
              <w:rPr>
                <w:rFonts w:ascii="Arial" w:cs="Arial" w:eastAsia="Arial" w:hAnsi="Arial"/>
                <w:sz w:val="15"/>
                <w:szCs w:val="15"/>
                <w:b w:val="1"/>
                <w:bCs w:val="1"/>
                <w:color w:val="auto"/>
              </w:rPr>
              <w:t>Print</w:t>
            </w:r>
          </w:p>
        </w:tc>
        <w:tc>
          <w:tcPr>
            <w:tcW w:w="540" w:type="dxa"/>
            <w:vAlign w:val="bottom"/>
            <w:shd w:val="clear" w:color="auto" w:fill="FFC000"/>
          </w:tcPr>
          <w:p>
            <w:pPr>
              <w:spacing w:after="0"/>
              <w:rPr>
                <w:sz w:val="14"/>
                <w:szCs w:val="14"/>
                <w:color w:val="auto"/>
              </w:rPr>
            </w:pPr>
          </w:p>
        </w:tc>
        <w:tc>
          <w:tcPr>
            <w:tcW w:w="260" w:type="dxa"/>
            <w:vAlign w:val="bottom"/>
            <w:shd w:val="clear" w:color="auto" w:fill="FFC000"/>
          </w:tcPr>
          <w:p>
            <w:pPr>
              <w:spacing w:after="0"/>
              <w:rPr>
                <w:sz w:val="14"/>
                <w:szCs w:val="14"/>
                <w:color w:val="auto"/>
              </w:rPr>
            </w:pPr>
          </w:p>
        </w:tc>
        <w:tc>
          <w:tcPr>
            <w:tcW w:w="1240" w:type="dxa"/>
            <w:vAlign w:val="bottom"/>
            <w:shd w:val="clear" w:color="auto" w:fill="FFC000"/>
          </w:tcPr>
          <w:p>
            <w:pPr>
              <w:jc w:val="center"/>
              <w:ind w:right="264"/>
              <w:spacing w:after="0" w:line="162" w:lineRule="exact"/>
              <w:rPr>
                <w:sz w:val="20"/>
                <w:szCs w:val="20"/>
                <w:color w:val="auto"/>
              </w:rPr>
            </w:pPr>
            <w:r>
              <w:rPr>
                <w:rFonts w:ascii="Arial" w:cs="Arial" w:eastAsia="Arial" w:hAnsi="Arial"/>
                <w:sz w:val="15"/>
                <w:szCs w:val="15"/>
                <w:b w:val="1"/>
                <w:bCs w:val="1"/>
                <w:color w:val="auto"/>
              </w:rPr>
              <w:t>Materials &amp;</w:t>
            </w:r>
          </w:p>
        </w:tc>
        <w:tc>
          <w:tcPr>
            <w:tcW w:w="400" w:type="dxa"/>
            <w:vAlign w:val="bottom"/>
            <w:shd w:val="clear" w:color="auto" w:fill="FFC000"/>
          </w:tcPr>
          <w:p>
            <w:pPr>
              <w:spacing w:after="0"/>
              <w:rPr>
                <w:sz w:val="14"/>
                <w:szCs w:val="14"/>
                <w:color w:val="auto"/>
              </w:rPr>
            </w:pPr>
          </w:p>
        </w:tc>
        <w:tc>
          <w:tcPr>
            <w:tcW w:w="1160" w:type="dxa"/>
            <w:vAlign w:val="bottom"/>
            <w:vMerge w:val="restart"/>
            <w:shd w:val="clear" w:color="auto" w:fill="FFC000"/>
          </w:tcPr>
          <w:p>
            <w:pPr>
              <w:jc w:val="right"/>
              <w:ind w:right="484"/>
              <w:spacing w:after="0"/>
              <w:rPr>
                <w:sz w:val="20"/>
                <w:szCs w:val="20"/>
                <w:color w:val="auto"/>
              </w:rPr>
            </w:pPr>
            <w:r>
              <w:rPr>
                <w:rFonts w:ascii="Arial" w:cs="Arial" w:eastAsia="Arial" w:hAnsi="Arial"/>
                <w:sz w:val="15"/>
                <w:szCs w:val="15"/>
                <w:b w:val="1"/>
                <w:bCs w:val="1"/>
                <w:color w:val="auto"/>
              </w:rPr>
              <w:t>Brand</w:t>
            </w:r>
          </w:p>
        </w:tc>
        <w:tc>
          <w:tcPr>
            <w:tcW w:w="420" w:type="dxa"/>
            <w:vAlign w:val="bottom"/>
            <w:shd w:val="clear" w:color="auto" w:fill="FFC000"/>
          </w:tcPr>
          <w:p>
            <w:pPr>
              <w:spacing w:after="0"/>
              <w:rPr>
                <w:sz w:val="14"/>
                <w:szCs w:val="14"/>
                <w:color w:val="auto"/>
              </w:rPr>
            </w:pPr>
          </w:p>
        </w:tc>
        <w:tc>
          <w:tcPr>
            <w:tcW w:w="1120" w:type="dxa"/>
            <w:vAlign w:val="bottom"/>
            <w:vMerge w:val="restart"/>
            <w:shd w:val="clear" w:color="auto" w:fill="FFC000"/>
          </w:tcPr>
          <w:p>
            <w:pPr>
              <w:jc w:val="right"/>
              <w:ind w:right="504"/>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81"/>
        </w:trPr>
        <w:tc>
          <w:tcPr>
            <w:tcW w:w="5040" w:type="dxa"/>
            <w:vAlign w:val="bottom"/>
            <w:shd w:val="clear" w:color="auto" w:fill="FFC000"/>
          </w:tcPr>
          <w:p>
            <w:pPr>
              <w:spacing w:after="0"/>
              <w:rPr>
                <w:sz w:val="15"/>
                <w:szCs w:val="15"/>
                <w:color w:val="auto"/>
              </w:rPr>
            </w:pPr>
          </w:p>
        </w:tc>
        <w:tc>
          <w:tcPr>
            <w:tcW w:w="1060" w:type="dxa"/>
            <w:vAlign w:val="bottom"/>
            <w:vMerge w:val="continue"/>
            <w:shd w:val="clear" w:color="auto" w:fill="FFC000"/>
          </w:tcPr>
          <w:p>
            <w:pPr>
              <w:spacing w:after="0"/>
              <w:rPr>
                <w:sz w:val="15"/>
                <w:szCs w:val="15"/>
                <w:color w:val="auto"/>
              </w:rPr>
            </w:pPr>
          </w:p>
        </w:tc>
        <w:tc>
          <w:tcPr>
            <w:tcW w:w="540" w:type="dxa"/>
            <w:vAlign w:val="bottom"/>
            <w:shd w:val="clear" w:color="auto" w:fill="FFC000"/>
          </w:tcPr>
          <w:p>
            <w:pPr>
              <w:spacing w:after="0"/>
              <w:rPr>
                <w:sz w:val="15"/>
                <w:szCs w:val="15"/>
                <w:color w:val="auto"/>
              </w:rPr>
            </w:pPr>
          </w:p>
        </w:tc>
        <w:tc>
          <w:tcPr>
            <w:tcW w:w="260" w:type="dxa"/>
            <w:vAlign w:val="bottom"/>
            <w:shd w:val="clear" w:color="auto" w:fill="FFC000"/>
          </w:tcPr>
          <w:p>
            <w:pPr>
              <w:spacing w:after="0"/>
              <w:rPr>
                <w:sz w:val="15"/>
                <w:szCs w:val="15"/>
                <w:color w:val="auto"/>
              </w:rPr>
            </w:pPr>
          </w:p>
        </w:tc>
        <w:tc>
          <w:tcPr>
            <w:tcW w:w="1240" w:type="dxa"/>
            <w:vAlign w:val="bottom"/>
            <w:shd w:val="clear" w:color="auto" w:fill="FFC000"/>
          </w:tcPr>
          <w:p>
            <w:pPr>
              <w:jc w:val="center"/>
              <w:ind w:right="204"/>
              <w:spacing w:after="0"/>
              <w:rPr>
                <w:sz w:val="20"/>
                <w:szCs w:val="20"/>
                <w:color w:val="auto"/>
              </w:rPr>
            </w:pPr>
            <w:r>
              <w:rPr>
                <w:rFonts w:ascii="Arial" w:cs="Arial" w:eastAsia="Arial" w:hAnsi="Arial"/>
                <w:sz w:val="15"/>
                <w:szCs w:val="15"/>
                <w:b w:val="1"/>
                <w:bCs w:val="1"/>
                <w:color w:val="auto"/>
              </w:rPr>
              <w:t>Chemicals</w:t>
            </w:r>
          </w:p>
        </w:tc>
        <w:tc>
          <w:tcPr>
            <w:tcW w:w="400" w:type="dxa"/>
            <w:vAlign w:val="bottom"/>
            <w:shd w:val="clear" w:color="auto" w:fill="FFC000"/>
          </w:tcPr>
          <w:p>
            <w:pPr>
              <w:spacing w:after="0"/>
              <w:rPr>
                <w:sz w:val="15"/>
                <w:szCs w:val="15"/>
                <w:color w:val="auto"/>
              </w:rPr>
            </w:pPr>
          </w:p>
        </w:tc>
        <w:tc>
          <w:tcPr>
            <w:tcW w:w="1160" w:type="dxa"/>
            <w:vAlign w:val="bottom"/>
            <w:vMerge w:val="continue"/>
            <w:shd w:val="clear" w:color="auto" w:fill="FFC000"/>
          </w:tcPr>
          <w:p>
            <w:pPr>
              <w:spacing w:after="0"/>
              <w:rPr>
                <w:sz w:val="15"/>
                <w:szCs w:val="15"/>
                <w:color w:val="auto"/>
              </w:rPr>
            </w:pPr>
          </w:p>
        </w:tc>
        <w:tc>
          <w:tcPr>
            <w:tcW w:w="420" w:type="dxa"/>
            <w:vAlign w:val="bottom"/>
            <w:shd w:val="clear" w:color="auto" w:fill="FFC000"/>
          </w:tcPr>
          <w:p>
            <w:pPr>
              <w:spacing w:after="0"/>
              <w:rPr>
                <w:sz w:val="15"/>
                <w:szCs w:val="15"/>
                <w:color w:val="auto"/>
              </w:rPr>
            </w:pPr>
          </w:p>
        </w:tc>
        <w:tc>
          <w:tcPr>
            <w:tcW w:w="1120" w:type="dxa"/>
            <w:vAlign w:val="bottom"/>
            <w:vMerge w:val="continue"/>
            <w:shd w:val="clear" w:color="auto" w:fill="FFC000"/>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5040" w:type="dxa"/>
            <w:vAlign w:val="bottom"/>
          </w:tcPr>
          <w:p>
            <w:pPr>
              <w:spacing w:after="0" w:line="143" w:lineRule="exact"/>
              <w:rPr>
                <w:sz w:val="20"/>
                <w:szCs w:val="20"/>
                <w:color w:val="auto"/>
              </w:rPr>
            </w:pPr>
            <w:r>
              <w:rPr>
                <w:rFonts w:ascii="Arial" w:cs="Arial" w:eastAsia="Arial" w:hAnsi="Arial"/>
                <w:sz w:val="15"/>
                <w:szCs w:val="15"/>
                <w:b w:val="1"/>
                <w:bCs w:val="1"/>
                <w:color w:val="auto"/>
              </w:rPr>
              <w:t>Revenue</w:t>
            </w:r>
          </w:p>
        </w:tc>
        <w:tc>
          <w:tcPr>
            <w:tcW w:w="1060" w:type="dxa"/>
            <w:vAlign w:val="bottom"/>
          </w:tcPr>
          <w:p>
            <w:pPr>
              <w:jc w:val="right"/>
              <w:ind w:right="684"/>
              <w:spacing w:after="0" w:line="143" w:lineRule="exact"/>
              <w:rPr>
                <w:sz w:val="20"/>
                <w:szCs w:val="20"/>
                <w:color w:val="auto"/>
              </w:rPr>
            </w:pPr>
            <w:r>
              <w:rPr>
                <w:rFonts w:ascii="Arial" w:cs="Arial" w:eastAsia="Arial" w:hAnsi="Arial"/>
                <w:sz w:val="15"/>
                <w:szCs w:val="15"/>
                <w:b w:val="1"/>
                <w:bCs w:val="1"/>
                <w:color w:val="auto"/>
              </w:rPr>
              <w:t>$</w:t>
            </w:r>
          </w:p>
        </w:tc>
        <w:tc>
          <w:tcPr>
            <w:tcW w:w="540" w:type="dxa"/>
            <w:vAlign w:val="bottom"/>
          </w:tcPr>
          <w:p>
            <w:pPr>
              <w:jc w:val="right"/>
              <w:ind w:right="124"/>
              <w:spacing w:after="0" w:line="143" w:lineRule="exact"/>
              <w:rPr>
                <w:sz w:val="20"/>
                <w:szCs w:val="20"/>
                <w:color w:val="auto"/>
              </w:rPr>
            </w:pPr>
            <w:r>
              <w:rPr>
                <w:rFonts w:ascii="Arial" w:cs="Arial" w:eastAsia="Arial" w:hAnsi="Arial"/>
                <w:sz w:val="15"/>
                <w:szCs w:val="15"/>
                <w:b w:val="1"/>
                <w:bCs w:val="1"/>
                <w:color w:val="auto"/>
              </w:rPr>
              <w:t>737</w:t>
            </w:r>
          </w:p>
        </w:tc>
        <w:tc>
          <w:tcPr>
            <w:tcW w:w="260" w:type="dxa"/>
            <w:vAlign w:val="bottom"/>
          </w:tcPr>
          <w:p>
            <w:pPr>
              <w:jc w:val="right"/>
              <w:spacing w:after="0" w:line="143" w:lineRule="exact"/>
              <w:rPr>
                <w:sz w:val="20"/>
                <w:szCs w:val="20"/>
                <w:color w:val="auto"/>
              </w:rPr>
            </w:pPr>
            <w:r>
              <w:rPr>
                <w:rFonts w:ascii="Arial" w:cs="Arial" w:eastAsia="Arial" w:hAnsi="Arial"/>
                <w:sz w:val="15"/>
                <w:szCs w:val="15"/>
                <w:b w:val="1"/>
                <w:bCs w:val="1"/>
                <w:color w:val="auto"/>
              </w:rPr>
              <w:t>$</w:t>
            </w:r>
          </w:p>
        </w:tc>
        <w:tc>
          <w:tcPr>
            <w:tcW w:w="1240" w:type="dxa"/>
            <w:vAlign w:val="bottom"/>
          </w:tcPr>
          <w:p>
            <w:pPr>
              <w:jc w:val="right"/>
              <w:ind w:right="84"/>
              <w:spacing w:after="0" w:line="143" w:lineRule="exact"/>
              <w:rPr>
                <w:sz w:val="20"/>
                <w:szCs w:val="20"/>
                <w:color w:val="auto"/>
              </w:rPr>
            </w:pPr>
            <w:r>
              <w:rPr>
                <w:rFonts w:ascii="Arial" w:cs="Arial" w:eastAsia="Arial" w:hAnsi="Arial"/>
                <w:sz w:val="15"/>
                <w:szCs w:val="15"/>
                <w:b w:val="1"/>
                <w:bCs w:val="1"/>
                <w:color w:val="auto"/>
              </w:rPr>
              <w:t>271</w:t>
            </w:r>
          </w:p>
        </w:tc>
        <w:tc>
          <w:tcPr>
            <w:tcW w:w="400" w:type="dxa"/>
            <w:vAlign w:val="bottom"/>
          </w:tcPr>
          <w:p>
            <w:pPr>
              <w:jc w:val="right"/>
              <w:ind w:right="84"/>
              <w:spacing w:after="0" w:line="143" w:lineRule="exact"/>
              <w:rPr>
                <w:sz w:val="20"/>
                <w:szCs w:val="20"/>
                <w:color w:val="auto"/>
              </w:rPr>
            </w:pPr>
            <w:r>
              <w:rPr>
                <w:rFonts w:ascii="Arial" w:cs="Arial" w:eastAsia="Arial" w:hAnsi="Arial"/>
                <w:sz w:val="15"/>
                <w:szCs w:val="15"/>
                <w:b w:val="1"/>
                <w:bCs w:val="1"/>
                <w:color w:val="auto"/>
              </w:rPr>
              <w:t>$</w:t>
            </w:r>
          </w:p>
        </w:tc>
        <w:tc>
          <w:tcPr>
            <w:tcW w:w="1160" w:type="dxa"/>
            <w:vAlign w:val="bottom"/>
          </w:tcPr>
          <w:p>
            <w:pPr>
              <w:jc w:val="right"/>
              <w:ind w:right="84"/>
              <w:spacing w:after="0" w:line="143" w:lineRule="exact"/>
              <w:rPr>
                <w:sz w:val="20"/>
                <w:szCs w:val="20"/>
                <w:color w:val="auto"/>
              </w:rPr>
            </w:pPr>
            <w:r>
              <w:rPr>
                <w:rFonts w:ascii="Arial" w:cs="Arial" w:eastAsia="Arial" w:hAnsi="Arial"/>
                <w:sz w:val="15"/>
                <w:szCs w:val="15"/>
                <w:b w:val="1"/>
                <w:bCs w:val="1"/>
                <w:color w:val="auto"/>
              </w:rPr>
              <w:t>20</w:t>
            </w:r>
          </w:p>
        </w:tc>
        <w:tc>
          <w:tcPr>
            <w:tcW w:w="420" w:type="dxa"/>
            <w:vAlign w:val="bottom"/>
          </w:tcPr>
          <w:p>
            <w:pPr>
              <w:jc w:val="right"/>
              <w:ind w:right="104"/>
              <w:spacing w:after="0" w:line="143" w:lineRule="exact"/>
              <w:rPr>
                <w:sz w:val="20"/>
                <w:szCs w:val="20"/>
                <w:color w:val="auto"/>
              </w:rPr>
            </w:pPr>
            <w:r>
              <w:rPr>
                <w:rFonts w:ascii="Arial" w:cs="Arial" w:eastAsia="Arial" w:hAnsi="Arial"/>
                <w:sz w:val="15"/>
                <w:szCs w:val="15"/>
                <w:b w:val="1"/>
                <w:bCs w:val="1"/>
                <w:color w:val="auto"/>
              </w:rPr>
              <w:t>$</w:t>
            </w:r>
          </w:p>
        </w:tc>
        <w:tc>
          <w:tcPr>
            <w:tcW w:w="1120" w:type="dxa"/>
            <w:vAlign w:val="bottom"/>
          </w:tcPr>
          <w:p>
            <w:pPr>
              <w:jc w:val="right"/>
              <w:ind w:right="64"/>
              <w:spacing w:after="0" w:line="143" w:lineRule="exact"/>
              <w:rPr>
                <w:sz w:val="20"/>
                <w:szCs w:val="20"/>
                <w:color w:val="auto"/>
              </w:rPr>
            </w:pPr>
            <w:r>
              <w:rPr>
                <w:rFonts w:ascii="Arial" w:cs="Arial" w:eastAsia="Arial" w:hAnsi="Arial"/>
                <w:sz w:val="15"/>
                <w:szCs w:val="15"/>
                <w:b w:val="1"/>
                <w:bCs w:val="1"/>
                <w:color w:val="auto"/>
              </w:rPr>
              <w:t>1,028</w:t>
            </w:r>
          </w:p>
        </w:tc>
        <w:tc>
          <w:tcPr>
            <w:tcW w:w="0" w:type="dxa"/>
            <w:vAlign w:val="bottom"/>
          </w:tcPr>
          <w:p>
            <w:pPr>
              <w:spacing w:after="0"/>
              <w:rPr>
                <w:sz w:val="1"/>
                <w:szCs w:val="1"/>
                <w:color w:val="auto"/>
              </w:rPr>
            </w:pPr>
          </w:p>
        </w:tc>
      </w:tr>
      <w:tr>
        <w:trPr>
          <w:trHeight w:val="210"/>
        </w:trPr>
        <w:tc>
          <w:tcPr>
            <w:tcW w:w="5040" w:type="dxa"/>
            <w:vAlign w:val="bottom"/>
          </w:tcPr>
          <w:p>
            <w:pPr>
              <w:spacing w:after="0"/>
              <w:rPr>
                <w:sz w:val="20"/>
                <w:szCs w:val="20"/>
                <w:color w:val="auto"/>
              </w:rPr>
            </w:pPr>
            <w:r>
              <w:rPr>
                <w:rFonts w:ascii="Arial" w:cs="Arial" w:eastAsia="Arial" w:hAnsi="Arial"/>
                <w:sz w:val="15"/>
                <w:szCs w:val="15"/>
                <w:b w:val="1"/>
                <w:bCs w:val="1"/>
                <w:color w:val="auto"/>
              </w:rPr>
              <w:t>Operational EBITDA *</w:t>
            </w:r>
          </w:p>
        </w:tc>
        <w:tc>
          <w:tcPr>
            <w:tcW w:w="1060" w:type="dxa"/>
            <w:vAlign w:val="bottom"/>
          </w:tcPr>
          <w:p>
            <w:pPr>
              <w:jc w:val="right"/>
              <w:ind w:right="684"/>
              <w:spacing w:after="0"/>
              <w:rPr>
                <w:sz w:val="20"/>
                <w:szCs w:val="20"/>
                <w:color w:val="auto"/>
              </w:rPr>
            </w:pPr>
            <w:r>
              <w:rPr>
                <w:rFonts w:ascii="Arial" w:cs="Arial" w:eastAsia="Arial" w:hAnsi="Arial"/>
                <w:sz w:val="15"/>
                <w:szCs w:val="15"/>
                <w:b w:val="1"/>
                <w:bCs w:val="1"/>
                <w:color w:val="auto"/>
              </w:rPr>
              <w:t>$</w:t>
            </w:r>
          </w:p>
        </w:tc>
        <w:tc>
          <w:tcPr>
            <w:tcW w:w="540" w:type="dxa"/>
            <w:vAlign w:val="bottom"/>
          </w:tcPr>
          <w:p>
            <w:pPr>
              <w:jc w:val="right"/>
              <w:ind w:right="44"/>
              <w:spacing w:after="0"/>
              <w:rPr>
                <w:sz w:val="20"/>
                <w:szCs w:val="20"/>
                <w:color w:val="auto"/>
              </w:rPr>
            </w:pPr>
            <w:r>
              <w:rPr>
                <w:rFonts w:ascii="Arial" w:cs="Arial" w:eastAsia="Arial" w:hAnsi="Arial"/>
                <w:sz w:val="15"/>
                <w:szCs w:val="15"/>
                <w:b w:val="1"/>
                <w:bCs w:val="1"/>
                <w:color w:val="auto"/>
              </w:rPr>
              <w:t>(8)</w:t>
            </w:r>
          </w:p>
        </w:tc>
        <w:tc>
          <w:tcPr>
            <w:tcW w:w="2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240" w:type="dxa"/>
            <w:vAlign w:val="bottom"/>
          </w:tcPr>
          <w:p>
            <w:pPr>
              <w:jc w:val="right"/>
              <w:ind w:right="84"/>
              <w:spacing w:after="0"/>
              <w:rPr>
                <w:sz w:val="20"/>
                <w:szCs w:val="20"/>
                <w:color w:val="auto"/>
              </w:rPr>
            </w:pPr>
            <w:r>
              <w:rPr>
                <w:rFonts w:ascii="Arial" w:cs="Arial" w:eastAsia="Arial" w:hAnsi="Arial"/>
                <w:sz w:val="15"/>
                <w:szCs w:val="15"/>
                <w:b w:val="1"/>
                <w:bCs w:val="1"/>
                <w:color w:val="auto"/>
              </w:rPr>
              <w:t>17</w:t>
            </w:r>
          </w:p>
        </w:tc>
        <w:tc>
          <w:tcPr>
            <w:tcW w:w="400" w:type="dxa"/>
            <w:vAlign w:val="bottom"/>
          </w:tcPr>
          <w:p>
            <w:pPr>
              <w:jc w:val="right"/>
              <w:ind w:right="84"/>
              <w:spacing w:after="0"/>
              <w:rPr>
                <w:sz w:val="20"/>
                <w:szCs w:val="20"/>
                <w:color w:val="auto"/>
              </w:rPr>
            </w:pPr>
            <w:r>
              <w:rPr>
                <w:rFonts w:ascii="Arial" w:cs="Arial" w:eastAsia="Arial" w:hAnsi="Arial"/>
                <w:sz w:val="15"/>
                <w:szCs w:val="15"/>
                <w:b w:val="1"/>
                <w:bCs w:val="1"/>
                <w:color w:val="auto"/>
              </w:rPr>
              <w:t>$</w:t>
            </w:r>
          </w:p>
        </w:tc>
        <w:tc>
          <w:tcPr>
            <w:tcW w:w="1160" w:type="dxa"/>
            <w:vAlign w:val="bottom"/>
          </w:tcPr>
          <w:p>
            <w:pPr>
              <w:jc w:val="right"/>
              <w:ind w:right="84"/>
              <w:spacing w:after="0"/>
              <w:rPr>
                <w:sz w:val="20"/>
                <w:szCs w:val="20"/>
                <w:color w:val="auto"/>
              </w:rPr>
            </w:pPr>
            <w:r>
              <w:rPr>
                <w:rFonts w:ascii="Arial" w:cs="Arial" w:eastAsia="Arial" w:hAnsi="Arial"/>
                <w:sz w:val="15"/>
                <w:szCs w:val="15"/>
                <w:b w:val="1"/>
                <w:bCs w:val="1"/>
                <w:color w:val="auto"/>
              </w:rPr>
              <w:t>17</w:t>
            </w:r>
          </w:p>
        </w:tc>
        <w:tc>
          <w:tcPr>
            <w:tcW w:w="420" w:type="dxa"/>
            <w:vAlign w:val="bottom"/>
          </w:tcPr>
          <w:p>
            <w:pPr>
              <w:jc w:val="right"/>
              <w:ind w:right="104"/>
              <w:spacing w:after="0"/>
              <w:rPr>
                <w:sz w:val="20"/>
                <w:szCs w:val="20"/>
                <w:color w:val="auto"/>
              </w:rPr>
            </w:pPr>
            <w:r>
              <w:rPr>
                <w:rFonts w:ascii="Arial" w:cs="Arial" w:eastAsia="Arial" w:hAnsi="Arial"/>
                <w:sz w:val="15"/>
                <w:szCs w:val="15"/>
                <w:b w:val="1"/>
                <w:bCs w:val="1"/>
                <w:color w:val="auto"/>
              </w:rPr>
              <w:t>$</w:t>
            </w:r>
          </w:p>
        </w:tc>
        <w:tc>
          <w:tcPr>
            <w:tcW w:w="1120" w:type="dxa"/>
            <w:vAlign w:val="bottom"/>
          </w:tcPr>
          <w:p>
            <w:pPr>
              <w:jc w:val="right"/>
              <w:ind w:right="64"/>
              <w:spacing w:after="0"/>
              <w:rPr>
                <w:sz w:val="20"/>
                <w:szCs w:val="20"/>
                <w:color w:val="auto"/>
              </w:rPr>
            </w:pPr>
            <w:r>
              <w:rPr>
                <w:rFonts w:ascii="Arial" w:cs="Arial" w:eastAsia="Arial" w:hAnsi="Arial"/>
                <w:sz w:val="15"/>
                <w:szCs w:val="15"/>
                <w:b w:val="1"/>
                <w:bCs w:val="1"/>
                <w:color w:val="auto"/>
              </w:rPr>
              <w:t>26</w:t>
            </w:r>
          </w:p>
        </w:tc>
        <w:tc>
          <w:tcPr>
            <w:tcW w:w="0" w:type="dxa"/>
            <w:vAlign w:val="bottom"/>
          </w:tcPr>
          <w:p>
            <w:pPr>
              <w:spacing w:after="0"/>
              <w:rPr>
                <w:sz w:val="1"/>
                <w:szCs w:val="1"/>
                <w:color w:val="auto"/>
              </w:rPr>
            </w:pPr>
          </w:p>
        </w:tc>
      </w:tr>
      <w:tr>
        <w:trPr>
          <w:trHeight w:val="133"/>
        </w:trPr>
        <w:tc>
          <w:tcPr>
            <w:tcW w:w="5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5040" w:type="dxa"/>
            <w:vAlign w:val="bottom"/>
            <w:vMerge w:val="restart"/>
            <w:shd w:val="clear" w:color="auto" w:fill="FFC000"/>
          </w:tcPr>
          <w:p>
            <w:pPr>
              <w:jc w:val="center"/>
              <w:ind w:left="124"/>
              <w:spacing w:after="0"/>
              <w:rPr>
                <w:sz w:val="20"/>
                <w:szCs w:val="20"/>
                <w:color w:val="auto"/>
              </w:rPr>
            </w:pPr>
            <w:r>
              <w:rPr>
                <w:rFonts w:ascii="Arial" w:cs="Arial" w:eastAsia="Arial" w:hAnsi="Arial"/>
                <w:sz w:val="15"/>
                <w:szCs w:val="15"/>
                <w:b w:val="1"/>
                <w:bCs w:val="1"/>
                <w:color w:val="auto"/>
              </w:rPr>
              <w:t>FY 2025 vs. FY 2024 Actuals</w:t>
            </w:r>
          </w:p>
        </w:tc>
        <w:tc>
          <w:tcPr>
            <w:tcW w:w="1060" w:type="dxa"/>
            <w:vAlign w:val="bottom"/>
            <w:shd w:val="clear" w:color="auto" w:fill="FFC000"/>
          </w:tcPr>
          <w:p>
            <w:pPr>
              <w:spacing w:after="0"/>
              <w:rPr>
                <w:sz w:val="12"/>
                <w:szCs w:val="12"/>
                <w:color w:val="auto"/>
              </w:rPr>
            </w:pPr>
          </w:p>
        </w:tc>
        <w:tc>
          <w:tcPr>
            <w:tcW w:w="540" w:type="dxa"/>
            <w:vAlign w:val="bottom"/>
            <w:shd w:val="clear" w:color="auto" w:fill="FFC000"/>
          </w:tcPr>
          <w:p>
            <w:pPr>
              <w:spacing w:after="0"/>
              <w:rPr>
                <w:sz w:val="12"/>
                <w:szCs w:val="12"/>
                <w:color w:val="auto"/>
              </w:rPr>
            </w:pPr>
          </w:p>
        </w:tc>
        <w:tc>
          <w:tcPr>
            <w:tcW w:w="260" w:type="dxa"/>
            <w:vAlign w:val="bottom"/>
            <w:shd w:val="clear" w:color="auto" w:fill="FFC000"/>
          </w:tcPr>
          <w:p>
            <w:pPr>
              <w:spacing w:after="0"/>
              <w:rPr>
                <w:sz w:val="12"/>
                <w:szCs w:val="12"/>
                <w:color w:val="auto"/>
              </w:rPr>
            </w:pPr>
          </w:p>
        </w:tc>
        <w:tc>
          <w:tcPr>
            <w:tcW w:w="1240" w:type="dxa"/>
            <w:vAlign w:val="bottom"/>
            <w:shd w:val="clear" w:color="auto" w:fill="FFC000"/>
          </w:tcPr>
          <w:p>
            <w:pPr>
              <w:jc w:val="center"/>
              <w:ind w:right="264"/>
              <w:spacing w:after="0" w:line="143" w:lineRule="exact"/>
              <w:rPr>
                <w:sz w:val="20"/>
                <w:szCs w:val="20"/>
                <w:color w:val="auto"/>
              </w:rPr>
            </w:pPr>
            <w:r>
              <w:rPr>
                <w:rFonts w:ascii="Arial" w:cs="Arial" w:eastAsia="Arial" w:hAnsi="Arial"/>
                <w:sz w:val="15"/>
                <w:szCs w:val="15"/>
                <w:b w:val="1"/>
                <w:bCs w:val="1"/>
                <w:color w:val="auto"/>
              </w:rPr>
              <w:t>Advanced</w:t>
            </w:r>
          </w:p>
        </w:tc>
        <w:tc>
          <w:tcPr>
            <w:tcW w:w="400" w:type="dxa"/>
            <w:vAlign w:val="bottom"/>
            <w:shd w:val="clear" w:color="auto" w:fill="FFC000"/>
          </w:tcPr>
          <w:p>
            <w:pPr>
              <w:spacing w:after="0"/>
              <w:rPr>
                <w:sz w:val="12"/>
                <w:szCs w:val="12"/>
                <w:color w:val="auto"/>
              </w:rPr>
            </w:pPr>
          </w:p>
        </w:tc>
        <w:tc>
          <w:tcPr>
            <w:tcW w:w="1160" w:type="dxa"/>
            <w:vAlign w:val="bottom"/>
            <w:shd w:val="clear" w:color="auto" w:fill="FFC000"/>
          </w:tcPr>
          <w:p>
            <w:pPr>
              <w:spacing w:after="0"/>
              <w:rPr>
                <w:sz w:val="12"/>
                <w:szCs w:val="12"/>
                <w:color w:val="auto"/>
              </w:rPr>
            </w:pPr>
          </w:p>
        </w:tc>
        <w:tc>
          <w:tcPr>
            <w:tcW w:w="420" w:type="dxa"/>
            <w:vAlign w:val="bottom"/>
            <w:shd w:val="clear" w:color="auto" w:fill="FFC000"/>
          </w:tcPr>
          <w:p>
            <w:pPr>
              <w:spacing w:after="0"/>
              <w:rPr>
                <w:sz w:val="12"/>
                <w:szCs w:val="12"/>
                <w:color w:val="auto"/>
              </w:rPr>
            </w:pPr>
          </w:p>
        </w:tc>
        <w:tc>
          <w:tcPr>
            <w:tcW w:w="1120" w:type="dxa"/>
            <w:vAlign w:val="bottom"/>
            <w:shd w:val="clear" w:color="auto" w:fill="FFC000"/>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5040" w:type="dxa"/>
            <w:vAlign w:val="bottom"/>
            <w:vMerge w:val="continue"/>
            <w:shd w:val="clear" w:color="auto" w:fill="FFC000"/>
          </w:tcPr>
          <w:p>
            <w:pPr>
              <w:spacing w:after="0"/>
              <w:rPr>
                <w:sz w:val="7"/>
                <w:szCs w:val="7"/>
                <w:color w:val="auto"/>
              </w:rPr>
            </w:pPr>
          </w:p>
        </w:tc>
        <w:tc>
          <w:tcPr>
            <w:tcW w:w="1060" w:type="dxa"/>
            <w:vAlign w:val="bottom"/>
            <w:shd w:val="clear" w:color="auto" w:fill="FFC000"/>
          </w:tcPr>
          <w:p>
            <w:pPr>
              <w:spacing w:after="0"/>
              <w:rPr>
                <w:sz w:val="7"/>
                <w:szCs w:val="7"/>
                <w:color w:val="auto"/>
              </w:rPr>
            </w:pPr>
          </w:p>
        </w:tc>
        <w:tc>
          <w:tcPr>
            <w:tcW w:w="540" w:type="dxa"/>
            <w:vAlign w:val="bottom"/>
            <w:shd w:val="clear" w:color="auto" w:fill="FFC000"/>
          </w:tcPr>
          <w:p>
            <w:pPr>
              <w:spacing w:after="0"/>
              <w:rPr>
                <w:sz w:val="7"/>
                <w:szCs w:val="7"/>
                <w:color w:val="auto"/>
              </w:rPr>
            </w:pPr>
          </w:p>
        </w:tc>
        <w:tc>
          <w:tcPr>
            <w:tcW w:w="260" w:type="dxa"/>
            <w:vAlign w:val="bottom"/>
            <w:shd w:val="clear" w:color="auto" w:fill="FFC000"/>
          </w:tcPr>
          <w:p>
            <w:pPr>
              <w:spacing w:after="0"/>
              <w:rPr>
                <w:sz w:val="7"/>
                <w:szCs w:val="7"/>
                <w:color w:val="auto"/>
              </w:rPr>
            </w:pPr>
          </w:p>
        </w:tc>
        <w:tc>
          <w:tcPr>
            <w:tcW w:w="1240" w:type="dxa"/>
            <w:vAlign w:val="bottom"/>
            <w:vMerge w:val="restart"/>
            <w:shd w:val="clear" w:color="auto" w:fill="FFC000"/>
          </w:tcPr>
          <w:p>
            <w:pPr>
              <w:jc w:val="center"/>
              <w:ind w:right="264"/>
              <w:spacing w:after="0" w:line="162" w:lineRule="exact"/>
              <w:rPr>
                <w:sz w:val="20"/>
                <w:szCs w:val="20"/>
                <w:color w:val="auto"/>
              </w:rPr>
            </w:pPr>
            <w:r>
              <w:rPr>
                <w:rFonts w:ascii="Arial" w:cs="Arial" w:eastAsia="Arial" w:hAnsi="Arial"/>
                <w:sz w:val="15"/>
                <w:szCs w:val="15"/>
                <w:b w:val="1"/>
                <w:bCs w:val="1"/>
                <w:color w:val="auto"/>
              </w:rPr>
              <w:t>Materials &amp;</w:t>
            </w:r>
          </w:p>
        </w:tc>
        <w:tc>
          <w:tcPr>
            <w:tcW w:w="400" w:type="dxa"/>
            <w:vAlign w:val="bottom"/>
            <w:shd w:val="clear" w:color="auto" w:fill="FFC000"/>
          </w:tcPr>
          <w:p>
            <w:pPr>
              <w:spacing w:after="0"/>
              <w:rPr>
                <w:sz w:val="7"/>
                <w:szCs w:val="7"/>
                <w:color w:val="auto"/>
              </w:rPr>
            </w:pPr>
          </w:p>
        </w:tc>
        <w:tc>
          <w:tcPr>
            <w:tcW w:w="1160" w:type="dxa"/>
            <w:vAlign w:val="bottom"/>
            <w:shd w:val="clear" w:color="auto" w:fill="FFC000"/>
          </w:tcPr>
          <w:p>
            <w:pPr>
              <w:spacing w:after="0"/>
              <w:rPr>
                <w:sz w:val="7"/>
                <w:szCs w:val="7"/>
                <w:color w:val="auto"/>
              </w:rPr>
            </w:pPr>
          </w:p>
        </w:tc>
        <w:tc>
          <w:tcPr>
            <w:tcW w:w="420" w:type="dxa"/>
            <w:vAlign w:val="bottom"/>
            <w:shd w:val="clear" w:color="auto" w:fill="FFC000"/>
          </w:tcPr>
          <w:p>
            <w:pPr>
              <w:spacing w:after="0"/>
              <w:rPr>
                <w:sz w:val="7"/>
                <w:szCs w:val="7"/>
                <w:color w:val="auto"/>
              </w:rPr>
            </w:pPr>
          </w:p>
        </w:tc>
        <w:tc>
          <w:tcPr>
            <w:tcW w:w="1120" w:type="dxa"/>
            <w:vAlign w:val="bottom"/>
            <w:shd w:val="clear" w:color="auto" w:fill="FFC000"/>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5040" w:type="dxa"/>
            <w:vAlign w:val="bottom"/>
            <w:vMerge w:val="restart"/>
            <w:shd w:val="clear" w:color="auto" w:fill="FFC000"/>
          </w:tcPr>
          <w:p>
            <w:pPr>
              <w:jc w:val="center"/>
              <w:ind w:left="124"/>
              <w:spacing w:after="0"/>
              <w:rPr>
                <w:sz w:val="20"/>
                <w:szCs w:val="20"/>
                <w:color w:val="auto"/>
              </w:rPr>
            </w:pPr>
            <w:r>
              <w:rPr>
                <w:rFonts w:ascii="Arial" w:cs="Arial" w:eastAsia="Arial" w:hAnsi="Arial"/>
                <w:sz w:val="15"/>
                <w:szCs w:val="15"/>
                <w:b w:val="1"/>
                <w:bCs w:val="1"/>
                <w:color w:val="auto"/>
              </w:rPr>
              <w:t>B(W)</w:t>
            </w:r>
          </w:p>
        </w:tc>
        <w:tc>
          <w:tcPr>
            <w:tcW w:w="1060" w:type="dxa"/>
            <w:vAlign w:val="bottom"/>
            <w:shd w:val="clear" w:color="auto" w:fill="FFC000"/>
          </w:tcPr>
          <w:p>
            <w:pPr>
              <w:spacing w:after="0"/>
              <w:rPr>
                <w:sz w:val="7"/>
                <w:szCs w:val="7"/>
                <w:color w:val="auto"/>
              </w:rPr>
            </w:pPr>
          </w:p>
        </w:tc>
        <w:tc>
          <w:tcPr>
            <w:tcW w:w="540" w:type="dxa"/>
            <w:vAlign w:val="bottom"/>
            <w:shd w:val="clear" w:color="auto" w:fill="FFC000"/>
          </w:tcPr>
          <w:p>
            <w:pPr>
              <w:spacing w:after="0"/>
              <w:rPr>
                <w:sz w:val="7"/>
                <w:szCs w:val="7"/>
                <w:color w:val="auto"/>
              </w:rPr>
            </w:pPr>
          </w:p>
        </w:tc>
        <w:tc>
          <w:tcPr>
            <w:tcW w:w="260" w:type="dxa"/>
            <w:vAlign w:val="bottom"/>
            <w:shd w:val="clear" w:color="auto" w:fill="FFC000"/>
          </w:tcPr>
          <w:p>
            <w:pPr>
              <w:spacing w:after="0"/>
              <w:rPr>
                <w:sz w:val="7"/>
                <w:szCs w:val="7"/>
                <w:color w:val="auto"/>
              </w:rPr>
            </w:pPr>
          </w:p>
        </w:tc>
        <w:tc>
          <w:tcPr>
            <w:tcW w:w="1240" w:type="dxa"/>
            <w:vAlign w:val="bottom"/>
            <w:vMerge w:val="continue"/>
            <w:shd w:val="clear" w:color="auto" w:fill="FFC000"/>
          </w:tcPr>
          <w:p>
            <w:pPr>
              <w:spacing w:after="0"/>
              <w:rPr>
                <w:sz w:val="7"/>
                <w:szCs w:val="7"/>
                <w:color w:val="auto"/>
              </w:rPr>
            </w:pPr>
          </w:p>
        </w:tc>
        <w:tc>
          <w:tcPr>
            <w:tcW w:w="400" w:type="dxa"/>
            <w:vAlign w:val="bottom"/>
            <w:shd w:val="clear" w:color="auto" w:fill="FFC000"/>
          </w:tcPr>
          <w:p>
            <w:pPr>
              <w:spacing w:after="0"/>
              <w:rPr>
                <w:sz w:val="7"/>
                <w:szCs w:val="7"/>
                <w:color w:val="auto"/>
              </w:rPr>
            </w:pPr>
          </w:p>
        </w:tc>
        <w:tc>
          <w:tcPr>
            <w:tcW w:w="1160" w:type="dxa"/>
            <w:vAlign w:val="bottom"/>
            <w:shd w:val="clear" w:color="auto" w:fill="FFC000"/>
          </w:tcPr>
          <w:p>
            <w:pPr>
              <w:spacing w:after="0"/>
              <w:rPr>
                <w:sz w:val="7"/>
                <w:szCs w:val="7"/>
                <w:color w:val="auto"/>
              </w:rPr>
            </w:pPr>
          </w:p>
        </w:tc>
        <w:tc>
          <w:tcPr>
            <w:tcW w:w="420" w:type="dxa"/>
            <w:vAlign w:val="bottom"/>
            <w:shd w:val="clear" w:color="auto" w:fill="FFC000"/>
          </w:tcPr>
          <w:p>
            <w:pPr>
              <w:spacing w:after="0"/>
              <w:rPr>
                <w:sz w:val="7"/>
                <w:szCs w:val="7"/>
                <w:color w:val="auto"/>
              </w:rPr>
            </w:pPr>
          </w:p>
        </w:tc>
        <w:tc>
          <w:tcPr>
            <w:tcW w:w="1120" w:type="dxa"/>
            <w:vAlign w:val="bottom"/>
            <w:shd w:val="clear" w:color="auto" w:fill="FFC000"/>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5040" w:type="dxa"/>
            <w:vAlign w:val="bottom"/>
            <w:tcBorders>
              <w:bottom w:val="single" w:sz="8" w:color="FFC000"/>
            </w:tcBorders>
            <w:vMerge w:val="continue"/>
            <w:shd w:val="clear" w:color="auto" w:fill="FFC000"/>
          </w:tcPr>
          <w:p>
            <w:pPr>
              <w:spacing w:after="0"/>
              <w:rPr>
                <w:sz w:val="14"/>
                <w:szCs w:val="14"/>
                <w:color w:val="auto"/>
              </w:rPr>
            </w:pPr>
          </w:p>
        </w:tc>
        <w:tc>
          <w:tcPr>
            <w:tcW w:w="1060" w:type="dxa"/>
            <w:vAlign w:val="bottom"/>
            <w:tcBorders>
              <w:bottom w:val="single" w:sz="8" w:color="FFC000"/>
            </w:tcBorders>
            <w:shd w:val="clear" w:color="auto" w:fill="FFC000"/>
          </w:tcPr>
          <w:p>
            <w:pPr>
              <w:jc w:val="right"/>
              <w:ind w:right="4"/>
              <w:spacing w:after="0" w:line="161" w:lineRule="exact"/>
              <w:rPr>
                <w:sz w:val="20"/>
                <w:szCs w:val="20"/>
                <w:color w:val="auto"/>
              </w:rPr>
            </w:pPr>
            <w:r>
              <w:rPr>
                <w:rFonts w:ascii="Arial" w:cs="Arial" w:eastAsia="Arial" w:hAnsi="Arial"/>
                <w:sz w:val="15"/>
                <w:szCs w:val="15"/>
                <w:b w:val="1"/>
                <w:bCs w:val="1"/>
                <w:color w:val="auto"/>
              </w:rPr>
              <w:t>Print</w:t>
            </w:r>
          </w:p>
        </w:tc>
        <w:tc>
          <w:tcPr>
            <w:tcW w:w="540" w:type="dxa"/>
            <w:vAlign w:val="bottom"/>
            <w:tcBorders>
              <w:bottom w:val="single" w:sz="8" w:color="FFC000"/>
            </w:tcBorders>
            <w:shd w:val="clear" w:color="auto" w:fill="FFC000"/>
          </w:tcPr>
          <w:p>
            <w:pPr>
              <w:spacing w:after="0"/>
              <w:rPr>
                <w:sz w:val="14"/>
                <w:szCs w:val="14"/>
                <w:color w:val="auto"/>
              </w:rPr>
            </w:pPr>
          </w:p>
        </w:tc>
        <w:tc>
          <w:tcPr>
            <w:tcW w:w="260" w:type="dxa"/>
            <w:vAlign w:val="bottom"/>
            <w:tcBorders>
              <w:bottom w:val="single" w:sz="8" w:color="FFC000"/>
            </w:tcBorders>
            <w:shd w:val="clear" w:color="auto" w:fill="FFC000"/>
          </w:tcPr>
          <w:p>
            <w:pPr>
              <w:spacing w:after="0"/>
              <w:rPr>
                <w:sz w:val="14"/>
                <w:szCs w:val="14"/>
                <w:color w:val="auto"/>
              </w:rPr>
            </w:pPr>
          </w:p>
        </w:tc>
        <w:tc>
          <w:tcPr>
            <w:tcW w:w="1240" w:type="dxa"/>
            <w:vAlign w:val="bottom"/>
            <w:tcBorders>
              <w:bottom w:val="single" w:sz="8" w:color="FFC000"/>
            </w:tcBorders>
            <w:shd w:val="clear" w:color="auto" w:fill="FFC000"/>
          </w:tcPr>
          <w:p>
            <w:pPr>
              <w:jc w:val="center"/>
              <w:ind w:right="204"/>
              <w:spacing w:after="0" w:line="161" w:lineRule="exact"/>
              <w:rPr>
                <w:sz w:val="20"/>
                <w:szCs w:val="20"/>
                <w:color w:val="auto"/>
              </w:rPr>
            </w:pPr>
            <w:r>
              <w:rPr>
                <w:rFonts w:ascii="Arial" w:cs="Arial" w:eastAsia="Arial" w:hAnsi="Arial"/>
                <w:sz w:val="15"/>
                <w:szCs w:val="15"/>
                <w:b w:val="1"/>
                <w:bCs w:val="1"/>
                <w:color w:val="auto"/>
              </w:rPr>
              <w:t>Chemicals</w:t>
            </w:r>
          </w:p>
        </w:tc>
        <w:tc>
          <w:tcPr>
            <w:tcW w:w="400" w:type="dxa"/>
            <w:vAlign w:val="bottom"/>
            <w:tcBorders>
              <w:bottom w:val="single" w:sz="8" w:color="FFC000"/>
            </w:tcBorders>
            <w:shd w:val="clear" w:color="auto" w:fill="FFC000"/>
          </w:tcPr>
          <w:p>
            <w:pPr>
              <w:spacing w:after="0"/>
              <w:rPr>
                <w:sz w:val="14"/>
                <w:szCs w:val="14"/>
                <w:color w:val="auto"/>
              </w:rPr>
            </w:pPr>
          </w:p>
        </w:tc>
        <w:tc>
          <w:tcPr>
            <w:tcW w:w="1160" w:type="dxa"/>
            <w:vAlign w:val="bottom"/>
            <w:tcBorders>
              <w:bottom w:val="single" w:sz="8" w:color="FFC000"/>
            </w:tcBorders>
            <w:shd w:val="clear" w:color="auto" w:fill="FFC000"/>
          </w:tcPr>
          <w:p>
            <w:pPr>
              <w:jc w:val="right"/>
              <w:ind w:right="484"/>
              <w:spacing w:after="0" w:line="161" w:lineRule="exact"/>
              <w:rPr>
                <w:sz w:val="20"/>
                <w:szCs w:val="20"/>
                <w:color w:val="auto"/>
              </w:rPr>
            </w:pPr>
            <w:r>
              <w:rPr>
                <w:rFonts w:ascii="Arial" w:cs="Arial" w:eastAsia="Arial" w:hAnsi="Arial"/>
                <w:sz w:val="15"/>
                <w:szCs w:val="15"/>
                <w:b w:val="1"/>
                <w:bCs w:val="1"/>
                <w:color w:val="auto"/>
              </w:rPr>
              <w:t>Brand</w:t>
            </w:r>
          </w:p>
        </w:tc>
        <w:tc>
          <w:tcPr>
            <w:tcW w:w="420" w:type="dxa"/>
            <w:vAlign w:val="bottom"/>
            <w:tcBorders>
              <w:bottom w:val="single" w:sz="8" w:color="FFC000"/>
            </w:tcBorders>
            <w:shd w:val="clear" w:color="auto" w:fill="FFC000"/>
          </w:tcPr>
          <w:p>
            <w:pPr>
              <w:spacing w:after="0"/>
              <w:rPr>
                <w:sz w:val="14"/>
                <w:szCs w:val="14"/>
                <w:color w:val="auto"/>
              </w:rPr>
            </w:pPr>
          </w:p>
        </w:tc>
        <w:tc>
          <w:tcPr>
            <w:tcW w:w="1120" w:type="dxa"/>
            <w:vAlign w:val="bottom"/>
            <w:tcBorders>
              <w:bottom w:val="single" w:sz="8" w:color="FFC000"/>
            </w:tcBorders>
            <w:shd w:val="clear" w:color="auto" w:fill="FFC000"/>
          </w:tcPr>
          <w:p>
            <w:pPr>
              <w:jc w:val="right"/>
              <w:ind w:right="504"/>
              <w:spacing w:after="0" w:line="161" w:lineRule="exact"/>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43"/>
        </w:trPr>
        <w:tc>
          <w:tcPr>
            <w:tcW w:w="5040" w:type="dxa"/>
            <w:vAlign w:val="bottom"/>
          </w:tcPr>
          <w:p>
            <w:pPr>
              <w:spacing w:after="0" w:line="143" w:lineRule="exact"/>
              <w:rPr>
                <w:sz w:val="20"/>
                <w:szCs w:val="20"/>
                <w:color w:val="auto"/>
              </w:rPr>
            </w:pPr>
            <w:r>
              <w:rPr>
                <w:rFonts w:ascii="Arial" w:cs="Arial" w:eastAsia="Arial" w:hAnsi="Arial"/>
                <w:sz w:val="15"/>
                <w:szCs w:val="15"/>
                <w:b w:val="1"/>
                <w:bCs w:val="1"/>
                <w:color w:val="auto"/>
              </w:rPr>
              <w:t>Revenue</w:t>
            </w:r>
          </w:p>
        </w:tc>
        <w:tc>
          <w:tcPr>
            <w:tcW w:w="1060" w:type="dxa"/>
            <w:vAlign w:val="bottom"/>
          </w:tcPr>
          <w:p>
            <w:pPr>
              <w:jc w:val="right"/>
              <w:ind w:right="684"/>
              <w:spacing w:after="0" w:line="143" w:lineRule="exact"/>
              <w:rPr>
                <w:sz w:val="20"/>
                <w:szCs w:val="20"/>
                <w:color w:val="auto"/>
              </w:rPr>
            </w:pPr>
            <w:r>
              <w:rPr>
                <w:rFonts w:ascii="Arial" w:cs="Arial" w:eastAsia="Arial" w:hAnsi="Arial"/>
                <w:sz w:val="15"/>
                <w:szCs w:val="15"/>
                <w:b w:val="1"/>
                <w:bCs w:val="1"/>
                <w:color w:val="auto"/>
              </w:rPr>
              <w:t>$</w:t>
            </w:r>
          </w:p>
        </w:tc>
        <w:tc>
          <w:tcPr>
            <w:tcW w:w="540" w:type="dxa"/>
            <w:vAlign w:val="bottom"/>
          </w:tcPr>
          <w:p>
            <w:pPr>
              <w:jc w:val="right"/>
              <w:ind w:right="44"/>
              <w:spacing w:after="0" w:line="143" w:lineRule="exact"/>
              <w:rPr>
                <w:sz w:val="20"/>
                <w:szCs w:val="20"/>
                <w:color w:val="auto"/>
              </w:rPr>
            </w:pPr>
            <w:r>
              <w:rPr>
                <w:rFonts w:ascii="Arial" w:cs="Arial" w:eastAsia="Arial" w:hAnsi="Arial"/>
                <w:sz w:val="15"/>
                <w:szCs w:val="15"/>
                <w:b w:val="1"/>
                <w:bCs w:val="1"/>
                <w:color w:val="auto"/>
              </w:rPr>
              <w:t>(22)</w:t>
            </w:r>
          </w:p>
        </w:tc>
        <w:tc>
          <w:tcPr>
            <w:tcW w:w="260" w:type="dxa"/>
            <w:vAlign w:val="bottom"/>
          </w:tcPr>
          <w:p>
            <w:pPr>
              <w:jc w:val="right"/>
              <w:spacing w:after="0" w:line="143" w:lineRule="exact"/>
              <w:rPr>
                <w:sz w:val="20"/>
                <w:szCs w:val="20"/>
                <w:color w:val="auto"/>
              </w:rPr>
            </w:pPr>
            <w:r>
              <w:rPr>
                <w:rFonts w:ascii="Arial" w:cs="Arial" w:eastAsia="Arial" w:hAnsi="Arial"/>
                <w:sz w:val="15"/>
                <w:szCs w:val="15"/>
                <w:b w:val="1"/>
                <w:bCs w:val="1"/>
                <w:color w:val="auto"/>
              </w:rPr>
              <w:t>$</w:t>
            </w:r>
          </w:p>
        </w:tc>
        <w:tc>
          <w:tcPr>
            <w:tcW w:w="1240" w:type="dxa"/>
            <w:vAlign w:val="bottom"/>
          </w:tcPr>
          <w:p>
            <w:pPr>
              <w:jc w:val="right"/>
              <w:ind w:right="84"/>
              <w:spacing w:after="0" w:line="143" w:lineRule="exact"/>
              <w:rPr>
                <w:sz w:val="20"/>
                <w:szCs w:val="20"/>
                <w:color w:val="auto"/>
              </w:rPr>
            </w:pPr>
            <w:r>
              <w:rPr>
                <w:rFonts w:ascii="Arial" w:cs="Arial" w:eastAsia="Arial" w:hAnsi="Arial"/>
                <w:sz w:val="15"/>
                <w:szCs w:val="15"/>
                <w:b w:val="1"/>
                <w:bCs w:val="1"/>
                <w:color w:val="auto"/>
              </w:rPr>
              <w:t>45</w:t>
            </w:r>
          </w:p>
        </w:tc>
        <w:tc>
          <w:tcPr>
            <w:tcW w:w="400" w:type="dxa"/>
            <w:vAlign w:val="bottom"/>
          </w:tcPr>
          <w:p>
            <w:pPr>
              <w:jc w:val="right"/>
              <w:ind w:right="84"/>
              <w:spacing w:after="0" w:line="143" w:lineRule="exact"/>
              <w:rPr>
                <w:sz w:val="20"/>
                <w:szCs w:val="20"/>
                <w:color w:val="auto"/>
              </w:rPr>
            </w:pPr>
            <w:r>
              <w:rPr>
                <w:rFonts w:ascii="Arial" w:cs="Arial" w:eastAsia="Arial" w:hAnsi="Arial"/>
                <w:sz w:val="15"/>
                <w:szCs w:val="15"/>
                <w:b w:val="1"/>
                <w:bCs w:val="1"/>
                <w:color w:val="auto"/>
              </w:rPr>
              <w:t>$</w:t>
            </w:r>
          </w:p>
        </w:tc>
        <w:tc>
          <w:tcPr>
            <w:tcW w:w="1160" w:type="dxa"/>
            <w:vAlign w:val="bottom"/>
          </w:tcPr>
          <w:p>
            <w:pPr>
              <w:jc w:val="right"/>
              <w:ind w:right="84"/>
              <w:spacing w:after="0" w:line="143" w:lineRule="exact"/>
              <w:rPr>
                <w:sz w:val="20"/>
                <w:szCs w:val="20"/>
                <w:color w:val="auto"/>
              </w:rPr>
            </w:pPr>
            <w:r>
              <w:rPr>
                <w:rFonts w:ascii="Arial" w:cs="Arial" w:eastAsia="Arial" w:hAnsi="Arial"/>
                <w:sz w:val="15"/>
                <w:szCs w:val="15"/>
                <w:b w:val="1"/>
                <w:bCs w:val="1"/>
                <w:color w:val="auto"/>
              </w:rPr>
              <w:t>3</w:t>
            </w:r>
          </w:p>
        </w:tc>
        <w:tc>
          <w:tcPr>
            <w:tcW w:w="420" w:type="dxa"/>
            <w:vAlign w:val="bottom"/>
          </w:tcPr>
          <w:p>
            <w:pPr>
              <w:jc w:val="right"/>
              <w:ind w:right="104"/>
              <w:spacing w:after="0" w:line="143" w:lineRule="exact"/>
              <w:rPr>
                <w:sz w:val="20"/>
                <w:szCs w:val="20"/>
                <w:color w:val="auto"/>
              </w:rPr>
            </w:pPr>
            <w:r>
              <w:rPr>
                <w:rFonts w:ascii="Arial" w:cs="Arial" w:eastAsia="Arial" w:hAnsi="Arial"/>
                <w:sz w:val="15"/>
                <w:szCs w:val="15"/>
                <w:b w:val="1"/>
                <w:bCs w:val="1"/>
                <w:color w:val="auto"/>
              </w:rPr>
              <w:t>$</w:t>
            </w:r>
          </w:p>
        </w:tc>
        <w:tc>
          <w:tcPr>
            <w:tcW w:w="1120" w:type="dxa"/>
            <w:vAlign w:val="bottom"/>
          </w:tcPr>
          <w:p>
            <w:pPr>
              <w:jc w:val="right"/>
              <w:ind w:right="64"/>
              <w:spacing w:after="0" w:line="143" w:lineRule="exact"/>
              <w:rPr>
                <w:sz w:val="20"/>
                <w:szCs w:val="20"/>
                <w:color w:val="auto"/>
              </w:rPr>
            </w:pPr>
            <w:r>
              <w:rPr>
                <w:rFonts w:ascii="Arial" w:cs="Arial" w:eastAsia="Arial" w:hAnsi="Arial"/>
                <w:sz w:val="15"/>
                <w:szCs w:val="15"/>
                <w:b w:val="1"/>
                <w:bCs w:val="1"/>
                <w:color w:val="auto"/>
              </w:rPr>
              <w:t>26</w:t>
            </w:r>
          </w:p>
        </w:tc>
        <w:tc>
          <w:tcPr>
            <w:tcW w:w="0" w:type="dxa"/>
            <w:vAlign w:val="bottom"/>
          </w:tcPr>
          <w:p>
            <w:pPr>
              <w:spacing w:after="0"/>
              <w:rPr>
                <w:sz w:val="1"/>
                <w:szCs w:val="1"/>
                <w:color w:val="auto"/>
              </w:rPr>
            </w:pPr>
          </w:p>
        </w:tc>
      </w:tr>
      <w:tr>
        <w:trPr>
          <w:trHeight w:val="210"/>
        </w:trPr>
        <w:tc>
          <w:tcPr>
            <w:tcW w:w="5040" w:type="dxa"/>
            <w:vAlign w:val="bottom"/>
          </w:tcPr>
          <w:p>
            <w:pPr>
              <w:spacing w:after="0"/>
              <w:rPr>
                <w:sz w:val="20"/>
                <w:szCs w:val="20"/>
                <w:color w:val="auto"/>
              </w:rPr>
            </w:pPr>
            <w:r>
              <w:rPr>
                <w:rFonts w:ascii="Arial" w:cs="Arial" w:eastAsia="Arial" w:hAnsi="Arial"/>
                <w:sz w:val="15"/>
                <w:szCs w:val="15"/>
                <w:b w:val="1"/>
                <w:bCs w:val="1"/>
                <w:color w:val="auto"/>
              </w:rPr>
              <w:t>Operational EBITDA *</w:t>
            </w:r>
          </w:p>
        </w:tc>
        <w:tc>
          <w:tcPr>
            <w:tcW w:w="1060" w:type="dxa"/>
            <w:vAlign w:val="bottom"/>
          </w:tcPr>
          <w:p>
            <w:pPr>
              <w:jc w:val="right"/>
              <w:ind w:right="684"/>
              <w:spacing w:after="0"/>
              <w:rPr>
                <w:sz w:val="20"/>
                <w:szCs w:val="20"/>
                <w:color w:val="auto"/>
              </w:rPr>
            </w:pPr>
            <w:r>
              <w:rPr>
                <w:rFonts w:ascii="Arial" w:cs="Arial" w:eastAsia="Arial" w:hAnsi="Arial"/>
                <w:sz w:val="15"/>
                <w:szCs w:val="15"/>
                <w:b w:val="1"/>
                <w:bCs w:val="1"/>
                <w:color w:val="auto"/>
              </w:rPr>
              <w:t>$</w:t>
            </w:r>
          </w:p>
        </w:tc>
        <w:tc>
          <w:tcPr>
            <w:tcW w:w="540" w:type="dxa"/>
            <w:vAlign w:val="bottom"/>
          </w:tcPr>
          <w:p>
            <w:pPr>
              <w:jc w:val="right"/>
              <w:ind w:right="124"/>
              <w:spacing w:after="0"/>
              <w:rPr>
                <w:sz w:val="20"/>
                <w:szCs w:val="20"/>
                <w:color w:val="auto"/>
              </w:rPr>
            </w:pPr>
            <w:r>
              <w:rPr>
                <w:rFonts w:ascii="Arial" w:cs="Arial" w:eastAsia="Arial" w:hAnsi="Arial"/>
                <w:sz w:val="15"/>
                <w:szCs w:val="15"/>
                <w:b w:val="1"/>
                <w:bCs w:val="1"/>
                <w:color w:val="auto"/>
              </w:rPr>
              <w:t>11</w:t>
            </w:r>
          </w:p>
        </w:tc>
        <w:tc>
          <w:tcPr>
            <w:tcW w:w="2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240" w:type="dxa"/>
            <w:vAlign w:val="bottom"/>
          </w:tcPr>
          <w:p>
            <w:pPr>
              <w:jc w:val="right"/>
              <w:ind w:right="84"/>
              <w:spacing w:after="0"/>
              <w:rPr>
                <w:sz w:val="20"/>
                <w:szCs w:val="20"/>
                <w:color w:val="auto"/>
              </w:rPr>
            </w:pPr>
            <w:r>
              <w:rPr>
                <w:rFonts w:ascii="Arial" w:cs="Arial" w:eastAsia="Arial" w:hAnsi="Arial"/>
                <w:sz w:val="15"/>
                <w:szCs w:val="15"/>
                <w:b w:val="1"/>
                <w:bCs w:val="1"/>
                <w:color w:val="auto"/>
              </w:rPr>
              <w:t>22</w:t>
            </w:r>
          </w:p>
        </w:tc>
        <w:tc>
          <w:tcPr>
            <w:tcW w:w="400" w:type="dxa"/>
            <w:vAlign w:val="bottom"/>
          </w:tcPr>
          <w:p>
            <w:pPr>
              <w:jc w:val="right"/>
              <w:ind w:right="84"/>
              <w:spacing w:after="0"/>
              <w:rPr>
                <w:sz w:val="20"/>
                <w:szCs w:val="20"/>
                <w:color w:val="auto"/>
              </w:rPr>
            </w:pPr>
            <w:r>
              <w:rPr>
                <w:rFonts w:ascii="Arial" w:cs="Arial" w:eastAsia="Arial" w:hAnsi="Arial"/>
                <w:sz w:val="15"/>
                <w:szCs w:val="15"/>
                <w:b w:val="1"/>
                <w:bCs w:val="1"/>
                <w:color w:val="auto"/>
              </w:rPr>
              <w:t>$</w:t>
            </w:r>
          </w:p>
        </w:tc>
        <w:tc>
          <w:tcPr>
            <w:tcW w:w="1160" w:type="dxa"/>
            <w:vAlign w:val="bottom"/>
          </w:tcPr>
          <w:p>
            <w:pPr>
              <w:jc w:val="right"/>
              <w:ind w:right="84"/>
              <w:spacing w:after="0"/>
              <w:rPr>
                <w:sz w:val="20"/>
                <w:szCs w:val="20"/>
                <w:color w:val="auto"/>
              </w:rPr>
            </w:pPr>
            <w:r>
              <w:rPr>
                <w:rFonts w:ascii="Arial" w:cs="Arial" w:eastAsia="Arial" w:hAnsi="Arial"/>
                <w:sz w:val="15"/>
                <w:szCs w:val="15"/>
                <w:b w:val="1"/>
                <w:bCs w:val="1"/>
                <w:color w:val="auto"/>
              </w:rPr>
              <w:t>3</w:t>
            </w:r>
          </w:p>
        </w:tc>
        <w:tc>
          <w:tcPr>
            <w:tcW w:w="420" w:type="dxa"/>
            <w:vAlign w:val="bottom"/>
          </w:tcPr>
          <w:p>
            <w:pPr>
              <w:jc w:val="right"/>
              <w:ind w:right="104"/>
              <w:spacing w:after="0"/>
              <w:rPr>
                <w:sz w:val="20"/>
                <w:szCs w:val="20"/>
                <w:color w:val="auto"/>
              </w:rPr>
            </w:pPr>
            <w:r>
              <w:rPr>
                <w:rFonts w:ascii="Arial" w:cs="Arial" w:eastAsia="Arial" w:hAnsi="Arial"/>
                <w:sz w:val="15"/>
                <w:szCs w:val="15"/>
                <w:b w:val="1"/>
                <w:bCs w:val="1"/>
                <w:color w:val="auto"/>
              </w:rPr>
              <w:t>$</w:t>
            </w:r>
          </w:p>
        </w:tc>
        <w:tc>
          <w:tcPr>
            <w:tcW w:w="1120" w:type="dxa"/>
            <w:vAlign w:val="bottom"/>
          </w:tcPr>
          <w:p>
            <w:pPr>
              <w:jc w:val="right"/>
              <w:ind w:right="64"/>
              <w:spacing w:after="0"/>
              <w:rPr>
                <w:sz w:val="20"/>
                <w:szCs w:val="20"/>
                <w:color w:val="auto"/>
              </w:rPr>
            </w:pPr>
            <w:r>
              <w:rPr>
                <w:rFonts w:ascii="Arial" w:cs="Arial" w:eastAsia="Arial" w:hAnsi="Arial"/>
                <w:sz w:val="15"/>
                <w:szCs w:val="15"/>
                <w:b w:val="1"/>
                <w:bCs w:val="1"/>
                <w:color w:val="auto"/>
              </w:rPr>
              <w:t>36</w:t>
            </w:r>
          </w:p>
        </w:tc>
        <w:tc>
          <w:tcPr>
            <w:tcW w:w="0" w:type="dxa"/>
            <w:vAlign w:val="bottom"/>
          </w:tcPr>
          <w:p>
            <w:pPr>
              <w:spacing w:after="0"/>
              <w:rPr>
                <w:sz w:val="1"/>
                <w:szCs w:val="1"/>
                <w:color w:val="auto"/>
              </w:rPr>
            </w:pPr>
          </w:p>
        </w:tc>
      </w:tr>
      <w:tr>
        <w:trPr>
          <w:trHeight w:val="133"/>
        </w:trPr>
        <w:tc>
          <w:tcPr>
            <w:tcW w:w="5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5040" w:type="dxa"/>
            <w:vAlign w:val="bottom"/>
            <w:vMerge w:val="restart"/>
            <w:shd w:val="clear" w:color="auto" w:fill="FFC000"/>
          </w:tcPr>
          <w:p>
            <w:pPr>
              <w:jc w:val="center"/>
              <w:ind w:left="124"/>
              <w:spacing w:after="0"/>
              <w:rPr>
                <w:sz w:val="20"/>
                <w:szCs w:val="20"/>
                <w:color w:val="auto"/>
              </w:rPr>
            </w:pPr>
            <w:r>
              <w:rPr>
                <w:rFonts w:ascii="Arial" w:cs="Arial" w:eastAsia="Arial" w:hAnsi="Arial"/>
                <w:sz w:val="15"/>
                <w:szCs w:val="15"/>
                <w:b w:val="1"/>
                <w:bCs w:val="1"/>
                <w:color w:val="auto"/>
              </w:rPr>
              <w:t>FY 2025 Actuals on constant currency ** vs. FY 2024 Actuals</w:t>
            </w:r>
          </w:p>
        </w:tc>
        <w:tc>
          <w:tcPr>
            <w:tcW w:w="1060" w:type="dxa"/>
            <w:vAlign w:val="bottom"/>
            <w:shd w:val="clear" w:color="auto" w:fill="FFC000"/>
          </w:tcPr>
          <w:p>
            <w:pPr>
              <w:spacing w:after="0"/>
              <w:rPr>
                <w:sz w:val="12"/>
                <w:szCs w:val="12"/>
                <w:color w:val="auto"/>
              </w:rPr>
            </w:pPr>
          </w:p>
        </w:tc>
        <w:tc>
          <w:tcPr>
            <w:tcW w:w="540" w:type="dxa"/>
            <w:vAlign w:val="bottom"/>
            <w:shd w:val="clear" w:color="auto" w:fill="FFC000"/>
          </w:tcPr>
          <w:p>
            <w:pPr>
              <w:spacing w:after="0"/>
              <w:rPr>
                <w:sz w:val="12"/>
                <w:szCs w:val="12"/>
                <w:color w:val="auto"/>
              </w:rPr>
            </w:pPr>
          </w:p>
        </w:tc>
        <w:tc>
          <w:tcPr>
            <w:tcW w:w="260" w:type="dxa"/>
            <w:vAlign w:val="bottom"/>
            <w:shd w:val="clear" w:color="auto" w:fill="FFC000"/>
          </w:tcPr>
          <w:p>
            <w:pPr>
              <w:spacing w:after="0"/>
              <w:rPr>
                <w:sz w:val="12"/>
                <w:szCs w:val="12"/>
                <w:color w:val="auto"/>
              </w:rPr>
            </w:pPr>
          </w:p>
        </w:tc>
        <w:tc>
          <w:tcPr>
            <w:tcW w:w="1240" w:type="dxa"/>
            <w:vAlign w:val="bottom"/>
            <w:shd w:val="clear" w:color="auto" w:fill="FFC000"/>
          </w:tcPr>
          <w:p>
            <w:pPr>
              <w:jc w:val="center"/>
              <w:ind w:right="264"/>
              <w:spacing w:after="0" w:line="143" w:lineRule="exact"/>
              <w:rPr>
                <w:sz w:val="20"/>
                <w:szCs w:val="20"/>
                <w:color w:val="auto"/>
              </w:rPr>
            </w:pPr>
            <w:r>
              <w:rPr>
                <w:rFonts w:ascii="Arial" w:cs="Arial" w:eastAsia="Arial" w:hAnsi="Arial"/>
                <w:sz w:val="15"/>
                <w:szCs w:val="15"/>
                <w:b w:val="1"/>
                <w:bCs w:val="1"/>
                <w:color w:val="auto"/>
              </w:rPr>
              <w:t>Advanced</w:t>
            </w:r>
          </w:p>
        </w:tc>
        <w:tc>
          <w:tcPr>
            <w:tcW w:w="400" w:type="dxa"/>
            <w:vAlign w:val="bottom"/>
            <w:shd w:val="clear" w:color="auto" w:fill="FFC000"/>
          </w:tcPr>
          <w:p>
            <w:pPr>
              <w:spacing w:after="0"/>
              <w:rPr>
                <w:sz w:val="12"/>
                <w:szCs w:val="12"/>
                <w:color w:val="auto"/>
              </w:rPr>
            </w:pPr>
          </w:p>
        </w:tc>
        <w:tc>
          <w:tcPr>
            <w:tcW w:w="1160" w:type="dxa"/>
            <w:vAlign w:val="bottom"/>
            <w:shd w:val="clear" w:color="auto" w:fill="FFC000"/>
          </w:tcPr>
          <w:p>
            <w:pPr>
              <w:spacing w:after="0"/>
              <w:rPr>
                <w:sz w:val="12"/>
                <w:szCs w:val="12"/>
                <w:color w:val="auto"/>
              </w:rPr>
            </w:pPr>
          </w:p>
        </w:tc>
        <w:tc>
          <w:tcPr>
            <w:tcW w:w="420" w:type="dxa"/>
            <w:vAlign w:val="bottom"/>
            <w:shd w:val="clear" w:color="auto" w:fill="FFC000"/>
          </w:tcPr>
          <w:p>
            <w:pPr>
              <w:spacing w:after="0"/>
              <w:rPr>
                <w:sz w:val="12"/>
                <w:szCs w:val="12"/>
                <w:color w:val="auto"/>
              </w:rPr>
            </w:pPr>
          </w:p>
        </w:tc>
        <w:tc>
          <w:tcPr>
            <w:tcW w:w="1120" w:type="dxa"/>
            <w:vAlign w:val="bottom"/>
            <w:shd w:val="clear" w:color="auto" w:fill="FFC000"/>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5040" w:type="dxa"/>
            <w:vAlign w:val="bottom"/>
            <w:vMerge w:val="continue"/>
            <w:shd w:val="clear" w:color="auto" w:fill="FFC000"/>
          </w:tcPr>
          <w:p>
            <w:pPr>
              <w:spacing w:after="0"/>
              <w:rPr>
                <w:sz w:val="7"/>
                <w:szCs w:val="7"/>
                <w:color w:val="auto"/>
              </w:rPr>
            </w:pPr>
          </w:p>
        </w:tc>
        <w:tc>
          <w:tcPr>
            <w:tcW w:w="1060" w:type="dxa"/>
            <w:vAlign w:val="bottom"/>
            <w:shd w:val="clear" w:color="auto" w:fill="FFC000"/>
          </w:tcPr>
          <w:p>
            <w:pPr>
              <w:spacing w:after="0"/>
              <w:rPr>
                <w:sz w:val="7"/>
                <w:szCs w:val="7"/>
                <w:color w:val="auto"/>
              </w:rPr>
            </w:pPr>
          </w:p>
        </w:tc>
        <w:tc>
          <w:tcPr>
            <w:tcW w:w="540" w:type="dxa"/>
            <w:vAlign w:val="bottom"/>
            <w:shd w:val="clear" w:color="auto" w:fill="FFC000"/>
          </w:tcPr>
          <w:p>
            <w:pPr>
              <w:spacing w:after="0"/>
              <w:rPr>
                <w:sz w:val="7"/>
                <w:szCs w:val="7"/>
                <w:color w:val="auto"/>
              </w:rPr>
            </w:pPr>
          </w:p>
        </w:tc>
        <w:tc>
          <w:tcPr>
            <w:tcW w:w="260" w:type="dxa"/>
            <w:vAlign w:val="bottom"/>
            <w:shd w:val="clear" w:color="auto" w:fill="FFC000"/>
          </w:tcPr>
          <w:p>
            <w:pPr>
              <w:spacing w:after="0"/>
              <w:rPr>
                <w:sz w:val="7"/>
                <w:szCs w:val="7"/>
                <w:color w:val="auto"/>
              </w:rPr>
            </w:pPr>
          </w:p>
        </w:tc>
        <w:tc>
          <w:tcPr>
            <w:tcW w:w="1240" w:type="dxa"/>
            <w:vAlign w:val="bottom"/>
            <w:vMerge w:val="restart"/>
            <w:shd w:val="clear" w:color="auto" w:fill="FFC000"/>
          </w:tcPr>
          <w:p>
            <w:pPr>
              <w:jc w:val="center"/>
              <w:ind w:right="264"/>
              <w:spacing w:after="0" w:line="162" w:lineRule="exact"/>
              <w:rPr>
                <w:sz w:val="20"/>
                <w:szCs w:val="20"/>
                <w:color w:val="auto"/>
              </w:rPr>
            </w:pPr>
            <w:r>
              <w:rPr>
                <w:rFonts w:ascii="Arial" w:cs="Arial" w:eastAsia="Arial" w:hAnsi="Arial"/>
                <w:sz w:val="15"/>
                <w:szCs w:val="15"/>
                <w:b w:val="1"/>
                <w:bCs w:val="1"/>
                <w:color w:val="auto"/>
              </w:rPr>
              <w:t>Materials &amp;</w:t>
            </w:r>
          </w:p>
        </w:tc>
        <w:tc>
          <w:tcPr>
            <w:tcW w:w="400" w:type="dxa"/>
            <w:vAlign w:val="bottom"/>
            <w:shd w:val="clear" w:color="auto" w:fill="FFC000"/>
          </w:tcPr>
          <w:p>
            <w:pPr>
              <w:spacing w:after="0"/>
              <w:rPr>
                <w:sz w:val="7"/>
                <w:szCs w:val="7"/>
                <w:color w:val="auto"/>
              </w:rPr>
            </w:pPr>
          </w:p>
        </w:tc>
        <w:tc>
          <w:tcPr>
            <w:tcW w:w="1160" w:type="dxa"/>
            <w:vAlign w:val="bottom"/>
            <w:shd w:val="clear" w:color="auto" w:fill="FFC000"/>
          </w:tcPr>
          <w:p>
            <w:pPr>
              <w:spacing w:after="0"/>
              <w:rPr>
                <w:sz w:val="7"/>
                <w:szCs w:val="7"/>
                <w:color w:val="auto"/>
              </w:rPr>
            </w:pPr>
          </w:p>
        </w:tc>
        <w:tc>
          <w:tcPr>
            <w:tcW w:w="420" w:type="dxa"/>
            <w:vAlign w:val="bottom"/>
            <w:shd w:val="clear" w:color="auto" w:fill="FFC000"/>
          </w:tcPr>
          <w:p>
            <w:pPr>
              <w:spacing w:after="0"/>
              <w:rPr>
                <w:sz w:val="7"/>
                <w:szCs w:val="7"/>
                <w:color w:val="auto"/>
              </w:rPr>
            </w:pPr>
          </w:p>
        </w:tc>
        <w:tc>
          <w:tcPr>
            <w:tcW w:w="1120" w:type="dxa"/>
            <w:vAlign w:val="bottom"/>
            <w:shd w:val="clear" w:color="auto" w:fill="FFC000"/>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5040" w:type="dxa"/>
            <w:vAlign w:val="bottom"/>
            <w:vMerge w:val="restart"/>
            <w:shd w:val="clear" w:color="auto" w:fill="FFC000"/>
          </w:tcPr>
          <w:p>
            <w:pPr>
              <w:jc w:val="center"/>
              <w:ind w:left="124"/>
              <w:spacing w:after="0"/>
              <w:rPr>
                <w:sz w:val="20"/>
                <w:szCs w:val="20"/>
                <w:color w:val="auto"/>
              </w:rPr>
            </w:pPr>
            <w:r>
              <w:rPr>
                <w:rFonts w:ascii="Arial" w:cs="Arial" w:eastAsia="Arial" w:hAnsi="Arial"/>
                <w:sz w:val="15"/>
                <w:szCs w:val="15"/>
                <w:b w:val="1"/>
                <w:bCs w:val="1"/>
                <w:color w:val="auto"/>
              </w:rPr>
              <w:t>B(W)</w:t>
            </w:r>
          </w:p>
        </w:tc>
        <w:tc>
          <w:tcPr>
            <w:tcW w:w="1060" w:type="dxa"/>
            <w:vAlign w:val="bottom"/>
            <w:shd w:val="clear" w:color="auto" w:fill="FFC000"/>
          </w:tcPr>
          <w:p>
            <w:pPr>
              <w:spacing w:after="0"/>
              <w:rPr>
                <w:sz w:val="7"/>
                <w:szCs w:val="7"/>
                <w:color w:val="auto"/>
              </w:rPr>
            </w:pPr>
          </w:p>
        </w:tc>
        <w:tc>
          <w:tcPr>
            <w:tcW w:w="540" w:type="dxa"/>
            <w:vAlign w:val="bottom"/>
            <w:shd w:val="clear" w:color="auto" w:fill="FFC000"/>
          </w:tcPr>
          <w:p>
            <w:pPr>
              <w:spacing w:after="0"/>
              <w:rPr>
                <w:sz w:val="7"/>
                <w:szCs w:val="7"/>
                <w:color w:val="auto"/>
              </w:rPr>
            </w:pPr>
          </w:p>
        </w:tc>
        <w:tc>
          <w:tcPr>
            <w:tcW w:w="260" w:type="dxa"/>
            <w:vAlign w:val="bottom"/>
            <w:shd w:val="clear" w:color="auto" w:fill="FFC000"/>
          </w:tcPr>
          <w:p>
            <w:pPr>
              <w:spacing w:after="0"/>
              <w:rPr>
                <w:sz w:val="7"/>
                <w:szCs w:val="7"/>
                <w:color w:val="auto"/>
              </w:rPr>
            </w:pPr>
          </w:p>
        </w:tc>
        <w:tc>
          <w:tcPr>
            <w:tcW w:w="1240" w:type="dxa"/>
            <w:vAlign w:val="bottom"/>
            <w:vMerge w:val="continue"/>
            <w:shd w:val="clear" w:color="auto" w:fill="FFC000"/>
          </w:tcPr>
          <w:p>
            <w:pPr>
              <w:spacing w:after="0"/>
              <w:rPr>
                <w:sz w:val="7"/>
                <w:szCs w:val="7"/>
                <w:color w:val="auto"/>
              </w:rPr>
            </w:pPr>
          </w:p>
        </w:tc>
        <w:tc>
          <w:tcPr>
            <w:tcW w:w="400" w:type="dxa"/>
            <w:vAlign w:val="bottom"/>
            <w:shd w:val="clear" w:color="auto" w:fill="FFC000"/>
          </w:tcPr>
          <w:p>
            <w:pPr>
              <w:spacing w:after="0"/>
              <w:rPr>
                <w:sz w:val="7"/>
                <w:szCs w:val="7"/>
                <w:color w:val="auto"/>
              </w:rPr>
            </w:pPr>
          </w:p>
        </w:tc>
        <w:tc>
          <w:tcPr>
            <w:tcW w:w="1160" w:type="dxa"/>
            <w:vAlign w:val="bottom"/>
            <w:shd w:val="clear" w:color="auto" w:fill="FFC000"/>
          </w:tcPr>
          <w:p>
            <w:pPr>
              <w:spacing w:after="0"/>
              <w:rPr>
                <w:sz w:val="7"/>
                <w:szCs w:val="7"/>
                <w:color w:val="auto"/>
              </w:rPr>
            </w:pPr>
          </w:p>
        </w:tc>
        <w:tc>
          <w:tcPr>
            <w:tcW w:w="420" w:type="dxa"/>
            <w:vAlign w:val="bottom"/>
            <w:shd w:val="clear" w:color="auto" w:fill="FFC000"/>
          </w:tcPr>
          <w:p>
            <w:pPr>
              <w:spacing w:after="0"/>
              <w:rPr>
                <w:sz w:val="7"/>
                <w:szCs w:val="7"/>
                <w:color w:val="auto"/>
              </w:rPr>
            </w:pPr>
          </w:p>
        </w:tc>
        <w:tc>
          <w:tcPr>
            <w:tcW w:w="1120" w:type="dxa"/>
            <w:vAlign w:val="bottom"/>
            <w:shd w:val="clear" w:color="auto" w:fill="FFC000"/>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5040" w:type="dxa"/>
            <w:vAlign w:val="bottom"/>
            <w:tcBorders>
              <w:bottom w:val="single" w:sz="8" w:color="FFC000"/>
            </w:tcBorders>
            <w:vMerge w:val="continue"/>
            <w:shd w:val="clear" w:color="auto" w:fill="FFC000"/>
          </w:tcPr>
          <w:p>
            <w:pPr>
              <w:spacing w:after="0"/>
              <w:rPr>
                <w:sz w:val="14"/>
                <w:szCs w:val="14"/>
                <w:color w:val="auto"/>
              </w:rPr>
            </w:pPr>
          </w:p>
        </w:tc>
        <w:tc>
          <w:tcPr>
            <w:tcW w:w="1060" w:type="dxa"/>
            <w:vAlign w:val="bottom"/>
            <w:tcBorders>
              <w:bottom w:val="single" w:sz="8" w:color="FFC000"/>
            </w:tcBorders>
            <w:shd w:val="clear" w:color="auto" w:fill="FFC000"/>
          </w:tcPr>
          <w:p>
            <w:pPr>
              <w:jc w:val="right"/>
              <w:ind w:right="4"/>
              <w:spacing w:after="0" w:line="161" w:lineRule="exact"/>
              <w:rPr>
                <w:sz w:val="20"/>
                <w:szCs w:val="20"/>
                <w:color w:val="auto"/>
              </w:rPr>
            </w:pPr>
            <w:r>
              <w:rPr>
                <w:rFonts w:ascii="Arial" w:cs="Arial" w:eastAsia="Arial" w:hAnsi="Arial"/>
                <w:sz w:val="15"/>
                <w:szCs w:val="15"/>
                <w:b w:val="1"/>
                <w:bCs w:val="1"/>
                <w:color w:val="auto"/>
              </w:rPr>
              <w:t>Print</w:t>
            </w:r>
          </w:p>
        </w:tc>
        <w:tc>
          <w:tcPr>
            <w:tcW w:w="540" w:type="dxa"/>
            <w:vAlign w:val="bottom"/>
            <w:tcBorders>
              <w:bottom w:val="single" w:sz="8" w:color="FFC000"/>
            </w:tcBorders>
            <w:shd w:val="clear" w:color="auto" w:fill="FFC000"/>
          </w:tcPr>
          <w:p>
            <w:pPr>
              <w:spacing w:after="0"/>
              <w:rPr>
                <w:sz w:val="14"/>
                <w:szCs w:val="14"/>
                <w:color w:val="auto"/>
              </w:rPr>
            </w:pPr>
          </w:p>
        </w:tc>
        <w:tc>
          <w:tcPr>
            <w:tcW w:w="260" w:type="dxa"/>
            <w:vAlign w:val="bottom"/>
            <w:tcBorders>
              <w:bottom w:val="single" w:sz="8" w:color="FFC000"/>
            </w:tcBorders>
            <w:shd w:val="clear" w:color="auto" w:fill="FFC000"/>
          </w:tcPr>
          <w:p>
            <w:pPr>
              <w:spacing w:after="0"/>
              <w:rPr>
                <w:sz w:val="14"/>
                <w:szCs w:val="14"/>
                <w:color w:val="auto"/>
              </w:rPr>
            </w:pPr>
          </w:p>
        </w:tc>
        <w:tc>
          <w:tcPr>
            <w:tcW w:w="1240" w:type="dxa"/>
            <w:vAlign w:val="bottom"/>
            <w:tcBorders>
              <w:bottom w:val="single" w:sz="8" w:color="FFC000"/>
            </w:tcBorders>
            <w:shd w:val="clear" w:color="auto" w:fill="FFC000"/>
          </w:tcPr>
          <w:p>
            <w:pPr>
              <w:jc w:val="center"/>
              <w:ind w:right="204"/>
              <w:spacing w:after="0" w:line="161" w:lineRule="exact"/>
              <w:rPr>
                <w:sz w:val="20"/>
                <w:szCs w:val="20"/>
                <w:color w:val="auto"/>
              </w:rPr>
            </w:pPr>
            <w:r>
              <w:rPr>
                <w:rFonts w:ascii="Arial" w:cs="Arial" w:eastAsia="Arial" w:hAnsi="Arial"/>
                <w:sz w:val="15"/>
                <w:szCs w:val="15"/>
                <w:b w:val="1"/>
                <w:bCs w:val="1"/>
                <w:color w:val="auto"/>
              </w:rPr>
              <w:t>Chemicals</w:t>
            </w:r>
          </w:p>
        </w:tc>
        <w:tc>
          <w:tcPr>
            <w:tcW w:w="400" w:type="dxa"/>
            <w:vAlign w:val="bottom"/>
            <w:tcBorders>
              <w:bottom w:val="single" w:sz="8" w:color="FFC000"/>
            </w:tcBorders>
            <w:shd w:val="clear" w:color="auto" w:fill="FFC000"/>
          </w:tcPr>
          <w:p>
            <w:pPr>
              <w:spacing w:after="0"/>
              <w:rPr>
                <w:sz w:val="14"/>
                <w:szCs w:val="14"/>
                <w:color w:val="auto"/>
              </w:rPr>
            </w:pPr>
          </w:p>
        </w:tc>
        <w:tc>
          <w:tcPr>
            <w:tcW w:w="1160" w:type="dxa"/>
            <w:vAlign w:val="bottom"/>
            <w:tcBorders>
              <w:bottom w:val="single" w:sz="8" w:color="FFC000"/>
            </w:tcBorders>
            <w:shd w:val="clear" w:color="auto" w:fill="FFC000"/>
          </w:tcPr>
          <w:p>
            <w:pPr>
              <w:jc w:val="right"/>
              <w:ind w:right="484"/>
              <w:spacing w:after="0" w:line="161" w:lineRule="exact"/>
              <w:rPr>
                <w:sz w:val="20"/>
                <w:szCs w:val="20"/>
                <w:color w:val="auto"/>
              </w:rPr>
            </w:pPr>
            <w:r>
              <w:rPr>
                <w:rFonts w:ascii="Arial" w:cs="Arial" w:eastAsia="Arial" w:hAnsi="Arial"/>
                <w:sz w:val="15"/>
                <w:szCs w:val="15"/>
                <w:b w:val="1"/>
                <w:bCs w:val="1"/>
                <w:color w:val="auto"/>
              </w:rPr>
              <w:t>Brand</w:t>
            </w:r>
          </w:p>
        </w:tc>
        <w:tc>
          <w:tcPr>
            <w:tcW w:w="420" w:type="dxa"/>
            <w:vAlign w:val="bottom"/>
            <w:tcBorders>
              <w:bottom w:val="single" w:sz="8" w:color="FFC000"/>
            </w:tcBorders>
            <w:shd w:val="clear" w:color="auto" w:fill="FFC000"/>
          </w:tcPr>
          <w:p>
            <w:pPr>
              <w:spacing w:after="0"/>
              <w:rPr>
                <w:sz w:val="14"/>
                <w:szCs w:val="14"/>
                <w:color w:val="auto"/>
              </w:rPr>
            </w:pPr>
          </w:p>
        </w:tc>
        <w:tc>
          <w:tcPr>
            <w:tcW w:w="1120" w:type="dxa"/>
            <w:vAlign w:val="bottom"/>
            <w:tcBorders>
              <w:bottom w:val="single" w:sz="8" w:color="FFC000"/>
            </w:tcBorders>
            <w:shd w:val="clear" w:color="auto" w:fill="FFC000"/>
          </w:tcPr>
          <w:p>
            <w:pPr>
              <w:jc w:val="right"/>
              <w:ind w:right="504"/>
              <w:spacing w:after="0" w:line="161" w:lineRule="exact"/>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43"/>
        </w:trPr>
        <w:tc>
          <w:tcPr>
            <w:tcW w:w="5040" w:type="dxa"/>
            <w:vAlign w:val="bottom"/>
          </w:tcPr>
          <w:p>
            <w:pPr>
              <w:spacing w:after="0" w:line="143" w:lineRule="exact"/>
              <w:rPr>
                <w:sz w:val="20"/>
                <w:szCs w:val="20"/>
                <w:color w:val="auto"/>
              </w:rPr>
            </w:pPr>
            <w:r>
              <w:rPr>
                <w:rFonts w:ascii="Arial" w:cs="Arial" w:eastAsia="Arial" w:hAnsi="Arial"/>
                <w:sz w:val="15"/>
                <w:szCs w:val="15"/>
                <w:b w:val="1"/>
                <w:bCs w:val="1"/>
                <w:color w:val="auto"/>
              </w:rPr>
              <w:t>Revenue</w:t>
            </w:r>
          </w:p>
        </w:tc>
        <w:tc>
          <w:tcPr>
            <w:tcW w:w="1060" w:type="dxa"/>
            <w:vAlign w:val="bottom"/>
          </w:tcPr>
          <w:p>
            <w:pPr>
              <w:jc w:val="right"/>
              <w:ind w:right="684"/>
              <w:spacing w:after="0" w:line="143" w:lineRule="exact"/>
              <w:rPr>
                <w:sz w:val="20"/>
                <w:szCs w:val="20"/>
                <w:color w:val="auto"/>
              </w:rPr>
            </w:pPr>
            <w:r>
              <w:rPr>
                <w:rFonts w:ascii="Arial" w:cs="Arial" w:eastAsia="Arial" w:hAnsi="Arial"/>
                <w:sz w:val="15"/>
                <w:szCs w:val="15"/>
                <w:b w:val="1"/>
                <w:bCs w:val="1"/>
                <w:color w:val="auto"/>
              </w:rPr>
              <w:t>$</w:t>
            </w:r>
          </w:p>
        </w:tc>
        <w:tc>
          <w:tcPr>
            <w:tcW w:w="540" w:type="dxa"/>
            <w:vAlign w:val="bottom"/>
          </w:tcPr>
          <w:p>
            <w:pPr>
              <w:jc w:val="right"/>
              <w:ind w:right="44"/>
              <w:spacing w:after="0" w:line="143" w:lineRule="exact"/>
              <w:rPr>
                <w:sz w:val="20"/>
                <w:szCs w:val="20"/>
                <w:color w:val="auto"/>
              </w:rPr>
            </w:pPr>
            <w:r>
              <w:rPr>
                <w:rFonts w:ascii="Arial" w:cs="Arial" w:eastAsia="Arial" w:hAnsi="Arial"/>
                <w:sz w:val="15"/>
                <w:szCs w:val="15"/>
                <w:b w:val="1"/>
                <w:bCs w:val="1"/>
                <w:color w:val="auto"/>
              </w:rPr>
              <w:t>(32)</w:t>
            </w:r>
          </w:p>
        </w:tc>
        <w:tc>
          <w:tcPr>
            <w:tcW w:w="260" w:type="dxa"/>
            <w:vAlign w:val="bottom"/>
          </w:tcPr>
          <w:p>
            <w:pPr>
              <w:jc w:val="right"/>
              <w:spacing w:after="0" w:line="143" w:lineRule="exact"/>
              <w:rPr>
                <w:sz w:val="20"/>
                <w:szCs w:val="20"/>
                <w:color w:val="auto"/>
              </w:rPr>
            </w:pPr>
            <w:r>
              <w:rPr>
                <w:rFonts w:ascii="Arial" w:cs="Arial" w:eastAsia="Arial" w:hAnsi="Arial"/>
                <w:sz w:val="15"/>
                <w:szCs w:val="15"/>
                <w:b w:val="1"/>
                <w:bCs w:val="1"/>
                <w:color w:val="auto"/>
              </w:rPr>
              <w:t>$</w:t>
            </w:r>
          </w:p>
        </w:tc>
        <w:tc>
          <w:tcPr>
            <w:tcW w:w="1240" w:type="dxa"/>
            <w:vAlign w:val="bottom"/>
          </w:tcPr>
          <w:p>
            <w:pPr>
              <w:jc w:val="right"/>
              <w:ind w:right="84"/>
              <w:spacing w:after="0" w:line="143" w:lineRule="exact"/>
              <w:rPr>
                <w:sz w:val="20"/>
                <w:szCs w:val="20"/>
                <w:color w:val="auto"/>
              </w:rPr>
            </w:pPr>
            <w:r>
              <w:rPr>
                <w:rFonts w:ascii="Arial" w:cs="Arial" w:eastAsia="Arial" w:hAnsi="Arial"/>
                <w:sz w:val="15"/>
                <w:szCs w:val="15"/>
                <w:b w:val="1"/>
                <w:bCs w:val="1"/>
                <w:color w:val="auto"/>
              </w:rPr>
              <w:t>44</w:t>
            </w:r>
          </w:p>
        </w:tc>
        <w:tc>
          <w:tcPr>
            <w:tcW w:w="400" w:type="dxa"/>
            <w:vAlign w:val="bottom"/>
          </w:tcPr>
          <w:p>
            <w:pPr>
              <w:jc w:val="right"/>
              <w:ind w:right="84"/>
              <w:spacing w:after="0" w:line="143" w:lineRule="exact"/>
              <w:rPr>
                <w:sz w:val="20"/>
                <w:szCs w:val="20"/>
                <w:color w:val="auto"/>
              </w:rPr>
            </w:pPr>
            <w:r>
              <w:rPr>
                <w:rFonts w:ascii="Arial" w:cs="Arial" w:eastAsia="Arial" w:hAnsi="Arial"/>
                <w:sz w:val="15"/>
                <w:szCs w:val="15"/>
                <w:b w:val="1"/>
                <w:bCs w:val="1"/>
                <w:color w:val="auto"/>
              </w:rPr>
              <w:t>$</w:t>
            </w:r>
          </w:p>
        </w:tc>
        <w:tc>
          <w:tcPr>
            <w:tcW w:w="1160" w:type="dxa"/>
            <w:vAlign w:val="bottom"/>
          </w:tcPr>
          <w:p>
            <w:pPr>
              <w:jc w:val="right"/>
              <w:ind w:right="84"/>
              <w:spacing w:after="0" w:line="143" w:lineRule="exact"/>
              <w:rPr>
                <w:sz w:val="20"/>
                <w:szCs w:val="20"/>
                <w:color w:val="auto"/>
              </w:rPr>
            </w:pPr>
            <w:r>
              <w:rPr>
                <w:rFonts w:ascii="Arial" w:cs="Arial" w:eastAsia="Arial" w:hAnsi="Arial"/>
                <w:sz w:val="15"/>
                <w:szCs w:val="15"/>
                <w:b w:val="1"/>
                <w:bCs w:val="1"/>
                <w:color w:val="auto"/>
              </w:rPr>
              <w:t>3</w:t>
            </w:r>
          </w:p>
        </w:tc>
        <w:tc>
          <w:tcPr>
            <w:tcW w:w="420" w:type="dxa"/>
            <w:vAlign w:val="bottom"/>
          </w:tcPr>
          <w:p>
            <w:pPr>
              <w:jc w:val="right"/>
              <w:ind w:right="104"/>
              <w:spacing w:after="0" w:line="143" w:lineRule="exact"/>
              <w:rPr>
                <w:sz w:val="20"/>
                <w:szCs w:val="20"/>
                <w:color w:val="auto"/>
              </w:rPr>
            </w:pPr>
            <w:r>
              <w:rPr>
                <w:rFonts w:ascii="Arial" w:cs="Arial" w:eastAsia="Arial" w:hAnsi="Arial"/>
                <w:sz w:val="15"/>
                <w:szCs w:val="15"/>
                <w:b w:val="1"/>
                <w:bCs w:val="1"/>
                <w:color w:val="auto"/>
              </w:rPr>
              <w:t>$</w:t>
            </w:r>
          </w:p>
        </w:tc>
        <w:tc>
          <w:tcPr>
            <w:tcW w:w="1120" w:type="dxa"/>
            <w:vAlign w:val="bottom"/>
          </w:tcPr>
          <w:p>
            <w:pPr>
              <w:jc w:val="right"/>
              <w:ind w:right="64"/>
              <w:spacing w:after="0" w:line="143" w:lineRule="exact"/>
              <w:rPr>
                <w:sz w:val="20"/>
                <w:szCs w:val="20"/>
                <w:color w:val="auto"/>
              </w:rPr>
            </w:pPr>
            <w:r>
              <w:rPr>
                <w:rFonts w:ascii="Arial" w:cs="Arial" w:eastAsia="Arial" w:hAnsi="Arial"/>
                <w:sz w:val="15"/>
                <w:szCs w:val="15"/>
                <w:b w:val="1"/>
                <w:bCs w:val="1"/>
                <w:color w:val="auto"/>
              </w:rPr>
              <w:t>15</w:t>
            </w:r>
          </w:p>
        </w:tc>
        <w:tc>
          <w:tcPr>
            <w:tcW w:w="0" w:type="dxa"/>
            <w:vAlign w:val="bottom"/>
          </w:tcPr>
          <w:p>
            <w:pPr>
              <w:spacing w:after="0"/>
              <w:rPr>
                <w:sz w:val="1"/>
                <w:szCs w:val="1"/>
                <w:color w:val="auto"/>
              </w:rPr>
            </w:pPr>
          </w:p>
        </w:tc>
      </w:tr>
      <w:tr>
        <w:trPr>
          <w:trHeight w:val="210"/>
        </w:trPr>
        <w:tc>
          <w:tcPr>
            <w:tcW w:w="5040" w:type="dxa"/>
            <w:vAlign w:val="bottom"/>
          </w:tcPr>
          <w:p>
            <w:pPr>
              <w:spacing w:after="0"/>
              <w:rPr>
                <w:sz w:val="20"/>
                <w:szCs w:val="20"/>
                <w:color w:val="auto"/>
              </w:rPr>
            </w:pPr>
            <w:r>
              <w:rPr>
                <w:rFonts w:ascii="Arial" w:cs="Arial" w:eastAsia="Arial" w:hAnsi="Arial"/>
                <w:sz w:val="15"/>
                <w:szCs w:val="15"/>
                <w:b w:val="1"/>
                <w:bCs w:val="1"/>
                <w:color w:val="auto"/>
              </w:rPr>
              <w:t>Operational EBITDA *</w:t>
            </w:r>
          </w:p>
        </w:tc>
        <w:tc>
          <w:tcPr>
            <w:tcW w:w="1060" w:type="dxa"/>
            <w:vAlign w:val="bottom"/>
          </w:tcPr>
          <w:p>
            <w:pPr>
              <w:jc w:val="right"/>
              <w:ind w:right="684"/>
              <w:spacing w:after="0"/>
              <w:rPr>
                <w:sz w:val="20"/>
                <w:szCs w:val="20"/>
                <w:color w:val="auto"/>
              </w:rPr>
            </w:pPr>
            <w:r>
              <w:rPr>
                <w:rFonts w:ascii="Arial" w:cs="Arial" w:eastAsia="Arial" w:hAnsi="Arial"/>
                <w:sz w:val="15"/>
                <w:szCs w:val="15"/>
                <w:b w:val="1"/>
                <w:bCs w:val="1"/>
                <w:color w:val="auto"/>
              </w:rPr>
              <w:t>$</w:t>
            </w:r>
          </w:p>
        </w:tc>
        <w:tc>
          <w:tcPr>
            <w:tcW w:w="540" w:type="dxa"/>
            <w:vAlign w:val="bottom"/>
          </w:tcPr>
          <w:p>
            <w:pPr>
              <w:jc w:val="right"/>
              <w:ind w:right="124"/>
              <w:spacing w:after="0"/>
              <w:rPr>
                <w:sz w:val="20"/>
                <w:szCs w:val="20"/>
                <w:color w:val="auto"/>
              </w:rPr>
            </w:pPr>
            <w:r>
              <w:rPr>
                <w:rFonts w:ascii="Arial" w:cs="Arial" w:eastAsia="Arial" w:hAnsi="Arial"/>
                <w:sz w:val="15"/>
                <w:szCs w:val="15"/>
                <w:b w:val="1"/>
                <w:bCs w:val="1"/>
                <w:color w:val="auto"/>
              </w:rPr>
              <w:t>11</w:t>
            </w:r>
          </w:p>
        </w:tc>
        <w:tc>
          <w:tcPr>
            <w:tcW w:w="2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240" w:type="dxa"/>
            <w:vAlign w:val="bottom"/>
          </w:tcPr>
          <w:p>
            <w:pPr>
              <w:jc w:val="right"/>
              <w:ind w:right="84"/>
              <w:spacing w:after="0"/>
              <w:rPr>
                <w:sz w:val="20"/>
                <w:szCs w:val="20"/>
                <w:color w:val="auto"/>
              </w:rPr>
            </w:pPr>
            <w:r>
              <w:rPr>
                <w:rFonts w:ascii="Arial" w:cs="Arial" w:eastAsia="Arial" w:hAnsi="Arial"/>
                <w:sz w:val="15"/>
                <w:szCs w:val="15"/>
                <w:b w:val="1"/>
                <w:bCs w:val="1"/>
                <w:color w:val="auto"/>
              </w:rPr>
              <w:t>21</w:t>
            </w:r>
          </w:p>
        </w:tc>
        <w:tc>
          <w:tcPr>
            <w:tcW w:w="400" w:type="dxa"/>
            <w:vAlign w:val="bottom"/>
          </w:tcPr>
          <w:p>
            <w:pPr>
              <w:jc w:val="right"/>
              <w:ind w:right="84"/>
              <w:spacing w:after="0"/>
              <w:rPr>
                <w:sz w:val="20"/>
                <w:szCs w:val="20"/>
                <w:color w:val="auto"/>
              </w:rPr>
            </w:pPr>
            <w:r>
              <w:rPr>
                <w:rFonts w:ascii="Arial" w:cs="Arial" w:eastAsia="Arial" w:hAnsi="Arial"/>
                <w:sz w:val="15"/>
                <w:szCs w:val="15"/>
                <w:b w:val="1"/>
                <w:bCs w:val="1"/>
                <w:color w:val="auto"/>
              </w:rPr>
              <w:t>$</w:t>
            </w:r>
          </w:p>
        </w:tc>
        <w:tc>
          <w:tcPr>
            <w:tcW w:w="1160" w:type="dxa"/>
            <w:vAlign w:val="bottom"/>
          </w:tcPr>
          <w:p>
            <w:pPr>
              <w:jc w:val="right"/>
              <w:ind w:right="84"/>
              <w:spacing w:after="0"/>
              <w:rPr>
                <w:sz w:val="20"/>
                <w:szCs w:val="20"/>
                <w:color w:val="auto"/>
              </w:rPr>
            </w:pPr>
            <w:r>
              <w:rPr>
                <w:rFonts w:ascii="Arial" w:cs="Arial" w:eastAsia="Arial" w:hAnsi="Arial"/>
                <w:sz w:val="15"/>
                <w:szCs w:val="15"/>
                <w:b w:val="1"/>
                <w:bCs w:val="1"/>
                <w:color w:val="auto"/>
              </w:rPr>
              <w:t>3</w:t>
            </w:r>
          </w:p>
        </w:tc>
        <w:tc>
          <w:tcPr>
            <w:tcW w:w="420" w:type="dxa"/>
            <w:vAlign w:val="bottom"/>
          </w:tcPr>
          <w:p>
            <w:pPr>
              <w:jc w:val="right"/>
              <w:ind w:right="104"/>
              <w:spacing w:after="0"/>
              <w:rPr>
                <w:sz w:val="20"/>
                <w:szCs w:val="20"/>
                <w:color w:val="auto"/>
              </w:rPr>
            </w:pPr>
            <w:r>
              <w:rPr>
                <w:rFonts w:ascii="Arial" w:cs="Arial" w:eastAsia="Arial" w:hAnsi="Arial"/>
                <w:sz w:val="15"/>
                <w:szCs w:val="15"/>
                <w:b w:val="1"/>
                <w:bCs w:val="1"/>
                <w:color w:val="auto"/>
              </w:rPr>
              <w:t>$</w:t>
            </w:r>
          </w:p>
        </w:tc>
        <w:tc>
          <w:tcPr>
            <w:tcW w:w="1120" w:type="dxa"/>
            <w:vAlign w:val="bottom"/>
          </w:tcPr>
          <w:p>
            <w:pPr>
              <w:jc w:val="right"/>
              <w:ind w:right="64"/>
              <w:spacing w:after="0"/>
              <w:rPr>
                <w:sz w:val="20"/>
                <w:szCs w:val="20"/>
                <w:color w:val="auto"/>
              </w:rPr>
            </w:pPr>
            <w:r>
              <w:rPr>
                <w:rFonts w:ascii="Arial" w:cs="Arial" w:eastAsia="Arial" w:hAnsi="Arial"/>
                <w:sz w:val="15"/>
                <w:szCs w:val="15"/>
                <w:b w:val="1"/>
                <w:bCs w:val="1"/>
                <w:color w:val="auto"/>
              </w:rPr>
              <w:t>35</w:t>
            </w:r>
          </w:p>
        </w:tc>
        <w:tc>
          <w:tcPr>
            <w:tcW w:w="0" w:type="dxa"/>
            <w:vAlign w:val="bottom"/>
          </w:tcPr>
          <w:p>
            <w:pPr>
              <w:spacing w:after="0"/>
              <w:rPr>
                <w:sz w:val="1"/>
                <w:szCs w:val="1"/>
                <w:color w:val="auto"/>
              </w:rPr>
            </w:pPr>
          </w:p>
        </w:tc>
      </w:tr>
    </w:tbl>
    <w:p>
      <w:pPr>
        <w:spacing w:after="0" w:line="165" w:lineRule="exact"/>
        <w:rPr>
          <w:sz w:val="20"/>
          <w:szCs w:val="20"/>
          <w:color w:val="auto"/>
        </w:rPr>
      </w:pPr>
    </w:p>
    <w:p>
      <w:pPr>
        <w:ind w:right="260" w:firstLine="8"/>
        <w:spacing w:after="0" w:line="257" w:lineRule="auto"/>
        <w:tabs>
          <w:tab w:leader="none" w:pos="132" w:val="left"/>
        </w:tabs>
        <w:numPr>
          <w:ilvl w:val="0"/>
          <w:numId w:val="8"/>
        </w:numPr>
        <w:rPr>
          <w:rFonts w:ascii="Arial" w:cs="Arial" w:eastAsia="Arial" w:hAnsi="Arial"/>
          <w:sz w:val="20"/>
          <w:szCs w:val="20"/>
          <w:color w:val="auto"/>
        </w:rPr>
      </w:pPr>
      <w:r>
        <w:rPr>
          <w:rFonts w:ascii="Arial" w:cs="Arial" w:eastAsia="Arial" w:hAnsi="Arial"/>
          <w:sz w:val="20"/>
          <w:szCs w:val="20"/>
          <w:color w:val="auto"/>
        </w:rPr>
        <w:t>Total Operational EBITDA is a non-GAAP financial measure. The reconciliation between GAAP and non-GAAP measures is provided in Appendix A of this press release.</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7" w:name="page8"/>
    <w:bookmarkEnd w:id="7"/>
    <w:p>
      <w:pPr>
        <w:spacing w:after="0"/>
        <w:rPr>
          <w:sz w:val="20"/>
          <w:szCs w:val="20"/>
          <w:color w:val="auto"/>
        </w:rPr>
      </w:pPr>
      <w:r>
        <w:rPr>
          <w:rFonts w:ascii="Arial" w:cs="Arial" w:eastAsia="Arial" w:hAnsi="Arial"/>
          <w:sz w:val="20"/>
          <w:szCs w:val="20"/>
          <w:color w:val="auto"/>
        </w:rPr>
        <w:t>Kodak Reports Fourth-Quarter and Full-Year 2025 Financial Results Page 5</w:t>
      </w:r>
    </w:p>
    <w:p>
      <w:pPr>
        <w:spacing w:after="0" w:line="200" w:lineRule="exact"/>
        <w:rPr>
          <w:sz w:val="20"/>
          <w:szCs w:val="20"/>
          <w:color w:val="auto"/>
        </w:rPr>
      </w:pPr>
    </w:p>
    <w:p>
      <w:pPr>
        <w:spacing w:after="0" w:line="218" w:lineRule="exact"/>
        <w:rPr>
          <w:sz w:val="20"/>
          <w:szCs w:val="20"/>
          <w:color w:val="auto"/>
        </w:rPr>
      </w:pPr>
    </w:p>
    <w:p>
      <w:pPr>
        <w:ind w:firstLine="8"/>
        <w:spacing w:after="0" w:line="241" w:lineRule="auto"/>
        <w:tabs>
          <w:tab w:leader="none" w:pos="209" w:val="left"/>
        </w:tabs>
        <w:numPr>
          <w:ilvl w:val="0"/>
          <w:numId w:val="9"/>
        </w:numPr>
        <w:rPr>
          <w:rFonts w:ascii="Arial" w:cs="Arial" w:eastAsia="Arial" w:hAnsi="Arial"/>
          <w:sz w:val="20"/>
          <w:szCs w:val="20"/>
          <w:color w:val="auto"/>
        </w:rPr>
      </w:pPr>
      <w:r>
        <w:rPr>
          <w:rFonts w:ascii="Arial" w:cs="Arial" w:eastAsia="Arial" w:hAnsi="Arial"/>
          <w:sz w:val="20"/>
          <w:szCs w:val="20"/>
          <w:color w:val="auto"/>
        </w:rPr>
        <w:t>The impact of foreign exchange represents the foreign exchange impact using average foreign exchange rates for the three or twelve months ended December 31, 2024, rather than the actual average exchange rates in effect for the three or twelve months ended December 31, 2025. Foreign exchange did not impact Operational EBITDA in the fourth quarter for 2025.</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20"/>
          <w:szCs w:val="20"/>
          <w:color w:val="auto"/>
        </w:rPr>
        <w:t>Eastman Business Park segment is not a reportable segment and is excluded from the tables above.</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Kodak</w:t>
      </w:r>
    </w:p>
    <w:p>
      <w:pPr>
        <w:spacing w:after="0" w:line="6" w:lineRule="exact"/>
        <w:rPr>
          <w:sz w:val="20"/>
          <w:szCs w:val="20"/>
          <w:color w:val="auto"/>
        </w:rPr>
      </w:pPr>
    </w:p>
    <w:p>
      <w:pPr>
        <w:ind w:right="100"/>
        <w:spacing w:after="0" w:line="230" w:lineRule="auto"/>
        <w:rPr>
          <w:sz w:val="20"/>
          <w:szCs w:val="20"/>
          <w:color w:val="auto"/>
        </w:rPr>
      </w:pPr>
      <w:r>
        <w:rPr>
          <w:rFonts w:ascii="Arial" w:cs="Arial" w:eastAsia="Arial" w:hAnsi="Arial"/>
          <w:sz w:val="20"/>
          <w:szCs w:val="20"/>
          <w:color w:val="auto"/>
        </w:rPr>
        <w:t>Kodak (NYSE: KODK) is a leading global manufacturer focused on commercial print and advanced materials &amp; chemicals. With 79,000 worldwide patents earned over 130 years of R&amp;D, we believe in the power of technology and science to enhance what the world sees and creates. Our innovative, award-winning products, combined with our customer-first approach, make us the partner of choice for commercial printers worldwide. Kodak is committed to environmental stewardship, including industry leadership in developing sustainable solutions for print. For additional information on Kodak, visit us at kodak.com, or follow us on X @Kodak and LinkedIn.</w:t>
      </w:r>
    </w:p>
    <w:p>
      <w:pPr>
        <w:spacing w:after="0" w:line="3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Statement Regarding Forward-Looking Statements</w:t>
      </w:r>
    </w:p>
    <w:p>
      <w:pPr>
        <w:spacing w:after="0" w:line="137" w:lineRule="exact"/>
        <w:rPr>
          <w:sz w:val="20"/>
          <w:szCs w:val="20"/>
          <w:color w:val="auto"/>
        </w:rPr>
      </w:pPr>
    </w:p>
    <w:p>
      <w:pPr>
        <w:ind w:right="240"/>
        <w:spacing w:after="0" w:line="257" w:lineRule="auto"/>
        <w:rPr>
          <w:sz w:val="20"/>
          <w:szCs w:val="20"/>
          <w:color w:val="auto"/>
        </w:rPr>
      </w:pPr>
      <w:r>
        <w:rPr>
          <w:rFonts w:ascii="Arial" w:cs="Arial" w:eastAsia="Arial" w:hAnsi="Arial"/>
          <w:sz w:val="20"/>
          <w:szCs w:val="20"/>
          <w:color w:val="auto"/>
        </w:rPr>
        <w:t>This press release includes “forward-looking statements” as that term is defined under the Private Securities Litigation Reform Act of 1995.</w:t>
      </w:r>
    </w:p>
    <w:p>
      <w:pPr>
        <w:spacing w:after="0" w:line="115" w:lineRule="exact"/>
        <w:rPr>
          <w:sz w:val="20"/>
          <w:szCs w:val="20"/>
          <w:color w:val="auto"/>
        </w:rPr>
      </w:pPr>
    </w:p>
    <w:p>
      <w:pPr>
        <w:ind w:right="60"/>
        <w:spacing w:after="0" w:line="230" w:lineRule="auto"/>
        <w:rPr>
          <w:sz w:val="20"/>
          <w:szCs w:val="20"/>
          <w:color w:val="auto"/>
        </w:rPr>
      </w:pPr>
      <w:r>
        <w:rPr>
          <w:rFonts w:ascii="Arial" w:cs="Arial" w:eastAsia="Arial" w:hAnsi="Arial"/>
          <w:sz w:val="20"/>
          <w:szCs w:val="20"/>
          <w:color w:val="auto"/>
        </w:rPr>
        <w:t>Forward-looking statements include statements concerning Kodak’s plans, objectives, goals, strategies, future events, future revenue or performance, capital expenditures, liquidity, investments, financing needs and business trends and other information that is not historical information. When used in this press release, the words “estimates,” “expects,” “anticipates,” “projects,” “plans,” “intends,” “believes,” “predicts,” “forecasts,” “strategy,” “continues,” “goals,” “targets” or future or conditional verbs, such as “will,” “should,” “could,” or “may,” and similar words and expressions, as well as statements that do not relate strictly to historical or current facts, are intended to identify forward-looking statements. All forward-looking statements, including management’s examination of historical operating trends and data, are based upon Kodak’s current expectations and assumptions. Forward-looking statements are subject to risks, uncertainties and other factors that could cause actual results or outcomes, or timing of actual results or outcomes, to differ materially from historical results or those expressed in or implied by such forward-looking statements.</w:t>
      </w:r>
    </w:p>
    <w:p>
      <w:pPr>
        <w:spacing w:after="0" w:line="145" w:lineRule="exact"/>
        <w:rPr>
          <w:sz w:val="20"/>
          <w:szCs w:val="20"/>
          <w:color w:val="auto"/>
        </w:rPr>
      </w:pPr>
    </w:p>
    <w:p>
      <w:pPr>
        <w:ind w:right="20"/>
        <w:spacing w:after="0" w:line="229" w:lineRule="auto"/>
        <w:rPr>
          <w:sz w:val="20"/>
          <w:szCs w:val="20"/>
          <w:color w:val="auto"/>
        </w:rPr>
      </w:pPr>
      <w:r>
        <w:rPr>
          <w:rFonts w:ascii="Arial" w:cs="Arial" w:eastAsia="Arial" w:hAnsi="Arial"/>
          <w:sz w:val="20"/>
          <w:szCs w:val="20"/>
          <w:color w:val="auto"/>
        </w:rPr>
        <w:t>Important factors that could cause actual events, results or outcomes, or their timing, to differ materially from the forward-looking statements include, among others, the risks and uncertainties described in more detail in Kodak’s Annual Report on Form 10-K for the year ended December 31, 2025 under the headings “Business,” “Risk Factors,” “Legal Proceedings,” and/or “Management’s Discussion and Analysis of Financial Condition and Results of Operations—Liquidity and Capital Resources” and in other filings Kodak makes with the U.S. Securities and Exchange Commission from time to time, as well as the following: Kodak’s ability to improve and sustain its operating structure, cash flow, profitability and other financial results; Kodak’s ability to achieve strategic objectives, cash forecasts, financial projections, and projected growth; Kodak’s ability to achieve the financial and operational results contained in its business plans; changes in commodity prices, tariff rates, foreign currency exchange rates and interest rates; Kodak’s ability to obtain additional or alternate financing if and as needed, Kodak’s continued ability to manage world-wide cash through intercompany loans, distributions and other mechanisms, and Kodak’s ability to provide or facilitate financing for its customers; Kodak’s ability</w:t>
      </w: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8" w:name="page9"/>
    <w:bookmarkEnd w:id="8"/>
    <w:p>
      <w:pPr>
        <w:spacing w:after="0"/>
        <w:rPr>
          <w:sz w:val="20"/>
          <w:szCs w:val="20"/>
          <w:color w:val="auto"/>
        </w:rPr>
      </w:pPr>
      <w:r>
        <w:rPr>
          <w:rFonts w:ascii="Arial" w:cs="Arial" w:eastAsia="Arial" w:hAnsi="Arial"/>
          <w:sz w:val="20"/>
          <w:szCs w:val="20"/>
          <w:color w:val="auto"/>
        </w:rPr>
        <w:t>Kodak Reports Fourth-Quarter and Full-Year 2025 Financial Results Page 6</w:t>
      </w:r>
    </w:p>
    <w:p>
      <w:pPr>
        <w:spacing w:after="0" w:line="200" w:lineRule="exact"/>
        <w:rPr>
          <w:sz w:val="20"/>
          <w:szCs w:val="20"/>
          <w:color w:val="auto"/>
        </w:rPr>
      </w:pPr>
    </w:p>
    <w:p>
      <w:pPr>
        <w:spacing w:after="0" w:line="394" w:lineRule="exact"/>
        <w:rPr>
          <w:sz w:val="20"/>
          <w:szCs w:val="20"/>
          <w:color w:val="auto"/>
        </w:rPr>
      </w:pPr>
    </w:p>
    <w:p>
      <w:pPr>
        <w:spacing w:after="0" w:line="219" w:lineRule="exact"/>
        <w:rPr>
          <w:sz w:val="20"/>
          <w:szCs w:val="20"/>
          <w:color w:val="auto"/>
        </w:rPr>
      </w:pPr>
      <w:r>
        <w:rPr>
          <w:rFonts w:ascii="Arial" w:cs="Arial" w:eastAsia="Arial" w:hAnsi="Arial"/>
          <w:sz w:val="20"/>
          <w:szCs w:val="20"/>
          <w:color w:val="auto"/>
        </w:rPr>
        <w:t>to fund continued investments, capital needs and collateral requirements and service its debt and Series B Preferred Stock; the impact of the global economic environment, including inflationary pressures, geopolitical issues, changes in trade policies, including tariffs or other trade restrictions or the threat of such actions, medical epidemics and Kodak’s ability to effectively mitigate or recoup the associated increased costs of aluminum, silver and other raw materials, energy, labor, shipping, delays in shipment and production times, and fluctuations in demand; Kodak’s ability to effectively compete with large, well-financed industry participants or with competitors whose cost structure is lower than Kodak’s; the performance by third parties of their obligations to supply products, components or services to Kodak and Kodak’s ability to address supply chain disruptions and continue to obtain raw materials and components available from single or limited sources of supply, which may be adversely affected by geopolitical issues, changes in trade policies, including tariffs or other trade restrictions or the threat of such actions, and commodity supply constraints; Kodak’s ability to effectively anticipate technology and industry trends, including related to artificial intelligence (AI), and develop and market new products, solutions and technologies, including products based on its technology and expertise that relate to industries in which it does not currently conduct material business; Kodak’s ability to effect strategic transactions, such as investments, acquisitions, strategic alliances, divestitures and similar transactions, or to achieve the benefits sought to be achieved from such strategic transactions; Kodak’s ability to comply with the covenants in its various credit facilities; Kodak’s continued ability to manage, defend and resolve a variety of current and legacy claims without incurring material losses or disruptions to its business and to bear the costs associated with such claims; Kodak’s ability to discontinue, sell or spin-off certain non-core businesses or operations, or otherwise monetize assets; and the potential impact of force majeure events, cyber</w:t>
      </w:r>
      <w:r>
        <w:rPr>
          <w:rFonts w:ascii="MS PGothic" w:cs="MS PGothic" w:eastAsia="MS PGothic" w:hAnsi="MS PGothic"/>
          <w:sz w:val="20"/>
          <w:szCs w:val="20"/>
          <w:color w:val="auto"/>
        </w:rPr>
        <w:t>‐</w:t>
      </w:r>
      <w:r>
        <w:rPr>
          <w:rFonts w:ascii="Arial" w:cs="Arial" w:eastAsia="Arial" w:hAnsi="Arial"/>
          <w:sz w:val="20"/>
          <w:szCs w:val="20"/>
          <w:color w:val="auto"/>
        </w:rPr>
        <w:t>attacks or other data security incidents or information technology (IT) outages that could disrupt or otherwise harm Kodak’s operations.</w:t>
      </w:r>
    </w:p>
    <w:p>
      <w:pPr>
        <w:spacing w:after="0" w:line="155" w:lineRule="exact"/>
        <w:rPr>
          <w:sz w:val="20"/>
          <w:szCs w:val="20"/>
          <w:color w:val="auto"/>
        </w:rPr>
      </w:pPr>
    </w:p>
    <w:p>
      <w:pPr>
        <w:ind w:right="120"/>
        <w:spacing w:after="0" w:line="234" w:lineRule="auto"/>
        <w:rPr>
          <w:sz w:val="20"/>
          <w:szCs w:val="20"/>
          <w:color w:val="auto"/>
        </w:rPr>
      </w:pPr>
      <w:r>
        <w:rPr>
          <w:rFonts w:ascii="Arial" w:cs="Arial" w:eastAsia="Arial" w:hAnsi="Arial"/>
          <w:sz w:val="20"/>
          <w:szCs w:val="20"/>
          <w:color w:val="auto"/>
        </w:rPr>
        <w:t>Future events and other factors may cause Kodak’s actual results or outcomes to differ materially from the forward-looking statements. All forward-looking statements attributable to Kodak or persons acting on its behalf apply only as of the date of this press release and are expressly qualified in their entirety by the cautionary statements included or referenced in this press release. Kodak undertakes no obligation to update or revise forward-looking statements to reflect events or circumstances that arise after the date made or to reflect the occurrence of unanticipated events, except as required by law.</w:t>
      </w:r>
    </w:p>
    <w:p>
      <w:pPr>
        <w:spacing w:after="0" w:line="3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APPENDICES</w:t>
      </w:r>
    </w:p>
    <w:p>
      <w:pPr>
        <w:spacing w:after="0" w:line="164" w:lineRule="exact"/>
        <w:rPr>
          <w:sz w:val="20"/>
          <w:szCs w:val="20"/>
          <w:color w:val="auto"/>
        </w:rPr>
      </w:pPr>
    </w:p>
    <w:p>
      <w:pPr>
        <w:ind w:right="300"/>
        <w:spacing w:after="0" w:line="257" w:lineRule="auto"/>
        <w:rPr>
          <w:sz w:val="20"/>
          <w:szCs w:val="20"/>
          <w:color w:val="auto"/>
        </w:rPr>
      </w:pPr>
      <w:r>
        <w:rPr>
          <w:rFonts w:ascii="Arial" w:cs="Arial" w:eastAsia="Arial" w:hAnsi="Arial"/>
          <w:sz w:val="20"/>
          <w:szCs w:val="20"/>
          <w:color w:val="auto"/>
        </w:rPr>
        <w:t>In this fourth quarter and full year 2025 financial results news release, reference is made to the following non-GAAP financial measures:</w:t>
      </w:r>
    </w:p>
    <w:p>
      <w:pPr>
        <w:spacing w:after="0" w:line="128" w:lineRule="exact"/>
        <w:rPr>
          <w:sz w:val="20"/>
          <w:szCs w:val="20"/>
          <w:color w:val="auto"/>
        </w:rPr>
      </w:pPr>
    </w:p>
    <w:p>
      <w:pPr>
        <w:ind w:left="760" w:hanging="378"/>
        <w:spacing w:after="0"/>
        <w:tabs>
          <w:tab w:leader="none" w:pos="760" w:val="left"/>
        </w:tabs>
        <w:numPr>
          <w:ilvl w:val="0"/>
          <w:numId w:val="10"/>
        </w:numPr>
        <w:rPr>
          <w:rFonts w:ascii="Times New Roman" w:cs="Times New Roman" w:eastAsia="Times New Roman" w:hAnsi="Times New Roman"/>
          <w:sz w:val="20"/>
          <w:szCs w:val="20"/>
          <w:color w:val="auto"/>
        </w:rPr>
      </w:pPr>
      <w:r>
        <w:rPr>
          <w:rFonts w:ascii="Arial" w:cs="Arial" w:eastAsia="Arial" w:hAnsi="Arial"/>
          <w:sz w:val="20"/>
          <w:szCs w:val="20"/>
          <w:color w:val="auto"/>
        </w:rPr>
        <w:t>Operational EBITDA; and</w:t>
      </w:r>
    </w:p>
    <w:p>
      <w:pPr>
        <w:spacing w:after="0" w:line="174"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10"/>
        </w:numPr>
        <w:rPr>
          <w:rFonts w:ascii="Times New Roman" w:cs="Times New Roman" w:eastAsia="Times New Roman" w:hAnsi="Times New Roman"/>
          <w:sz w:val="20"/>
          <w:szCs w:val="20"/>
          <w:color w:val="auto"/>
        </w:rPr>
      </w:pPr>
      <w:r>
        <w:rPr>
          <w:rFonts w:ascii="Arial" w:cs="Arial" w:eastAsia="Arial" w:hAnsi="Arial"/>
          <w:sz w:val="20"/>
          <w:szCs w:val="20"/>
          <w:color w:val="auto"/>
        </w:rPr>
        <w:t>Revenues and Operational EBITDA on a constant currency basis.</w:t>
      </w:r>
    </w:p>
    <w:p>
      <w:pPr>
        <w:spacing w:after="0" w:line="174" w:lineRule="exact"/>
        <w:rPr>
          <w:sz w:val="20"/>
          <w:szCs w:val="20"/>
          <w:color w:val="auto"/>
        </w:rPr>
      </w:pPr>
    </w:p>
    <w:p>
      <w:pPr>
        <w:ind w:right="180"/>
        <w:spacing w:after="0" w:line="237" w:lineRule="auto"/>
        <w:rPr>
          <w:sz w:val="20"/>
          <w:szCs w:val="20"/>
          <w:color w:val="auto"/>
        </w:rPr>
      </w:pPr>
      <w:r>
        <w:rPr>
          <w:rFonts w:ascii="Arial" w:cs="Arial" w:eastAsia="Arial" w:hAnsi="Arial"/>
          <w:sz w:val="20"/>
          <w:szCs w:val="20"/>
          <w:color w:val="auto"/>
        </w:rPr>
        <w:t>Kodak believes that these non-GAAP measures represent important internal measures of performance as used by management. Accordingly, where they are provided, it is to give investors the same financial data management uses with the belief that this information will assist the investment community in properly assessing the underlying performance of Kodak, its financial condition, results of operations and cash flow.</w:t>
      </w:r>
    </w:p>
    <w:p>
      <w:pPr>
        <w:spacing w:after="0" w:line="145" w:lineRule="exact"/>
        <w:rPr>
          <w:sz w:val="20"/>
          <w:szCs w:val="20"/>
          <w:color w:val="auto"/>
        </w:rPr>
      </w:pPr>
    </w:p>
    <w:p>
      <w:pPr>
        <w:ind w:right="500"/>
        <w:spacing w:after="0" w:line="257" w:lineRule="auto"/>
        <w:rPr>
          <w:sz w:val="20"/>
          <w:szCs w:val="20"/>
          <w:color w:val="auto"/>
        </w:rPr>
      </w:pPr>
      <w:r>
        <w:rPr>
          <w:rFonts w:ascii="Arial" w:cs="Arial" w:eastAsia="Arial" w:hAnsi="Arial"/>
          <w:sz w:val="20"/>
          <w:szCs w:val="20"/>
          <w:color w:val="auto"/>
        </w:rPr>
        <w:t>The change in revenues and Operational EBITDA on a constant currency basis, as presented in this financial results news release, is calculated using average foreign exchange rates for the three or twelve</w:t>
      </w:r>
    </w:p>
    <w:p>
      <w:pPr>
        <w:spacing w:after="0" w:line="331"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6" w:right="379" w:bottom="1440" w:gutter="0" w:footer="0" w:header="0"/>
        </w:sectPr>
      </w:pPr>
    </w:p>
    <w:bookmarkStart w:id="9" w:name="page10"/>
    <w:bookmarkEnd w:id="9"/>
    <w:p>
      <w:pPr>
        <w:spacing w:after="0"/>
        <w:rPr>
          <w:sz w:val="20"/>
          <w:szCs w:val="20"/>
          <w:color w:val="auto"/>
        </w:rPr>
      </w:pPr>
      <w:r>
        <w:rPr>
          <w:rFonts w:ascii="Arial" w:cs="Arial" w:eastAsia="Arial" w:hAnsi="Arial"/>
          <w:sz w:val="20"/>
          <w:szCs w:val="20"/>
          <w:color w:val="auto"/>
        </w:rPr>
        <w:t>Kodak Reports Fourth-Quarter and Full-Year 2025 Financial Results Page 7</w:t>
      </w:r>
    </w:p>
    <w:p>
      <w:pPr>
        <w:spacing w:after="0" w:line="200" w:lineRule="exact"/>
        <w:rPr>
          <w:sz w:val="20"/>
          <w:szCs w:val="20"/>
          <w:color w:val="auto"/>
        </w:rPr>
      </w:pPr>
    </w:p>
    <w:p>
      <w:pPr>
        <w:spacing w:after="0" w:line="218" w:lineRule="exact"/>
        <w:rPr>
          <w:sz w:val="20"/>
          <w:szCs w:val="20"/>
          <w:color w:val="auto"/>
        </w:rPr>
      </w:pPr>
    </w:p>
    <w:p>
      <w:pPr>
        <w:spacing w:after="0" w:line="257" w:lineRule="auto"/>
        <w:rPr>
          <w:sz w:val="20"/>
          <w:szCs w:val="20"/>
          <w:color w:val="auto"/>
        </w:rPr>
      </w:pPr>
      <w:r>
        <w:rPr>
          <w:rFonts w:ascii="Arial" w:cs="Arial" w:eastAsia="Arial" w:hAnsi="Arial"/>
          <w:sz w:val="20"/>
          <w:szCs w:val="20"/>
          <w:color w:val="auto"/>
        </w:rPr>
        <w:t>months ended December 31, 2024, rather than the actual average exchange rates in effect for the three or twelve months ended December 31, 2025.</w:t>
      </w:r>
    </w:p>
    <w:p>
      <w:pPr>
        <w:spacing w:after="0" w:line="115" w:lineRule="exact"/>
        <w:rPr>
          <w:sz w:val="20"/>
          <w:szCs w:val="20"/>
          <w:color w:val="auto"/>
        </w:rPr>
      </w:pPr>
    </w:p>
    <w:p>
      <w:pPr>
        <w:ind w:right="60"/>
        <w:spacing w:after="0" w:line="233" w:lineRule="auto"/>
        <w:rPr>
          <w:sz w:val="20"/>
          <w:szCs w:val="20"/>
          <w:color w:val="auto"/>
        </w:rPr>
      </w:pPr>
      <w:r>
        <w:rPr>
          <w:rFonts w:ascii="Arial" w:cs="Arial" w:eastAsia="Arial" w:hAnsi="Arial"/>
          <w:sz w:val="20"/>
          <w:szCs w:val="20"/>
          <w:color w:val="auto"/>
        </w:rPr>
        <w:t>Kodak’s segment measure of profit and loss is an adjusted earnings before interest, taxes, depreciation and amortization (“Operational EBITDA”). Operational EBITDA represents the consolidated (loss) earnings from continuing operations excluding the provision for income taxes; non-service cost components of pension and other postemployment benefits income; depreciation and amortization expense; restructuring costs and other; stock-based compensation expense; consulting and other costs; idle costs; interest expense; loss on early extinguishment of debt; other operating expense (income); and other charges (income), net.</w:t>
      </w:r>
    </w:p>
    <w:p>
      <w:pPr>
        <w:spacing w:after="0" w:line="145" w:lineRule="exact"/>
        <w:rPr>
          <w:sz w:val="20"/>
          <w:szCs w:val="20"/>
          <w:color w:val="auto"/>
        </w:rPr>
      </w:pPr>
    </w:p>
    <w:p>
      <w:pPr>
        <w:ind w:right="40"/>
        <w:spacing w:after="0" w:line="257" w:lineRule="auto"/>
        <w:rPr>
          <w:sz w:val="20"/>
          <w:szCs w:val="20"/>
          <w:color w:val="auto"/>
        </w:rPr>
      </w:pPr>
      <w:r>
        <w:rPr>
          <w:rFonts w:ascii="Arial" w:cs="Arial" w:eastAsia="Arial" w:hAnsi="Arial"/>
          <w:sz w:val="20"/>
          <w:szCs w:val="20"/>
          <w:color w:val="auto"/>
        </w:rPr>
        <w:t>The following table reconciles the most directly comparable GAAP measure of Net (Loss) Income to Operational EBITDA for the three months ended December 31, 2025 and 2024, respectively:</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900" w:type="dxa"/>
            <w:vAlign w:val="bottom"/>
          </w:tcPr>
          <w:p>
            <w:pPr>
              <w:spacing w:after="0"/>
              <w:rPr>
                <w:sz w:val="20"/>
                <w:szCs w:val="20"/>
                <w:color w:val="auto"/>
              </w:rPr>
            </w:pPr>
            <w:r>
              <w:rPr>
                <w:rFonts w:ascii="Arial" w:cs="Arial" w:eastAsia="Arial" w:hAnsi="Arial"/>
                <w:sz w:val="16"/>
                <w:szCs w:val="16"/>
                <w:b w:val="1"/>
                <w:bCs w:val="1"/>
                <w:color w:val="auto"/>
              </w:rPr>
              <w:t>(in millions)</w:t>
            </w: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Q4 2025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Q4 2024</w:t>
            </w:r>
          </w:p>
        </w:tc>
        <w:tc>
          <w:tcPr>
            <w:tcW w:w="2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$Change</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ind w:left="280"/>
              <w:spacing w:after="0"/>
              <w:rPr>
                <w:sz w:val="20"/>
                <w:szCs w:val="20"/>
                <w:color w:val="auto"/>
              </w:rPr>
            </w:pPr>
            <w:r>
              <w:rPr>
                <w:rFonts w:ascii="Arial" w:cs="Arial" w:eastAsia="Arial" w:hAnsi="Arial"/>
                <w:sz w:val="16"/>
                <w:szCs w:val="16"/>
                <w:b w:val="1"/>
                <w:bCs w:val="1"/>
                <w:color w:val="auto"/>
              </w:rPr>
              <w:t>% Change</w:t>
            </w:r>
          </w:p>
        </w:tc>
        <w:tc>
          <w:tcPr>
            <w:tcW w:w="200" w:type="dxa"/>
            <w:vAlign w:val="bottom"/>
          </w:tcPr>
          <w:p>
            <w:pPr>
              <w:spacing w:after="0"/>
              <w:rPr>
                <w:sz w:val="17"/>
                <w:szCs w:val="17"/>
                <w:color w:val="auto"/>
              </w:rPr>
            </w:pPr>
          </w:p>
        </w:tc>
      </w:tr>
      <w:tr>
        <w:trPr>
          <w:trHeight w:val="168"/>
        </w:trPr>
        <w:tc>
          <w:tcPr>
            <w:tcW w:w="4900" w:type="dxa"/>
            <w:vAlign w:val="bottom"/>
          </w:tcPr>
          <w:p>
            <w:pPr>
              <w:spacing w:after="0" w:line="168" w:lineRule="exact"/>
              <w:rPr>
                <w:sz w:val="20"/>
                <w:szCs w:val="20"/>
                <w:color w:val="auto"/>
              </w:rPr>
            </w:pPr>
            <w:r>
              <w:rPr>
                <w:rFonts w:ascii="Arial" w:cs="Arial" w:eastAsia="Arial" w:hAnsi="Arial"/>
                <w:sz w:val="16"/>
                <w:szCs w:val="16"/>
                <w:b w:val="1"/>
                <w:bCs w:val="1"/>
                <w:color w:val="auto"/>
              </w:rPr>
              <w:t>Net (Loss) Income</w:t>
            </w:r>
          </w:p>
        </w:tc>
        <w:tc>
          <w:tcPr>
            <w:tcW w:w="220" w:type="dxa"/>
            <w:vAlign w:val="bottom"/>
          </w:tcPr>
          <w:p>
            <w:pPr>
              <w:jc w:val="right"/>
              <w:ind w:right="64"/>
              <w:spacing w:after="0" w:line="169" w:lineRule="exact"/>
              <w:rPr>
                <w:sz w:val="20"/>
                <w:szCs w:val="20"/>
                <w:color w:val="auto"/>
              </w:rPr>
            </w:pPr>
            <w:r>
              <w:rPr>
                <w:rFonts w:ascii="Arial" w:cs="Arial" w:eastAsia="Arial" w:hAnsi="Arial"/>
                <w:sz w:val="15"/>
                <w:szCs w:val="15"/>
                <w:b w:val="1"/>
                <w:bCs w:val="1"/>
                <w:color w:val="auto"/>
                <w:w w:val="71"/>
              </w:rPr>
              <w:t>$</w:t>
            </w:r>
          </w:p>
        </w:tc>
        <w:tc>
          <w:tcPr>
            <w:tcW w:w="1100" w:type="dxa"/>
            <w:vAlign w:val="bottom"/>
          </w:tcPr>
          <w:p>
            <w:pPr>
              <w:jc w:val="right"/>
              <w:spacing w:after="0" w:line="168" w:lineRule="exact"/>
              <w:rPr>
                <w:sz w:val="20"/>
                <w:szCs w:val="20"/>
                <w:color w:val="auto"/>
              </w:rPr>
            </w:pPr>
            <w:r>
              <w:rPr>
                <w:rFonts w:ascii="Arial" w:cs="Arial" w:eastAsia="Arial" w:hAnsi="Arial"/>
                <w:sz w:val="16"/>
                <w:szCs w:val="16"/>
                <w:b w:val="1"/>
                <w:bCs w:val="1"/>
                <w:color w:val="auto"/>
              </w:rPr>
              <w:t>(108)</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jc w:val="right"/>
              <w:ind w:right="39"/>
              <w:spacing w:after="0" w:line="168" w:lineRule="exact"/>
              <w:rPr>
                <w:sz w:val="20"/>
                <w:szCs w:val="20"/>
                <w:color w:val="auto"/>
              </w:rPr>
            </w:pPr>
            <w:r>
              <w:rPr>
                <w:rFonts w:ascii="Arial" w:cs="Arial" w:eastAsia="Arial" w:hAnsi="Arial"/>
                <w:sz w:val="16"/>
                <w:szCs w:val="16"/>
                <w:b w:val="1"/>
                <w:bCs w:val="1"/>
                <w:color w:val="auto"/>
                <w:w w:val="89"/>
              </w:rPr>
              <w:t>$</w:t>
            </w:r>
          </w:p>
        </w:tc>
        <w:tc>
          <w:tcPr>
            <w:tcW w:w="1100" w:type="dxa"/>
            <w:vAlign w:val="bottom"/>
          </w:tcPr>
          <w:p>
            <w:pPr>
              <w:jc w:val="right"/>
              <w:spacing w:after="0" w:line="168" w:lineRule="exact"/>
              <w:rPr>
                <w:sz w:val="20"/>
                <w:szCs w:val="20"/>
                <w:color w:val="auto"/>
              </w:rPr>
            </w:pPr>
            <w:r>
              <w:rPr>
                <w:rFonts w:ascii="Arial" w:cs="Arial" w:eastAsia="Arial" w:hAnsi="Arial"/>
                <w:sz w:val="16"/>
                <w:szCs w:val="16"/>
                <w:b w:val="1"/>
                <w:bCs w:val="1"/>
                <w:color w:val="auto"/>
              </w:rPr>
              <w:t>26</w:t>
            </w:r>
          </w:p>
        </w:tc>
        <w:tc>
          <w:tcPr>
            <w:tcW w:w="280" w:type="dxa"/>
            <w:vAlign w:val="bottom"/>
          </w:tcPr>
          <w:p>
            <w:pPr>
              <w:spacing w:after="0"/>
              <w:rPr>
                <w:sz w:val="14"/>
                <w:szCs w:val="14"/>
                <w:color w:val="auto"/>
              </w:rPr>
            </w:pPr>
          </w:p>
        </w:tc>
        <w:tc>
          <w:tcPr>
            <w:tcW w:w="200" w:type="dxa"/>
            <w:vAlign w:val="bottom"/>
          </w:tcPr>
          <w:p>
            <w:pPr>
              <w:jc w:val="right"/>
              <w:ind w:right="19"/>
              <w:spacing w:after="0" w:line="168" w:lineRule="exact"/>
              <w:rPr>
                <w:sz w:val="20"/>
                <w:szCs w:val="20"/>
                <w:color w:val="auto"/>
              </w:rPr>
            </w:pPr>
            <w:r>
              <w:rPr>
                <w:rFonts w:ascii="Arial" w:cs="Arial" w:eastAsia="Arial" w:hAnsi="Arial"/>
                <w:sz w:val="16"/>
                <w:szCs w:val="16"/>
                <w:b w:val="1"/>
                <w:bCs w:val="1"/>
                <w:color w:val="auto"/>
                <w:w w:val="89"/>
              </w:rPr>
              <w:t>$</w:t>
            </w:r>
          </w:p>
        </w:tc>
        <w:tc>
          <w:tcPr>
            <w:tcW w:w="1140" w:type="dxa"/>
            <w:vAlign w:val="bottom"/>
          </w:tcPr>
          <w:p>
            <w:pPr>
              <w:jc w:val="right"/>
              <w:spacing w:after="0" w:line="168" w:lineRule="exact"/>
              <w:rPr>
                <w:sz w:val="20"/>
                <w:szCs w:val="20"/>
                <w:color w:val="auto"/>
              </w:rPr>
            </w:pPr>
            <w:r>
              <w:rPr>
                <w:rFonts w:ascii="Arial" w:cs="Arial" w:eastAsia="Arial" w:hAnsi="Arial"/>
                <w:sz w:val="16"/>
                <w:szCs w:val="16"/>
                <w:b w:val="1"/>
                <w:bCs w:val="1"/>
                <w:color w:val="auto"/>
              </w:rPr>
              <w:t>(134)</w:t>
            </w:r>
          </w:p>
        </w:tc>
        <w:tc>
          <w:tcPr>
            <w:tcW w:w="100" w:type="dxa"/>
            <w:vAlign w:val="bottom"/>
          </w:tcPr>
          <w:p>
            <w:pPr>
              <w:spacing w:after="0"/>
              <w:rPr>
                <w:sz w:val="14"/>
                <w:szCs w:val="14"/>
                <w:color w:val="auto"/>
              </w:rPr>
            </w:pPr>
          </w:p>
        </w:tc>
        <w:tc>
          <w:tcPr>
            <w:tcW w:w="1680" w:type="dxa"/>
            <w:vAlign w:val="bottom"/>
            <w:gridSpan w:val="3"/>
          </w:tcPr>
          <w:p>
            <w:pPr>
              <w:jc w:val="right"/>
              <w:spacing w:after="0" w:line="168" w:lineRule="exact"/>
              <w:rPr>
                <w:sz w:val="20"/>
                <w:szCs w:val="20"/>
                <w:color w:val="auto"/>
              </w:rPr>
            </w:pPr>
            <w:r>
              <w:rPr>
                <w:rFonts w:ascii="Arial" w:cs="Arial" w:eastAsia="Arial" w:hAnsi="Arial"/>
                <w:sz w:val="16"/>
                <w:szCs w:val="16"/>
                <w:b w:val="1"/>
                <w:bCs w:val="1"/>
                <w:color w:val="auto"/>
              </w:rPr>
              <w:t>(515%)</w:t>
            </w:r>
          </w:p>
        </w:tc>
      </w:tr>
      <w:tr>
        <w:trPr>
          <w:trHeight w:val="189"/>
        </w:trPr>
        <w:tc>
          <w:tcPr>
            <w:tcW w:w="4900" w:type="dxa"/>
            <w:vAlign w:val="bottom"/>
          </w:tcPr>
          <w:p>
            <w:pPr>
              <w:spacing w:after="0"/>
              <w:rPr>
                <w:sz w:val="20"/>
                <w:szCs w:val="20"/>
                <w:color w:val="auto"/>
              </w:rPr>
            </w:pPr>
            <w:r>
              <w:rPr>
                <w:rFonts w:ascii="Arial" w:cs="Arial" w:eastAsia="Arial" w:hAnsi="Arial"/>
                <w:sz w:val="16"/>
                <w:szCs w:val="16"/>
                <w:color w:val="auto"/>
              </w:rPr>
              <w:t>All other</w:t>
            </w:r>
          </w:p>
        </w:tc>
        <w:tc>
          <w:tcPr>
            <w:tcW w:w="220" w:type="dxa"/>
            <w:vAlign w:val="bottom"/>
          </w:tcPr>
          <w:p>
            <w:pPr>
              <w:spacing w:after="0"/>
              <w:rPr>
                <w:sz w:val="16"/>
                <w:szCs w:val="16"/>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89"/>
        </w:trPr>
        <w:tc>
          <w:tcPr>
            <w:tcW w:w="490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89"/>
        </w:trPr>
        <w:tc>
          <w:tcPr>
            <w:tcW w:w="4900" w:type="dxa"/>
            <w:vAlign w:val="bottom"/>
          </w:tcPr>
          <w:p>
            <w:pPr>
              <w:spacing w:after="0"/>
              <w:rPr>
                <w:sz w:val="20"/>
                <w:szCs w:val="20"/>
                <w:color w:val="auto"/>
              </w:rPr>
            </w:pPr>
            <w:r>
              <w:rPr>
                <w:rFonts w:ascii="Arial" w:cs="Arial" w:eastAsia="Arial" w:hAnsi="Arial"/>
                <w:sz w:val="16"/>
                <w:szCs w:val="16"/>
                <w:color w:val="auto"/>
              </w:rPr>
              <w:t>Restructuring costs and other</w:t>
            </w: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63"/>
        </w:trPr>
        <w:tc>
          <w:tcPr>
            <w:tcW w:w="4900" w:type="dxa"/>
            <w:vAlign w:val="bottom"/>
          </w:tcPr>
          <w:p>
            <w:pPr>
              <w:spacing w:after="0" w:line="163" w:lineRule="exact"/>
              <w:rPr>
                <w:sz w:val="20"/>
                <w:szCs w:val="20"/>
                <w:color w:val="auto"/>
              </w:rPr>
            </w:pPr>
            <w:r>
              <w:rPr>
                <w:rFonts w:ascii="Arial" w:cs="Arial" w:eastAsia="Arial" w:hAnsi="Arial"/>
                <w:sz w:val="16"/>
                <w:szCs w:val="16"/>
                <w:color w:val="auto"/>
              </w:rPr>
              <w:t>Stock based compensation</w:t>
            </w:r>
          </w:p>
        </w:tc>
        <w:tc>
          <w:tcPr>
            <w:tcW w:w="220" w:type="dxa"/>
            <w:vAlign w:val="bottom"/>
          </w:tcPr>
          <w:p>
            <w:pPr>
              <w:spacing w:after="0"/>
              <w:rPr>
                <w:sz w:val="14"/>
                <w:szCs w:val="14"/>
                <w:color w:val="auto"/>
              </w:rPr>
            </w:pPr>
          </w:p>
        </w:tc>
        <w:tc>
          <w:tcPr>
            <w:tcW w:w="1100" w:type="dxa"/>
            <w:vAlign w:val="bottom"/>
          </w:tcPr>
          <w:p>
            <w:pPr>
              <w:jc w:val="right"/>
              <w:spacing w:after="0" w:line="163" w:lineRule="exact"/>
              <w:rPr>
                <w:sz w:val="20"/>
                <w:szCs w:val="20"/>
                <w:color w:val="auto"/>
              </w:rPr>
            </w:pPr>
            <w:r>
              <w:rPr>
                <w:rFonts w:ascii="Arial" w:cs="Arial" w:eastAsia="Arial" w:hAnsi="Arial"/>
                <w:sz w:val="16"/>
                <w:szCs w:val="16"/>
                <w:color w:val="auto"/>
              </w:rPr>
              <w:t>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spacing w:after="0" w:line="163" w:lineRule="exact"/>
              <w:rPr>
                <w:sz w:val="20"/>
                <w:szCs w:val="20"/>
                <w:color w:val="auto"/>
              </w:rPr>
            </w:pPr>
            <w:r>
              <w:rPr>
                <w:rFonts w:ascii="Arial" w:cs="Arial" w:eastAsia="Arial" w:hAnsi="Arial"/>
                <w:sz w:val="16"/>
                <w:szCs w:val="16"/>
                <w:color w:val="auto"/>
              </w:rPr>
              <w:t>1</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jc w:val="right"/>
              <w:ind w:right="120"/>
              <w:spacing w:after="0" w:line="163"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89"/>
        </w:trPr>
        <w:tc>
          <w:tcPr>
            <w:tcW w:w="4900" w:type="dxa"/>
            <w:vAlign w:val="bottom"/>
          </w:tcPr>
          <w:p>
            <w:pPr>
              <w:spacing w:after="0" w:line="189" w:lineRule="exact"/>
              <w:rPr>
                <w:sz w:val="20"/>
                <w:szCs w:val="20"/>
                <w:color w:val="auto"/>
              </w:rPr>
            </w:pPr>
            <w:r>
              <w:rPr>
                <w:rFonts w:ascii="Arial" w:cs="Arial" w:eastAsia="Arial" w:hAnsi="Arial"/>
                <w:sz w:val="16"/>
                <w:szCs w:val="16"/>
                <w:color w:val="auto"/>
              </w:rPr>
              <w:t xml:space="preserve">Idle costs </w:t>
            </w:r>
            <w:r>
              <w:rPr>
                <w:rFonts w:ascii="Arial" w:cs="Arial" w:eastAsia="Arial" w:hAnsi="Arial"/>
                <w:sz w:val="21"/>
                <w:szCs w:val="21"/>
                <w:color w:val="auto"/>
                <w:vertAlign w:val="superscript"/>
              </w:rPr>
              <w:t>(2)</w:t>
            </w: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89"/>
        </w:trPr>
        <w:tc>
          <w:tcPr>
            <w:tcW w:w="4900" w:type="dxa"/>
            <w:vAlign w:val="bottom"/>
          </w:tcPr>
          <w:p>
            <w:pPr>
              <w:spacing w:after="0" w:line="189" w:lineRule="exact"/>
              <w:rPr>
                <w:sz w:val="20"/>
                <w:szCs w:val="20"/>
                <w:color w:val="auto"/>
              </w:rPr>
            </w:pPr>
            <w:r>
              <w:rPr>
                <w:rFonts w:ascii="Arial" w:cs="Arial" w:eastAsia="Arial" w:hAnsi="Arial"/>
                <w:sz w:val="16"/>
                <w:szCs w:val="16"/>
                <w:color w:val="auto"/>
              </w:rPr>
              <w:t xml:space="preserve">Other operating expense, net </w:t>
            </w:r>
            <w:r>
              <w:rPr>
                <w:rFonts w:ascii="Arial" w:cs="Arial" w:eastAsia="Arial" w:hAnsi="Arial"/>
                <w:sz w:val="21"/>
                <w:szCs w:val="21"/>
                <w:color w:val="auto"/>
                <w:vertAlign w:val="superscript"/>
              </w:rPr>
              <w:t>(3)</w:t>
            </w: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89"/>
        </w:trPr>
        <w:tc>
          <w:tcPr>
            <w:tcW w:w="4900" w:type="dxa"/>
            <w:vAlign w:val="bottom"/>
          </w:tcPr>
          <w:p>
            <w:pPr>
              <w:spacing w:after="0" w:line="189" w:lineRule="exact"/>
              <w:rPr>
                <w:sz w:val="20"/>
                <w:szCs w:val="20"/>
                <w:color w:val="auto"/>
              </w:rPr>
            </w:pPr>
            <w:r>
              <w:rPr>
                <w:rFonts w:ascii="Arial" w:cs="Arial" w:eastAsia="Arial" w:hAnsi="Arial"/>
                <w:sz w:val="16"/>
                <w:szCs w:val="16"/>
                <w:color w:val="auto"/>
              </w:rPr>
              <w:t xml:space="preserve">Interest expense </w:t>
            </w:r>
            <w:r>
              <w:rPr>
                <w:rFonts w:ascii="Arial" w:cs="Arial" w:eastAsia="Arial" w:hAnsi="Arial"/>
                <w:sz w:val="21"/>
                <w:szCs w:val="21"/>
                <w:color w:val="auto"/>
                <w:vertAlign w:val="superscript"/>
              </w:rPr>
              <w:t>(3)</w:t>
            </w: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89"/>
        </w:trPr>
        <w:tc>
          <w:tcPr>
            <w:tcW w:w="4900" w:type="dxa"/>
            <w:vAlign w:val="bottom"/>
          </w:tcPr>
          <w:p>
            <w:pPr>
              <w:spacing w:after="0" w:line="189" w:lineRule="exact"/>
              <w:rPr>
                <w:sz w:val="20"/>
                <w:szCs w:val="20"/>
                <w:color w:val="auto"/>
              </w:rPr>
            </w:pPr>
            <w:r>
              <w:rPr>
                <w:rFonts w:ascii="Arial" w:cs="Arial" w:eastAsia="Arial" w:hAnsi="Arial"/>
                <w:sz w:val="16"/>
                <w:szCs w:val="16"/>
                <w:color w:val="auto"/>
              </w:rPr>
              <w:t xml:space="preserve">Pension income excluding service cost component </w:t>
            </w:r>
            <w:r>
              <w:rPr>
                <w:rFonts w:ascii="Arial" w:cs="Arial" w:eastAsia="Arial" w:hAnsi="Arial"/>
                <w:sz w:val="21"/>
                <w:szCs w:val="21"/>
                <w:color w:val="auto"/>
                <w:vertAlign w:val="superscript"/>
              </w:rPr>
              <w:t>(3)</w:t>
            </w:r>
          </w:p>
        </w:tc>
        <w:tc>
          <w:tcPr>
            <w:tcW w:w="220" w:type="dxa"/>
            <w:vAlign w:val="bottom"/>
          </w:tcPr>
          <w:p>
            <w:pPr>
              <w:spacing w:after="0"/>
              <w:rPr>
                <w:sz w:val="16"/>
                <w:szCs w:val="16"/>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(74)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(49)</w:t>
            </w:r>
          </w:p>
        </w:tc>
        <w:tc>
          <w:tcPr>
            <w:tcW w:w="200" w:type="dxa"/>
            <w:vAlign w:val="bottom"/>
          </w:tcPr>
          <w:p>
            <w:pPr>
              <w:spacing w:after="0"/>
              <w:rPr>
                <w:sz w:val="16"/>
                <w:szCs w:val="16"/>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89"/>
        </w:trPr>
        <w:tc>
          <w:tcPr>
            <w:tcW w:w="4900" w:type="dxa"/>
            <w:vAlign w:val="bottom"/>
          </w:tcPr>
          <w:p>
            <w:pPr>
              <w:spacing w:after="0" w:line="189" w:lineRule="exact"/>
              <w:rPr>
                <w:sz w:val="20"/>
                <w:szCs w:val="20"/>
                <w:color w:val="auto"/>
              </w:rPr>
            </w:pPr>
            <w:r>
              <w:rPr>
                <w:rFonts w:ascii="Arial" w:cs="Arial" w:eastAsia="Arial" w:hAnsi="Arial"/>
                <w:sz w:val="16"/>
                <w:szCs w:val="16"/>
                <w:color w:val="auto"/>
              </w:rPr>
              <w:t xml:space="preserve">Loss on early extinguishment of debt </w:t>
            </w:r>
            <w:r>
              <w:rPr>
                <w:rFonts w:ascii="Arial" w:cs="Arial" w:eastAsia="Arial" w:hAnsi="Arial"/>
                <w:sz w:val="21"/>
                <w:szCs w:val="21"/>
                <w:color w:val="auto"/>
                <w:vertAlign w:val="superscript"/>
              </w:rPr>
              <w:t>(3)</w:t>
            </w: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02"/>
        </w:trPr>
        <w:tc>
          <w:tcPr>
            <w:tcW w:w="4900" w:type="dxa"/>
            <w:vAlign w:val="bottom"/>
          </w:tcPr>
          <w:p>
            <w:pPr>
              <w:spacing w:after="0" w:line="203" w:lineRule="exact"/>
              <w:rPr>
                <w:sz w:val="20"/>
                <w:szCs w:val="20"/>
                <w:color w:val="auto"/>
              </w:rPr>
            </w:pPr>
            <w:r>
              <w:rPr>
                <w:rFonts w:ascii="Arial" w:cs="Arial" w:eastAsia="Arial" w:hAnsi="Arial"/>
                <w:sz w:val="16"/>
                <w:szCs w:val="16"/>
                <w:color w:val="auto"/>
              </w:rPr>
              <w:t xml:space="preserve">Other charges (income), net </w:t>
            </w:r>
            <w:r>
              <w:rPr>
                <w:rFonts w:ascii="Arial" w:cs="Arial" w:eastAsia="Arial" w:hAnsi="Arial"/>
                <w:sz w:val="21"/>
                <w:szCs w:val="21"/>
                <w:color w:val="auto"/>
                <w:vertAlign w:val="superscript"/>
              </w:rPr>
              <w:t>(3)</w:t>
            </w: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(1)</w:t>
            </w:r>
          </w:p>
        </w:tc>
        <w:tc>
          <w:tcPr>
            <w:tcW w:w="2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16"/>
        </w:trPr>
        <w:tc>
          <w:tcPr>
            <w:tcW w:w="4900" w:type="dxa"/>
            <w:vAlign w:val="bottom"/>
          </w:tcPr>
          <w:p>
            <w:pPr>
              <w:spacing w:after="0" w:line="216" w:lineRule="exact"/>
              <w:rPr>
                <w:sz w:val="20"/>
                <w:szCs w:val="20"/>
                <w:color w:val="auto"/>
              </w:rPr>
            </w:pPr>
            <w:r>
              <w:rPr>
                <w:rFonts w:ascii="Arial" w:cs="Arial" w:eastAsia="Arial" w:hAnsi="Arial"/>
                <w:sz w:val="16"/>
                <w:szCs w:val="16"/>
                <w:color w:val="auto"/>
              </w:rPr>
              <w:t xml:space="preserve">Provision for income taxes </w:t>
            </w:r>
            <w:r>
              <w:rPr>
                <w:rFonts w:ascii="Arial" w:cs="Arial" w:eastAsia="Arial" w:hAnsi="Arial"/>
                <w:sz w:val="21"/>
                <w:szCs w:val="21"/>
                <w:color w:val="auto"/>
                <w:vertAlign w:val="superscript"/>
              </w:rPr>
              <w:t>(3)</w:t>
            </w: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r>
      <w:tr>
        <w:trPr>
          <w:trHeight w:val="183"/>
        </w:trPr>
        <w:tc>
          <w:tcPr>
            <w:tcW w:w="4900" w:type="dxa"/>
            <w:vAlign w:val="bottom"/>
          </w:tcPr>
          <w:p>
            <w:pPr>
              <w:spacing w:after="0" w:line="169" w:lineRule="exact"/>
              <w:rPr>
                <w:sz w:val="20"/>
                <w:szCs w:val="20"/>
                <w:color w:val="auto"/>
              </w:rPr>
            </w:pPr>
            <w:r>
              <w:rPr>
                <w:rFonts w:ascii="Arial" w:cs="Arial" w:eastAsia="Arial" w:hAnsi="Arial"/>
                <w:sz w:val="16"/>
                <w:szCs w:val="16"/>
                <w:b w:val="1"/>
                <w:bCs w:val="1"/>
                <w:color w:val="auto"/>
              </w:rPr>
              <w:t>Operational EBITDA</w:t>
            </w:r>
          </w:p>
        </w:tc>
        <w:tc>
          <w:tcPr>
            <w:tcW w:w="220" w:type="dxa"/>
            <w:vAlign w:val="bottom"/>
          </w:tcPr>
          <w:p>
            <w:pPr>
              <w:jc w:val="right"/>
              <w:ind w:right="64"/>
              <w:spacing w:after="0" w:line="169" w:lineRule="exact"/>
              <w:rPr>
                <w:sz w:val="20"/>
                <w:szCs w:val="20"/>
                <w:color w:val="auto"/>
              </w:rPr>
            </w:pPr>
            <w:r>
              <w:rPr>
                <w:rFonts w:ascii="Arial" w:cs="Arial" w:eastAsia="Arial" w:hAnsi="Arial"/>
                <w:sz w:val="15"/>
                <w:szCs w:val="15"/>
                <w:b w:val="1"/>
                <w:bCs w:val="1"/>
                <w:color w:val="auto"/>
                <w:w w:val="71"/>
              </w:rPr>
              <w:t>$</w:t>
            </w:r>
          </w:p>
        </w:tc>
        <w:tc>
          <w:tcPr>
            <w:tcW w:w="1100" w:type="dxa"/>
            <w:vAlign w:val="bottom"/>
          </w:tcPr>
          <w:p>
            <w:pPr>
              <w:jc w:val="right"/>
              <w:spacing w:after="0" w:line="169" w:lineRule="exact"/>
              <w:rPr>
                <w:sz w:val="20"/>
                <w:szCs w:val="20"/>
                <w:color w:val="auto"/>
              </w:rPr>
            </w:pPr>
            <w:r>
              <w:rPr>
                <w:rFonts w:ascii="Arial" w:cs="Arial" w:eastAsia="Arial" w:hAnsi="Arial"/>
                <w:sz w:val="16"/>
                <w:szCs w:val="16"/>
                <w:b w:val="1"/>
                <w:bCs w:val="1"/>
                <w:color w:val="auto"/>
              </w:rPr>
              <w:t>22</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jc w:val="right"/>
              <w:ind w:right="39"/>
              <w:spacing w:after="0" w:line="169" w:lineRule="exact"/>
              <w:rPr>
                <w:sz w:val="20"/>
                <w:szCs w:val="20"/>
                <w:color w:val="auto"/>
              </w:rPr>
            </w:pPr>
            <w:r>
              <w:rPr>
                <w:rFonts w:ascii="Arial" w:cs="Arial" w:eastAsia="Arial" w:hAnsi="Arial"/>
                <w:sz w:val="16"/>
                <w:szCs w:val="16"/>
                <w:b w:val="1"/>
                <w:bCs w:val="1"/>
                <w:color w:val="auto"/>
                <w:w w:val="89"/>
              </w:rPr>
              <w:t>$</w:t>
            </w:r>
          </w:p>
        </w:tc>
        <w:tc>
          <w:tcPr>
            <w:tcW w:w="1100" w:type="dxa"/>
            <w:vAlign w:val="bottom"/>
          </w:tcPr>
          <w:p>
            <w:pPr>
              <w:jc w:val="right"/>
              <w:spacing w:after="0" w:line="169" w:lineRule="exact"/>
              <w:rPr>
                <w:sz w:val="20"/>
                <w:szCs w:val="20"/>
                <w:color w:val="auto"/>
              </w:rPr>
            </w:pPr>
            <w:r>
              <w:rPr>
                <w:rFonts w:ascii="Arial" w:cs="Arial" w:eastAsia="Arial" w:hAnsi="Arial"/>
                <w:sz w:val="16"/>
                <w:szCs w:val="16"/>
                <w:b w:val="1"/>
                <w:bCs w:val="1"/>
                <w:color w:val="auto"/>
              </w:rPr>
              <w:t>9</w:t>
            </w:r>
          </w:p>
        </w:tc>
        <w:tc>
          <w:tcPr>
            <w:tcW w:w="280" w:type="dxa"/>
            <w:vAlign w:val="bottom"/>
          </w:tcPr>
          <w:p>
            <w:pPr>
              <w:spacing w:after="0"/>
              <w:rPr>
                <w:sz w:val="15"/>
                <w:szCs w:val="15"/>
                <w:color w:val="auto"/>
              </w:rPr>
            </w:pPr>
          </w:p>
        </w:tc>
        <w:tc>
          <w:tcPr>
            <w:tcW w:w="200" w:type="dxa"/>
            <w:vAlign w:val="bottom"/>
          </w:tcPr>
          <w:p>
            <w:pPr>
              <w:jc w:val="right"/>
              <w:ind w:right="19"/>
              <w:spacing w:after="0" w:line="169" w:lineRule="exact"/>
              <w:rPr>
                <w:sz w:val="20"/>
                <w:szCs w:val="20"/>
                <w:color w:val="auto"/>
              </w:rPr>
            </w:pPr>
            <w:r>
              <w:rPr>
                <w:rFonts w:ascii="Arial" w:cs="Arial" w:eastAsia="Arial" w:hAnsi="Arial"/>
                <w:sz w:val="16"/>
                <w:szCs w:val="16"/>
                <w:b w:val="1"/>
                <w:bCs w:val="1"/>
                <w:color w:val="auto"/>
                <w:w w:val="89"/>
              </w:rPr>
              <w:t>$</w:t>
            </w:r>
          </w:p>
        </w:tc>
        <w:tc>
          <w:tcPr>
            <w:tcW w:w="1140" w:type="dxa"/>
            <w:vAlign w:val="bottom"/>
          </w:tcPr>
          <w:p>
            <w:pPr>
              <w:jc w:val="right"/>
              <w:spacing w:after="0" w:line="169" w:lineRule="exact"/>
              <w:rPr>
                <w:sz w:val="20"/>
                <w:szCs w:val="20"/>
                <w:color w:val="auto"/>
              </w:rPr>
            </w:pPr>
            <w:r>
              <w:rPr>
                <w:rFonts w:ascii="Arial" w:cs="Arial" w:eastAsia="Arial" w:hAnsi="Arial"/>
                <w:sz w:val="16"/>
                <w:szCs w:val="16"/>
                <w:b w:val="1"/>
                <w:bCs w:val="1"/>
                <w:color w:val="auto"/>
              </w:rPr>
              <w:t>13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gridSpan w:val="2"/>
          </w:tcPr>
          <w:p>
            <w:pPr>
              <w:jc w:val="right"/>
              <w:ind w:right="60"/>
              <w:spacing w:after="0" w:line="169" w:lineRule="exact"/>
              <w:rPr>
                <w:sz w:val="20"/>
                <w:szCs w:val="20"/>
                <w:color w:val="auto"/>
              </w:rPr>
            </w:pPr>
            <w:r>
              <w:rPr>
                <w:rFonts w:ascii="Arial" w:cs="Arial" w:eastAsia="Arial" w:hAnsi="Arial"/>
                <w:sz w:val="16"/>
                <w:szCs w:val="16"/>
                <w:b w:val="1"/>
                <w:bCs w:val="1"/>
                <w:color w:val="auto"/>
              </w:rPr>
              <w:t>144%</w:t>
            </w:r>
          </w:p>
        </w:tc>
      </w:tr>
      <w:tr>
        <w:trPr>
          <w:trHeight w:val="20"/>
        </w:trPr>
        <w:tc>
          <w:tcPr>
            <w:tcW w:w="49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370"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reconciles the most directly comparable GAAP measure of Net (Loss) Income to Operational EBITDA and</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Operational EBITDA on a constant currency basis for the twelve months ended December 31, 2025 and 2024, respectively:</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00" w:type="dxa"/>
            <w:vAlign w:val="bottom"/>
          </w:tcPr>
          <w:p>
            <w:pPr>
              <w:spacing w:after="0"/>
              <w:rPr>
                <w:sz w:val="20"/>
                <w:szCs w:val="20"/>
                <w:color w:val="auto"/>
              </w:rPr>
            </w:pPr>
            <w:r>
              <w:rPr>
                <w:rFonts w:ascii="Arial" w:cs="Arial" w:eastAsia="Arial" w:hAnsi="Arial"/>
                <w:sz w:val="16"/>
                <w:szCs w:val="16"/>
                <w:b w:val="1"/>
                <w:bCs w:val="1"/>
                <w:color w:val="auto"/>
              </w:rPr>
              <w:t>(in millions)</w:t>
            </w:r>
          </w:p>
        </w:tc>
        <w:tc>
          <w:tcPr>
            <w:tcW w:w="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FY 2025</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FY 2024</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$Change</w:t>
            </w:r>
          </w:p>
        </w:tc>
        <w:tc>
          <w:tcPr>
            <w:tcW w:w="240" w:type="dxa"/>
            <w:vAlign w:val="bottom"/>
          </w:tcPr>
          <w:p>
            <w:pPr>
              <w:spacing w:after="0"/>
              <w:rPr>
                <w:sz w:val="17"/>
                <w:szCs w:val="17"/>
                <w:color w:val="auto"/>
              </w:rPr>
            </w:pPr>
          </w:p>
        </w:tc>
        <w:tc>
          <w:tcPr>
            <w:tcW w:w="100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 Change</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5200" w:type="dxa"/>
            <w:vAlign w:val="bottom"/>
          </w:tcPr>
          <w:p>
            <w:pPr>
              <w:spacing w:after="0" w:line="168" w:lineRule="exact"/>
              <w:rPr>
                <w:sz w:val="20"/>
                <w:szCs w:val="20"/>
                <w:color w:val="auto"/>
              </w:rPr>
            </w:pPr>
            <w:r>
              <w:rPr>
                <w:rFonts w:ascii="Arial" w:cs="Arial" w:eastAsia="Arial" w:hAnsi="Arial"/>
                <w:sz w:val="16"/>
                <w:szCs w:val="16"/>
                <w:b w:val="1"/>
                <w:bCs w:val="1"/>
                <w:color w:val="auto"/>
              </w:rPr>
              <w:t>Net (Loss) Income</w:t>
            </w:r>
          </w:p>
        </w:tc>
        <w:tc>
          <w:tcPr>
            <w:tcW w:w="20" w:type="dxa"/>
            <w:vAlign w:val="bottom"/>
          </w:tcPr>
          <w:p>
            <w:pPr>
              <w:spacing w:after="0"/>
              <w:rPr>
                <w:sz w:val="14"/>
                <w:szCs w:val="14"/>
                <w:color w:val="auto"/>
              </w:rPr>
            </w:pPr>
          </w:p>
        </w:tc>
        <w:tc>
          <w:tcPr>
            <w:tcW w:w="200" w:type="dxa"/>
            <w:vAlign w:val="bottom"/>
          </w:tcPr>
          <w:p>
            <w:pPr>
              <w:jc w:val="right"/>
              <w:ind w:right="44"/>
              <w:spacing w:after="0" w:line="169" w:lineRule="exact"/>
              <w:rPr>
                <w:sz w:val="20"/>
                <w:szCs w:val="20"/>
                <w:color w:val="auto"/>
              </w:rPr>
            </w:pPr>
            <w:r>
              <w:rPr>
                <w:rFonts w:ascii="Arial" w:cs="Arial" w:eastAsia="Arial" w:hAnsi="Arial"/>
                <w:sz w:val="15"/>
                <w:szCs w:val="15"/>
                <w:b w:val="1"/>
                <w:bCs w:val="1"/>
                <w:color w:val="auto"/>
                <w:w w:val="71"/>
              </w:rPr>
              <w:t>$</w:t>
            </w:r>
          </w:p>
        </w:tc>
        <w:tc>
          <w:tcPr>
            <w:tcW w:w="1120" w:type="dxa"/>
            <w:vAlign w:val="bottom"/>
          </w:tcPr>
          <w:p>
            <w:pPr>
              <w:jc w:val="right"/>
              <w:spacing w:after="0" w:line="168" w:lineRule="exact"/>
              <w:rPr>
                <w:sz w:val="20"/>
                <w:szCs w:val="20"/>
                <w:color w:val="auto"/>
              </w:rPr>
            </w:pPr>
            <w:r>
              <w:rPr>
                <w:rFonts w:ascii="Arial" w:cs="Arial" w:eastAsia="Arial" w:hAnsi="Arial"/>
                <w:sz w:val="16"/>
                <w:szCs w:val="16"/>
                <w:b w:val="1"/>
                <w:bCs w:val="1"/>
                <w:color w:val="auto"/>
              </w:rPr>
              <w:t>(128)</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jc w:val="right"/>
              <w:ind w:right="39"/>
              <w:spacing w:after="0" w:line="168" w:lineRule="exact"/>
              <w:rPr>
                <w:sz w:val="20"/>
                <w:szCs w:val="20"/>
                <w:color w:val="auto"/>
              </w:rPr>
            </w:pPr>
            <w:r>
              <w:rPr>
                <w:rFonts w:ascii="Arial" w:cs="Arial" w:eastAsia="Arial" w:hAnsi="Arial"/>
                <w:sz w:val="16"/>
                <w:szCs w:val="16"/>
                <w:b w:val="1"/>
                <w:bCs w:val="1"/>
                <w:color w:val="auto"/>
                <w:w w:val="89"/>
              </w:rPr>
              <w:t>$</w:t>
            </w:r>
          </w:p>
        </w:tc>
        <w:tc>
          <w:tcPr>
            <w:tcW w:w="1120" w:type="dxa"/>
            <w:vAlign w:val="bottom"/>
          </w:tcPr>
          <w:p>
            <w:pPr>
              <w:jc w:val="right"/>
              <w:spacing w:after="0" w:line="168" w:lineRule="exact"/>
              <w:rPr>
                <w:sz w:val="20"/>
                <w:szCs w:val="20"/>
                <w:color w:val="auto"/>
              </w:rPr>
            </w:pPr>
            <w:r>
              <w:rPr>
                <w:rFonts w:ascii="Arial" w:cs="Arial" w:eastAsia="Arial" w:hAnsi="Arial"/>
                <w:sz w:val="16"/>
                <w:szCs w:val="16"/>
                <w:b w:val="1"/>
                <w:bCs w:val="1"/>
                <w:color w:val="auto"/>
              </w:rPr>
              <w:t>102</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jc w:val="right"/>
              <w:ind w:right="39"/>
              <w:spacing w:after="0" w:line="168" w:lineRule="exact"/>
              <w:rPr>
                <w:sz w:val="20"/>
                <w:szCs w:val="20"/>
                <w:color w:val="auto"/>
              </w:rPr>
            </w:pPr>
            <w:r>
              <w:rPr>
                <w:rFonts w:ascii="Arial" w:cs="Arial" w:eastAsia="Arial" w:hAnsi="Arial"/>
                <w:sz w:val="16"/>
                <w:szCs w:val="16"/>
                <w:b w:val="1"/>
                <w:bCs w:val="1"/>
                <w:color w:val="auto"/>
                <w:w w:val="89"/>
              </w:rPr>
              <w:t>$</w:t>
            </w:r>
          </w:p>
        </w:tc>
        <w:tc>
          <w:tcPr>
            <w:tcW w:w="1120" w:type="dxa"/>
            <w:vAlign w:val="bottom"/>
          </w:tcPr>
          <w:p>
            <w:pPr>
              <w:jc w:val="right"/>
              <w:spacing w:after="0" w:line="168" w:lineRule="exact"/>
              <w:rPr>
                <w:sz w:val="20"/>
                <w:szCs w:val="20"/>
                <w:color w:val="auto"/>
              </w:rPr>
            </w:pPr>
            <w:r>
              <w:rPr>
                <w:rFonts w:ascii="Arial" w:cs="Arial" w:eastAsia="Arial" w:hAnsi="Arial"/>
                <w:sz w:val="16"/>
                <w:szCs w:val="16"/>
                <w:b w:val="1"/>
                <w:bCs w:val="1"/>
                <w:color w:val="auto"/>
              </w:rPr>
              <w:t>(230)</w:t>
            </w:r>
          </w:p>
        </w:tc>
        <w:tc>
          <w:tcPr>
            <w:tcW w:w="240" w:type="dxa"/>
            <w:vAlign w:val="bottom"/>
          </w:tcPr>
          <w:p>
            <w:pPr>
              <w:spacing w:after="0"/>
              <w:rPr>
                <w:sz w:val="14"/>
                <w:szCs w:val="14"/>
                <w:color w:val="auto"/>
              </w:rPr>
            </w:pPr>
          </w:p>
        </w:tc>
        <w:tc>
          <w:tcPr>
            <w:tcW w:w="1200" w:type="dxa"/>
            <w:vAlign w:val="bottom"/>
            <w:gridSpan w:val="2"/>
          </w:tcPr>
          <w:p>
            <w:pPr>
              <w:jc w:val="right"/>
              <w:spacing w:after="0" w:line="168" w:lineRule="exact"/>
              <w:rPr>
                <w:sz w:val="20"/>
                <w:szCs w:val="20"/>
                <w:color w:val="auto"/>
              </w:rPr>
            </w:pPr>
            <w:r>
              <w:rPr>
                <w:rFonts w:ascii="Arial" w:cs="Arial" w:eastAsia="Arial" w:hAnsi="Arial"/>
                <w:sz w:val="16"/>
                <w:szCs w:val="16"/>
                <w:b w:val="1"/>
                <w:bCs w:val="1"/>
                <w:color w:val="auto"/>
              </w:rPr>
              <w:t>(225%)</w:t>
            </w:r>
          </w:p>
        </w:tc>
        <w:tc>
          <w:tcPr>
            <w:tcW w:w="0" w:type="dxa"/>
            <w:vAlign w:val="bottom"/>
          </w:tcPr>
          <w:p>
            <w:pPr>
              <w:spacing w:after="0"/>
              <w:rPr>
                <w:sz w:val="1"/>
                <w:szCs w:val="1"/>
                <w:color w:val="auto"/>
              </w:rPr>
            </w:pPr>
          </w:p>
        </w:tc>
      </w:tr>
      <w:tr>
        <w:trPr>
          <w:trHeight w:val="189"/>
        </w:trPr>
        <w:tc>
          <w:tcPr>
            <w:tcW w:w="5200" w:type="dxa"/>
            <w:vAlign w:val="bottom"/>
          </w:tcPr>
          <w:p>
            <w:pPr>
              <w:spacing w:after="0"/>
              <w:rPr>
                <w:sz w:val="20"/>
                <w:szCs w:val="20"/>
                <w:color w:val="auto"/>
              </w:rPr>
            </w:pPr>
            <w:r>
              <w:rPr>
                <w:rFonts w:ascii="Arial" w:cs="Arial" w:eastAsia="Arial" w:hAnsi="Arial"/>
                <w:sz w:val="16"/>
                <w:szCs w:val="16"/>
                <w:color w:val="auto"/>
              </w:rPr>
              <w:t>All other</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20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29</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28</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w:t>
            </w: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200" w:type="dxa"/>
            <w:vAlign w:val="bottom"/>
          </w:tcPr>
          <w:p>
            <w:pPr>
              <w:spacing w:after="0"/>
              <w:rPr>
                <w:sz w:val="20"/>
                <w:szCs w:val="20"/>
                <w:color w:val="auto"/>
              </w:rPr>
            </w:pPr>
            <w:r>
              <w:rPr>
                <w:rFonts w:ascii="Arial" w:cs="Arial" w:eastAsia="Arial" w:hAnsi="Arial"/>
                <w:sz w:val="16"/>
                <w:szCs w:val="16"/>
                <w:color w:val="auto"/>
              </w:rPr>
              <w:t>Restructuring costs and other</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21</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w:t>
            </w: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5200" w:type="dxa"/>
            <w:vAlign w:val="bottom"/>
          </w:tcPr>
          <w:p>
            <w:pPr>
              <w:spacing w:after="0" w:line="163" w:lineRule="exact"/>
              <w:rPr>
                <w:sz w:val="20"/>
                <w:szCs w:val="20"/>
                <w:color w:val="auto"/>
              </w:rPr>
            </w:pPr>
            <w:r>
              <w:rPr>
                <w:rFonts w:ascii="Arial" w:cs="Arial" w:eastAsia="Arial" w:hAnsi="Arial"/>
                <w:sz w:val="16"/>
                <w:szCs w:val="16"/>
                <w:color w:val="auto"/>
              </w:rPr>
              <w:t>Stock based compensation</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right"/>
              <w:spacing w:after="0" w:line="163" w:lineRule="exact"/>
              <w:rPr>
                <w:sz w:val="20"/>
                <w:szCs w:val="20"/>
                <w:color w:val="auto"/>
              </w:rPr>
            </w:pPr>
            <w:r>
              <w:rPr>
                <w:rFonts w:ascii="Arial" w:cs="Arial" w:eastAsia="Arial" w:hAnsi="Arial"/>
                <w:sz w:val="16"/>
                <w:szCs w:val="16"/>
                <w:color w:val="auto"/>
              </w:rPr>
              <w:t>5</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right"/>
              <w:spacing w:after="0" w:line="163" w:lineRule="exact"/>
              <w:rPr>
                <w:sz w:val="20"/>
                <w:szCs w:val="20"/>
                <w:color w:val="auto"/>
              </w:rPr>
            </w:pPr>
            <w:r>
              <w:rPr>
                <w:rFonts w:ascii="Arial" w:cs="Arial" w:eastAsia="Arial" w:hAnsi="Arial"/>
                <w:sz w:val="16"/>
                <w:szCs w:val="16"/>
                <w:color w:val="auto"/>
              </w:rPr>
              <w:t>6</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jc w:val="right"/>
              <w:ind w:right="180"/>
              <w:spacing w:after="0" w:line="163" w:lineRule="exact"/>
              <w:rPr>
                <w:sz w:val="20"/>
                <w:szCs w:val="20"/>
                <w:color w:val="auto"/>
              </w:rPr>
            </w:pPr>
            <w:r>
              <w:rPr>
                <w:rFonts w:ascii="Arial" w:cs="Arial" w:eastAsia="Arial" w:hAnsi="Arial"/>
                <w:sz w:val="16"/>
                <w:szCs w:val="16"/>
                <w:color w:val="auto"/>
              </w:rPr>
              <w:t>(1)</w:t>
            </w: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200" w:type="dxa"/>
            <w:vAlign w:val="bottom"/>
          </w:tcPr>
          <w:p>
            <w:pPr>
              <w:spacing w:after="0" w:line="189" w:lineRule="exact"/>
              <w:rPr>
                <w:sz w:val="20"/>
                <w:szCs w:val="20"/>
                <w:color w:val="auto"/>
              </w:rPr>
            </w:pPr>
            <w:r>
              <w:rPr>
                <w:rFonts w:ascii="Arial" w:cs="Arial" w:eastAsia="Arial" w:hAnsi="Arial"/>
                <w:sz w:val="16"/>
                <w:szCs w:val="16"/>
                <w:color w:val="auto"/>
              </w:rPr>
              <w:t xml:space="preserve">Consulting and other costs </w:t>
            </w:r>
            <w:r>
              <w:rPr>
                <w:rFonts w:ascii="Arial" w:cs="Arial" w:eastAsia="Arial" w:hAnsi="Arial"/>
                <w:sz w:val="21"/>
                <w:szCs w:val="21"/>
                <w:color w:val="auto"/>
                <w:vertAlign w:val="superscript"/>
              </w:rPr>
              <w:t>(1)</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(1)</w:t>
            </w: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200" w:type="dxa"/>
            <w:vAlign w:val="bottom"/>
          </w:tcPr>
          <w:p>
            <w:pPr>
              <w:spacing w:after="0" w:line="189" w:lineRule="exact"/>
              <w:rPr>
                <w:sz w:val="20"/>
                <w:szCs w:val="20"/>
                <w:color w:val="auto"/>
              </w:rPr>
            </w:pPr>
            <w:r>
              <w:rPr>
                <w:rFonts w:ascii="Arial" w:cs="Arial" w:eastAsia="Arial" w:hAnsi="Arial"/>
                <w:sz w:val="16"/>
                <w:szCs w:val="16"/>
                <w:color w:val="auto"/>
              </w:rPr>
              <w:t xml:space="preserve">Idle costs </w:t>
            </w:r>
            <w:r>
              <w:rPr>
                <w:rFonts w:ascii="Arial" w:cs="Arial" w:eastAsia="Arial" w:hAnsi="Arial"/>
                <w:sz w:val="21"/>
                <w:szCs w:val="21"/>
                <w:color w:val="auto"/>
                <w:vertAlign w:val="superscript"/>
              </w:rPr>
              <w:t>(2)</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w:t>
            </w: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200" w:type="dxa"/>
            <w:vAlign w:val="bottom"/>
          </w:tcPr>
          <w:p>
            <w:pPr>
              <w:spacing w:after="0" w:line="189" w:lineRule="exact"/>
              <w:rPr>
                <w:sz w:val="20"/>
                <w:szCs w:val="20"/>
                <w:color w:val="auto"/>
              </w:rPr>
            </w:pPr>
            <w:r>
              <w:rPr>
                <w:rFonts w:ascii="Arial" w:cs="Arial" w:eastAsia="Arial" w:hAnsi="Arial"/>
                <w:sz w:val="16"/>
                <w:szCs w:val="16"/>
                <w:color w:val="auto"/>
              </w:rPr>
              <w:t xml:space="preserve">Other operating expense (income), net </w:t>
            </w:r>
            <w:r>
              <w:rPr>
                <w:rFonts w:ascii="Arial" w:cs="Arial" w:eastAsia="Arial" w:hAnsi="Arial"/>
                <w:sz w:val="21"/>
                <w:szCs w:val="21"/>
                <w:color w:val="auto"/>
                <w:vertAlign w:val="superscript"/>
              </w:rPr>
              <w:t>(3)</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w:t>
            </w: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200" w:type="dxa"/>
            <w:vAlign w:val="bottom"/>
          </w:tcPr>
          <w:p>
            <w:pPr>
              <w:spacing w:after="0" w:line="189" w:lineRule="exact"/>
              <w:rPr>
                <w:sz w:val="20"/>
                <w:szCs w:val="20"/>
                <w:color w:val="auto"/>
              </w:rPr>
            </w:pPr>
            <w:r>
              <w:rPr>
                <w:rFonts w:ascii="Arial" w:cs="Arial" w:eastAsia="Arial" w:hAnsi="Arial"/>
                <w:sz w:val="16"/>
                <w:szCs w:val="16"/>
                <w:color w:val="auto"/>
              </w:rPr>
              <w:t xml:space="preserve">Interest expense </w:t>
            </w:r>
            <w:r>
              <w:rPr>
                <w:rFonts w:ascii="Arial" w:cs="Arial" w:eastAsia="Arial" w:hAnsi="Arial"/>
                <w:sz w:val="21"/>
                <w:szCs w:val="21"/>
                <w:color w:val="auto"/>
                <w:vertAlign w:val="superscript"/>
              </w:rPr>
              <w:t>(3)</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62</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59</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w:t>
            </w: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200" w:type="dxa"/>
            <w:vAlign w:val="bottom"/>
          </w:tcPr>
          <w:p>
            <w:pPr>
              <w:spacing w:after="0" w:line="189" w:lineRule="exact"/>
              <w:rPr>
                <w:sz w:val="20"/>
                <w:szCs w:val="20"/>
                <w:color w:val="auto"/>
              </w:rPr>
            </w:pPr>
            <w:r>
              <w:rPr>
                <w:rFonts w:ascii="Arial" w:cs="Arial" w:eastAsia="Arial" w:hAnsi="Arial"/>
                <w:sz w:val="16"/>
                <w:szCs w:val="16"/>
                <w:color w:val="auto"/>
              </w:rPr>
              <w:t xml:space="preserve">Pension income excluding service cost component </w:t>
            </w:r>
            <w:r>
              <w:rPr>
                <w:rFonts w:ascii="Arial" w:cs="Arial" w:eastAsia="Arial" w:hAnsi="Arial"/>
                <w:sz w:val="21"/>
                <w:szCs w:val="21"/>
                <w:color w:val="auto"/>
                <w:vertAlign w:val="superscript"/>
              </w:rPr>
              <w:t>(3)</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6"/>
                <w:szCs w:val="16"/>
                <w:color w:val="auto"/>
              </w:rPr>
              <w:t>(128)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6"/>
                <w:szCs w:val="16"/>
                <w:color w:val="auto"/>
              </w:rPr>
              <w:t>(173)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45</w:t>
            </w: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200" w:type="dxa"/>
            <w:vAlign w:val="bottom"/>
          </w:tcPr>
          <w:p>
            <w:pPr>
              <w:spacing w:after="0" w:line="189" w:lineRule="exact"/>
              <w:rPr>
                <w:sz w:val="20"/>
                <w:szCs w:val="20"/>
                <w:color w:val="auto"/>
              </w:rPr>
            </w:pPr>
            <w:r>
              <w:rPr>
                <w:rFonts w:ascii="Arial" w:cs="Arial" w:eastAsia="Arial" w:hAnsi="Arial"/>
                <w:sz w:val="16"/>
                <w:szCs w:val="16"/>
                <w:color w:val="auto"/>
              </w:rPr>
              <w:t xml:space="preserve">Loss on early extinguishment of debt </w:t>
            </w:r>
            <w:r>
              <w:rPr>
                <w:rFonts w:ascii="Arial" w:cs="Arial" w:eastAsia="Arial" w:hAnsi="Arial"/>
                <w:sz w:val="21"/>
                <w:szCs w:val="21"/>
                <w:color w:val="auto"/>
                <w:vertAlign w:val="superscript"/>
              </w:rPr>
              <w:t>(3)</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w:t>
            </w: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5200" w:type="dxa"/>
            <w:vAlign w:val="bottom"/>
          </w:tcPr>
          <w:p>
            <w:pPr>
              <w:spacing w:after="0" w:line="203" w:lineRule="exact"/>
              <w:rPr>
                <w:sz w:val="20"/>
                <w:szCs w:val="20"/>
                <w:color w:val="auto"/>
              </w:rPr>
            </w:pPr>
            <w:r>
              <w:rPr>
                <w:rFonts w:ascii="Arial" w:cs="Arial" w:eastAsia="Arial" w:hAnsi="Arial"/>
                <w:sz w:val="16"/>
                <w:szCs w:val="16"/>
                <w:color w:val="auto"/>
              </w:rPr>
              <w:t xml:space="preserve">Other charges (income), net </w:t>
            </w:r>
            <w:r>
              <w:rPr>
                <w:rFonts w:ascii="Arial" w:cs="Arial" w:eastAsia="Arial" w:hAnsi="Arial"/>
                <w:sz w:val="21"/>
                <w:szCs w:val="21"/>
                <w:color w:val="auto"/>
                <w:vertAlign w:val="superscript"/>
              </w:rPr>
              <w:t>(3)</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171</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174</w:t>
            </w: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line="216" w:lineRule="exact"/>
              <w:rPr>
                <w:sz w:val="20"/>
                <w:szCs w:val="20"/>
                <w:color w:val="auto"/>
              </w:rPr>
            </w:pPr>
            <w:r>
              <w:rPr>
                <w:rFonts w:ascii="Arial" w:cs="Arial" w:eastAsia="Arial" w:hAnsi="Arial"/>
                <w:sz w:val="16"/>
                <w:szCs w:val="16"/>
                <w:color w:val="auto"/>
              </w:rPr>
              <w:t xml:space="preserve">Provision for income taxes </w:t>
            </w:r>
            <w:r>
              <w:rPr>
                <w:rFonts w:ascii="Arial" w:cs="Arial" w:eastAsia="Arial" w:hAnsi="Arial"/>
                <w:sz w:val="21"/>
                <w:szCs w:val="21"/>
                <w:color w:val="auto"/>
                <w:vertAlign w:val="superscript"/>
              </w:rPr>
              <w:t>(3)</w:t>
            </w:r>
          </w:p>
        </w:tc>
        <w:tc>
          <w:tcPr>
            <w:tcW w:w="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24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5200" w:type="dxa"/>
            <w:vAlign w:val="bottom"/>
          </w:tcPr>
          <w:p>
            <w:pPr>
              <w:spacing w:after="0" w:line="169" w:lineRule="exact"/>
              <w:rPr>
                <w:sz w:val="20"/>
                <w:szCs w:val="20"/>
                <w:color w:val="auto"/>
              </w:rPr>
            </w:pPr>
            <w:r>
              <w:rPr>
                <w:rFonts w:ascii="Arial" w:cs="Arial" w:eastAsia="Arial" w:hAnsi="Arial"/>
                <w:sz w:val="16"/>
                <w:szCs w:val="16"/>
                <w:b w:val="1"/>
                <w:bCs w:val="1"/>
                <w:color w:val="auto"/>
              </w:rPr>
              <w:t>Operational EBITDA</w:t>
            </w:r>
          </w:p>
        </w:tc>
        <w:tc>
          <w:tcPr>
            <w:tcW w:w="20" w:type="dxa"/>
            <w:vAlign w:val="bottom"/>
          </w:tcPr>
          <w:p>
            <w:pPr>
              <w:spacing w:after="0"/>
              <w:rPr>
                <w:sz w:val="14"/>
                <w:szCs w:val="14"/>
                <w:color w:val="auto"/>
              </w:rPr>
            </w:pPr>
          </w:p>
        </w:tc>
        <w:tc>
          <w:tcPr>
            <w:tcW w:w="200" w:type="dxa"/>
            <w:vAlign w:val="bottom"/>
          </w:tcPr>
          <w:p>
            <w:pPr>
              <w:jc w:val="right"/>
              <w:ind w:right="44"/>
              <w:spacing w:after="0" w:line="169" w:lineRule="exact"/>
              <w:rPr>
                <w:sz w:val="20"/>
                <w:szCs w:val="20"/>
                <w:color w:val="auto"/>
              </w:rPr>
            </w:pPr>
            <w:r>
              <w:rPr>
                <w:rFonts w:ascii="Arial" w:cs="Arial" w:eastAsia="Arial" w:hAnsi="Arial"/>
                <w:sz w:val="15"/>
                <w:szCs w:val="15"/>
                <w:b w:val="1"/>
                <w:bCs w:val="1"/>
                <w:color w:val="auto"/>
                <w:w w:val="71"/>
              </w:rPr>
              <w:t>$</w:t>
            </w:r>
          </w:p>
        </w:tc>
        <w:tc>
          <w:tcPr>
            <w:tcW w:w="1120" w:type="dxa"/>
            <w:vAlign w:val="bottom"/>
          </w:tcPr>
          <w:p>
            <w:pPr>
              <w:jc w:val="right"/>
              <w:spacing w:after="0" w:line="169" w:lineRule="exact"/>
              <w:rPr>
                <w:sz w:val="20"/>
                <w:szCs w:val="20"/>
                <w:color w:val="auto"/>
              </w:rPr>
            </w:pPr>
            <w:r>
              <w:rPr>
                <w:rFonts w:ascii="Arial" w:cs="Arial" w:eastAsia="Arial" w:hAnsi="Arial"/>
                <w:sz w:val="16"/>
                <w:szCs w:val="16"/>
                <w:b w:val="1"/>
                <w:bCs w:val="1"/>
                <w:color w:val="auto"/>
              </w:rPr>
              <w:t>62</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jc w:val="right"/>
              <w:ind w:right="39"/>
              <w:spacing w:after="0" w:line="169" w:lineRule="exact"/>
              <w:rPr>
                <w:sz w:val="20"/>
                <w:szCs w:val="20"/>
                <w:color w:val="auto"/>
              </w:rPr>
            </w:pPr>
            <w:r>
              <w:rPr>
                <w:rFonts w:ascii="Arial" w:cs="Arial" w:eastAsia="Arial" w:hAnsi="Arial"/>
                <w:sz w:val="16"/>
                <w:szCs w:val="16"/>
                <w:b w:val="1"/>
                <w:bCs w:val="1"/>
                <w:color w:val="auto"/>
                <w:w w:val="89"/>
              </w:rPr>
              <w:t>$</w:t>
            </w:r>
          </w:p>
        </w:tc>
        <w:tc>
          <w:tcPr>
            <w:tcW w:w="1120" w:type="dxa"/>
            <w:vAlign w:val="bottom"/>
          </w:tcPr>
          <w:p>
            <w:pPr>
              <w:jc w:val="right"/>
              <w:spacing w:after="0" w:line="169" w:lineRule="exact"/>
              <w:rPr>
                <w:sz w:val="20"/>
                <w:szCs w:val="20"/>
                <w:color w:val="auto"/>
              </w:rPr>
            </w:pPr>
            <w:r>
              <w:rPr>
                <w:rFonts w:ascii="Arial" w:cs="Arial" w:eastAsia="Arial" w:hAnsi="Arial"/>
                <w:sz w:val="16"/>
                <w:szCs w:val="16"/>
                <w:b w:val="1"/>
                <w:bCs w:val="1"/>
                <w:color w:val="auto"/>
              </w:rPr>
              <w:t>26</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jc w:val="right"/>
              <w:ind w:right="39"/>
              <w:spacing w:after="0" w:line="169" w:lineRule="exact"/>
              <w:rPr>
                <w:sz w:val="20"/>
                <w:szCs w:val="20"/>
                <w:color w:val="auto"/>
              </w:rPr>
            </w:pPr>
            <w:r>
              <w:rPr>
                <w:rFonts w:ascii="Arial" w:cs="Arial" w:eastAsia="Arial" w:hAnsi="Arial"/>
                <w:sz w:val="16"/>
                <w:szCs w:val="16"/>
                <w:b w:val="1"/>
                <w:bCs w:val="1"/>
                <w:color w:val="auto"/>
                <w:w w:val="89"/>
              </w:rPr>
              <w:t>$</w:t>
            </w:r>
          </w:p>
        </w:tc>
        <w:tc>
          <w:tcPr>
            <w:tcW w:w="1120" w:type="dxa"/>
            <w:vAlign w:val="bottom"/>
          </w:tcPr>
          <w:p>
            <w:pPr>
              <w:jc w:val="right"/>
              <w:spacing w:after="0" w:line="169" w:lineRule="exact"/>
              <w:rPr>
                <w:sz w:val="20"/>
                <w:szCs w:val="20"/>
                <w:color w:val="auto"/>
              </w:rPr>
            </w:pPr>
            <w:r>
              <w:rPr>
                <w:rFonts w:ascii="Arial" w:cs="Arial" w:eastAsia="Arial" w:hAnsi="Arial"/>
                <w:sz w:val="16"/>
                <w:szCs w:val="16"/>
                <w:b w:val="1"/>
                <w:bCs w:val="1"/>
                <w:color w:val="auto"/>
              </w:rPr>
              <w:t>36</w:t>
            </w:r>
          </w:p>
        </w:tc>
        <w:tc>
          <w:tcPr>
            <w:tcW w:w="240" w:type="dxa"/>
            <w:vAlign w:val="bottom"/>
          </w:tcPr>
          <w:p>
            <w:pPr>
              <w:spacing w:after="0"/>
              <w:rPr>
                <w:sz w:val="14"/>
                <w:szCs w:val="14"/>
                <w:color w:val="auto"/>
              </w:rPr>
            </w:pPr>
          </w:p>
        </w:tc>
        <w:tc>
          <w:tcPr>
            <w:tcW w:w="1200" w:type="dxa"/>
            <w:vAlign w:val="bottom"/>
            <w:gridSpan w:val="2"/>
          </w:tcPr>
          <w:p>
            <w:pPr>
              <w:jc w:val="right"/>
              <w:ind w:right="60"/>
              <w:spacing w:after="0" w:line="169" w:lineRule="exact"/>
              <w:rPr>
                <w:sz w:val="20"/>
                <w:szCs w:val="20"/>
                <w:color w:val="auto"/>
              </w:rPr>
            </w:pPr>
            <w:r>
              <w:rPr>
                <w:rFonts w:ascii="Arial" w:cs="Arial" w:eastAsia="Arial" w:hAnsi="Arial"/>
                <w:sz w:val="16"/>
                <w:szCs w:val="16"/>
                <w:b w:val="1"/>
                <w:bCs w:val="1"/>
                <w:color w:val="auto"/>
              </w:rPr>
              <w:t>138%</w:t>
            </w:r>
          </w:p>
        </w:tc>
        <w:tc>
          <w:tcPr>
            <w:tcW w:w="0" w:type="dxa"/>
            <w:vAlign w:val="bottom"/>
          </w:tcPr>
          <w:p>
            <w:pPr>
              <w:spacing w:after="0"/>
              <w:rPr>
                <w:sz w:val="1"/>
                <w:szCs w:val="1"/>
                <w:color w:val="auto"/>
              </w:rPr>
            </w:pPr>
          </w:p>
        </w:tc>
      </w:tr>
      <w:tr>
        <w:trPr>
          <w:trHeight w:val="27"/>
        </w:trPr>
        <w:tc>
          <w:tcPr>
            <w:tcW w:w="5200" w:type="dxa"/>
            <w:vAlign w:val="bottom"/>
            <w:vMerge w:val="restart"/>
          </w:tcPr>
          <w:p>
            <w:pPr>
              <w:spacing w:after="0" w:line="216" w:lineRule="exact"/>
              <w:rPr>
                <w:sz w:val="20"/>
                <w:szCs w:val="20"/>
                <w:color w:val="auto"/>
              </w:rPr>
            </w:pPr>
            <w:r>
              <w:rPr>
                <w:rFonts w:ascii="Arial" w:cs="Arial" w:eastAsia="Arial" w:hAnsi="Arial"/>
                <w:sz w:val="16"/>
                <w:szCs w:val="16"/>
                <w:color w:val="auto"/>
              </w:rPr>
              <w:t xml:space="preserve">Impact of foreign exchange </w:t>
            </w:r>
            <w:r>
              <w:rPr>
                <w:rFonts w:ascii="Arial" w:cs="Arial" w:eastAsia="Arial" w:hAnsi="Arial"/>
                <w:sz w:val="21"/>
                <w:szCs w:val="21"/>
                <w:color w:val="auto"/>
                <w:vertAlign w:val="superscript"/>
              </w:rPr>
              <w:t>(4)</w:t>
            </w:r>
          </w:p>
        </w:tc>
        <w:tc>
          <w:tcPr>
            <w:tcW w:w="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80" w:type="dxa"/>
            <w:vAlign w:val="bottom"/>
            <w:vMerge w:val="restart"/>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52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(1)</w:t>
            </w: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200" w:type="dxa"/>
            <w:vAlign w:val="bottom"/>
          </w:tcPr>
          <w:p>
            <w:pPr>
              <w:spacing w:after="0" w:line="169" w:lineRule="exact"/>
              <w:rPr>
                <w:sz w:val="20"/>
                <w:szCs w:val="20"/>
                <w:color w:val="auto"/>
              </w:rPr>
            </w:pPr>
            <w:r>
              <w:rPr>
                <w:rFonts w:ascii="Arial" w:cs="Arial" w:eastAsia="Arial" w:hAnsi="Arial"/>
                <w:sz w:val="16"/>
                <w:szCs w:val="16"/>
                <w:b w:val="1"/>
                <w:bCs w:val="1"/>
                <w:color w:val="auto"/>
              </w:rPr>
              <w:t>Operational EBITDA on a constant currency basis</w:t>
            </w:r>
          </w:p>
        </w:tc>
        <w:tc>
          <w:tcPr>
            <w:tcW w:w="20" w:type="dxa"/>
            <w:vAlign w:val="bottom"/>
            <w:vMerge w:val="continue"/>
          </w:tcPr>
          <w:p>
            <w:pPr>
              <w:spacing w:after="0"/>
              <w:rPr>
                <w:sz w:val="15"/>
                <w:szCs w:val="15"/>
                <w:color w:val="auto"/>
              </w:rPr>
            </w:pPr>
          </w:p>
        </w:tc>
        <w:tc>
          <w:tcPr>
            <w:tcW w:w="200" w:type="dxa"/>
            <w:vAlign w:val="bottom"/>
          </w:tcPr>
          <w:p>
            <w:pPr>
              <w:jc w:val="right"/>
              <w:ind w:right="44"/>
              <w:spacing w:after="0" w:line="169" w:lineRule="exact"/>
              <w:rPr>
                <w:sz w:val="20"/>
                <w:szCs w:val="20"/>
                <w:color w:val="auto"/>
              </w:rPr>
            </w:pPr>
            <w:r>
              <w:rPr>
                <w:rFonts w:ascii="Arial" w:cs="Arial" w:eastAsia="Arial" w:hAnsi="Arial"/>
                <w:sz w:val="15"/>
                <w:szCs w:val="15"/>
                <w:b w:val="1"/>
                <w:bCs w:val="1"/>
                <w:color w:val="auto"/>
                <w:w w:val="71"/>
              </w:rPr>
              <w:t>$</w:t>
            </w:r>
          </w:p>
        </w:tc>
        <w:tc>
          <w:tcPr>
            <w:tcW w:w="1120" w:type="dxa"/>
            <w:vAlign w:val="bottom"/>
          </w:tcPr>
          <w:p>
            <w:pPr>
              <w:jc w:val="right"/>
              <w:spacing w:after="0" w:line="169" w:lineRule="exact"/>
              <w:rPr>
                <w:sz w:val="20"/>
                <w:szCs w:val="20"/>
                <w:color w:val="auto"/>
              </w:rPr>
            </w:pPr>
            <w:r>
              <w:rPr>
                <w:rFonts w:ascii="Arial" w:cs="Arial" w:eastAsia="Arial" w:hAnsi="Arial"/>
                <w:sz w:val="16"/>
                <w:szCs w:val="16"/>
                <w:b w:val="1"/>
                <w:bCs w:val="1"/>
                <w:color w:val="auto"/>
              </w:rPr>
              <w:t>61</w:t>
            </w:r>
          </w:p>
        </w:tc>
        <w:tc>
          <w:tcPr>
            <w:tcW w:w="18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220" w:type="dxa"/>
            <w:vAlign w:val="bottom"/>
          </w:tcPr>
          <w:p>
            <w:pPr>
              <w:jc w:val="right"/>
              <w:ind w:right="39"/>
              <w:spacing w:after="0" w:line="169" w:lineRule="exact"/>
              <w:rPr>
                <w:sz w:val="20"/>
                <w:szCs w:val="20"/>
                <w:color w:val="auto"/>
              </w:rPr>
            </w:pPr>
            <w:r>
              <w:rPr>
                <w:rFonts w:ascii="Arial" w:cs="Arial" w:eastAsia="Arial" w:hAnsi="Arial"/>
                <w:sz w:val="16"/>
                <w:szCs w:val="16"/>
                <w:b w:val="1"/>
                <w:bCs w:val="1"/>
                <w:color w:val="auto"/>
                <w:w w:val="89"/>
              </w:rPr>
              <w:t>$</w:t>
            </w:r>
          </w:p>
        </w:tc>
        <w:tc>
          <w:tcPr>
            <w:tcW w:w="1120" w:type="dxa"/>
            <w:vAlign w:val="bottom"/>
          </w:tcPr>
          <w:p>
            <w:pPr>
              <w:jc w:val="right"/>
              <w:spacing w:after="0" w:line="169" w:lineRule="exact"/>
              <w:rPr>
                <w:sz w:val="20"/>
                <w:szCs w:val="20"/>
                <w:color w:val="auto"/>
              </w:rPr>
            </w:pPr>
            <w:r>
              <w:rPr>
                <w:rFonts w:ascii="Arial" w:cs="Arial" w:eastAsia="Arial" w:hAnsi="Arial"/>
                <w:sz w:val="16"/>
                <w:szCs w:val="16"/>
                <w:b w:val="1"/>
                <w:bCs w:val="1"/>
                <w:color w:val="auto"/>
              </w:rPr>
              <w:t>26</w:t>
            </w:r>
          </w:p>
        </w:tc>
        <w:tc>
          <w:tcPr>
            <w:tcW w:w="18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220" w:type="dxa"/>
            <w:vAlign w:val="bottom"/>
          </w:tcPr>
          <w:p>
            <w:pPr>
              <w:jc w:val="right"/>
              <w:ind w:right="39"/>
              <w:spacing w:after="0" w:line="169" w:lineRule="exact"/>
              <w:rPr>
                <w:sz w:val="20"/>
                <w:szCs w:val="20"/>
                <w:color w:val="auto"/>
              </w:rPr>
            </w:pPr>
            <w:r>
              <w:rPr>
                <w:rFonts w:ascii="Arial" w:cs="Arial" w:eastAsia="Arial" w:hAnsi="Arial"/>
                <w:sz w:val="16"/>
                <w:szCs w:val="16"/>
                <w:b w:val="1"/>
                <w:bCs w:val="1"/>
                <w:color w:val="auto"/>
                <w:w w:val="89"/>
              </w:rPr>
              <w:t>$</w:t>
            </w:r>
          </w:p>
        </w:tc>
        <w:tc>
          <w:tcPr>
            <w:tcW w:w="1120" w:type="dxa"/>
            <w:vAlign w:val="bottom"/>
          </w:tcPr>
          <w:p>
            <w:pPr>
              <w:jc w:val="right"/>
              <w:spacing w:after="0" w:line="169" w:lineRule="exact"/>
              <w:rPr>
                <w:sz w:val="20"/>
                <w:szCs w:val="20"/>
                <w:color w:val="auto"/>
              </w:rPr>
            </w:pPr>
            <w:r>
              <w:rPr>
                <w:rFonts w:ascii="Arial" w:cs="Arial" w:eastAsia="Arial" w:hAnsi="Arial"/>
                <w:sz w:val="16"/>
                <w:szCs w:val="16"/>
                <w:b w:val="1"/>
                <w:bCs w:val="1"/>
                <w:color w:val="auto"/>
              </w:rPr>
              <w:t>35</w:t>
            </w:r>
          </w:p>
        </w:tc>
        <w:tc>
          <w:tcPr>
            <w:tcW w:w="240" w:type="dxa"/>
            <w:vAlign w:val="bottom"/>
          </w:tcPr>
          <w:p>
            <w:pPr>
              <w:spacing w:after="0"/>
              <w:rPr>
                <w:sz w:val="15"/>
                <w:szCs w:val="15"/>
                <w:color w:val="auto"/>
              </w:rPr>
            </w:pPr>
          </w:p>
        </w:tc>
        <w:tc>
          <w:tcPr>
            <w:tcW w:w="1200" w:type="dxa"/>
            <w:vAlign w:val="bottom"/>
            <w:gridSpan w:val="2"/>
          </w:tcPr>
          <w:p>
            <w:pPr>
              <w:jc w:val="right"/>
              <w:ind w:right="60"/>
              <w:spacing w:after="0" w:line="169" w:lineRule="exact"/>
              <w:rPr>
                <w:sz w:val="20"/>
                <w:szCs w:val="20"/>
                <w:color w:val="auto"/>
              </w:rPr>
            </w:pPr>
            <w:r>
              <w:rPr>
                <w:rFonts w:ascii="Arial" w:cs="Arial" w:eastAsia="Arial" w:hAnsi="Arial"/>
                <w:sz w:val="16"/>
                <w:szCs w:val="16"/>
                <w:b w:val="1"/>
                <w:bCs w:val="1"/>
                <w:color w:val="auto"/>
              </w:rPr>
              <w:t>135%</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0" w:lineRule="exact"/>
        <w:rPr>
          <w:sz w:val="20"/>
          <w:szCs w:val="20"/>
          <w:color w:val="auto"/>
        </w:rPr>
      </w:pPr>
    </w:p>
    <w:p>
      <w:pPr>
        <w:spacing w:after="0"/>
        <w:rPr>
          <w:sz w:val="20"/>
          <w:szCs w:val="20"/>
          <w:color w:val="auto"/>
        </w:rPr>
      </w:pPr>
      <w:r>
        <w:rPr>
          <w:rFonts w:ascii="Arial" w:cs="Arial" w:eastAsia="Arial" w:hAnsi="Arial"/>
          <w:sz w:val="20"/>
          <w:szCs w:val="20"/>
          <w:color w:val="auto"/>
        </w:rPr>
        <w:t>Footnote Explanations:</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10" w:name="page11"/>
    <w:bookmarkEnd w:id="10"/>
    <w:p>
      <w:pPr>
        <w:spacing w:after="0"/>
        <w:rPr>
          <w:sz w:val="20"/>
          <w:szCs w:val="20"/>
          <w:color w:val="auto"/>
        </w:rPr>
      </w:pPr>
      <w:r>
        <w:rPr>
          <w:rFonts w:ascii="Arial" w:cs="Arial" w:eastAsia="Arial" w:hAnsi="Arial"/>
          <w:sz w:val="20"/>
          <w:szCs w:val="20"/>
          <w:color w:val="auto"/>
        </w:rPr>
        <w:t>Kodak Reports Fourth-Quarter and Full-Year 2025 Financial Results Page 8</w:t>
      </w:r>
    </w:p>
    <w:p>
      <w:pPr>
        <w:spacing w:after="0" w:line="200" w:lineRule="exact"/>
        <w:rPr>
          <w:sz w:val="20"/>
          <w:szCs w:val="20"/>
          <w:color w:val="auto"/>
        </w:rPr>
      </w:pPr>
    </w:p>
    <w:p>
      <w:pPr>
        <w:spacing w:after="0" w:line="326" w:lineRule="exact"/>
        <w:rPr>
          <w:sz w:val="20"/>
          <w:szCs w:val="20"/>
          <w:color w:val="auto"/>
        </w:rPr>
      </w:pPr>
    </w:p>
    <w:p>
      <w:pPr>
        <w:ind w:left="760" w:right="320" w:hanging="378"/>
        <w:spacing w:after="0" w:line="233" w:lineRule="auto"/>
        <w:tabs>
          <w:tab w:leader="none" w:pos="760" w:val="left"/>
        </w:tabs>
        <w:numPr>
          <w:ilvl w:val="0"/>
          <w:numId w:val="11"/>
        </w:numPr>
        <w:rPr>
          <w:rFonts w:ascii="Calibri" w:cs="Calibri" w:eastAsia="Calibri" w:hAnsi="Calibri"/>
          <w:sz w:val="20"/>
          <w:szCs w:val="20"/>
          <w:color w:val="auto"/>
        </w:rPr>
      </w:pPr>
      <w:r>
        <w:rPr>
          <w:rFonts w:ascii="Arial" w:cs="Arial" w:eastAsia="Arial" w:hAnsi="Arial"/>
          <w:sz w:val="20"/>
          <w:szCs w:val="20"/>
          <w:color w:val="auto"/>
        </w:rPr>
        <w:t>Consulting and other costs are professional services and internal costs associated with corporate strategic initiatives and litigation. Consulting and other costs included $1 million of income in the year ended December 31, 2025, representing insurance reimbursement of legal costs previously paid by the Company associated with investigations and litigation matters.</w:t>
      </w:r>
    </w:p>
    <w:p>
      <w:pPr>
        <w:spacing w:after="0" w:line="132" w:lineRule="exact"/>
        <w:rPr>
          <w:rFonts w:ascii="Calibri" w:cs="Calibri" w:eastAsia="Calibri" w:hAnsi="Calibri"/>
          <w:sz w:val="20"/>
          <w:szCs w:val="20"/>
          <w:color w:val="auto"/>
        </w:rPr>
      </w:pPr>
    </w:p>
    <w:p>
      <w:pPr>
        <w:ind w:left="760" w:right="360" w:hanging="378"/>
        <w:spacing w:after="0" w:line="236" w:lineRule="auto"/>
        <w:tabs>
          <w:tab w:leader="none" w:pos="760" w:val="left"/>
        </w:tabs>
        <w:numPr>
          <w:ilvl w:val="0"/>
          <w:numId w:val="11"/>
        </w:numPr>
        <w:rPr>
          <w:rFonts w:ascii="Calibri" w:cs="Calibri" w:eastAsia="Calibri" w:hAnsi="Calibri"/>
          <w:sz w:val="20"/>
          <w:szCs w:val="20"/>
          <w:color w:val="auto"/>
        </w:rPr>
      </w:pPr>
      <w:r>
        <w:rPr>
          <w:rFonts w:ascii="Arial" w:cs="Arial" w:eastAsia="Arial" w:hAnsi="Arial"/>
          <w:sz w:val="20"/>
          <w:szCs w:val="20"/>
          <w:color w:val="auto"/>
        </w:rPr>
        <w:t>Consists of third-party costs such as security, maintenance, and utilities required to maintain land and buildings in certain locations not used in any Kodak operations and the costs, net of any rental income received, of underutilized portions of certain properties</w:t>
      </w:r>
      <w:r>
        <w:rPr>
          <w:rFonts w:ascii="Arial" w:cs="Arial" w:eastAsia="Arial" w:hAnsi="Arial"/>
          <w:sz w:val="17"/>
          <w:szCs w:val="17"/>
          <w:color w:val="auto"/>
        </w:rPr>
        <w:t>.</w:t>
      </w:r>
    </w:p>
    <w:p>
      <w:pPr>
        <w:spacing w:after="0" w:line="144" w:lineRule="exact"/>
        <w:rPr>
          <w:rFonts w:ascii="Calibri" w:cs="Calibri" w:eastAsia="Calibri" w:hAnsi="Calibri"/>
          <w:sz w:val="20"/>
          <w:szCs w:val="20"/>
          <w:color w:val="auto"/>
        </w:rPr>
      </w:pPr>
    </w:p>
    <w:p>
      <w:pPr>
        <w:ind w:left="760" w:hanging="378"/>
        <w:spacing w:after="0"/>
        <w:tabs>
          <w:tab w:leader="none" w:pos="760" w:val="left"/>
        </w:tabs>
        <w:numPr>
          <w:ilvl w:val="0"/>
          <w:numId w:val="11"/>
        </w:numPr>
        <w:rPr>
          <w:rFonts w:ascii="Calibri" w:cs="Calibri" w:eastAsia="Calibri" w:hAnsi="Calibri"/>
          <w:sz w:val="20"/>
          <w:szCs w:val="20"/>
          <w:color w:val="auto"/>
        </w:rPr>
      </w:pPr>
      <w:r>
        <w:rPr>
          <w:rFonts w:ascii="Arial" w:cs="Arial" w:eastAsia="Arial" w:hAnsi="Arial"/>
          <w:sz w:val="20"/>
          <w:szCs w:val="20"/>
          <w:color w:val="auto"/>
        </w:rPr>
        <w:t>As reported in the Consolidated Statement of Operations.</w:t>
      </w:r>
    </w:p>
    <w:p>
      <w:pPr>
        <w:spacing w:after="0" w:line="187" w:lineRule="exact"/>
        <w:rPr>
          <w:rFonts w:ascii="Calibri" w:cs="Calibri" w:eastAsia="Calibri" w:hAnsi="Calibri"/>
          <w:sz w:val="20"/>
          <w:szCs w:val="20"/>
          <w:color w:val="auto"/>
        </w:rPr>
      </w:pPr>
    </w:p>
    <w:p>
      <w:pPr>
        <w:ind w:left="760" w:hanging="378"/>
        <w:spacing w:after="0" w:line="236" w:lineRule="auto"/>
        <w:tabs>
          <w:tab w:leader="none" w:pos="760" w:val="left"/>
        </w:tabs>
        <w:numPr>
          <w:ilvl w:val="0"/>
          <w:numId w:val="11"/>
        </w:numPr>
        <w:rPr>
          <w:rFonts w:ascii="Calibri" w:cs="Calibri" w:eastAsia="Calibri" w:hAnsi="Calibri"/>
          <w:sz w:val="20"/>
          <w:szCs w:val="20"/>
          <w:color w:val="auto"/>
        </w:rPr>
      </w:pPr>
      <w:r>
        <w:rPr>
          <w:rFonts w:ascii="Arial" w:cs="Arial" w:eastAsia="Arial" w:hAnsi="Arial"/>
          <w:sz w:val="20"/>
          <w:szCs w:val="20"/>
          <w:color w:val="auto"/>
        </w:rPr>
        <w:t>The impact of foreign exchange is calculated by using average foreign exchange rates for the twelve months ended December 31, 2024, rather than the actual average exchange rates in effect for the twelve months ended December 31, 2025.</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11" w:name="page12"/>
    <w:bookmarkEnd w:id="11"/>
    <w:p>
      <w:pPr>
        <w:spacing w:after="0"/>
        <w:rPr>
          <w:sz w:val="20"/>
          <w:szCs w:val="20"/>
          <w:color w:val="auto"/>
        </w:rPr>
      </w:pPr>
      <w:r>
        <w:rPr>
          <w:rFonts w:ascii="Arial" w:cs="Arial" w:eastAsia="Arial" w:hAnsi="Arial"/>
          <w:sz w:val="20"/>
          <w:szCs w:val="20"/>
          <w:color w:val="auto"/>
        </w:rPr>
        <w:t>Kodak Reports Fourth-Quarter and Full-Year 2025 Financial Results Page 9</w:t>
      </w:r>
    </w:p>
    <w:p>
      <w:pPr>
        <w:spacing w:after="0" w:line="200" w:lineRule="exact"/>
        <w:rPr>
          <w:sz w:val="20"/>
          <w:szCs w:val="20"/>
          <w:color w:val="auto"/>
        </w:rPr>
      </w:pPr>
    </w:p>
    <w:p>
      <w:pPr>
        <w:spacing w:after="0" w:line="216" w:lineRule="exact"/>
        <w:rPr>
          <w:sz w:val="20"/>
          <w:szCs w:val="20"/>
          <w:color w:val="auto"/>
        </w:rPr>
      </w:pPr>
    </w:p>
    <w:p>
      <w:pPr>
        <w:ind w:left="760"/>
        <w:spacing w:after="0"/>
        <w:tabs>
          <w:tab w:leader="none" w:pos="1120" w:val="left"/>
        </w:tabs>
        <w:rPr>
          <w:sz w:val="20"/>
          <w:szCs w:val="20"/>
          <w:color w:val="auto"/>
        </w:rPr>
      </w:pPr>
      <w:r>
        <w:rPr>
          <w:rFonts w:ascii="Calibri" w:cs="Calibri" w:eastAsia="Calibri" w:hAnsi="Calibri"/>
          <w:sz w:val="20"/>
          <w:szCs w:val="20"/>
          <w:b w:val="1"/>
          <w:bCs w:val="1"/>
          <w:color w:val="auto"/>
        </w:rPr>
        <w:t>A.</w:t>
      </w:r>
      <w:r>
        <w:rPr>
          <w:sz w:val="20"/>
          <w:szCs w:val="20"/>
          <w:color w:val="auto"/>
        </w:rPr>
        <w:tab/>
      </w:r>
      <w:r>
        <w:rPr>
          <w:rFonts w:ascii="Arial" w:cs="Arial" w:eastAsia="Arial" w:hAnsi="Arial"/>
          <w:sz w:val="20"/>
          <w:szCs w:val="20"/>
          <w:b w:val="1"/>
          <w:bCs w:val="1"/>
          <w:color w:val="auto"/>
        </w:rPr>
        <w:t>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Eastman Kodak Company</w:t>
      </w:r>
    </w:p>
    <w:p>
      <w:pPr>
        <w:spacing w:after="0" w:line="1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Consolidated Statement of Operations (Unaudited)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00" w:type="dxa"/>
            <w:vAlign w:val="bottom"/>
          </w:tcPr>
          <w:p>
            <w:pPr>
              <w:spacing w:after="0"/>
              <w:rPr>
                <w:sz w:val="20"/>
                <w:szCs w:val="20"/>
                <w:color w:val="auto"/>
              </w:rPr>
            </w:pPr>
            <w:r>
              <w:rPr>
                <w:rFonts w:ascii="Arial" w:cs="Arial" w:eastAsia="Arial" w:hAnsi="Arial"/>
                <w:sz w:val="14"/>
                <w:szCs w:val="14"/>
                <w:color w:val="auto"/>
              </w:rPr>
              <w:t>(in millions)</w:t>
            </w: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40" w:type="dxa"/>
            <w:vAlign w:val="bottom"/>
            <w:gridSpan w:val="5"/>
          </w:tcPr>
          <w:p>
            <w:pPr>
              <w:jc w:val="right"/>
              <w:ind w:right="960"/>
              <w:spacing w:after="0"/>
              <w:rPr>
                <w:sz w:val="20"/>
                <w:szCs w:val="20"/>
                <w:color w:val="auto"/>
              </w:rPr>
            </w:pPr>
            <w:r>
              <w:rPr>
                <w:rFonts w:ascii="Arial" w:cs="Arial" w:eastAsia="Arial" w:hAnsi="Arial"/>
                <w:sz w:val="18"/>
                <w:szCs w:val="18"/>
                <w:b w:val="1"/>
                <w:bCs w:val="1"/>
                <w:color w:val="auto"/>
              </w:rPr>
              <w:t>Three Months Ended</w:t>
            </w:r>
          </w:p>
        </w:tc>
      </w:tr>
      <w:tr>
        <w:trPr>
          <w:trHeight w:val="221"/>
        </w:trPr>
        <w:tc>
          <w:tcPr>
            <w:tcW w:w="67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10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67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10"/>
              <w:spacing w:after="0" w:line="196" w:lineRule="exact"/>
              <w:rPr>
                <w:sz w:val="20"/>
                <w:szCs w:val="20"/>
                <w:color w:val="auto"/>
              </w:rPr>
            </w:pPr>
            <w:r>
              <w:rPr>
                <w:rFonts w:ascii="Arial" w:cs="Arial" w:eastAsia="Arial" w:hAnsi="Arial"/>
                <w:sz w:val="18"/>
                <w:szCs w:val="18"/>
                <w:b w:val="1"/>
                <w:bCs w:val="1"/>
                <w:color w:val="auto"/>
              </w:rPr>
              <w:t>2025</w:t>
            </w:r>
          </w:p>
        </w:tc>
        <w:tc>
          <w:tcPr>
            <w:tcW w:w="28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30"/>
              <w:spacing w:after="0" w:line="196" w:lineRule="exact"/>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7"/>
                <w:szCs w:val="17"/>
                <w:color w:val="auto"/>
              </w:rPr>
            </w:pPr>
          </w:p>
        </w:tc>
      </w:tr>
      <w:tr>
        <w:trPr>
          <w:trHeight w:val="196"/>
        </w:trPr>
        <w:tc>
          <w:tcPr>
            <w:tcW w:w="67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Revenues</w:t>
            </w:r>
          </w:p>
        </w:tc>
        <w:tc>
          <w:tcPr>
            <w:tcW w:w="9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700" w:type="dxa"/>
            <w:vAlign w:val="bottom"/>
          </w:tcPr>
          <w:p>
            <w:pPr>
              <w:ind w:left="140"/>
              <w:spacing w:after="0" w:line="202" w:lineRule="exact"/>
              <w:rPr>
                <w:sz w:val="20"/>
                <w:szCs w:val="20"/>
                <w:color w:val="auto"/>
              </w:rPr>
            </w:pPr>
            <w:r>
              <w:rPr>
                <w:rFonts w:ascii="Arial" w:cs="Arial" w:eastAsia="Arial" w:hAnsi="Arial"/>
                <w:sz w:val="18"/>
                <w:szCs w:val="18"/>
                <w:color w:val="auto"/>
              </w:rPr>
              <w:t>Sales</w:t>
            </w:r>
          </w:p>
        </w:tc>
        <w:tc>
          <w:tcPr>
            <w:tcW w:w="13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252</w:t>
            </w:r>
          </w:p>
        </w:tc>
        <w:tc>
          <w:tcPr>
            <w:tcW w:w="280" w:type="dxa"/>
            <w:vAlign w:val="bottom"/>
          </w:tcPr>
          <w:p>
            <w:pPr>
              <w:spacing w:after="0"/>
              <w:rPr>
                <w:sz w:val="17"/>
                <w:szCs w:val="17"/>
                <w:color w:val="auto"/>
              </w:rPr>
            </w:pPr>
          </w:p>
        </w:tc>
        <w:tc>
          <w:tcPr>
            <w:tcW w:w="520" w:type="dxa"/>
            <w:vAlign w:val="bottom"/>
          </w:tcPr>
          <w:p>
            <w:pPr>
              <w:jc w:val="right"/>
              <w:ind w:right="33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228</w:t>
            </w:r>
          </w:p>
        </w:tc>
        <w:tc>
          <w:tcPr>
            <w:tcW w:w="100" w:type="dxa"/>
            <w:vAlign w:val="bottom"/>
          </w:tcPr>
          <w:p>
            <w:pPr>
              <w:spacing w:after="0"/>
              <w:rPr>
                <w:sz w:val="17"/>
                <w:szCs w:val="17"/>
                <w:color w:val="auto"/>
              </w:rPr>
            </w:pPr>
          </w:p>
        </w:tc>
      </w:tr>
      <w:tr>
        <w:trPr>
          <w:trHeight w:val="203"/>
        </w:trPr>
        <w:tc>
          <w:tcPr>
            <w:tcW w:w="6700" w:type="dxa"/>
            <w:vAlign w:val="bottom"/>
            <w:tcBorders>
              <w:bottom w:val="single" w:sz="8" w:color="CFF0FC"/>
            </w:tcBorders>
            <w:shd w:val="clear" w:color="auto" w:fill="CFF0FC"/>
          </w:tcPr>
          <w:p>
            <w:pPr>
              <w:ind w:left="140"/>
              <w:spacing w:after="0" w:line="202" w:lineRule="exact"/>
              <w:rPr>
                <w:sz w:val="20"/>
                <w:szCs w:val="20"/>
                <w:color w:val="auto"/>
              </w:rPr>
            </w:pPr>
            <w:r>
              <w:rPr>
                <w:rFonts w:ascii="Arial" w:cs="Arial" w:eastAsia="Arial" w:hAnsi="Arial"/>
                <w:sz w:val="18"/>
                <w:szCs w:val="18"/>
                <w:color w:val="auto"/>
              </w:rPr>
              <w:t>Services</w:t>
            </w:r>
          </w:p>
        </w:tc>
        <w:tc>
          <w:tcPr>
            <w:tcW w:w="96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38</w:t>
            </w:r>
          </w:p>
        </w:tc>
        <w:tc>
          <w:tcPr>
            <w:tcW w:w="280" w:type="dxa"/>
            <w:vAlign w:val="bottom"/>
            <w:tcBorders>
              <w:bottom w:val="single" w:sz="8" w:color="CFF0FC"/>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38</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700" w:type="dxa"/>
            <w:vAlign w:val="bottom"/>
          </w:tcPr>
          <w:p>
            <w:pPr>
              <w:spacing w:after="0" w:line="196" w:lineRule="exact"/>
              <w:rPr>
                <w:sz w:val="20"/>
                <w:szCs w:val="20"/>
                <w:color w:val="auto"/>
              </w:rPr>
            </w:pPr>
            <w:r>
              <w:rPr>
                <w:rFonts w:ascii="Arial" w:cs="Arial" w:eastAsia="Arial" w:hAnsi="Arial"/>
                <w:sz w:val="18"/>
                <w:szCs w:val="18"/>
                <w:color w:val="auto"/>
              </w:rPr>
              <w:t>Total net revenues</w:t>
            </w:r>
          </w:p>
        </w:tc>
        <w:tc>
          <w:tcPr>
            <w:tcW w:w="9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290</w:t>
            </w:r>
          </w:p>
        </w:tc>
        <w:tc>
          <w:tcPr>
            <w:tcW w:w="28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266</w:t>
            </w:r>
          </w:p>
        </w:tc>
        <w:tc>
          <w:tcPr>
            <w:tcW w:w="100" w:type="dxa"/>
            <w:vAlign w:val="bottom"/>
          </w:tcPr>
          <w:p>
            <w:pPr>
              <w:spacing w:after="0"/>
              <w:rPr>
                <w:sz w:val="17"/>
                <w:szCs w:val="17"/>
                <w:color w:val="auto"/>
              </w:rPr>
            </w:pPr>
          </w:p>
        </w:tc>
      </w:tr>
      <w:tr>
        <w:trPr>
          <w:trHeight w:val="196"/>
        </w:trPr>
        <w:tc>
          <w:tcPr>
            <w:tcW w:w="67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Cost of revenues</w:t>
            </w:r>
          </w:p>
        </w:tc>
        <w:tc>
          <w:tcPr>
            <w:tcW w:w="9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700" w:type="dxa"/>
            <w:vAlign w:val="bottom"/>
          </w:tcPr>
          <w:p>
            <w:pPr>
              <w:ind w:left="140"/>
              <w:spacing w:after="0" w:line="202" w:lineRule="exact"/>
              <w:rPr>
                <w:sz w:val="20"/>
                <w:szCs w:val="20"/>
                <w:color w:val="auto"/>
              </w:rPr>
            </w:pPr>
            <w:r>
              <w:rPr>
                <w:rFonts w:ascii="Arial" w:cs="Arial" w:eastAsia="Arial" w:hAnsi="Arial"/>
                <w:sz w:val="18"/>
                <w:szCs w:val="18"/>
                <w:color w:val="auto"/>
              </w:rPr>
              <w:t>Sales</w:t>
            </w: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198</w:t>
            </w: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186</w:t>
            </w:r>
          </w:p>
        </w:tc>
        <w:tc>
          <w:tcPr>
            <w:tcW w:w="100" w:type="dxa"/>
            <w:vAlign w:val="bottom"/>
          </w:tcPr>
          <w:p>
            <w:pPr>
              <w:spacing w:after="0"/>
              <w:rPr>
                <w:sz w:val="17"/>
                <w:szCs w:val="17"/>
                <w:color w:val="auto"/>
              </w:rPr>
            </w:pPr>
          </w:p>
        </w:tc>
      </w:tr>
      <w:tr>
        <w:trPr>
          <w:trHeight w:val="203"/>
        </w:trPr>
        <w:tc>
          <w:tcPr>
            <w:tcW w:w="6700" w:type="dxa"/>
            <w:vAlign w:val="bottom"/>
            <w:tcBorders>
              <w:bottom w:val="single" w:sz="8" w:color="CFF0FC"/>
            </w:tcBorders>
            <w:shd w:val="clear" w:color="auto" w:fill="CFF0FC"/>
          </w:tcPr>
          <w:p>
            <w:pPr>
              <w:ind w:left="140"/>
              <w:spacing w:after="0" w:line="202" w:lineRule="exact"/>
              <w:rPr>
                <w:sz w:val="20"/>
                <w:szCs w:val="20"/>
                <w:color w:val="auto"/>
              </w:rPr>
            </w:pPr>
            <w:r>
              <w:rPr>
                <w:rFonts w:ascii="Arial" w:cs="Arial" w:eastAsia="Arial" w:hAnsi="Arial"/>
                <w:sz w:val="18"/>
                <w:szCs w:val="18"/>
                <w:color w:val="auto"/>
              </w:rPr>
              <w:t>Services</w:t>
            </w:r>
          </w:p>
        </w:tc>
        <w:tc>
          <w:tcPr>
            <w:tcW w:w="96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25</w:t>
            </w:r>
          </w:p>
        </w:tc>
        <w:tc>
          <w:tcPr>
            <w:tcW w:w="280" w:type="dxa"/>
            <w:vAlign w:val="bottom"/>
            <w:tcBorders>
              <w:bottom w:val="single" w:sz="8" w:color="CFF0FC"/>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29</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700" w:type="dxa"/>
            <w:vAlign w:val="bottom"/>
          </w:tcPr>
          <w:p>
            <w:pPr>
              <w:spacing w:after="0" w:line="196" w:lineRule="exact"/>
              <w:rPr>
                <w:sz w:val="20"/>
                <w:szCs w:val="20"/>
                <w:color w:val="auto"/>
              </w:rPr>
            </w:pPr>
            <w:r>
              <w:rPr>
                <w:rFonts w:ascii="Arial" w:cs="Arial" w:eastAsia="Arial" w:hAnsi="Arial"/>
                <w:sz w:val="18"/>
                <w:szCs w:val="18"/>
                <w:color w:val="auto"/>
              </w:rPr>
              <w:t>Total cost of revenues</w:t>
            </w:r>
          </w:p>
        </w:tc>
        <w:tc>
          <w:tcPr>
            <w:tcW w:w="9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223</w:t>
            </w:r>
          </w:p>
        </w:tc>
        <w:tc>
          <w:tcPr>
            <w:tcW w:w="28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215</w:t>
            </w:r>
          </w:p>
        </w:tc>
        <w:tc>
          <w:tcPr>
            <w:tcW w:w="100" w:type="dxa"/>
            <w:vAlign w:val="bottom"/>
          </w:tcPr>
          <w:p>
            <w:pPr>
              <w:spacing w:after="0"/>
              <w:rPr>
                <w:sz w:val="17"/>
                <w:szCs w:val="17"/>
                <w:color w:val="auto"/>
              </w:rPr>
            </w:pPr>
          </w:p>
        </w:tc>
      </w:tr>
      <w:tr>
        <w:trPr>
          <w:trHeight w:val="196"/>
        </w:trPr>
        <w:tc>
          <w:tcPr>
            <w:tcW w:w="6700" w:type="dxa"/>
            <w:vAlign w:val="bottom"/>
            <w:shd w:val="clear" w:color="auto" w:fill="CFF0FC"/>
          </w:tcPr>
          <w:p>
            <w:pPr>
              <w:ind w:left="140"/>
              <w:spacing w:after="0" w:line="196" w:lineRule="exact"/>
              <w:rPr>
                <w:sz w:val="20"/>
                <w:szCs w:val="20"/>
                <w:color w:val="auto"/>
              </w:rPr>
            </w:pPr>
            <w:r>
              <w:rPr>
                <w:rFonts w:ascii="Arial" w:cs="Arial" w:eastAsia="Arial" w:hAnsi="Arial"/>
                <w:sz w:val="18"/>
                <w:szCs w:val="18"/>
                <w:color w:val="auto"/>
              </w:rPr>
              <w:t>Gross profit</w:t>
            </w:r>
          </w:p>
        </w:tc>
        <w:tc>
          <w:tcPr>
            <w:tcW w:w="9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67</w:t>
            </w:r>
          </w:p>
        </w:tc>
        <w:tc>
          <w:tcPr>
            <w:tcW w:w="2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51</w:t>
            </w:r>
          </w:p>
        </w:tc>
        <w:tc>
          <w:tcPr>
            <w:tcW w:w="100" w:type="dxa"/>
            <w:vAlign w:val="bottom"/>
            <w:shd w:val="clear" w:color="auto" w:fill="CFF0FC"/>
          </w:tcPr>
          <w:p>
            <w:pPr>
              <w:spacing w:after="0"/>
              <w:rPr>
                <w:sz w:val="17"/>
                <w:szCs w:val="17"/>
                <w:color w:val="auto"/>
              </w:rPr>
            </w:pPr>
          </w:p>
        </w:tc>
      </w:tr>
      <w:tr>
        <w:trPr>
          <w:trHeight w:val="203"/>
        </w:trPr>
        <w:tc>
          <w:tcPr>
            <w:tcW w:w="6700" w:type="dxa"/>
            <w:vAlign w:val="bottom"/>
          </w:tcPr>
          <w:p>
            <w:pPr>
              <w:spacing w:after="0" w:line="202" w:lineRule="exact"/>
              <w:rPr>
                <w:sz w:val="20"/>
                <w:szCs w:val="20"/>
                <w:color w:val="auto"/>
              </w:rPr>
            </w:pPr>
            <w:r>
              <w:rPr>
                <w:rFonts w:ascii="Arial" w:cs="Arial" w:eastAsia="Arial" w:hAnsi="Arial"/>
                <w:sz w:val="18"/>
                <w:szCs w:val="18"/>
                <w:color w:val="auto"/>
              </w:rPr>
              <w:t>Selling, general and administrative expenses</w:t>
            </w: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47</w:t>
            </w: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43</w:t>
            </w:r>
          </w:p>
        </w:tc>
        <w:tc>
          <w:tcPr>
            <w:tcW w:w="100" w:type="dxa"/>
            <w:vAlign w:val="bottom"/>
          </w:tcPr>
          <w:p>
            <w:pPr>
              <w:spacing w:after="0"/>
              <w:rPr>
                <w:sz w:val="17"/>
                <w:szCs w:val="17"/>
                <w:color w:val="auto"/>
              </w:rPr>
            </w:pPr>
          </w:p>
        </w:tc>
      </w:tr>
      <w:tr>
        <w:trPr>
          <w:trHeight w:val="203"/>
        </w:trPr>
        <w:tc>
          <w:tcPr>
            <w:tcW w:w="67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Research and development costs</w:t>
            </w:r>
          </w:p>
        </w:tc>
        <w:tc>
          <w:tcPr>
            <w:tcW w:w="9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w:t>
            </w:r>
          </w:p>
        </w:tc>
        <w:tc>
          <w:tcPr>
            <w:tcW w:w="2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w:t>
            </w:r>
          </w:p>
        </w:tc>
        <w:tc>
          <w:tcPr>
            <w:tcW w:w="100" w:type="dxa"/>
            <w:vAlign w:val="bottom"/>
            <w:shd w:val="clear" w:color="auto" w:fill="CFF0FC"/>
          </w:tcPr>
          <w:p>
            <w:pPr>
              <w:spacing w:after="0"/>
              <w:rPr>
                <w:sz w:val="17"/>
                <w:szCs w:val="17"/>
                <w:color w:val="auto"/>
              </w:rPr>
            </w:pPr>
          </w:p>
        </w:tc>
      </w:tr>
      <w:tr>
        <w:trPr>
          <w:trHeight w:val="203"/>
        </w:trPr>
        <w:tc>
          <w:tcPr>
            <w:tcW w:w="6700" w:type="dxa"/>
            <w:vAlign w:val="bottom"/>
          </w:tcPr>
          <w:p>
            <w:pPr>
              <w:spacing w:after="0" w:line="202" w:lineRule="exact"/>
              <w:rPr>
                <w:sz w:val="20"/>
                <w:szCs w:val="20"/>
                <w:color w:val="auto"/>
              </w:rPr>
            </w:pPr>
            <w:r>
              <w:rPr>
                <w:rFonts w:ascii="Arial" w:cs="Arial" w:eastAsia="Arial" w:hAnsi="Arial"/>
                <w:sz w:val="18"/>
                <w:szCs w:val="18"/>
                <w:color w:val="auto"/>
              </w:rPr>
              <w:t>Restructuring costs and other</w:t>
            </w: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9</w:t>
            </w: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7"/>
                <w:szCs w:val="17"/>
                <w:color w:val="auto"/>
              </w:rPr>
            </w:pPr>
          </w:p>
        </w:tc>
      </w:tr>
      <w:tr>
        <w:trPr>
          <w:trHeight w:val="203"/>
        </w:trPr>
        <w:tc>
          <w:tcPr>
            <w:tcW w:w="670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Other operating expense, net</w:t>
            </w:r>
          </w:p>
        </w:tc>
        <w:tc>
          <w:tcPr>
            <w:tcW w:w="96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w:t>
            </w:r>
          </w:p>
        </w:tc>
        <w:tc>
          <w:tcPr>
            <w:tcW w:w="280" w:type="dxa"/>
            <w:vAlign w:val="bottom"/>
            <w:tcBorders>
              <w:bottom w:val="single" w:sz="8" w:color="CFF0FC"/>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77"/>
        </w:trPr>
        <w:tc>
          <w:tcPr>
            <w:tcW w:w="6700" w:type="dxa"/>
            <w:vAlign w:val="bottom"/>
          </w:tcPr>
          <w:p>
            <w:pPr>
              <w:spacing w:after="0" w:line="177" w:lineRule="exact"/>
              <w:rPr>
                <w:sz w:val="20"/>
                <w:szCs w:val="20"/>
                <w:color w:val="auto"/>
              </w:rPr>
            </w:pPr>
            <w:r>
              <w:rPr>
                <w:rFonts w:ascii="Arial" w:cs="Arial" w:eastAsia="Arial" w:hAnsi="Arial"/>
                <w:sz w:val="18"/>
                <w:szCs w:val="18"/>
                <w:color w:val="auto"/>
              </w:rPr>
              <w:t>Loss from continuing operations before interest expense,</w:t>
            </w:r>
          </w:p>
        </w:tc>
        <w:tc>
          <w:tcPr>
            <w:tcW w:w="9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6700" w:type="dxa"/>
            <w:vAlign w:val="bottom"/>
          </w:tcPr>
          <w:p>
            <w:pPr>
              <w:ind w:left="160"/>
              <w:spacing w:after="0" w:line="202" w:lineRule="exact"/>
              <w:rPr>
                <w:sz w:val="20"/>
                <w:szCs w:val="20"/>
                <w:color w:val="auto"/>
              </w:rPr>
            </w:pPr>
            <w:r>
              <w:rPr>
                <w:rFonts w:ascii="Arial" w:cs="Arial" w:eastAsia="Arial" w:hAnsi="Arial"/>
                <w:sz w:val="18"/>
                <w:szCs w:val="18"/>
                <w:color w:val="auto"/>
              </w:rPr>
              <w:t>pension income excluding service cost component, loss on early</w:t>
            </w: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1"/>
        </w:trPr>
        <w:tc>
          <w:tcPr>
            <w:tcW w:w="6700" w:type="dxa"/>
            <w:vAlign w:val="bottom"/>
          </w:tcPr>
          <w:p>
            <w:pPr>
              <w:ind w:left="160"/>
              <w:spacing w:after="0"/>
              <w:rPr>
                <w:sz w:val="20"/>
                <w:szCs w:val="20"/>
                <w:color w:val="auto"/>
              </w:rPr>
            </w:pPr>
            <w:r>
              <w:rPr>
                <w:rFonts w:ascii="Arial" w:cs="Arial" w:eastAsia="Arial" w:hAnsi="Arial"/>
                <w:sz w:val="18"/>
                <w:szCs w:val="18"/>
                <w:color w:val="auto"/>
              </w:rPr>
              <w:t>extinguishment of debt, other charges (income), net and income taxes</w:t>
            </w: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52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r>
      <w:tr>
        <w:trPr>
          <w:trHeight w:val="203"/>
        </w:trPr>
        <w:tc>
          <w:tcPr>
            <w:tcW w:w="67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Interest expense</w:t>
            </w:r>
          </w:p>
        </w:tc>
        <w:tc>
          <w:tcPr>
            <w:tcW w:w="9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w:t>
            </w:r>
          </w:p>
        </w:tc>
        <w:tc>
          <w:tcPr>
            <w:tcW w:w="2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w:t>
            </w:r>
          </w:p>
        </w:tc>
        <w:tc>
          <w:tcPr>
            <w:tcW w:w="100" w:type="dxa"/>
            <w:vAlign w:val="bottom"/>
            <w:shd w:val="clear" w:color="auto" w:fill="CFF0FC"/>
          </w:tcPr>
          <w:p>
            <w:pPr>
              <w:spacing w:after="0"/>
              <w:rPr>
                <w:sz w:val="17"/>
                <w:szCs w:val="17"/>
                <w:color w:val="auto"/>
              </w:rPr>
            </w:pPr>
          </w:p>
        </w:tc>
      </w:tr>
      <w:tr>
        <w:trPr>
          <w:trHeight w:val="203"/>
        </w:trPr>
        <w:tc>
          <w:tcPr>
            <w:tcW w:w="6700" w:type="dxa"/>
            <w:vAlign w:val="bottom"/>
          </w:tcPr>
          <w:p>
            <w:pPr>
              <w:spacing w:after="0" w:line="202" w:lineRule="exact"/>
              <w:rPr>
                <w:sz w:val="20"/>
                <w:szCs w:val="20"/>
                <w:color w:val="auto"/>
              </w:rPr>
            </w:pPr>
            <w:r>
              <w:rPr>
                <w:rFonts w:ascii="Arial" w:cs="Arial" w:eastAsia="Arial" w:hAnsi="Arial"/>
                <w:sz w:val="18"/>
                <w:szCs w:val="18"/>
                <w:color w:val="auto"/>
              </w:rPr>
              <w:t>Pension income excluding service cost component</w:t>
            </w: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(74)</w:t>
            </w:r>
          </w:p>
        </w:tc>
        <w:tc>
          <w:tcPr>
            <w:tcW w:w="520" w:type="dxa"/>
            <w:vAlign w:val="bottom"/>
          </w:tcPr>
          <w:p>
            <w:pPr>
              <w:spacing w:after="0"/>
              <w:rPr>
                <w:sz w:val="17"/>
                <w:szCs w:val="17"/>
                <w:color w:val="auto"/>
              </w:rPr>
            </w:pPr>
          </w:p>
        </w:tc>
        <w:tc>
          <w:tcPr>
            <w:tcW w:w="11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(49)</w:t>
            </w:r>
          </w:p>
        </w:tc>
      </w:tr>
      <w:tr>
        <w:trPr>
          <w:trHeight w:val="203"/>
        </w:trPr>
        <w:tc>
          <w:tcPr>
            <w:tcW w:w="67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Loss on early extinguishment of debt</w:t>
            </w:r>
          </w:p>
        </w:tc>
        <w:tc>
          <w:tcPr>
            <w:tcW w:w="9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w:t>
            </w:r>
          </w:p>
        </w:tc>
        <w:tc>
          <w:tcPr>
            <w:tcW w:w="2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6700" w:type="dxa"/>
            <w:vAlign w:val="bottom"/>
          </w:tcPr>
          <w:p>
            <w:pPr>
              <w:spacing w:after="0" w:line="202" w:lineRule="exact"/>
              <w:rPr>
                <w:sz w:val="20"/>
                <w:szCs w:val="20"/>
                <w:color w:val="auto"/>
              </w:rPr>
            </w:pPr>
            <w:r>
              <w:rPr>
                <w:rFonts w:ascii="Arial" w:cs="Arial" w:eastAsia="Arial" w:hAnsi="Arial"/>
                <w:sz w:val="18"/>
                <w:szCs w:val="18"/>
                <w:color w:val="auto"/>
              </w:rPr>
              <w:t>Other charges (income), net</w:t>
            </w: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150</w:t>
            </w: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w:t>
            </w:r>
          </w:p>
        </w:tc>
      </w:tr>
      <w:tr>
        <w:trPr>
          <w:trHeight w:val="20"/>
        </w:trPr>
        <w:tc>
          <w:tcPr>
            <w:tcW w:w="67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7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(Loss) earnings from continuing operations before income taxes</w:t>
            </w:r>
          </w:p>
        </w:tc>
        <w:tc>
          <w:tcPr>
            <w:tcW w:w="9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220"/>
              <w:spacing w:after="0" w:line="196" w:lineRule="exact"/>
              <w:rPr>
                <w:sz w:val="20"/>
                <w:szCs w:val="20"/>
                <w:color w:val="auto"/>
              </w:rPr>
            </w:pPr>
            <w:r>
              <w:rPr>
                <w:rFonts w:ascii="Arial" w:cs="Arial" w:eastAsia="Arial" w:hAnsi="Arial"/>
                <w:sz w:val="18"/>
                <w:szCs w:val="18"/>
                <w:color w:val="auto"/>
              </w:rPr>
              <w:t>(99)</w:t>
            </w:r>
          </w:p>
        </w:tc>
        <w:tc>
          <w:tcPr>
            <w:tcW w:w="5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27</w:t>
            </w:r>
          </w:p>
        </w:tc>
        <w:tc>
          <w:tcPr>
            <w:tcW w:w="100" w:type="dxa"/>
            <w:vAlign w:val="bottom"/>
            <w:shd w:val="clear" w:color="auto" w:fill="CFF0FC"/>
          </w:tcPr>
          <w:p>
            <w:pPr>
              <w:spacing w:after="0"/>
              <w:rPr>
                <w:sz w:val="17"/>
                <w:szCs w:val="17"/>
                <w:color w:val="auto"/>
              </w:rPr>
            </w:pPr>
          </w:p>
        </w:tc>
      </w:tr>
      <w:tr>
        <w:trPr>
          <w:trHeight w:val="203"/>
        </w:trPr>
        <w:tc>
          <w:tcPr>
            <w:tcW w:w="6700" w:type="dxa"/>
            <w:vAlign w:val="bottom"/>
          </w:tcPr>
          <w:p>
            <w:pPr>
              <w:spacing w:after="0" w:line="202" w:lineRule="exact"/>
              <w:rPr>
                <w:sz w:val="20"/>
                <w:szCs w:val="20"/>
                <w:color w:val="auto"/>
              </w:rPr>
            </w:pPr>
            <w:r>
              <w:rPr>
                <w:rFonts w:ascii="Arial" w:cs="Arial" w:eastAsia="Arial" w:hAnsi="Arial"/>
                <w:sz w:val="18"/>
                <w:szCs w:val="18"/>
                <w:color w:val="auto"/>
              </w:rPr>
              <w:t>Provision for income taxes</w:t>
            </w:r>
          </w:p>
        </w:tc>
        <w:tc>
          <w:tcPr>
            <w:tcW w:w="9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w:t>
            </w:r>
          </w:p>
        </w:tc>
        <w:tc>
          <w:tcPr>
            <w:tcW w:w="28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w:t>
            </w:r>
          </w:p>
        </w:tc>
        <w:tc>
          <w:tcPr>
            <w:tcW w:w="100" w:type="dxa"/>
            <w:vAlign w:val="bottom"/>
          </w:tcPr>
          <w:p>
            <w:pPr>
              <w:spacing w:after="0"/>
              <w:rPr>
                <w:sz w:val="17"/>
                <w:szCs w:val="17"/>
                <w:color w:val="auto"/>
              </w:rPr>
            </w:pPr>
          </w:p>
        </w:tc>
      </w:tr>
      <w:tr>
        <w:trPr>
          <w:trHeight w:val="236"/>
        </w:trPr>
        <w:tc>
          <w:tcPr>
            <w:tcW w:w="67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(LOSS) EARNINGS</w:t>
            </w:r>
          </w:p>
        </w:tc>
        <w:tc>
          <w:tcPr>
            <w:tcW w:w="1300" w:type="dxa"/>
            <w:vAlign w:val="bottom"/>
            <w:gridSpan w:val="2"/>
            <w:shd w:val="clear" w:color="auto" w:fill="CFF0FC"/>
          </w:tcPr>
          <w:p>
            <w:pPr>
              <w:jc w:val="right"/>
              <w:ind w:right="240"/>
              <w:spacing w:after="0" w:line="196" w:lineRule="exact"/>
              <w:rPr>
                <w:sz w:val="20"/>
                <w:szCs w:val="20"/>
                <w:color w:val="auto"/>
              </w:rPr>
            </w:pPr>
            <w:r>
              <w:rPr>
                <w:rFonts w:ascii="Arial" w:cs="Arial" w:eastAsia="Arial" w:hAnsi="Arial"/>
                <w:sz w:val="18"/>
                <w:szCs w:val="18"/>
                <w:color w:val="auto"/>
              </w:rPr>
              <w:t>$</w:t>
            </w:r>
          </w:p>
        </w:tc>
        <w:tc>
          <w:tcPr>
            <w:tcW w:w="1540" w:type="dxa"/>
            <w:vAlign w:val="bottom"/>
            <w:gridSpan w:val="2"/>
            <w:shd w:val="clear" w:color="auto" w:fill="CFF0FC"/>
          </w:tcPr>
          <w:p>
            <w:pPr>
              <w:jc w:val="right"/>
              <w:ind w:right="220"/>
              <w:spacing w:after="0" w:line="196" w:lineRule="exact"/>
              <w:rPr>
                <w:sz w:val="20"/>
                <w:szCs w:val="20"/>
                <w:color w:val="auto"/>
              </w:rPr>
            </w:pPr>
            <w:r>
              <w:rPr>
                <w:rFonts w:ascii="Arial" w:cs="Arial" w:eastAsia="Arial" w:hAnsi="Arial"/>
                <w:sz w:val="18"/>
                <w:szCs w:val="18"/>
                <w:color w:val="auto"/>
              </w:rPr>
              <w:t>(108)</w:t>
            </w:r>
          </w:p>
        </w:tc>
        <w:tc>
          <w:tcPr>
            <w:tcW w:w="520" w:type="dxa"/>
            <w:vAlign w:val="bottom"/>
            <w:shd w:val="clear" w:color="auto" w:fill="CFF0FC"/>
          </w:tcPr>
          <w:p>
            <w:pPr>
              <w:jc w:val="right"/>
              <w:ind w:right="33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26</w:t>
            </w:r>
          </w:p>
        </w:tc>
        <w:tc>
          <w:tcPr>
            <w:tcW w:w="100" w:type="dxa"/>
            <w:vAlign w:val="bottom"/>
            <w:shd w:val="clear" w:color="auto" w:fill="CFF0FC"/>
          </w:tcPr>
          <w:p>
            <w:pPr>
              <w:spacing w:after="0"/>
              <w:rPr>
                <w:sz w:val="20"/>
                <w:szCs w:val="20"/>
                <w:color w:val="auto"/>
              </w:rPr>
            </w:pPr>
          </w:p>
        </w:tc>
      </w:tr>
      <w:tr>
        <w:trPr>
          <w:trHeight w:val="652"/>
        </w:trPr>
        <w:tc>
          <w:tcPr>
            <w:tcW w:w="6700" w:type="dxa"/>
            <w:vAlign w:val="bottom"/>
            <w:tcBorders>
              <w:top w:val="single" w:sz="8" w:color="CFF0FC"/>
            </w:tcBorders>
          </w:tcPr>
          <w:p>
            <w:pPr>
              <w:ind w:left="5560"/>
              <w:spacing w:after="0"/>
              <w:rPr>
                <w:sz w:val="20"/>
                <w:szCs w:val="20"/>
                <w:color w:val="auto"/>
              </w:rPr>
            </w:pPr>
            <w:r>
              <w:rPr>
                <w:rFonts w:ascii="Arial" w:cs="Arial" w:eastAsia="Arial" w:hAnsi="Arial"/>
                <w:sz w:val="20"/>
                <w:szCs w:val="20"/>
                <w:color w:val="auto"/>
              </w:rPr>
              <w:t>9</w:t>
            </w:r>
          </w:p>
        </w:tc>
        <w:tc>
          <w:tcPr>
            <w:tcW w:w="960" w:type="dxa"/>
            <w:vAlign w:val="bottom"/>
            <w:tcBorders>
              <w:top w:val="single" w:sz="8" w:color="CFF0FC"/>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955"/>
        </w:trPr>
        <w:tc>
          <w:tcPr>
            <w:tcW w:w="67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-3702685</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-3702685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-3171190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-3171190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-2382520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-2382520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-1071245</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-1053465</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-1071245</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-1053465</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12" w:name="page13"/>
    <w:bookmarkEnd w:id="12"/>
    <w:p>
      <w:pPr>
        <w:spacing w:after="0"/>
        <w:rPr>
          <w:sz w:val="20"/>
          <w:szCs w:val="20"/>
          <w:color w:val="auto"/>
        </w:rPr>
      </w:pPr>
      <w:r>
        <w:rPr>
          <w:rFonts w:ascii="Arial" w:cs="Arial" w:eastAsia="Arial" w:hAnsi="Arial"/>
          <w:sz w:val="20"/>
          <w:szCs w:val="20"/>
          <w:color w:val="auto"/>
        </w:rPr>
        <w:t>Kodak Reports Fourth-Quarter and Full-Year 2025 Financial Results Page 10</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Eastman Kodak Company</w:t>
      </w:r>
    </w:p>
    <w:p>
      <w:pPr>
        <w:spacing w:after="0" w:line="1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Consolidated Statement of Cash Flows (Unaudited)</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94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160" w:type="dxa"/>
            <w:vAlign w:val="bottom"/>
            <w:gridSpan w:val="6"/>
          </w:tcPr>
          <w:p>
            <w:pPr>
              <w:jc w:val="right"/>
              <w:ind w:right="1000"/>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203"/>
        </w:trPr>
        <w:tc>
          <w:tcPr>
            <w:tcW w:w="684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9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6"/>
                <w:szCs w:val="16"/>
                <w:b w:val="1"/>
                <w:bCs w:val="1"/>
                <w:color w:val="auto"/>
              </w:rPr>
              <w:t>December 31,</w:t>
            </w:r>
          </w:p>
        </w:tc>
        <w:tc>
          <w:tcPr>
            <w:tcW w:w="10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6840" w:type="dxa"/>
            <w:vAlign w:val="bottom"/>
            <w:gridSpan w:val="2"/>
            <w:vMerge w:val="continue"/>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19"/>
              <w:spacing w:after="0" w:line="183" w:lineRule="exact"/>
              <w:rPr>
                <w:sz w:val="20"/>
                <w:szCs w:val="20"/>
                <w:color w:val="auto"/>
              </w:rPr>
            </w:pPr>
            <w:r>
              <w:rPr>
                <w:rFonts w:ascii="Arial" w:cs="Arial" w:eastAsia="Arial" w:hAnsi="Arial"/>
                <w:sz w:val="16"/>
                <w:szCs w:val="16"/>
                <w:b w:val="1"/>
                <w:bCs w:val="1"/>
                <w:color w:val="auto"/>
              </w:rPr>
              <w:t>2025</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39"/>
              <w:spacing w:after="0" w:line="183" w:lineRule="exact"/>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94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8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Cash flows from operating activities:</w:t>
            </w:r>
          </w:p>
        </w:tc>
        <w:tc>
          <w:tcPr>
            <w:tcW w:w="9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840" w:type="dxa"/>
            <w:vAlign w:val="bottom"/>
            <w:gridSpan w:val="2"/>
          </w:tcPr>
          <w:p>
            <w:pPr>
              <w:spacing w:after="0"/>
              <w:rPr>
                <w:sz w:val="20"/>
                <w:szCs w:val="20"/>
                <w:color w:val="auto"/>
              </w:rPr>
            </w:pPr>
            <w:r>
              <w:rPr>
                <w:rFonts w:ascii="Arial" w:cs="Arial" w:eastAsia="Arial" w:hAnsi="Arial"/>
                <w:sz w:val="16"/>
                <w:szCs w:val="16"/>
                <w:color w:val="auto"/>
              </w:rPr>
              <w:t>Net (loss) earnings</w:t>
            </w: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(108)</w:t>
            </w:r>
          </w:p>
        </w:tc>
        <w:tc>
          <w:tcPr>
            <w:tcW w:w="60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8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Adjustments to reconcile to net cash provided by operating activities:</w:t>
            </w:r>
          </w:p>
        </w:tc>
        <w:tc>
          <w:tcPr>
            <w:tcW w:w="9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840" w:type="dxa"/>
            <w:vAlign w:val="bottom"/>
            <w:gridSpan w:val="2"/>
          </w:tcPr>
          <w:p>
            <w:pPr>
              <w:ind w:left="140"/>
              <w:spacing w:after="0"/>
              <w:rPr>
                <w:sz w:val="20"/>
                <w:szCs w:val="20"/>
                <w:color w:val="auto"/>
              </w:rPr>
            </w:pPr>
            <w:r>
              <w:rPr>
                <w:rFonts w:ascii="Arial" w:cs="Arial" w:eastAsia="Arial" w:hAnsi="Arial"/>
                <w:sz w:val="16"/>
                <w:szCs w:val="16"/>
                <w:color w:val="auto"/>
              </w:rPr>
              <w:t>Depreciation and amortization</w:t>
            </w: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840" w:type="dxa"/>
            <w:vAlign w:val="bottom"/>
            <w:gridSpan w:val="2"/>
            <w:shd w:val="clear" w:color="auto" w:fill="CFF0FC"/>
          </w:tcPr>
          <w:p>
            <w:pPr>
              <w:ind w:left="140"/>
              <w:spacing w:after="0"/>
              <w:rPr>
                <w:sz w:val="20"/>
                <w:szCs w:val="20"/>
                <w:color w:val="auto"/>
              </w:rPr>
            </w:pPr>
            <w:r>
              <w:rPr>
                <w:rFonts w:ascii="Arial" w:cs="Arial" w:eastAsia="Arial" w:hAnsi="Arial"/>
                <w:sz w:val="16"/>
                <w:szCs w:val="16"/>
                <w:color w:val="auto"/>
              </w:rPr>
              <w:t>Pension and other postretirement income</w:t>
            </w:r>
          </w:p>
        </w:tc>
        <w:tc>
          <w:tcPr>
            <w:tcW w:w="9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w:t>
            </w:r>
          </w:p>
        </w:tc>
        <w:tc>
          <w:tcPr>
            <w:tcW w:w="12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189"/>
        </w:trPr>
        <w:tc>
          <w:tcPr>
            <w:tcW w:w="6840" w:type="dxa"/>
            <w:vAlign w:val="bottom"/>
            <w:gridSpan w:val="2"/>
          </w:tcPr>
          <w:p>
            <w:pPr>
              <w:ind w:left="140"/>
              <w:spacing w:after="0"/>
              <w:rPr>
                <w:sz w:val="20"/>
                <w:szCs w:val="20"/>
                <w:color w:val="auto"/>
              </w:rPr>
            </w:pPr>
            <w:r>
              <w:rPr>
                <w:rFonts w:ascii="Arial" w:cs="Arial" w:eastAsia="Arial" w:hAnsi="Arial"/>
                <w:sz w:val="16"/>
                <w:szCs w:val="16"/>
                <w:color w:val="auto"/>
              </w:rPr>
              <w:t>Gain on settlement of Kodak Retirement Income Plan</w:t>
            </w: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(66)</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6840" w:type="dxa"/>
            <w:vAlign w:val="bottom"/>
            <w:gridSpan w:val="2"/>
            <w:shd w:val="clear" w:color="auto" w:fill="CFF0FC"/>
          </w:tcPr>
          <w:p>
            <w:pPr>
              <w:ind w:left="140"/>
              <w:spacing w:after="0"/>
              <w:rPr>
                <w:sz w:val="20"/>
                <w:szCs w:val="20"/>
                <w:color w:val="auto"/>
              </w:rPr>
            </w:pPr>
            <w:r>
              <w:rPr>
                <w:rFonts w:ascii="Arial" w:cs="Arial" w:eastAsia="Arial" w:hAnsi="Arial"/>
                <w:sz w:val="16"/>
                <w:szCs w:val="16"/>
                <w:color w:val="auto"/>
              </w:rPr>
              <w:t>Asset impairments</w:t>
            </w:r>
          </w:p>
        </w:tc>
        <w:tc>
          <w:tcPr>
            <w:tcW w:w="9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840" w:type="dxa"/>
            <w:vAlign w:val="bottom"/>
            <w:gridSpan w:val="2"/>
          </w:tcPr>
          <w:p>
            <w:pPr>
              <w:ind w:left="140"/>
              <w:spacing w:after="0"/>
              <w:rPr>
                <w:sz w:val="20"/>
                <w:szCs w:val="20"/>
                <w:color w:val="auto"/>
              </w:rPr>
            </w:pPr>
            <w:r>
              <w:rPr>
                <w:rFonts w:ascii="Arial" w:cs="Arial" w:eastAsia="Arial" w:hAnsi="Arial"/>
                <w:sz w:val="16"/>
                <w:szCs w:val="16"/>
                <w:color w:val="auto"/>
              </w:rPr>
              <w:t>Paid-in-kind interest expense</w:t>
            </w: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840" w:type="dxa"/>
            <w:vAlign w:val="bottom"/>
            <w:gridSpan w:val="2"/>
            <w:shd w:val="clear" w:color="auto" w:fill="CFF0FC"/>
          </w:tcPr>
          <w:p>
            <w:pPr>
              <w:ind w:left="140"/>
              <w:spacing w:after="0"/>
              <w:rPr>
                <w:sz w:val="20"/>
                <w:szCs w:val="20"/>
                <w:color w:val="auto"/>
              </w:rPr>
            </w:pPr>
            <w:r>
              <w:rPr>
                <w:rFonts w:ascii="Arial" w:cs="Arial" w:eastAsia="Arial" w:hAnsi="Arial"/>
                <w:sz w:val="16"/>
                <w:szCs w:val="16"/>
                <w:color w:val="auto"/>
              </w:rPr>
              <w:t>Stock based compensation</w:t>
            </w:r>
          </w:p>
        </w:tc>
        <w:tc>
          <w:tcPr>
            <w:tcW w:w="9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6840" w:type="dxa"/>
            <w:vAlign w:val="bottom"/>
            <w:gridSpan w:val="2"/>
          </w:tcPr>
          <w:p>
            <w:pPr>
              <w:ind w:left="140"/>
              <w:spacing w:after="0" w:line="175" w:lineRule="exact"/>
              <w:rPr>
                <w:sz w:val="20"/>
                <w:szCs w:val="20"/>
                <w:color w:val="auto"/>
              </w:rPr>
            </w:pPr>
            <w:r>
              <w:rPr>
                <w:rFonts w:ascii="Arial" w:cs="Arial" w:eastAsia="Arial" w:hAnsi="Arial"/>
                <w:sz w:val="16"/>
                <w:szCs w:val="16"/>
                <w:color w:val="auto"/>
              </w:rPr>
              <w:t>Non-cash changes in workers' compensation and other employee benefit</w:t>
            </w: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840" w:type="dxa"/>
            <w:vAlign w:val="bottom"/>
            <w:gridSpan w:val="2"/>
          </w:tcPr>
          <w:p>
            <w:pPr>
              <w:ind w:left="280"/>
              <w:spacing w:after="0"/>
              <w:rPr>
                <w:sz w:val="20"/>
                <w:szCs w:val="20"/>
                <w:color w:val="auto"/>
              </w:rPr>
            </w:pPr>
            <w:r>
              <w:rPr>
                <w:rFonts w:ascii="Arial" w:cs="Arial" w:eastAsia="Arial" w:hAnsi="Arial"/>
                <w:sz w:val="16"/>
                <w:szCs w:val="16"/>
                <w:color w:val="auto"/>
              </w:rPr>
              <w:t>reserves</w:t>
            </w: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89"/>
        </w:trPr>
        <w:tc>
          <w:tcPr>
            <w:tcW w:w="6840" w:type="dxa"/>
            <w:vAlign w:val="bottom"/>
            <w:gridSpan w:val="2"/>
            <w:shd w:val="clear" w:color="auto" w:fill="CFF0FC"/>
          </w:tcPr>
          <w:p>
            <w:pPr>
              <w:ind w:left="140"/>
              <w:spacing w:after="0"/>
              <w:rPr>
                <w:sz w:val="20"/>
                <w:szCs w:val="20"/>
                <w:color w:val="auto"/>
              </w:rPr>
            </w:pPr>
            <w:r>
              <w:rPr>
                <w:rFonts w:ascii="Arial" w:cs="Arial" w:eastAsia="Arial" w:hAnsi="Arial"/>
                <w:sz w:val="16"/>
                <w:szCs w:val="16"/>
                <w:color w:val="auto"/>
              </w:rPr>
              <w:t>Loss on early extinguishment of debt</w:t>
            </w:r>
          </w:p>
        </w:tc>
        <w:tc>
          <w:tcPr>
            <w:tcW w:w="9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5"/>
        </w:trPr>
        <w:tc>
          <w:tcPr>
            <w:tcW w:w="6840" w:type="dxa"/>
            <w:vAlign w:val="bottom"/>
            <w:gridSpan w:val="2"/>
          </w:tcPr>
          <w:p>
            <w:pPr>
              <w:ind w:left="140"/>
              <w:spacing w:after="0" w:line="175" w:lineRule="exact"/>
              <w:rPr>
                <w:sz w:val="20"/>
                <w:szCs w:val="20"/>
                <w:color w:val="auto"/>
              </w:rPr>
            </w:pPr>
            <w:r>
              <w:rPr>
                <w:rFonts w:ascii="Arial" w:cs="Arial" w:eastAsia="Arial" w:hAnsi="Arial"/>
                <w:sz w:val="16"/>
                <w:szCs w:val="16"/>
                <w:color w:val="auto"/>
              </w:rPr>
              <w:t>Cash proceeds received from reversion of assets from Kodak Retirement Income</w:t>
            </w: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840" w:type="dxa"/>
            <w:vAlign w:val="bottom"/>
            <w:gridSpan w:val="2"/>
          </w:tcPr>
          <w:p>
            <w:pPr>
              <w:ind w:left="280"/>
              <w:spacing w:after="0"/>
              <w:rPr>
                <w:sz w:val="20"/>
                <w:szCs w:val="20"/>
                <w:color w:val="auto"/>
              </w:rPr>
            </w:pPr>
            <w:r>
              <w:rPr>
                <w:rFonts w:ascii="Arial" w:cs="Arial" w:eastAsia="Arial" w:hAnsi="Arial"/>
                <w:sz w:val="16"/>
                <w:szCs w:val="16"/>
                <w:color w:val="auto"/>
              </w:rPr>
              <w:t>Plan</w:t>
            </w: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618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6840" w:type="dxa"/>
            <w:vAlign w:val="bottom"/>
            <w:gridSpan w:val="2"/>
            <w:shd w:val="clear" w:color="auto" w:fill="CFF0FC"/>
          </w:tcPr>
          <w:p>
            <w:pPr>
              <w:ind w:left="140"/>
              <w:spacing w:after="0"/>
              <w:rPr>
                <w:sz w:val="20"/>
                <w:szCs w:val="20"/>
                <w:color w:val="auto"/>
              </w:rPr>
            </w:pPr>
            <w:r>
              <w:rPr>
                <w:rFonts w:ascii="Arial" w:cs="Arial" w:eastAsia="Arial" w:hAnsi="Arial"/>
                <w:sz w:val="16"/>
                <w:szCs w:val="16"/>
                <w:color w:val="auto"/>
              </w:rPr>
              <w:t>Provision (benefit) from deferred income taxes</w:t>
            </w:r>
          </w:p>
        </w:tc>
        <w:tc>
          <w:tcPr>
            <w:tcW w:w="9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89"/>
        </w:trPr>
        <w:tc>
          <w:tcPr>
            <w:tcW w:w="6840" w:type="dxa"/>
            <w:vAlign w:val="bottom"/>
            <w:gridSpan w:val="2"/>
          </w:tcPr>
          <w:p>
            <w:pPr>
              <w:ind w:left="140"/>
              <w:spacing w:after="0"/>
              <w:rPr>
                <w:sz w:val="20"/>
                <w:szCs w:val="20"/>
                <w:color w:val="auto"/>
              </w:rPr>
            </w:pPr>
            <w:r>
              <w:rPr>
                <w:rFonts w:ascii="Arial" w:cs="Arial" w:eastAsia="Arial" w:hAnsi="Arial"/>
                <w:sz w:val="16"/>
                <w:szCs w:val="16"/>
                <w:color w:val="auto"/>
              </w:rPr>
              <w:t>Increase in trade receivables</w:t>
            </w: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89"/>
        </w:trPr>
        <w:tc>
          <w:tcPr>
            <w:tcW w:w="6840" w:type="dxa"/>
            <w:vAlign w:val="bottom"/>
            <w:gridSpan w:val="2"/>
            <w:shd w:val="clear" w:color="auto" w:fill="CFF0FC"/>
          </w:tcPr>
          <w:p>
            <w:pPr>
              <w:ind w:left="140"/>
              <w:spacing w:after="0"/>
              <w:rPr>
                <w:sz w:val="20"/>
                <w:szCs w:val="20"/>
                <w:color w:val="auto"/>
              </w:rPr>
            </w:pPr>
            <w:r>
              <w:rPr>
                <w:rFonts w:ascii="Arial" w:cs="Arial" w:eastAsia="Arial" w:hAnsi="Arial"/>
                <w:sz w:val="16"/>
                <w:szCs w:val="16"/>
                <w:color w:val="auto"/>
              </w:rPr>
              <w:t>(Increase) decrease in miscellaneous receivables</w:t>
            </w:r>
          </w:p>
        </w:tc>
        <w:tc>
          <w:tcPr>
            <w:tcW w:w="9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w:t>
            </w:r>
          </w:p>
        </w:tc>
        <w:tc>
          <w:tcPr>
            <w:tcW w:w="12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840" w:type="dxa"/>
            <w:vAlign w:val="bottom"/>
            <w:gridSpan w:val="2"/>
          </w:tcPr>
          <w:p>
            <w:pPr>
              <w:ind w:left="140"/>
              <w:spacing w:after="0"/>
              <w:rPr>
                <w:sz w:val="20"/>
                <w:szCs w:val="20"/>
                <w:color w:val="auto"/>
              </w:rPr>
            </w:pPr>
            <w:r>
              <w:rPr>
                <w:rFonts w:ascii="Arial" w:cs="Arial" w:eastAsia="Arial" w:hAnsi="Arial"/>
                <w:sz w:val="16"/>
                <w:szCs w:val="16"/>
                <w:color w:val="auto"/>
              </w:rPr>
              <w:t>Decrease in inventories</w:t>
            </w: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18</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840" w:type="dxa"/>
            <w:vAlign w:val="bottom"/>
            <w:gridSpan w:val="2"/>
            <w:shd w:val="clear" w:color="auto" w:fill="CFF0FC"/>
          </w:tcPr>
          <w:p>
            <w:pPr>
              <w:ind w:left="140"/>
              <w:spacing w:after="0"/>
              <w:rPr>
                <w:sz w:val="20"/>
                <w:szCs w:val="20"/>
                <w:color w:val="auto"/>
              </w:rPr>
            </w:pPr>
            <w:r>
              <w:rPr>
                <w:rFonts w:ascii="Arial" w:cs="Arial" w:eastAsia="Arial" w:hAnsi="Arial"/>
                <w:sz w:val="16"/>
                <w:szCs w:val="16"/>
                <w:color w:val="auto"/>
              </w:rPr>
              <w:t>Decrease in trade accounts payable</w:t>
            </w:r>
          </w:p>
        </w:tc>
        <w:tc>
          <w:tcPr>
            <w:tcW w:w="9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w:t>
            </w:r>
          </w:p>
        </w:tc>
        <w:tc>
          <w:tcPr>
            <w:tcW w:w="12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89"/>
        </w:trPr>
        <w:tc>
          <w:tcPr>
            <w:tcW w:w="6840" w:type="dxa"/>
            <w:vAlign w:val="bottom"/>
            <w:gridSpan w:val="2"/>
          </w:tcPr>
          <w:p>
            <w:pPr>
              <w:ind w:left="140"/>
              <w:spacing w:after="0"/>
              <w:rPr>
                <w:sz w:val="20"/>
                <w:szCs w:val="20"/>
                <w:color w:val="auto"/>
              </w:rPr>
            </w:pPr>
            <w:r>
              <w:rPr>
                <w:rFonts w:ascii="Arial" w:cs="Arial" w:eastAsia="Arial" w:hAnsi="Arial"/>
                <w:sz w:val="16"/>
                <w:szCs w:val="16"/>
                <w:color w:val="auto"/>
              </w:rPr>
              <w:t>Increase (decrease) in liabilities excluding borrowings and trade payables</w:t>
            </w: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189"/>
        </w:trPr>
        <w:tc>
          <w:tcPr>
            <w:tcW w:w="6840" w:type="dxa"/>
            <w:vAlign w:val="bottom"/>
            <w:gridSpan w:val="2"/>
            <w:shd w:val="clear" w:color="auto" w:fill="CFF0FC"/>
          </w:tcPr>
          <w:p>
            <w:pPr>
              <w:ind w:left="140"/>
              <w:spacing w:after="0"/>
              <w:rPr>
                <w:sz w:val="20"/>
                <w:szCs w:val="20"/>
                <w:color w:val="auto"/>
              </w:rPr>
            </w:pPr>
            <w:r>
              <w:rPr>
                <w:rFonts w:ascii="Arial" w:cs="Arial" w:eastAsia="Arial" w:hAnsi="Arial"/>
                <w:sz w:val="16"/>
                <w:szCs w:val="16"/>
                <w:color w:val="auto"/>
              </w:rPr>
              <w:t>Other items, net</w:t>
            </w:r>
          </w:p>
        </w:tc>
        <w:tc>
          <w:tcPr>
            <w:tcW w:w="9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w:t>
            </w:r>
          </w:p>
        </w:tc>
        <w:tc>
          <w:tcPr>
            <w:tcW w:w="12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0"/>
        </w:trPr>
        <w:tc>
          <w:tcPr>
            <w:tcW w:w="1940" w:type="dxa"/>
            <w:vAlign w:val="bottom"/>
            <w:shd w:val="clear" w:color="auto" w:fill="CFF0FC"/>
          </w:tcPr>
          <w:p>
            <w:pPr>
              <w:spacing w:after="0" w:line="20" w:lineRule="exact"/>
              <w:rPr>
                <w:sz w:val="1"/>
                <w:szCs w:val="1"/>
                <w:color w:val="auto"/>
              </w:rPr>
            </w:pPr>
          </w:p>
        </w:tc>
        <w:tc>
          <w:tcPr>
            <w:tcW w:w="490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840" w:type="dxa"/>
            <w:vAlign w:val="bottom"/>
            <w:gridSpan w:val="2"/>
          </w:tcPr>
          <w:p>
            <w:pPr>
              <w:ind w:left="220"/>
              <w:spacing w:after="0" w:line="183" w:lineRule="exact"/>
              <w:rPr>
                <w:sz w:val="20"/>
                <w:szCs w:val="20"/>
                <w:color w:val="auto"/>
              </w:rPr>
            </w:pPr>
            <w:r>
              <w:rPr>
                <w:rFonts w:ascii="Arial" w:cs="Arial" w:eastAsia="Arial" w:hAnsi="Arial"/>
                <w:sz w:val="16"/>
                <w:szCs w:val="16"/>
                <w:color w:val="auto"/>
              </w:rPr>
              <w:t>Total adjustments</w:t>
            </w: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jc w:val="right"/>
              <w:spacing w:after="0" w:line="183" w:lineRule="exact"/>
              <w:rPr>
                <w:sz w:val="20"/>
                <w:szCs w:val="20"/>
                <w:color w:val="auto"/>
              </w:rPr>
            </w:pPr>
            <w:r>
              <w:rPr>
                <w:rFonts w:ascii="Arial" w:cs="Arial" w:eastAsia="Arial" w:hAnsi="Arial"/>
                <w:sz w:val="16"/>
                <w:szCs w:val="16"/>
                <w:color w:val="auto"/>
              </w:rPr>
              <w:t>597</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80" w:type="dxa"/>
            <w:vAlign w:val="bottom"/>
            <w:gridSpan w:val="2"/>
          </w:tcPr>
          <w:p>
            <w:pPr>
              <w:jc w:val="right"/>
              <w:ind w:right="60"/>
              <w:spacing w:after="0" w:line="183" w:lineRule="exact"/>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183"/>
        </w:trPr>
        <w:tc>
          <w:tcPr>
            <w:tcW w:w="6840" w:type="dxa"/>
            <w:vAlign w:val="bottom"/>
            <w:tcBorders>
              <w:bottom w:val="single" w:sz="8" w:color="CFF0FC"/>
            </w:tcBorders>
            <w:gridSpan w:val="2"/>
            <w:shd w:val="clear" w:color="auto" w:fill="CFF0FC"/>
          </w:tcPr>
          <w:p>
            <w:pPr>
              <w:ind w:left="280"/>
              <w:spacing w:after="0" w:line="183" w:lineRule="exact"/>
              <w:rPr>
                <w:sz w:val="20"/>
                <w:szCs w:val="20"/>
                <w:color w:val="auto"/>
              </w:rPr>
            </w:pPr>
            <w:r>
              <w:rPr>
                <w:rFonts w:ascii="Arial" w:cs="Arial" w:eastAsia="Arial" w:hAnsi="Arial"/>
                <w:sz w:val="16"/>
                <w:szCs w:val="16"/>
                <w:color w:val="auto"/>
              </w:rPr>
              <w:t>Net cash provided by operating activities</w:t>
            </w:r>
          </w:p>
        </w:tc>
        <w:tc>
          <w:tcPr>
            <w:tcW w:w="900" w:type="dxa"/>
            <w:vAlign w:val="bottom"/>
            <w:tcBorders>
              <w:bottom w:val="single" w:sz="8" w:color="CFF0FC"/>
            </w:tcBorders>
            <w:shd w:val="clear" w:color="auto" w:fill="CFF0FC"/>
          </w:tcPr>
          <w:p>
            <w:pPr>
              <w:spacing w:after="0"/>
              <w:rPr>
                <w:sz w:val="15"/>
                <w:szCs w:val="15"/>
                <w:color w:val="auto"/>
              </w:rPr>
            </w:pPr>
          </w:p>
        </w:tc>
        <w:tc>
          <w:tcPr>
            <w:tcW w:w="340" w:type="dxa"/>
            <w:vAlign w:val="bottom"/>
            <w:tcBorders>
              <w:top w:val="single" w:sz="8" w:color="auto"/>
              <w:bottom w:val="single" w:sz="8" w:color="auto"/>
            </w:tcBorders>
            <w:shd w:val="clear" w:color="auto" w:fill="CFF0FC"/>
          </w:tcPr>
          <w:p>
            <w:pPr>
              <w:spacing w:after="0"/>
              <w:rPr>
                <w:sz w:val="15"/>
                <w:szCs w:val="15"/>
                <w:color w:val="auto"/>
              </w:rPr>
            </w:pPr>
          </w:p>
        </w:tc>
        <w:tc>
          <w:tcPr>
            <w:tcW w:w="122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489</w:t>
            </w:r>
          </w:p>
        </w:tc>
        <w:tc>
          <w:tcPr>
            <w:tcW w:w="16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480" w:type="dxa"/>
            <w:vAlign w:val="bottom"/>
            <w:tcBorders>
              <w:top w:val="single" w:sz="8" w:color="auto"/>
              <w:bottom w:val="single" w:sz="8" w:color="auto"/>
            </w:tcBorders>
            <w:shd w:val="clear" w:color="auto" w:fill="CFF0FC"/>
          </w:tcPr>
          <w:p>
            <w:pPr>
              <w:spacing w:after="0"/>
              <w:rPr>
                <w:sz w:val="15"/>
                <w:szCs w:val="15"/>
                <w:color w:val="auto"/>
              </w:rPr>
            </w:pPr>
          </w:p>
        </w:tc>
        <w:tc>
          <w:tcPr>
            <w:tcW w:w="108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4</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6840" w:type="dxa"/>
            <w:vAlign w:val="bottom"/>
            <w:gridSpan w:val="2"/>
          </w:tcPr>
          <w:p>
            <w:pPr>
              <w:spacing w:after="0"/>
              <w:rPr>
                <w:sz w:val="20"/>
                <w:szCs w:val="20"/>
                <w:color w:val="auto"/>
              </w:rPr>
            </w:pPr>
            <w:r>
              <w:rPr>
                <w:rFonts w:ascii="Arial" w:cs="Arial" w:eastAsia="Arial" w:hAnsi="Arial"/>
                <w:sz w:val="16"/>
                <w:szCs w:val="16"/>
                <w:color w:val="auto"/>
              </w:rPr>
              <w:t>Cash flows from investing activities:</w:t>
            </w: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6840" w:type="dxa"/>
            <w:vAlign w:val="bottom"/>
            <w:gridSpan w:val="2"/>
            <w:shd w:val="clear" w:color="auto" w:fill="CFF0FC"/>
          </w:tcPr>
          <w:p>
            <w:pPr>
              <w:ind w:left="140"/>
              <w:spacing w:after="0"/>
              <w:rPr>
                <w:sz w:val="20"/>
                <w:szCs w:val="20"/>
                <w:color w:val="auto"/>
              </w:rPr>
            </w:pPr>
            <w:r>
              <w:rPr>
                <w:rFonts w:ascii="Arial" w:cs="Arial" w:eastAsia="Arial" w:hAnsi="Arial"/>
                <w:sz w:val="16"/>
                <w:szCs w:val="16"/>
                <w:color w:val="auto"/>
              </w:rPr>
              <w:t>Additions to properties</w:t>
            </w:r>
          </w:p>
        </w:tc>
        <w:tc>
          <w:tcPr>
            <w:tcW w:w="9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(6)</w:t>
            </w:r>
          </w:p>
        </w:tc>
        <w:tc>
          <w:tcPr>
            <w:tcW w:w="12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0"/>
        </w:trPr>
        <w:tc>
          <w:tcPr>
            <w:tcW w:w="1940" w:type="dxa"/>
            <w:vAlign w:val="bottom"/>
            <w:shd w:val="clear" w:color="auto" w:fill="CFF0FC"/>
          </w:tcPr>
          <w:p>
            <w:pPr>
              <w:spacing w:after="0" w:line="20" w:lineRule="exact"/>
              <w:rPr>
                <w:sz w:val="1"/>
                <w:szCs w:val="1"/>
                <w:color w:val="auto"/>
              </w:rPr>
            </w:pPr>
          </w:p>
        </w:tc>
        <w:tc>
          <w:tcPr>
            <w:tcW w:w="490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840" w:type="dxa"/>
            <w:vAlign w:val="bottom"/>
            <w:gridSpan w:val="2"/>
          </w:tcPr>
          <w:p>
            <w:pPr>
              <w:ind w:left="280"/>
              <w:spacing w:after="0" w:line="183" w:lineRule="exact"/>
              <w:rPr>
                <w:sz w:val="20"/>
                <w:szCs w:val="20"/>
                <w:color w:val="auto"/>
              </w:rPr>
            </w:pPr>
            <w:r>
              <w:rPr>
                <w:rFonts w:ascii="Arial" w:cs="Arial" w:eastAsia="Arial" w:hAnsi="Arial"/>
                <w:sz w:val="16"/>
                <w:szCs w:val="16"/>
                <w:color w:val="auto"/>
              </w:rPr>
              <w:t>Net cash used in investing activities</w:t>
            </w: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80" w:type="dxa"/>
            <w:vAlign w:val="bottom"/>
            <w:gridSpan w:val="2"/>
          </w:tcPr>
          <w:p>
            <w:pPr>
              <w:jc w:val="right"/>
              <w:ind w:right="100"/>
              <w:spacing w:after="0" w:line="183" w:lineRule="exact"/>
              <w:rPr>
                <w:sz w:val="20"/>
                <w:szCs w:val="20"/>
                <w:color w:val="auto"/>
              </w:rPr>
            </w:pPr>
            <w:r>
              <w:rPr>
                <w:rFonts w:ascii="Arial" w:cs="Arial" w:eastAsia="Arial" w:hAnsi="Arial"/>
                <w:sz w:val="16"/>
                <w:szCs w:val="16"/>
                <w:color w:val="auto"/>
              </w:rPr>
              <w:t>(6)</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80" w:type="dxa"/>
            <w:vAlign w:val="bottom"/>
            <w:gridSpan w:val="2"/>
          </w:tcPr>
          <w:p>
            <w:pPr>
              <w:jc w:val="right"/>
              <w:ind w:right="60"/>
              <w:spacing w:after="0" w:line="183" w:lineRule="exact"/>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183"/>
        </w:trPr>
        <w:tc>
          <w:tcPr>
            <w:tcW w:w="194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8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Cash flows from financing activities:</w:t>
            </w:r>
          </w:p>
        </w:tc>
        <w:tc>
          <w:tcPr>
            <w:tcW w:w="9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840" w:type="dxa"/>
            <w:vAlign w:val="bottom"/>
            <w:gridSpan w:val="2"/>
          </w:tcPr>
          <w:p>
            <w:pPr>
              <w:ind w:left="140"/>
              <w:spacing w:after="0"/>
              <w:rPr>
                <w:sz w:val="20"/>
                <w:szCs w:val="20"/>
                <w:color w:val="auto"/>
              </w:rPr>
            </w:pPr>
            <w:r>
              <w:rPr>
                <w:rFonts w:ascii="Arial" w:cs="Arial" w:eastAsia="Arial" w:hAnsi="Arial"/>
                <w:sz w:val="16"/>
                <w:szCs w:val="16"/>
                <w:color w:val="auto"/>
              </w:rPr>
              <w:t>Repayment of Amended and Restated Term Loan Agreement</w:t>
            </w: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(306)</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6840" w:type="dxa"/>
            <w:vAlign w:val="bottom"/>
            <w:gridSpan w:val="2"/>
            <w:shd w:val="clear" w:color="auto" w:fill="CFF0FC"/>
          </w:tcPr>
          <w:p>
            <w:pPr>
              <w:ind w:left="140"/>
              <w:spacing w:after="0"/>
              <w:rPr>
                <w:sz w:val="20"/>
                <w:szCs w:val="20"/>
                <w:color w:val="auto"/>
              </w:rPr>
            </w:pPr>
            <w:r>
              <w:rPr>
                <w:rFonts w:ascii="Arial" w:cs="Arial" w:eastAsia="Arial" w:hAnsi="Arial"/>
                <w:sz w:val="16"/>
                <w:szCs w:val="16"/>
                <w:color w:val="auto"/>
              </w:rPr>
              <w:t>Preferred stock cash dividend payments</w:t>
            </w:r>
          </w:p>
        </w:tc>
        <w:tc>
          <w:tcPr>
            <w:tcW w:w="9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89"/>
        </w:trPr>
        <w:tc>
          <w:tcPr>
            <w:tcW w:w="6840" w:type="dxa"/>
            <w:vAlign w:val="bottom"/>
            <w:gridSpan w:val="2"/>
          </w:tcPr>
          <w:p>
            <w:pPr>
              <w:ind w:left="140"/>
              <w:spacing w:after="0"/>
              <w:rPr>
                <w:sz w:val="20"/>
                <w:szCs w:val="20"/>
                <w:color w:val="auto"/>
              </w:rPr>
            </w:pPr>
            <w:r>
              <w:rPr>
                <w:rFonts w:ascii="Arial" w:cs="Arial" w:eastAsia="Arial" w:hAnsi="Arial"/>
                <w:sz w:val="16"/>
                <w:szCs w:val="16"/>
                <w:color w:val="auto"/>
              </w:rPr>
              <w:t>Treasury stock purchases</w:t>
            </w: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6840" w:type="dxa"/>
            <w:vAlign w:val="bottom"/>
            <w:gridSpan w:val="2"/>
            <w:shd w:val="clear" w:color="auto" w:fill="CFF0FC"/>
          </w:tcPr>
          <w:p>
            <w:pPr>
              <w:ind w:left="140"/>
              <w:spacing w:after="0"/>
              <w:rPr>
                <w:sz w:val="20"/>
                <w:szCs w:val="20"/>
                <w:color w:val="auto"/>
              </w:rPr>
            </w:pPr>
            <w:r>
              <w:rPr>
                <w:rFonts w:ascii="Arial" w:cs="Arial" w:eastAsia="Arial" w:hAnsi="Arial"/>
                <w:sz w:val="16"/>
                <w:szCs w:val="16"/>
                <w:color w:val="auto"/>
              </w:rPr>
              <w:t>Finance lease payments</w:t>
            </w:r>
          </w:p>
        </w:tc>
        <w:tc>
          <w:tcPr>
            <w:tcW w:w="9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
        </w:trPr>
        <w:tc>
          <w:tcPr>
            <w:tcW w:w="1940" w:type="dxa"/>
            <w:vAlign w:val="bottom"/>
            <w:shd w:val="clear" w:color="auto" w:fill="CFF0FC"/>
          </w:tcPr>
          <w:p>
            <w:pPr>
              <w:spacing w:after="0" w:line="20" w:lineRule="exact"/>
              <w:rPr>
                <w:sz w:val="1"/>
                <w:szCs w:val="1"/>
                <w:color w:val="auto"/>
              </w:rPr>
            </w:pPr>
          </w:p>
        </w:tc>
        <w:tc>
          <w:tcPr>
            <w:tcW w:w="490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840" w:type="dxa"/>
            <w:vAlign w:val="bottom"/>
            <w:gridSpan w:val="2"/>
          </w:tcPr>
          <w:p>
            <w:pPr>
              <w:ind w:left="280"/>
              <w:spacing w:after="0" w:line="183" w:lineRule="exact"/>
              <w:rPr>
                <w:sz w:val="20"/>
                <w:szCs w:val="20"/>
                <w:color w:val="auto"/>
              </w:rPr>
            </w:pPr>
            <w:r>
              <w:rPr>
                <w:rFonts w:ascii="Arial" w:cs="Arial" w:eastAsia="Arial" w:hAnsi="Arial"/>
                <w:sz w:val="16"/>
                <w:szCs w:val="16"/>
                <w:color w:val="auto"/>
              </w:rPr>
              <w:t>Net cash used in financing activities</w:t>
            </w: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80" w:type="dxa"/>
            <w:vAlign w:val="bottom"/>
            <w:gridSpan w:val="2"/>
          </w:tcPr>
          <w:p>
            <w:pPr>
              <w:jc w:val="right"/>
              <w:ind w:right="100"/>
              <w:spacing w:after="0" w:line="183" w:lineRule="exact"/>
              <w:rPr>
                <w:sz w:val="20"/>
                <w:szCs w:val="20"/>
                <w:color w:val="auto"/>
              </w:rPr>
            </w:pPr>
            <w:r>
              <w:rPr>
                <w:rFonts w:ascii="Arial" w:cs="Arial" w:eastAsia="Arial" w:hAnsi="Arial"/>
                <w:sz w:val="16"/>
                <w:szCs w:val="16"/>
                <w:color w:val="auto"/>
              </w:rPr>
              <w:t>(311)</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80" w:type="dxa"/>
            <w:vAlign w:val="bottom"/>
            <w:gridSpan w:val="2"/>
          </w:tcPr>
          <w:p>
            <w:pPr>
              <w:jc w:val="right"/>
              <w:ind w:right="60"/>
              <w:spacing w:after="0" w:line="183" w:lineRule="exact"/>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840" w:type="dxa"/>
            <w:vAlign w:val="bottom"/>
            <w:gridSpan w:val="2"/>
            <w:shd w:val="clear" w:color="auto" w:fill="CFF0FC"/>
          </w:tcPr>
          <w:p>
            <w:pPr>
              <w:spacing w:after="0" w:line="183" w:lineRule="exact"/>
              <w:rPr>
                <w:sz w:val="20"/>
                <w:szCs w:val="20"/>
                <w:color w:val="auto"/>
              </w:rPr>
            </w:pPr>
            <w:r>
              <w:rPr>
                <w:rFonts w:ascii="Arial" w:cs="Arial" w:eastAsia="Arial" w:hAnsi="Arial"/>
                <w:sz w:val="16"/>
                <w:szCs w:val="16"/>
                <w:color w:val="auto"/>
              </w:rPr>
              <w:t>Effect of exchange rate changes on cash, cash equivalents and restricted cash</w:t>
            </w:r>
          </w:p>
        </w:tc>
        <w:tc>
          <w:tcPr>
            <w:tcW w:w="9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380" w:type="dxa"/>
            <w:vAlign w:val="bottom"/>
            <w:gridSpan w:val="2"/>
            <w:shd w:val="clear" w:color="auto" w:fill="CFF0FC"/>
          </w:tcPr>
          <w:p>
            <w:pPr>
              <w:jc w:val="right"/>
              <w:ind w:right="100"/>
              <w:spacing w:after="0" w:line="183" w:lineRule="exact"/>
              <w:rPr>
                <w:sz w:val="20"/>
                <w:szCs w:val="20"/>
                <w:color w:val="auto"/>
              </w:rPr>
            </w:pPr>
            <w:r>
              <w:rPr>
                <w:rFonts w:ascii="Arial" w:cs="Arial" w:eastAsia="Arial" w:hAnsi="Arial"/>
                <w:sz w:val="16"/>
                <w:szCs w:val="16"/>
                <w:color w:val="auto"/>
              </w:rPr>
              <w:t>(1)</w:t>
            </w:r>
          </w:p>
        </w:tc>
        <w:tc>
          <w:tcPr>
            <w:tcW w:w="12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0"/>
        </w:trPr>
        <w:tc>
          <w:tcPr>
            <w:tcW w:w="1940" w:type="dxa"/>
            <w:vAlign w:val="bottom"/>
            <w:shd w:val="clear" w:color="auto" w:fill="CFF0FC"/>
          </w:tcPr>
          <w:p>
            <w:pPr>
              <w:spacing w:after="0" w:line="20" w:lineRule="exact"/>
              <w:rPr>
                <w:sz w:val="1"/>
                <w:szCs w:val="1"/>
                <w:color w:val="auto"/>
              </w:rPr>
            </w:pPr>
          </w:p>
        </w:tc>
        <w:tc>
          <w:tcPr>
            <w:tcW w:w="490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840" w:type="dxa"/>
            <w:vAlign w:val="bottom"/>
            <w:gridSpan w:val="2"/>
          </w:tcPr>
          <w:p>
            <w:pPr>
              <w:spacing w:after="0" w:line="183" w:lineRule="exact"/>
              <w:rPr>
                <w:sz w:val="20"/>
                <w:szCs w:val="20"/>
                <w:color w:val="auto"/>
              </w:rPr>
            </w:pPr>
            <w:r>
              <w:rPr>
                <w:rFonts w:ascii="Arial" w:cs="Arial" w:eastAsia="Arial" w:hAnsi="Arial"/>
                <w:sz w:val="16"/>
                <w:szCs w:val="16"/>
                <w:color w:val="auto"/>
              </w:rPr>
              <w:t>Net increase (decrease) in cash, cash equivalents and restricted cash</w:t>
            </w: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jc w:val="right"/>
              <w:spacing w:after="0" w:line="183" w:lineRule="exact"/>
              <w:rPr>
                <w:sz w:val="20"/>
                <w:szCs w:val="20"/>
                <w:color w:val="auto"/>
              </w:rPr>
            </w:pPr>
            <w:r>
              <w:rPr>
                <w:rFonts w:ascii="Arial" w:cs="Arial" w:eastAsia="Arial" w:hAnsi="Arial"/>
                <w:sz w:val="16"/>
                <w:szCs w:val="16"/>
                <w:color w:val="auto"/>
              </w:rPr>
              <w:t>171</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80" w:type="dxa"/>
            <w:vAlign w:val="bottom"/>
            <w:gridSpan w:val="2"/>
          </w:tcPr>
          <w:p>
            <w:pPr>
              <w:jc w:val="right"/>
              <w:ind w:right="60"/>
              <w:spacing w:after="0" w:line="183" w:lineRule="exact"/>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189"/>
        </w:trPr>
        <w:tc>
          <w:tcPr>
            <w:tcW w:w="68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Cash, cash equivalents and restricted cash, beginning of period</w:t>
            </w:r>
          </w:p>
        </w:tc>
        <w:tc>
          <w:tcPr>
            <w:tcW w:w="900" w:type="dxa"/>
            <w:vAlign w:val="bottom"/>
            <w:tcBorders>
              <w:bottom w:val="single" w:sz="8" w:color="CFF0FC"/>
            </w:tcBorders>
            <w:shd w:val="clear" w:color="auto" w:fill="CFF0FC"/>
          </w:tcPr>
          <w:p>
            <w:pPr>
              <w:spacing w:after="0"/>
              <w:rPr>
                <w:sz w:val="16"/>
                <w:szCs w:val="16"/>
                <w:color w:val="auto"/>
              </w:rPr>
            </w:pPr>
          </w:p>
        </w:tc>
        <w:tc>
          <w:tcPr>
            <w:tcW w:w="340" w:type="dxa"/>
            <w:vAlign w:val="bottom"/>
            <w:tcBorders>
              <w:bottom w:val="single" w:sz="8" w:color="auto"/>
            </w:tcBorders>
            <w:shd w:val="clear" w:color="auto" w:fill="CFF0FC"/>
          </w:tcPr>
          <w:p>
            <w:pPr>
              <w:spacing w:after="0"/>
              <w:rPr>
                <w:sz w:val="16"/>
                <w:szCs w:val="16"/>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271</w:t>
            </w:r>
          </w:p>
        </w:tc>
        <w:tc>
          <w:tcPr>
            <w:tcW w:w="16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480" w:type="dxa"/>
            <w:vAlign w:val="bottom"/>
            <w:tcBorders>
              <w:bottom w:val="single" w:sz="8" w:color="auto"/>
            </w:tcBorders>
            <w:shd w:val="clear" w:color="auto" w:fill="CFF0FC"/>
          </w:tcPr>
          <w:p>
            <w:pPr>
              <w:spacing w:after="0"/>
              <w:rPr>
                <w:sz w:val="16"/>
                <w:szCs w:val="16"/>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322</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840" w:type="dxa"/>
            <w:vAlign w:val="bottom"/>
            <w:gridSpan w:val="2"/>
          </w:tcPr>
          <w:p>
            <w:pPr>
              <w:spacing w:after="0" w:line="183" w:lineRule="exact"/>
              <w:rPr>
                <w:sz w:val="20"/>
                <w:szCs w:val="20"/>
                <w:color w:val="auto"/>
              </w:rPr>
            </w:pPr>
            <w:r>
              <w:rPr>
                <w:rFonts w:ascii="Arial" w:cs="Arial" w:eastAsia="Arial" w:hAnsi="Arial"/>
                <w:sz w:val="16"/>
                <w:szCs w:val="16"/>
                <w:color w:val="auto"/>
              </w:rPr>
              <w:t>Cash, cash equivalents and restricted cash, end of period</w:t>
            </w:r>
          </w:p>
        </w:tc>
        <w:tc>
          <w:tcPr>
            <w:tcW w:w="1240" w:type="dxa"/>
            <w:vAlign w:val="bottom"/>
            <w:gridSpan w:val="2"/>
          </w:tcPr>
          <w:p>
            <w:pPr>
              <w:jc w:val="right"/>
              <w:ind w:right="240"/>
              <w:spacing w:after="0" w:line="183" w:lineRule="exact"/>
              <w:rPr>
                <w:sz w:val="20"/>
                <w:szCs w:val="20"/>
                <w:color w:val="auto"/>
              </w:rPr>
            </w:pPr>
            <w:r>
              <w:rPr>
                <w:rFonts w:ascii="Arial" w:cs="Arial" w:eastAsia="Arial" w:hAnsi="Arial"/>
                <w:sz w:val="16"/>
                <w:szCs w:val="16"/>
                <w:color w:val="auto"/>
              </w:rPr>
              <w:t>$</w:t>
            </w:r>
          </w:p>
        </w:tc>
        <w:tc>
          <w:tcPr>
            <w:tcW w:w="1220" w:type="dxa"/>
            <w:vAlign w:val="bottom"/>
          </w:tcPr>
          <w:p>
            <w:pPr>
              <w:jc w:val="right"/>
              <w:spacing w:after="0" w:line="183" w:lineRule="exact"/>
              <w:rPr>
                <w:sz w:val="20"/>
                <w:szCs w:val="20"/>
                <w:color w:val="auto"/>
              </w:rPr>
            </w:pPr>
            <w:r>
              <w:rPr>
                <w:rFonts w:ascii="Arial" w:cs="Arial" w:eastAsia="Arial" w:hAnsi="Arial"/>
                <w:sz w:val="16"/>
                <w:szCs w:val="16"/>
                <w:color w:val="auto"/>
              </w:rPr>
              <w:t>442</w:t>
            </w:r>
          </w:p>
        </w:tc>
        <w:tc>
          <w:tcPr>
            <w:tcW w:w="160" w:type="dxa"/>
            <w:vAlign w:val="bottom"/>
          </w:tcPr>
          <w:p>
            <w:pPr>
              <w:spacing w:after="0"/>
              <w:rPr>
                <w:sz w:val="15"/>
                <w:szCs w:val="15"/>
                <w:color w:val="auto"/>
              </w:rPr>
            </w:pPr>
          </w:p>
        </w:tc>
        <w:tc>
          <w:tcPr>
            <w:tcW w:w="600" w:type="dxa"/>
            <w:vAlign w:val="bottom"/>
            <w:gridSpan w:val="2"/>
          </w:tcPr>
          <w:p>
            <w:pPr>
              <w:jc w:val="right"/>
              <w:ind w:right="400"/>
              <w:spacing w:after="0" w:line="183" w:lineRule="exact"/>
              <w:rPr>
                <w:sz w:val="20"/>
                <w:szCs w:val="20"/>
                <w:color w:val="auto"/>
              </w:rPr>
            </w:pPr>
            <w:r>
              <w:rPr>
                <w:rFonts w:ascii="Arial" w:cs="Arial" w:eastAsia="Arial" w:hAnsi="Arial"/>
                <w:sz w:val="16"/>
                <w:szCs w:val="16"/>
                <w:color w:val="auto"/>
              </w:rPr>
              <w:t>$</w:t>
            </w:r>
          </w:p>
        </w:tc>
        <w:tc>
          <w:tcPr>
            <w:tcW w:w="1080" w:type="dxa"/>
            <w:vAlign w:val="bottom"/>
          </w:tcPr>
          <w:p>
            <w:pPr>
              <w:jc w:val="right"/>
              <w:spacing w:after="0" w:line="183" w:lineRule="exact"/>
              <w:rPr>
                <w:sz w:val="20"/>
                <w:szCs w:val="20"/>
                <w:color w:val="auto"/>
              </w:rPr>
            </w:pPr>
            <w:r>
              <w:rPr>
                <w:rFonts w:ascii="Arial" w:cs="Arial" w:eastAsia="Arial" w:hAnsi="Arial"/>
                <w:sz w:val="16"/>
                <w:szCs w:val="16"/>
                <w:color w:val="auto"/>
              </w:rPr>
              <w:t>301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94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940" w:type="dxa"/>
            <w:vAlign w:val="bottom"/>
            <w:tcBorders>
              <w:bottom w:val="single" w:sz="8" w:color="auto"/>
            </w:tcBorders>
            <w:shd w:val="clear" w:color="auto" w:fill="CFF0FC"/>
          </w:tcPr>
          <w:p>
            <w:pPr>
              <w:spacing w:after="0" w:line="162" w:lineRule="exact"/>
              <w:rPr>
                <w:sz w:val="20"/>
                <w:szCs w:val="20"/>
                <w:color w:val="auto"/>
              </w:rPr>
            </w:pPr>
            <w:r>
              <w:rPr>
                <w:rFonts w:ascii="Arial" w:cs="Arial" w:eastAsia="Arial" w:hAnsi="Arial"/>
                <w:sz w:val="16"/>
                <w:szCs w:val="16"/>
                <w:b w:val="1"/>
                <w:bCs w:val="1"/>
                <w:color w:val="auto"/>
              </w:rPr>
              <w:t>Non-cash investing item:</w:t>
            </w:r>
          </w:p>
        </w:tc>
        <w:tc>
          <w:tcPr>
            <w:tcW w:w="4900" w:type="dxa"/>
            <w:vAlign w:val="bottom"/>
            <w:tcBorders>
              <w:bottom w:val="single" w:sz="8" w:color="CFF0FC"/>
            </w:tcBorders>
            <w:shd w:val="clear" w:color="auto" w:fill="CFF0FC"/>
          </w:tcPr>
          <w:p>
            <w:pPr>
              <w:spacing w:after="0"/>
              <w:rPr>
                <w:sz w:val="14"/>
                <w:szCs w:val="14"/>
                <w:color w:val="auto"/>
              </w:rPr>
            </w:pPr>
          </w:p>
        </w:tc>
        <w:tc>
          <w:tcPr>
            <w:tcW w:w="900" w:type="dxa"/>
            <w:vAlign w:val="bottom"/>
            <w:tcBorders>
              <w:bottom w:val="single" w:sz="8" w:color="CFF0FC"/>
            </w:tcBorders>
            <w:shd w:val="clear" w:color="auto" w:fill="CFF0FC"/>
          </w:tcPr>
          <w:p>
            <w:pPr>
              <w:spacing w:after="0"/>
              <w:rPr>
                <w:sz w:val="14"/>
                <w:szCs w:val="14"/>
                <w:color w:val="auto"/>
              </w:rPr>
            </w:pPr>
          </w:p>
        </w:tc>
        <w:tc>
          <w:tcPr>
            <w:tcW w:w="340" w:type="dxa"/>
            <w:vAlign w:val="bottom"/>
            <w:tcBorders>
              <w:bottom w:val="single" w:sz="8" w:color="CFF0FC"/>
            </w:tcBorders>
            <w:shd w:val="clear" w:color="auto" w:fill="CFF0FC"/>
          </w:tcPr>
          <w:p>
            <w:pPr>
              <w:spacing w:after="0"/>
              <w:rPr>
                <w:sz w:val="14"/>
                <w:szCs w:val="14"/>
                <w:color w:val="auto"/>
              </w:rPr>
            </w:pPr>
          </w:p>
        </w:tc>
        <w:tc>
          <w:tcPr>
            <w:tcW w:w="12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480" w:type="dxa"/>
            <w:vAlign w:val="bottom"/>
            <w:tcBorders>
              <w:bottom w:val="single" w:sz="8" w:color="CFF0FC"/>
            </w:tcBorders>
            <w:shd w:val="clear" w:color="auto" w:fill="CFF0FC"/>
          </w:tcPr>
          <w:p>
            <w:pPr>
              <w:spacing w:after="0"/>
              <w:rPr>
                <w:sz w:val="14"/>
                <w:szCs w:val="14"/>
                <w:color w:val="auto"/>
              </w:rPr>
            </w:pPr>
          </w:p>
        </w:tc>
        <w:tc>
          <w:tcPr>
            <w:tcW w:w="108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6840" w:type="dxa"/>
            <w:vAlign w:val="bottom"/>
            <w:gridSpan w:val="2"/>
          </w:tcPr>
          <w:p>
            <w:pPr>
              <w:ind w:left="180"/>
              <w:spacing w:after="0"/>
              <w:rPr>
                <w:sz w:val="20"/>
                <w:szCs w:val="20"/>
                <w:color w:val="auto"/>
              </w:rPr>
            </w:pPr>
            <w:r>
              <w:rPr>
                <w:rFonts w:ascii="Arial" w:cs="Arial" w:eastAsia="Arial" w:hAnsi="Arial"/>
                <w:sz w:val="16"/>
                <w:szCs w:val="16"/>
                <w:color w:val="auto"/>
              </w:rPr>
              <w:t>Reversion of KRIP non-cash investment assets to Kodak</w:t>
            </w: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148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-2519045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-2519045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-2261870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-2261870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-1892935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-1892935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-1035685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-1035685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-778510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-778510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-530225</wp:posOffset>
            </wp:positionV>
            <wp:extent cx="68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-530225</wp:posOffset>
            </wp:positionV>
            <wp:extent cx="685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13" w:name="page14"/>
    <w:bookmarkEnd w:id="13"/>
    <w:p>
      <w:pPr>
        <w:spacing w:after="0"/>
        <w:rPr>
          <w:sz w:val="20"/>
          <w:szCs w:val="20"/>
          <w:color w:val="auto"/>
        </w:rPr>
      </w:pPr>
      <w:r>
        <w:rPr>
          <w:rFonts w:ascii="Arial" w:cs="Arial" w:eastAsia="Arial" w:hAnsi="Arial"/>
          <w:sz w:val="20"/>
          <w:szCs w:val="20"/>
          <w:color w:val="auto"/>
        </w:rPr>
        <w:t>Kodak Reports Fourth-Quarter and Full-Year 2025 Financial Results Page 11</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Eastman Kodak Company</w:t>
      </w:r>
    </w:p>
    <w:p>
      <w:pPr>
        <w:spacing w:after="0" w:line="1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Consolidated Statement of Operations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780" w:type="dxa"/>
            <w:vAlign w:val="bottom"/>
          </w:tcPr>
          <w:p>
            <w:pPr>
              <w:spacing w:after="0"/>
              <w:rPr>
                <w:sz w:val="20"/>
                <w:szCs w:val="20"/>
                <w:color w:val="auto"/>
              </w:rPr>
            </w:pPr>
            <w:r>
              <w:rPr>
                <w:rFonts w:ascii="Arial" w:cs="Arial" w:eastAsia="Arial" w:hAnsi="Arial"/>
                <w:sz w:val="14"/>
                <w:szCs w:val="14"/>
                <w:color w:val="auto"/>
              </w:rPr>
              <w:t>(in millions, except per share data)</w:t>
            </w: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40" w:type="dxa"/>
            <w:vAlign w:val="bottom"/>
            <w:gridSpan w:val="5"/>
          </w:tcPr>
          <w:p>
            <w:pPr>
              <w:jc w:val="right"/>
              <w:ind w:right="74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196"/>
        </w:trPr>
        <w:tc>
          <w:tcPr>
            <w:tcW w:w="67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10"/>
              <w:spacing w:after="0" w:line="196" w:lineRule="exact"/>
              <w:rPr>
                <w:sz w:val="20"/>
                <w:szCs w:val="20"/>
                <w:color w:val="auto"/>
              </w:rPr>
            </w:pPr>
            <w:r>
              <w:rPr>
                <w:rFonts w:ascii="Arial" w:cs="Arial" w:eastAsia="Arial" w:hAnsi="Arial"/>
                <w:sz w:val="18"/>
                <w:szCs w:val="18"/>
                <w:b w:val="1"/>
                <w:bCs w:val="1"/>
                <w:color w:val="auto"/>
              </w:rPr>
              <w:t>2025</w:t>
            </w:r>
          </w:p>
        </w:tc>
        <w:tc>
          <w:tcPr>
            <w:tcW w:w="28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31"/>
              <w:spacing w:after="0" w:line="196" w:lineRule="exact"/>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Revenues</w:t>
            </w:r>
          </w:p>
        </w:tc>
        <w:tc>
          <w:tcPr>
            <w:tcW w:w="8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tcPr>
          <w:p>
            <w:pPr>
              <w:ind w:left="140"/>
              <w:spacing w:after="0" w:line="202" w:lineRule="exact"/>
              <w:rPr>
                <w:sz w:val="20"/>
                <w:szCs w:val="20"/>
                <w:color w:val="auto"/>
              </w:rPr>
            </w:pPr>
            <w:r>
              <w:rPr>
                <w:rFonts w:ascii="Arial" w:cs="Arial" w:eastAsia="Arial" w:hAnsi="Arial"/>
                <w:sz w:val="18"/>
                <w:szCs w:val="18"/>
                <w:color w:val="auto"/>
              </w:rPr>
              <w:t>Sales</w:t>
            </w:r>
          </w:p>
        </w:tc>
        <w:tc>
          <w:tcPr>
            <w:tcW w:w="12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917</w:t>
            </w:r>
          </w:p>
        </w:tc>
        <w:tc>
          <w:tcPr>
            <w:tcW w:w="280" w:type="dxa"/>
            <w:vAlign w:val="bottom"/>
          </w:tcPr>
          <w:p>
            <w:pPr>
              <w:spacing w:after="0"/>
              <w:rPr>
                <w:sz w:val="17"/>
                <w:szCs w:val="17"/>
                <w:color w:val="auto"/>
              </w:rPr>
            </w:pPr>
          </w:p>
        </w:tc>
        <w:tc>
          <w:tcPr>
            <w:tcW w:w="340" w:type="dxa"/>
            <w:vAlign w:val="bottom"/>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882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tcBorders>
              <w:bottom w:val="single" w:sz="8" w:color="CFF0FC"/>
            </w:tcBorders>
            <w:shd w:val="clear" w:color="auto" w:fill="CFF0FC"/>
          </w:tcPr>
          <w:p>
            <w:pPr>
              <w:ind w:left="140"/>
              <w:spacing w:after="0" w:line="202" w:lineRule="exact"/>
              <w:rPr>
                <w:sz w:val="20"/>
                <w:szCs w:val="20"/>
                <w:color w:val="auto"/>
              </w:rPr>
            </w:pPr>
            <w:r>
              <w:rPr>
                <w:rFonts w:ascii="Arial" w:cs="Arial" w:eastAsia="Arial" w:hAnsi="Arial"/>
                <w:sz w:val="18"/>
                <w:szCs w:val="18"/>
                <w:color w:val="auto"/>
              </w:rPr>
              <w:t>Services</w:t>
            </w:r>
          </w:p>
        </w:tc>
        <w:tc>
          <w:tcPr>
            <w:tcW w:w="88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152</w:t>
            </w:r>
          </w:p>
        </w:tc>
        <w:tc>
          <w:tcPr>
            <w:tcW w:w="28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161</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80" w:type="dxa"/>
            <w:vAlign w:val="bottom"/>
          </w:tcPr>
          <w:p>
            <w:pPr>
              <w:spacing w:after="0" w:line="196" w:lineRule="exact"/>
              <w:rPr>
                <w:sz w:val="20"/>
                <w:szCs w:val="20"/>
                <w:color w:val="auto"/>
              </w:rPr>
            </w:pPr>
            <w:r>
              <w:rPr>
                <w:rFonts w:ascii="Arial" w:cs="Arial" w:eastAsia="Arial" w:hAnsi="Arial"/>
                <w:sz w:val="18"/>
                <w:szCs w:val="18"/>
                <w:color w:val="auto"/>
              </w:rPr>
              <w:t>Total net revenues</w:t>
            </w:r>
          </w:p>
        </w:tc>
        <w:tc>
          <w:tcPr>
            <w:tcW w:w="8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1,069</w:t>
            </w:r>
          </w:p>
        </w:tc>
        <w:tc>
          <w:tcPr>
            <w:tcW w:w="2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1,043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Cost of revenues</w:t>
            </w:r>
          </w:p>
        </w:tc>
        <w:tc>
          <w:tcPr>
            <w:tcW w:w="8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tcPr>
          <w:p>
            <w:pPr>
              <w:ind w:left="140"/>
              <w:spacing w:after="0" w:line="202" w:lineRule="exact"/>
              <w:rPr>
                <w:sz w:val="20"/>
                <w:szCs w:val="20"/>
                <w:color w:val="auto"/>
              </w:rPr>
            </w:pPr>
            <w:r>
              <w:rPr>
                <w:rFonts w:ascii="Arial" w:cs="Arial" w:eastAsia="Arial" w:hAnsi="Arial"/>
                <w:sz w:val="18"/>
                <w:szCs w:val="18"/>
                <w:color w:val="auto"/>
              </w:rPr>
              <w:t>Sales</w:t>
            </w: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730</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720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tcBorders>
              <w:bottom w:val="single" w:sz="8" w:color="CFF0FC"/>
            </w:tcBorders>
            <w:shd w:val="clear" w:color="auto" w:fill="CFF0FC"/>
          </w:tcPr>
          <w:p>
            <w:pPr>
              <w:ind w:left="140"/>
              <w:spacing w:after="0" w:line="202" w:lineRule="exact"/>
              <w:rPr>
                <w:sz w:val="20"/>
                <w:szCs w:val="20"/>
                <w:color w:val="auto"/>
              </w:rPr>
            </w:pPr>
            <w:r>
              <w:rPr>
                <w:rFonts w:ascii="Arial" w:cs="Arial" w:eastAsia="Arial" w:hAnsi="Arial"/>
                <w:sz w:val="18"/>
                <w:szCs w:val="18"/>
                <w:color w:val="auto"/>
              </w:rPr>
              <w:t>Services</w:t>
            </w:r>
          </w:p>
        </w:tc>
        <w:tc>
          <w:tcPr>
            <w:tcW w:w="88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107</w:t>
            </w:r>
          </w:p>
        </w:tc>
        <w:tc>
          <w:tcPr>
            <w:tcW w:w="28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120</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80" w:type="dxa"/>
            <w:vAlign w:val="bottom"/>
          </w:tcPr>
          <w:p>
            <w:pPr>
              <w:spacing w:after="0" w:line="196" w:lineRule="exact"/>
              <w:rPr>
                <w:sz w:val="20"/>
                <w:szCs w:val="20"/>
                <w:color w:val="auto"/>
              </w:rPr>
            </w:pPr>
            <w:r>
              <w:rPr>
                <w:rFonts w:ascii="Arial" w:cs="Arial" w:eastAsia="Arial" w:hAnsi="Arial"/>
                <w:sz w:val="18"/>
                <w:szCs w:val="18"/>
                <w:color w:val="auto"/>
              </w:rPr>
              <w:t>Total cost of revenues</w:t>
            </w:r>
          </w:p>
        </w:tc>
        <w:tc>
          <w:tcPr>
            <w:tcW w:w="8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837</w:t>
            </w:r>
          </w:p>
        </w:tc>
        <w:tc>
          <w:tcPr>
            <w:tcW w:w="2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840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80" w:type="dxa"/>
            <w:vAlign w:val="bottom"/>
            <w:shd w:val="clear" w:color="auto" w:fill="CFF0FC"/>
          </w:tcPr>
          <w:p>
            <w:pPr>
              <w:ind w:left="140"/>
              <w:spacing w:after="0" w:line="196" w:lineRule="exact"/>
              <w:rPr>
                <w:sz w:val="20"/>
                <w:szCs w:val="20"/>
                <w:color w:val="auto"/>
              </w:rPr>
            </w:pPr>
            <w:r>
              <w:rPr>
                <w:rFonts w:ascii="Arial" w:cs="Arial" w:eastAsia="Arial" w:hAnsi="Arial"/>
                <w:sz w:val="18"/>
                <w:szCs w:val="18"/>
                <w:color w:val="auto"/>
              </w:rPr>
              <w:t>Gross profit</w:t>
            </w:r>
          </w:p>
        </w:tc>
        <w:tc>
          <w:tcPr>
            <w:tcW w:w="8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232</w:t>
            </w:r>
          </w:p>
        </w:tc>
        <w:tc>
          <w:tcPr>
            <w:tcW w:w="2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203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tcPr>
          <w:p>
            <w:pPr>
              <w:spacing w:after="0" w:line="202" w:lineRule="exact"/>
              <w:rPr>
                <w:sz w:val="20"/>
                <w:szCs w:val="20"/>
                <w:color w:val="auto"/>
              </w:rPr>
            </w:pPr>
            <w:r>
              <w:rPr>
                <w:rFonts w:ascii="Arial" w:cs="Arial" w:eastAsia="Arial" w:hAnsi="Arial"/>
                <w:sz w:val="18"/>
                <w:szCs w:val="18"/>
                <w:color w:val="auto"/>
              </w:rPr>
              <w:t>Selling, general and administrative expenses</w:t>
            </w: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174</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179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Research and development costs</w:t>
            </w:r>
          </w:p>
        </w:tc>
        <w:tc>
          <w:tcPr>
            <w:tcW w:w="8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33</w:t>
            </w:r>
          </w:p>
        </w:tc>
        <w:tc>
          <w:tcPr>
            <w:tcW w:w="2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tcPr>
          <w:p>
            <w:pPr>
              <w:spacing w:after="0" w:line="202" w:lineRule="exact"/>
              <w:rPr>
                <w:sz w:val="20"/>
                <w:szCs w:val="20"/>
                <w:color w:val="auto"/>
              </w:rPr>
            </w:pPr>
            <w:r>
              <w:rPr>
                <w:rFonts w:ascii="Arial" w:cs="Arial" w:eastAsia="Arial" w:hAnsi="Arial"/>
                <w:sz w:val="18"/>
                <w:szCs w:val="18"/>
                <w:color w:val="auto"/>
              </w:rPr>
              <w:t>Restructuring costs and other</w:t>
            </w: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21</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Other operating expense (income), net</w:t>
            </w:r>
          </w:p>
        </w:tc>
        <w:tc>
          <w:tcPr>
            <w:tcW w:w="8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w:t>
            </w:r>
          </w:p>
        </w:tc>
        <w:tc>
          <w:tcPr>
            <w:tcW w:w="2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77"/>
        </w:trPr>
        <w:tc>
          <w:tcPr>
            <w:tcW w:w="6780" w:type="dxa"/>
            <w:vAlign w:val="bottom"/>
            <w:tcBorders>
              <w:top w:val="single" w:sz="8" w:color="CFF0FC"/>
            </w:tcBorders>
          </w:tcPr>
          <w:p>
            <w:pPr>
              <w:spacing w:after="0" w:line="177" w:lineRule="exact"/>
              <w:rPr>
                <w:sz w:val="20"/>
                <w:szCs w:val="20"/>
                <w:color w:val="auto"/>
              </w:rPr>
            </w:pPr>
            <w:r>
              <w:rPr>
                <w:rFonts w:ascii="Arial" w:cs="Arial" w:eastAsia="Arial" w:hAnsi="Arial"/>
                <w:sz w:val="18"/>
                <w:szCs w:val="18"/>
                <w:color w:val="auto"/>
              </w:rPr>
              <w:t>Loss from continuing operations before interest expense,</w:t>
            </w:r>
          </w:p>
        </w:tc>
        <w:tc>
          <w:tcPr>
            <w:tcW w:w="880" w:type="dxa"/>
            <w:vAlign w:val="bottom"/>
            <w:tcBorders>
              <w:top w:val="single" w:sz="8" w:color="CFF0FC"/>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280" w:type="dxa"/>
            <w:vAlign w:val="bottom"/>
            <w:tcBorders>
              <w:top w:val="single" w:sz="8" w:color="CFF0FC"/>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780" w:type="dxa"/>
            <w:vAlign w:val="bottom"/>
          </w:tcPr>
          <w:p>
            <w:pPr>
              <w:ind w:left="160"/>
              <w:spacing w:after="0" w:line="202" w:lineRule="exact"/>
              <w:rPr>
                <w:sz w:val="20"/>
                <w:szCs w:val="20"/>
                <w:color w:val="auto"/>
              </w:rPr>
            </w:pPr>
            <w:r>
              <w:rPr>
                <w:rFonts w:ascii="Arial" w:cs="Arial" w:eastAsia="Arial" w:hAnsi="Arial"/>
                <w:sz w:val="18"/>
                <w:szCs w:val="18"/>
                <w:color w:val="auto"/>
              </w:rPr>
              <w:t>pension income excluding service cost component, loss on early</w:t>
            </w: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6780" w:type="dxa"/>
            <w:vAlign w:val="bottom"/>
          </w:tcPr>
          <w:p>
            <w:pPr>
              <w:ind w:left="160"/>
              <w:spacing w:after="0"/>
              <w:rPr>
                <w:sz w:val="20"/>
                <w:szCs w:val="20"/>
                <w:color w:val="auto"/>
              </w:rPr>
            </w:pPr>
            <w:r>
              <w:rPr>
                <w:rFonts w:ascii="Arial" w:cs="Arial" w:eastAsia="Arial" w:hAnsi="Arial"/>
                <w:sz w:val="18"/>
                <w:szCs w:val="18"/>
                <w:color w:val="auto"/>
              </w:rPr>
              <w:t>extinguishment of debt, other charges (income), net and income taxes</w:t>
            </w: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3"/>
        </w:trPr>
        <w:tc>
          <w:tcPr>
            <w:tcW w:w="67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Interest expense</w:t>
            </w:r>
          </w:p>
        </w:tc>
        <w:tc>
          <w:tcPr>
            <w:tcW w:w="8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62</w:t>
            </w:r>
          </w:p>
        </w:tc>
        <w:tc>
          <w:tcPr>
            <w:tcW w:w="2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tcPr>
          <w:p>
            <w:pPr>
              <w:spacing w:after="0" w:line="202" w:lineRule="exact"/>
              <w:rPr>
                <w:sz w:val="20"/>
                <w:szCs w:val="20"/>
                <w:color w:val="auto"/>
              </w:rPr>
            </w:pPr>
            <w:r>
              <w:rPr>
                <w:rFonts w:ascii="Arial" w:cs="Arial" w:eastAsia="Arial" w:hAnsi="Arial"/>
                <w:sz w:val="18"/>
                <w:szCs w:val="18"/>
                <w:color w:val="auto"/>
              </w:rPr>
              <w:t>Pension income excluding service cost component</w:t>
            </w: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(128)</w:t>
            </w:r>
          </w:p>
        </w:tc>
        <w:tc>
          <w:tcPr>
            <w:tcW w:w="340" w:type="dxa"/>
            <w:vAlign w:val="bottom"/>
          </w:tcPr>
          <w:p>
            <w:pPr>
              <w:spacing w:after="0"/>
              <w:rPr>
                <w:sz w:val="17"/>
                <w:szCs w:val="17"/>
                <w:color w:val="auto"/>
              </w:rPr>
            </w:pPr>
          </w:p>
        </w:tc>
        <w:tc>
          <w:tcPr>
            <w:tcW w:w="13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03"/>
        </w:trPr>
        <w:tc>
          <w:tcPr>
            <w:tcW w:w="67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Loss on early extinguishment of debt</w:t>
            </w:r>
          </w:p>
        </w:tc>
        <w:tc>
          <w:tcPr>
            <w:tcW w:w="8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w:t>
            </w:r>
          </w:p>
        </w:tc>
        <w:tc>
          <w:tcPr>
            <w:tcW w:w="2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3"/>
        </w:trPr>
        <w:tc>
          <w:tcPr>
            <w:tcW w:w="6780" w:type="dxa"/>
            <w:vAlign w:val="bottom"/>
          </w:tcPr>
          <w:p>
            <w:pPr>
              <w:spacing w:after="0" w:line="202" w:lineRule="exact"/>
              <w:rPr>
                <w:sz w:val="20"/>
                <w:szCs w:val="20"/>
                <w:color w:val="auto"/>
              </w:rPr>
            </w:pPr>
            <w:r>
              <w:rPr>
                <w:rFonts w:ascii="Arial" w:cs="Arial" w:eastAsia="Arial" w:hAnsi="Arial"/>
                <w:sz w:val="18"/>
                <w:szCs w:val="18"/>
                <w:color w:val="auto"/>
              </w:rPr>
              <w:t>Other charges (income), net</w:t>
            </w: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171</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(Loss) earnings from continuing operations before income taxes</w:t>
            </w:r>
          </w:p>
        </w:tc>
        <w:tc>
          <w:tcPr>
            <w:tcW w:w="8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220"/>
              <w:spacing w:after="0" w:line="196" w:lineRule="exact"/>
              <w:rPr>
                <w:sz w:val="20"/>
                <w:szCs w:val="20"/>
                <w:color w:val="auto"/>
              </w:rPr>
            </w:pPr>
            <w:r>
              <w:rPr>
                <w:rFonts w:ascii="Arial" w:cs="Arial" w:eastAsia="Arial" w:hAnsi="Arial"/>
                <w:sz w:val="18"/>
                <w:szCs w:val="18"/>
                <w:color w:val="auto"/>
              </w:rPr>
              <w:t>(112)</w:t>
            </w:r>
          </w:p>
        </w:tc>
        <w:tc>
          <w:tcPr>
            <w:tcW w:w="34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tcPr>
          <w:p>
            <w:pPr>
              <w:spacing w:after="0" w:line="202" w:lineRule="exact"/>
              <w:rPr>
                <w:sz w:val="20"/>
                <w:szCs w:val="20"/>
                <w:color w:val="auto"/>
              </w:rPr>
            </w:pPr>
            <w:r>
              <w:rPr>
                <w:rFonts w:ascii="Arial" w:cs="Arial" w:eastAsia="Arial" w:hAnsi="Arial"/>
                <w:sz w:val="18"/>
                <w:szCs w:val="18"/>
                <w:color w:val="auto"/>
              </w:rPr>
              <w:t>Provision for income taxes</w:t>
            </w:r>
          </w:p>
        </w:tc>
        <w:tc>
          <w:tcPr>
            <w:tcW w:w="8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w:t>
            </w:r>
          </w:p>
        </w:tc>
        <w:tc>
          <w:tcPr>
            <w:tcW w:w="2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7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(LOSS) EARNINGS</w:t>
            </w:r>
          </w:p>
        </w:tc>
        <w:tc>
          <w:tcPr>
            <w:tcW w:w="1220" w:type="dxa"/>
            <w:vAlign w:val="bottom"/>
            <w:gridSpan w:val="2"/>
            <w:shd w:val="clear" w:color="auto" w:fill="CFF0FC"/>
          </w:tcPr>
          <w:p>
            <w:pPr>
              <w:jc w:val="right"/>
              <w:ind w:right="240"/>
              <w:spacing w:after="0" w:line="196" w:lineRule="exact"/>
              <w:rPr>
                <w:sz w:val="20"/>
                <w:szCs w:val="20"/>
                <w:color w:val="auto"/>
              </w:rPr>
            </w:pPr>
            <w:r>
              <w:rPr>
                <w:rFonts w:ascii="Arial" w:cs="Arial" w:eastAsia="Arial" w:hAnsi="Arial"/>
                <w:sz w:val="18"/>
                <w:szCs w:val="18"/>
                <w:color w:val="auto"/>
              </w:rPr>
              <w:t>$</w:t>
            </w:r>
          </w:p>
        </w:tc>
        <w:tc>
          <w:tcPr>
            <w:tcW w:w="1540" w:type="dxa"/>
            <w:vAlign w:val="bottom"/>
            <w:gridSpan w:val="2"/>
            <w:shd w:val="clear" w:color="auto" w:fill="CFF0FC"/>
          </w:tcPr>
          <w:p>
            <w:pPr>
              <w:jc w:val="right"/>
              <w:ind w:right="220"/>
              <w:spacing w:after="0" w:line="196" w:lineRule="exact"/>
              <w:rPr>
                <w:sz w:val="20"/>
                <w:szCs w:val="20"/>
                <w:color w:val="auto"/>
              </w:rPr>
            </w:pPr>
            <w:r>
              <w:rPr>
                <w:rFonts w:ascii="Arial" w:cs="Arial" w:eastAsia="Arial" w:hAnsi="Arial"/>
                <w:sz w:val="18"/>
                <w:szCs w:val="18"/>
                <w:color w:val="auto"/>
              </w:rPr>
              <w:t>(128)</w:t>
            </w:r>
          </w:p>
        </w:tc>
        <w:tc>
          <w:tcPr>
            <w:tcW w:w="340" w:type="dxa"/>
            <w:vAlign w:val="bottom"/>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6780" w:type="dxa"/>
            <w:vAlign w:val="bottom"/>
            <w:tcBorders>
              <w:top w:val="single" w:sz="8" w:color="CFF0FC"/>
            </w:tcBorders>
          </w:tcPr>
          <w:p>
            <w:pPr>
              <w:spacing w:after="0"/>
              <w:rPr>
                <w:sz w:val="15"/>
                <w:szCs w:val="15"/>
                <w:color w:val="auto"/>
              </w:rPr>
            </w:pPr>
          </w:p>
        </w:tc>
        <w:tc>
          <w:tcPr>
            <w:tcW w:w="880" w:type="dxa"/>
            <w:vAlign w:val="bottom"/>
            <w:tcBorders>
              <w:top w:val="single" w:sz="8" w:color="CFF0FC"/>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280" w:type="dxa"/>
            <w:vAlign w:val="bottom"/>
            <w:tcBorders>
              <w:top w:val="single" w:sz="8" w:color="CFF0FC"/>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78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Basic (loss) earnings per share attributable to Eastman Kodak Company</w:t>
            </w:r>
          </w:p>
        </w:tc>
        <w:tc>
          <w:tcPr>
            <w:tcW w:w="1220" w:type="dxa"/>
            <w:vAlign w:val="bottom"/>
            <w:gridSpan w:val="2"/>
            <w:vMerge w:val="restart"/>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54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8"/>
                <w:szCs w:val="18"/>
                <w:color w:val="auto"/>
              </w:rPr>
              <w:t>(1.78)</w:t>
            </w:r>
          </w:p>
        </w:tc>
        <w:tc>
          <w:tcPr>
            <w:tcW w:w="340" w:type="dxa"/>
            <w:vAlign w:val="bottom"/>
            <w:vMerge w:val="restart"/>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0.97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6780" w:type="dxa"/>
            <w:vAlign w:val="bottom"/>
            <w:shd w:val="clear" w:color="auto" w:fill="CFF0FC"/>
          </w:tcPr>
          <w:p>
            <w:pPr>
              <w:ind w:left="160"/>
              <w:spacing w:after="0" w:line="161" w:lineRule="exact"/>
              <w:rPr>
                <w:sz w:val="20"/>
                <w:szCs w:val="20"/>
                <w:color w:val="auto"/>
              </w:rPr>
            </w:pPr>
            <w:r>
              <w:rPr>
                <w:rFonts w:ascii="Arial" w:cs="Arial" w:eastAsia="Arial" w:hAnsi="Arial"/>
                <w:sz w:val="18"/>
                <w:szCs w:val="18"/>
                <w:color w:val="auto"/>
              </w:rPr>
              <w:t>common shareholders</w:t>
            </w:r>
          </w:p>
        </w:tc>
        <w:tc>
          <w:tcPr>
            <w:tcW w:w="1220" w:type="dxa"/>
            <w:vAlign w:val="bottom"/>
            <w:gridSpan w:val="2"/>
            <w:vMerge w:val="continue"/>
            <w:shd w:val="clear" w:color="auto" w:fill="CFF0FC"/>
          </w:tcPr>
          <w:p>
            <w:pPr>
              <w:spacing w:after="0"/>
              <w:rPr>
                <w:sz w:val="19"/>
                <w:szCs w:val="19"/>
                <w:color w:val="auto"/>
              </w:rPr>
            </w:pPr>
          </w:p>
        </w:tc>
        <w:tc>
          <w:tcPr>
            <w:tcW w:w="1540" w:type="dxa"/>
            <w:vAlign w:val="bottom"/>
            <w:gridSpan w:val="2"/>
            <w:vMerge w:val="continue"/>
            <w:shd w:val="clear" w:color="auto" w:fill="CFF0FC"/>
          </w:tcPr>
          <w:p>
            <w:pPr>
              <w:spacing w:after="0"/>
              <w:rPr>
                <w:sz w:val="19"/>
                <w:szCs w:val="19"/>
                <w:color w:val="auto"/>
              </w:rPr>
            </w:pPr>
          </w:p>
        </w:tc>
        <w:tc>
          <w:tcPr>
            <w:tcW w:w="340" w:type="dxa"/>
            <w:vAlign w:val="bottom"/>
            <w:vMerge w:val="continue"/>
            <w:shd w:val="clear" w:color="auto" w:fill="CFF0FC"/>
          </w:tcPr>
          <w:p>
            <w:pPr>
              <w:spacing w:after="0"/>
              <w:rPr>
                <w:sz w:val="19"/>
                <w:szCs w:val="19"/>
                <w:color w:val="auto"/>
              </w:rPr>
            </w:pPr>
          </w:p>
        </w:tc>
        <w:tc>
          <w:tcPr>
            <w:tcW w:w="1260" w:type="dxa"/>
            <w:vAlign w:val="bottom"/>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6780" w:type="dxa"/>
            <w:vAlign w:val="bottom"/>
            <w:tcBorders>
              <w:top w:val="single" w:sz="8" w:color="CFF0FC"/>
            </w:tcBorders>
          </w:tcPr>
          <w:p>
            <w:pPr>
              <w:spacing w:after="0"/>
              <w:rPr>
                <w:sz w:val="15"/>
                <w:szCs w:val="15"/>
                <w:color w:val="auto"/>
              </w:rPr>
            </w:pPr>
          </w:p>
        </w:tc>
        <w:tc>
          <w:tcPr>
            <w:tcW w:w="880" w:type="dxa"/>
            <w:vAlign w:val="bottom"/>
            <w:tcBorders>
              <w:top w:val="single" w:sz="8" w:color="CFF0FC"/>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280" w:type="dxa"/>
            <w:vAlign w:val="bottom"/>
            <w:tcBorders>
              <w:top w:val="single" w:sz="8" w:color="CFF0FC"/>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78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Diluted (loss) earnings per share attributable to Eastman Kodak Company</w:t>
            </w:r>
          </w:p>
        </w:tc>
        <w:tc>
          <w:tcPr>
            <w:tcW w:w="1220" w:type="dxa"/>
            <w:vAlign w:val="bottom"/>
            <w:gridSpan w:val="2"/>
            <w:vMerge w:val="restart"/>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54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8"/>
                <w:szCs w:val="18"/>
                <w:color w:val="auto"/>
              </w:rPr>
              <w:t>(1.78)</w:t>
            </w:r>
          </w:p>
        </w:tc>
        <w:tc>
          <w:tcPr>
            <w:tcW w:w="340" w:type="dxa"/>
            <w:vAlign w:val="bottom"/>
            <w:vMerge w:val="restart"/>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0.90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6780" w:type="dxa"/>
            <w:vAlign w:val="bottom"/>
            <w:shd w:val="clear" w:color="auto" w:fill="CFF0FC"/>
          </w:tcPr>
          <w:p>
            <w:pPr>
              <w:ind w:left="160"/>
              <w:spacing w:after="0" w:line="161" w:lineRule="exact"/>
              <w:rPr>
                <w:sz w:val="20"/>
                <w:szCs w:val="20"/>
                <w:color w:val="auto"/>
              </w:rPr>
            </w:pPr>
            <w:r>
              <w:rPr>
                <w:rFonts w:ascii="Arial" w:cs="Arial" w:eastAsia="Arial" w:hAnsi="Arial"/>
                <w:sz w:val="18"/>
                <w:szCs w:val="18"/>
                <w:color w:val="auto"/>
              </w:rPr>
              <w:t>common shareholders</w:t>
            </w:r>
          </w:p>
        </w:tc>
        <w:tc>
          <w:tcPr>
            <w:tcW w:w="1220" w:type="dxa"/>
            <w:vAlign w:val="bottom"/>
            <w:gridSpan w:val="2"/>
            <w:vMerge w:val="continue"/>
            <w:shd w:val="clear" w:color="auto" w:fill="CFF0FC"/>
          </w:tcPr>
          <w:p>
            <w:pPr>
              <w:spacing w:after="0"/>
              <w:rPr>
                <w:sz w:val="19"/>
                <w:szCs w:val="19"/>
                <w:color w:val="auto"/>
              </w:rPr>
            </w:pPr>
          </w:p>
        </w:tc>
        <w:tc>
          <w:tcPr>
            <w:tcW w:w="1540" w:type="dxa"/>
            <w:vAlign w:val="bottom"/>
            <w:gridSpan w:val="2"/>
            <w:vMerge w:val="continue"/>
            <w:shd w:val="clear" w:color="auto" w:fill="CFF0FC"/>
          </w:tcPr>
          <w:p>
            <w:pPr>
              <w:spacing w:after="0"/>
              <w:rPr>
                <w:sz w:val="19"/>
                <w:szCs w:val="19"/>
                <w:color w:val="auto"/>
              </w:rPr>
            </w:pPr>
          </w:p>
        </w:tc>
        <w:tc>
          <w:tcPr>
            <w:tcW w:w="340" w:type="dxa"/>
            <w:vAlign w:val="bottom"/>
            <w:vMerge w:val="continue"/>
            <w:shd w:val="clear" w:color="auto" w:fill="CFF0FC"/>
          </w:tcPr>
          <w:p>
            <w:pPr>
              <w:spacing w:after="0"/>
              <w:rPr>
                <w:sz w:val="19"/>
                <w:szCs w:val="19"/>
                <w:color w:val="auto"/>
              </w:rPr>
            </w:pPr>
          </w:p>
        </w:tc>
        <w:tc>
          <w:tcPr>
            <w:tcW w:w="1260" w:type="dxa"/>
            <w:vAlign w:val="bottom"/>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6780" w:type="dxa"/>
            <w:vAlign w:val="bottom"/>
            <w:tcBorders>
              <w:top w:val="single" w:sz="8" w:color="CFF0FC"/>
            </w:tcBorders>
          </w:tcPr>
          <w:p>
            <w:pPr>
              <w:spacing w:after="0"/>
              <w:rPr>
                <w:sz w:val="15"/>
                <w:szCs w:val="15"/>
                <w:color w:val="auto"/>
              </w:rPr>
            </w:pPr>
          </w:p>
        </w:tc>
        <w:tc>
          <w:tcPr>
            <w:tcW w:w="880" w:type="dxa"/>
            <w:vAlign w:val="bottom"/>
            <w:tcBorders>
              <w:top w:val="single" w:sz="8" w:color="CFF0FC"/>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280" w:type="dxa"/>
            <w:vAlign w:val="bottom"/>
            <w:tcBorders>
              <w:top w:val="single" w:sz="8" w:color="CFF0FC"/>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78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Number of common shares used in basic and diluted (loss) earnings per</w:t>
            </w:r>
          </w:p>
        </w:tc>
        <w:tc>
          <w:tcPr>
            <w:tcW w:w="88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6780" w:type="dxa"/>
            <w:vAlign w:val="bottom"/>
            <w:shd w:val="clear" w:color="auto" w:fill="CFF0FC"/>
          </w:tcPr>
          <w:p>
            <w:pPr>
              <w:ind w:left="160"/>
              <w:spacing w:after="0"/>
              <w:rPr>
                <w:sz w:val="20"/>
                <w:szCs w:val="20"/>
                <w:color w:val="auto"/>
              </w:rPr>
            </w:pPr>
            <w:r>
              <w:rPr>
                <w:rFonts w:ascii="Arial" w:cs="Arial" w:eastAsia="Arial" w:hAnsi="Arial"/>
                <w:sz w:val="18"/>
                <w:szCs w:val="18"/>
                <w:color w:val="auto"/>
              </w:rPr>
              <w:t>share:</w:t>
            </w:r>
          </w:p>
        </w:tc>
        <w:tc>
          <w:tcPr>
            <w:tcW w:w="8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780" w:type="dxa"/>
            <w:vAlign w:val="bottom"/>
          </w:tcPr>
          <w:p>
            <w:pPr>
              <w:ind w:left="140"/>
              <w:spacing w:after="0" w:line="202" w:lineRule="exact"/>
              <w:rPr>
                <w:sz w:val="20"/>
                <w:szCs w:val="20"/>
                <w:color w:val="auto"/>
              </w:rPr>
            </w:pPr>
            <w:r>
              <w:rPr>
                <w:rFonts w:ascii="Arial" w:cs="Arial" w:eastAsia="Arial" w:hAnsi="Arial"/>
                <w:sz w:val="18"/>
                <w:szCs w:val="18"/>
                <w:color w:val="auto"/>
              </w:rPr>
              <w:t>Basic</w:t>
            </w: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87.0</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80.1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Diluted</w:t>
            </w:r>
          </w:p>
        </w:tc>
        <w:tc>
          <w:tcPr>
            <w:tcW w:w="8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87.0</w:t>
            </w:r>
          </w:p>
        </w:tc>
        <w:tc>
          <w:tcPr>
            <w:tcW w:w="2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92.3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-4071620</wp:posOffset>
            </wp:positionV>
            <wp:extent cx="685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-4071620</wp:posOffset>
            </wp:positionV>
            <wp:extent cx="685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-3539490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-3539490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-2750820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-2750820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-1439545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-1422400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-1439545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-1422400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-1053465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-1036955</wp:posOffset>
            </wp:positionV>
            <wp:extent cx="685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-1053465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-1036955</wp:posOffset>
            </wp:positionV>
            <wp:extent cx="68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-668020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-650875</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-668020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-650875</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4"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color w:val="auto"/>
        </w:rPr>
        <w:t>The notes accompanying the financial statements contained in the Company’s Annual Report on Form 10-K for the year ended December 31, 2025 are an integral part of these consolidated financial statements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14" w:name="page15"/>
    <w:bookmarkEnd w:id="14"/>
    <w:p>
      <w:pPr>
        <w:spacing w:after="0"/>
        <w:rPr>
          <w:sz w:val="20"/>
          <w:szCs w:val="20"/>
          <w:color w:val="auto"/>
        </w:rPr>
      </w:pPr>
      <w:r>
        <w:rPr>
          <w:rFonts w:ascii="Arial" w:cs="Arial" w:eastAsia="Arial" w:hAnsi="Arial"/>
          <w:sz w:val="20"/>
          <w:szCs w:val="20"/>
          <w:color w:val="auto"/>
        </w:rPr>
        <w:t>Kodak Reports Fourth-Quarter and Full-Year 2025 Financial Results Page 12</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Eastman Kodak Company</w:t>
      </w:r>
    </w:p>
    <w:p>
      <w:pPr>
        <w:spacing w:after="0" w:line="17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Consolidated Statement of Financial Position</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4"/>
          <w:szCs w:val="14"/>
          <w:color w:val="auto"/>
        </w:rPr>
        <w:t>(in millions, except per share data)</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80" w:type="dxa"/>
            <w:vAlign w:val="bottom"/>
            <w:tcBorders>
              <w:bottom w:val="single" w:sz="8" w:color="auto"/>
            </w:tcBorders>
            <w:gridSpan w:val="5"/>
          </w:tcPr>
          <w:p>
            <w:pPr>
              <w:jc w:val="right"/>
              <w:ind w:right="440"/>
              <w:spacing w:after="0"/>
              <w:rPr>
                <w:sz w:val="20"/>
                <w:szCs w:val="20"/>
                <w:color w:val="auto"/>
              </w:rPr>
            </w:pPr>
            <w:r>
              <w:rPr>
                <w:rFonts w:ascii="Arial" w:cs="Arial" w:eastAsia="Arial" w:hAnsi="Arial"/>
                <w:sz w:val="16"/>
                <w:szCs w:val="16"/>
                <w:b w:val="1"/>
                <w:bCs w:val="1"/>
                <w:color w:val="auto"/>
              </w:rPr>
              <w:t>As of December 31,</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3"/>
        </w:trPr>
        <w:tc>
          <w:tcPr>
            <w:tcW w:w="7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4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2025</w:t>
            </w: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jc w:val="right"/>
              <w:ind w:right="100"/>
              <w:spacing w:after="0" w:line="183" w:lineRule="exact"/>
              <w:rPr>
                <w:sz w:val="20"/>
                <w:szCs w:val="20"/>
                <w:color w:val="auto"/>
              </w:rPr>
            </w:pPr>
            <w:r>
              <w:rPr>
                <w:rFonts w:ascii="Arial" w:cs="Arial" w:eastAsia="Arial" w:hAnsi="Arial"/>
                <w:sz w:val="16"/>
                <w:szCs w:val="16"/>
                <w:b w:val="1"/>
                <w:bCs w:val="1"/>
                <w:color w:val="auto"/>
              </w:rPr>
              <w:t>2024</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3"/>
        </w:trPr>
        <w:tc>
          <w:tcPr>
            <w:tcW w:w="7260" w:type="dxa"/>
            <w:vAlign w:val="bottom"/>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ASSETS</w:t>
            </w:r>
          </w:p>
        </w:tc>
        <w:tc>
          <w:tcPr>
            <w:tcW w:w="480" w:type="dxa"/>
            <w:vAlign w:val="bottom"/>
            <w:shd w:val="clear" w:color="auto" w:fill="CFF0FC"/>
          </w:tcPr>
          <w:p>
            <w:pPr>
              <w:spacing w:after="0"/>
              <w:rPr>
                <w:sz w:val="15"/>
                <w:szCs w:val="15"/>
                <w:color w:val="auto"/>
              </w:rPr>
            </w:pPr>
          </w:p>
        </w:tc>
        <w:tc>
          <w:tcPr>
            <w:tcW w:w="1040" w:type="dxa"/>
            <w:vAlign w:val="bottom"/>
            <w:tcBorders>
              <w:top w:val="single" w:sz="8" w:color="auto"/>
            </w:tcBorders>
            <w:shd w:val="clear" w:color="auto" w:fill="CFF0FC"/>
          </w:tcPr>
          <w:p>
            <w:pPr>
              <w:spacing w:after="0"/>
              <w:rPr>
                <w:sz w:val="15"/>
                <w:szCs w:val="15"/>
                <w:color w:val="auto"/>
              </w:rPr>
            </w:pPr>
          </w:p>
        </w:tc>
        <w:tc>
          <w:tcPr>
            <w:tcW w:w="520" w:type="dxa"/>
            <w:vAlign w:val="bottom"/>
            <w:tcBorders>
              <w:top w:val="single" w:sz="8" w:color="auto"/>
            </w:tcBorders>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40" w:type="dxa"/>
            <w:vAlign w:val="bottom"/>
            <w:tcBorders>
              <w:top w:val="single" w:sz="8" w:color="auto"/>
            </w:tcBorders>
            <w:shd w:val="clear" w:color="auto" w:fill="CFF0FC"/>
          </w:tcPr>
          <w:p>
            <w:pPr>
              <w:spacing w:after="0"/>
              <w:rPr>
                <w:sz w:val="15"/>
                <w:szCs w:val="15"/>
                <w:color w:val="auto"/>
              </w:rPr>
            </w:pPr>
          </w:p>
        </w:tc>
        <w:tc>
          <w:tcPr>
            <w:tcW w:w="52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9"/>
        </w:trPr>
        <w:tc>
          <w:tcPr>
            <w:tcW w:w="726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1520" w:type="dxa"/>
            <w:vAlign w:val="bottom"/>
            <w:gridSpan w:val="2"/>
          </w:tcPr>
          <w:p>
            <w:pPr>
              <w:jc w:val="right"/>
              <w:ind w:right="859"/>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337</w:t>
            </w:r>
          </w:p>
        </w:tc>
        <w:tc>
          <w:tcPr>
            <w:tcW w:w="160" w:type="dxa"/>
            <w:vAlign w:val="bottom"/>
          </w:tcPr>
          <w:p>
            <w:pPr>
              <w:spacing w:after="0"/>
              <w:rPr>
                <w:sz w:val="16"/>
                <w:szCs w:val="16"/>
                <w:color w:val="auto"/>
              </w:rPr>
            </w:pPr>
          </w:p>
        </w:tc>
        <w:tc>
          <w:tcPr>
            <w:tcW w:w="1160" w:type="dxa"/>
            <w:vAlign w:val="bottom"/>
            <w:gridSpan w:val="2"/>
          </w:tcPr>
          <w:p>
            <w:pPr>
              <w:jc w:val="right"/>
              <w:ind w:right="960"/>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201</w:t>
            </w:r>
          </w:p>
        </w:tc>
        <w:tc>
          <w:tcPr>
            <w:tcW w:w="100" w:type="dxa"/>
            <w:vAlign w:val="bottom"/>
          </w:tcPr>
          <w:p>
            <w:pPr>
              <w:spacing w:after="0"/>
              <w:rPr>
                <w:sz w:val="16"/>
                <w:szCs w:val="16"/>
                <w:color w:val="auto"/>
              </w:rPr>
            </w:pPr>
          </w:p>
        </w:tc>
      </w:tr>
      <w:tr>
        <w:trPr>
          <w:trHeight w:val="189"/>
        </w:trPr>
        <w:tc>
          <w:tcPr>
            <w:tcW w:w="7260" w:type="dxa"/>
            <w:vAlign w:val="bottom"/>
            <w:shd w:val="clear" w:color="auto" w:fill="CFF0FC"/>
          </w:tcPr>
          <w:p>
            <w:pPr>
              <w:spacing w:after="0"/>
              <w:rPr>
                <w:sz w:val="20"/>
                <w:szCs w:val="20"/>
                <w:color w:val="auto"/>
              </w:rPr>
            </w:pPr>
            <w:r>
              <w:rPr>
                <w:rFonts w:ascii="Arial" w:cs="Arial" w:eastAsia="Arial" w:hAnsi="Arial"/>
                <w:sz w:val="16"/>
                <w:szCs w:val="16"/>
                <w:color w:val="auto"/>
              </w:rPr>
              <w:t>Trade receivables, net of allowances of $7 in both periods</w:t>
            </w:r>
          </w:p>
        </w:tc>
        <w:tc>
          <w:tcPr>
            <w:tcW w:w="48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145</w:t>
            </w: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138</w:t>
            </w:r>
          </w:p>
        </w:tc>
        <w:tc>
          <w:tcPr>
            <w:tcW w:w="100" w:type="dxa"/>
            <w:vAlign w:val="bottom"/>
            <w:shd w:val="clear" w:color="auto" w:fill="CFF0FC"/>
          </w:tcPr>
          <w:p>
            <w:pPr>
              <w:spacing w:after="0"/>
              <w:rPr>
                <w:sz w:val="16"/>
                <w:szCs w:val="16"/>
                <w:color w:val="auto"/>
              </w:rPr>
            </w:pPr>
          </w:p>
        </w:tc>
      </w:tr>
      <w:tr>
        <w:trPr>
          <w:trHeight w:val="189"/>
        </w:trPr>
        <w:tc>
          <w:tcPr>
            <w:tcW w:w="7260" w:type="dxa"/>
            <w:vAlign w:val="bottom"/>
          </w:tcPr>
          <w:p>
            <w:pPr>
              <w:spacing w:after="0"/>
              <w:rPr>
                <w:sz w:val="20"/>
                <w:szCs w:val="20"/>
                <w:color w:val="auto"/>
              </w:rPr>
            </w:pPr>
            <w:r>
              <w:rPr>
                <w:rFonts w:ascii="Arial" w:cs="Arial" w:eastAsia="Arial" w:hAnsi="Arial"/>
                <w:sz w:val="16"/>
                <w:szCs w:val="16"/>
                <w:color w:val="auto"/>
              </w:rPr>
              <w:t>Inventories, net</w:t>
            </w:r>
          </w:p>
        </w:tc>
        <w:tc>
          <w:tcPr>
            <w:tcW w:w="4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218</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219</w:t>
            </w:r>
          </w:p>
        </w:tc>
        <w:tc>
          <w:tcPr>
            <w:tcW w:w="100" w:type="dxa"/>
            <w:vAlign w:val="bottom"/>
          </w:tcPr>
          <w:p>
            <w:pPr>
              <w:spacing w:after="0"/>
              <w:rPr>
                <w:sz w:val="16"/>
                <w:szCs w:val="16"/>
                <w:color w:val="auto"/>
              </w:rPr>
            </w:pPr>
          </w:p>
        </w:tc>
      </w:tr>
      <w:tr>
        <w:trPr>
          <w:trHeight w:val="189"/>
        </w:trPr>
        <w:tc>
          <w:tcPr>
            <w:tcW w:w="7260" w:type="dxa"/>
            <w:vAlign w:val="bottom"/>
            <w:shd w:val="clear" w:color="auto" w:fill="CFF0FC"/>
          </w:tcPr>
          <w:p>
            <w:pPr>
              <w:spacing w:after="0"/>
              <w:rPr>
                <w:sz w:val="20"/>
                <w:szCs w:val="20"/>
                <w:color w:val="auto"/>
              </w:rPr>
            </w:pPr>
            <w:r>
              <w:rPr>
                <w:rFonts w:ascii="Arial" w:cs="Arial" w:eastAsia="Arial" w:hAnsi="Arial"/>
                <w:sz w:val="16"/>
                <w:szCs w:val="16"/>
                <w:color w:val="auto"/>
              </w:rPr>
              <w:t>Other current assets</w:t>
            </w:r>
          </w:p>
        </w:tc>
        <w:tc>
          <w:tcPr>
            <w:tcW w:w="480" w:type="dxa"/>
            <w:vAlign w:val="bottom"/>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spacing w:after="0"/>
              <w:rPr>
                <w:sz w:val="16"/>
                <w:szCs w:val="16"/>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141</w:t>
            </w: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spacing w:after="0"/>
              <w:rPr>
                <w:sz w:val="16"/>
                <w:szCs w:val="16"/>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FF0FC"/>
          </w:tcPr>
          <w:p>
            <w:pPr>
              <w:spacing w:after="0"/>
              <w:rPr>
                <w:sz w:val="16"/>
                <w:szCs w:val="16"/>
                <w:color w:val="auto"/>
              </w:rPr>
            </w:pPr>
          </w:p>
        </w:tc>
      </w:tr>
      <w:tr>
        <w:trPr>
          <w:trHeight w:val="183"/>
        </w:trPr>
        <w:tc>
          <w:tcPr>
            <w:tcW w:w="7260" w:type="dxa"/>
            <w:vAlign w:val="bottom"/>
          </w:tcPr>
          <w:p>
            <w:pPr>
              <w:ind w:left="140"/>
              <w:spacing w:after="0" w:line="183" w:lineRule="exact"/>
              <w:rPr>
                <w:sz w:val="20"/>
                <w:szCs w:val="20"/>
                <w:color w:val="auto"/>
              </w:rPr>
            </w:pPr>
            <w:r>
              <w:rPr>
                <w:rFonts w:ascii="Arial" w:cs="Arial" w:eastAsia="Arial" w:hAnsi="Arial"/>
                <w:sz w:val="16"/>
                <w:szCs w:val="16"/>
                <w:color w:val="auto"/>
              </w:rPr>
              <w:t>Total current assets</w:t>
            </w:r>
          </w:p>
        </w:tc>
        <w:tc>
          <w:tcPr>
            <w:tcW w:w="4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20" w:type="dxa"/>
            <w:vAlign w:val="bottom"/>
          </w:tcPr>
          <w:p>
            <w:pPr>
              <w:jc w:val="right"/>
              <w:spacing w:after="0" w:line="183" w:lineRule="exact"/>
              <w:rPr>
                <w:sz w:val="20"/>
                <w:szCs w:val="20"/>
                <w:color w:val="auto"/>
              </w:rPr>
            </w:pPr>
            <w:r>
              <w:rPr>
                <w:rFonts w:ascii="Arial" w:cs="Arial" w:eastAsia="Arial" w:hAnsi="Arial"/>
                <w:sz w:val="16"/>
                <w:szCs w:val="16"/>
                <w:color w:val="auto"/>
              </w:rPr>
              <w:t>841</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20" w:type="dxa"/>
            <w:vAlign w:val="bottom"/>
          </w:tcPr>
          <w:p>
            <w:pPr>
              <w:jc w:val="right"/>
              <w:spacing w:after="0" w:line="183" w:lineRule="exact"/>
              <w:rPr>
                <w:sz w:val="20"/>
                <w:szCs w:val="20"/>
                <w:color w:val="auto"/>
              </w:rPr>
            </w:pPr>
            <w:r>
              <w:rPr>
                <w:rFonts w:ascii="Arial" w:cs="Arial" w:eastAsia="Arial" w:hAnsi="Arial"/>
                <w:sz w:val="16"/>
                <w:szCs w:val="16"/>
                <w:color w:val="auto"/>
              </w:rPr>
              <w:t>595</w:t>
            </w:r>
          </w:p>
        </w:tc>
        <w:tc>
          <w:tcPr>
            <w:tcW w:w="100" w:type="dxa"/>
            <w:vAlign w:val="bottom"/>
          </w:tcPr>
          <w:p>
            <w:pPr>
              <w:spacing w:after="0"/>
              <w:rPr>
                <w:sz w:val="15"/>
                <w:szCs w:val="15"/>
                <w:color w:val="auto"/>
              </w:rPr>
            </w:pPr>
          </w:p>
        </w:tc>
      </w:tr>
      <w:tr>
        <w:trPr>
          <w:trHeight w:val="189"/>
        </w:trPr>
        <w:tc>
          <w:tcPr>
            <w:tcW w:w="7260" w:type="dxa"/>
            <w:vAlign w:val="bottom"/>
            <w:shd w:val="clear" w:color="auto" w:fill="CFF0FC"/>
          </w:tcPr>
          <w:p>
            <w:pPr>
              <w:spacing w:after="0"/>
              <w:rPr>
                <w:sz w:val="20"/>
                <w:szCs w:val="20"/>
                <w:color w:val="auto"/>
              </w:rPr>
            </w:pPr>
            <w:r>
              <w:rPr>
                <w:rFonts w:ascii="Arial" w:cs="Arial" w:eastAsia="Arial" w:hAnsi="Arial"/>
                <w:sz w:val="16"/>
                <w:szCs w:val="16"/>
                <w:color w:val="auto"/>
              </w:rPr>
              <w:t>Property, plant and equipment, net</w:t>
            </w:r>
          </w:p>
        </w:tc>
        <w:tc>
          <w:tcPr>
            <w:tcW w:w="48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191</w:t>
            </w: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189</w:t>
            </w:r>
          </w:p>
        </w:tc>
        <w:tc>
          <w:tcPr>
            <w:tcW w:w="100" w:type="dxa"/>
            <w:vAlign w:val="bottom"/>
            <w:shd w:val="clear" w:color="auto" w:fill="CFF0FC"/>
          </w:tcPr>
          <w:p>
            <w:pPr>
              <w:spacing w:after="0"/>
              <w:rPr>
                <w:sz w:val="16"/>
                <w:szCs w:val="16"/>
                <w:color w:val="auto"/>
              </w:rPr>
            </w:pPr>
          </w:p>
        </w:tc>
      </w:tr>
      <w:tr>
        <w:trPr>
          <w:trHeight w:val="189"/>
        </w:trPr>
        <w:tc>
          <w:tcPr>
            <w:tcW w:w="7260" w:type="dxa"/>
            <w:vAlign w:val="bottom"/>
          </w:tcPr>
          <w:p>
            <w:pPr>
              <w:spacing w:after="0"/>
              <w:rPr>
                <w:sz w:val="20"/>
                <w:szCs w:val="20"/>
                <w:color w:val="auto"/>
              </w:rPr>
            </w:pPr>
            <w:r>
              <w:rPr>
                <w:rFonts w:ascii="Arial" w:cs="Arial" w:eastAsia="Arial" w:hAnsi="Arial"/>
                <w:sz w:val="16"/>
                <w:szCs w:val="16"/>
                <w:color w:val="auto"/>
              </w:rPr>
              <w:t>Goodwill</w:t>
            </w:r>
          </w:p>
        </w:tc>
        <w:tc>
          <w:tcPr>
            <w:tcW w:w="4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12</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6"/>
                <w:szCs w:val="16"/>
                <w:color w:val="auto"/>
              </w:rPr>
            </w:pPr>
          </w:p>
        </w:tc>
      </w:tr>
      <w:tr>
        <w:trPr>
          <w:trHeight w:val="189"/>
        </w:trPr>
        <w:tc>
          <w:tcPr>
            <w:tcW w:w="7260" w:type="dxa"/>
            <w:vAlign w:val="bottom"/>
            <w:shd w:val="clear" w:color="auto" w:fill="CFF0FC"/>
          </w:tcPr>
          <w:p>
            <w:pPr>
              <w:spacing w:after="0"/>
              <w:rPr>
                <w:sz w:val="20"/>
                <w:szCs w:val="20"/>
                <w:color w:val="auto"/>
              </w:rPr>
            </w:pPr>
            <w:r>
              <w:rPr>
                <w:rFonts w:ascii="Arial" w:cs="Arial" w:eastAsia="Arial" w:hAnsi="Arial"/>
                <w:sz w:val="16"/>
                <w:szCs w:val="16"/>
                <w:color w:val="auto"/>
              </w:rPr>
              <w:t>Intangible assets, net</w:t>
            </w:r>
          </w:p>
        </w:tc>
        <w:tc>
          <w:tcPr>
            <w:tcW w:w="48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w:t>
            </w: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FF0FC"/>
          </w:tcPr>
          <w:p>
            <w:pPr>
              <w:spacing w:after="0"/>
              <w:rPr>
                <w:sz w:val="16"/>
                <w:szCs w:val="16"/>
                <w:color w:val="auto"/>
              </w:rPr>
            </w:pPr>
          </w:p>
        </w:tc>
      </w:tr>
      <w:tr>
        <w:trPr>
          <w:trHeight w:val="189"/>
        </w:trPr>
        <w:tc>
          <w:tcPr>
            <w:tcW w:w="7260" w:type="dxa"/>
            <w:vAlign w:val="bottom"/>
          </w:tcPr>
          <w:p>
            <w:pPr>
              <w:spacing w:after="0"/>
              <w:rPr>
                <w:sz w:val="20"/>
                <w:szCs w:val="20"/>
                <w:color w:val="auto"/>
              </w:rPr>
            </w:pPr>
            <w:r>
              <w:rPr>
                <w:rFonts w:ascii="Arial" w:cs="Arial" w:eastAsia="Arial" w:hAnsi="Arial"/>
                <w:sz w:val="16"/>
                <w:szCs w:val="16"/>
                <w:color w:val="auto"/>
              </w:rPr>
              <w:t>Operating lease right-of-use assets</w:t>
            </w:r>
          </w:p>
        </w:tc>
        <w:tc>
          <w:tcPr>
            <w:tcW w:w="4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37</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6"/>
                <w:szCs w:val="16"/>
                <w:color w:val="auto"/>
              </w:rPr>
            </w:pPr>
          </w:p>
        </w:tc>
      </w:tr>
      <w:tr>
        <w:trPr>
          <w:trHeight w:val="189"/>
        </w:trPr>
        <w:tc>
          <w:tcPr>
            <w:tcW w:w="7260" w:type="dxa"/>
            <w:vAlign w:val="bottom"/>
            <w:shd w:val="clear" w:color="auto" w:fill="CFF0FC"/>
          </w:tcPr>
          <w:p>
            <w:pPr>
              <w:spacing w:after="0"/>
              <w:rPr>
                <w:sz w:val="20"/>
                <w:szCs w:val="20"/>
                <w:color w:val="auto"/>
              </w:rPr>
            </w:pPr>
            <w:r>
              <w:rPr>
                <w:rFonts w:ascii="Arial" w:cs="Arial" w:eastAsia="Arial" w:hAnsi="Arial"/>
                <w:sz w:val="16"/>
                <w:szCs w:val="16"/>
                <w:color w:val="auto"/>
              </w:rPr>
              <w:t>Restricted cash</w:t>
            </w:r>
          </w:p>
        </w:tc>
        <w:tc>
          <w:tcPr>
            <w:tcW w:w="48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96</w:t>
            </w: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92</w:t>
            </w:r>
          </w:p>
        </w:tc>
        <w:tc>
          <w:tcPr>
            <w:tcW w:w="100" w:type="dxa"/>
            <w:vAlign w:val="bottom"/>
            <w:shd w:val="clear" w:color="auto" w:fill="CFF0FC"/>
          </w:tcPr>
          <w:p>
            <w:pPr>
              <w:spacing w:after="0"/>
              <w:rPr>
                <w:sz w:val="16"/>
                <w:szCs w:val="16"/>
                <w:color w:val="auto"/>
              </w:rPr>
            </w:pPr>
          </w:p>
        </w:tc>
      </w:tr>
      <w:tr>
        <w:trPr>
          <w:trHeight w:val="189"/>
        </w:trPr>
        <w:tc>
          <w:tcPr>
            <w:tcW w:w="7260" w:type="dxa"/>
            <w:vAlign w:val="bottom"/>
          </w:tcPr>
          <w:p>
            <w:pPr>
              <w:spacing w:after="0"/>
              <w:rPr>
                <w:sz w:val="20"/>
                <w:szCs w:val="20"/>
                <w:color w:val="auto"/>
              </w:rPr>
            </w:pPr>
            <w:r>
              <w:rPr>
                <w:rFonts w:ascii="Arial" w:cs="Arial" w:eastAsia="Arial" w:hAnsi="Arial"/>
                <w:sz w:val="16"/>
                <w:szCs w:val="16"/>
                <w:color w:val="auto"/>
              </w:rPr>
              <w:t>Pension and other postretirement assets</w:t>
            </w:r>
          </w:p>
        </w:tc>
        <w:tc>
          <w:tcPr>
            <w:tcW w:w="4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302</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989</w:t>
            </w:r>
          </w:p>
        </w:tc>
        <w:tc>
          <w:tcPr>
            <w:tcW w:w="100" w:type="dxa"/>
            <w:vAlign w:val="bottom"/>
          </w:tcPr>
          <w:p>
            <w:pPr>
              <w:spacing w:after="0"/>
              <w:rPr>
                <w:sz w:val="16"/>
                <w:szCs w:val="16"/>
                <w:color w:val="auto"/>
              </w:rPr>
            </w:pPr>
          </w:p>
        </w:tc>
      </w:tr>
      <w:tr>
        <w:trPr>
          <w:trHeight w:val="189"/>
        </w:trPr>
        <w:tc>
          <w:tcPr>
            <w:tcW w:w="72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Other long-term assets</w:t>
            </w:r>
          </w:p>
        </w:tc>
        <w:tc>
          <w:tcPr>
            <w:tcW w:w="480" w:type="dxa"/>
            <w:vAlign w:val="bottom"/>
            <w:tcBorders>
              <w:bottom w:val="single" w:sz="8" w:color="CFF0FC"/>
            </w:tcBorders>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spacing w:after="0"/>
              <w:rPr>
                <w:sz w:val="16"/>
                <w:szCs w:val="16"/>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121</w:t>
            </w:r>
          </w:p>
        </w:tc>
        <w:tc>
          <w:tcPr>
            <w:tcW w:w="16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spacing w:after="0"/>
              <w:rPr>
                <w:sz w:val="16"/>
                <w:szCs w:val="16"/>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77</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3"/>
        </w:trPr>
        <w:tc>
          <w:tcPr>
            <w:tcW w:w="7260" w:type="dxa"/>
            <w:vAlign w:val="bottom"/>
          </w:tcPr>
          <w:p>
            <w:pPr>
              <w:ind w:left="140"/>
              <w:spacing w:after="0" w:line="183" w:lineRule="exact"/>
              <w:rPr>
                <w:sz w:val="20"/>
                <w:szCs w:val="20"/>
                <w:color w:val="auto"/>
              </w:rPr>
            </w:pPr>
            <w:r>
              <w:rPr>
                <w:rFonts w:ascii="Arial" w:cs="Arial" w:eastAsia="Arial" w:hAnsi="Arial"/>
                <w:sz w:val="16"/>
                <w:szCs w:val="16"/>
                <w:b w:val="1"/>
                <w:bCs w:val="1"/>
                <w:color w:val="auto"/>
              </w:rPr>
              <w:t>TOTAL ASSETS</w:t>
            </w:r>
          </w:p>
        </w:tc>
        <w:tc>
          <w:tcPr>
            <w:tcW w:w="1520" w:type="dxa"/>
            <w:vAlign w:val="bottom"/>
            <w:gridSpan w:val="2"/>
          </w:tcPr>
          <w:p>
            <w:pPr>
              <w:jc w:val="right"/>
              <w:ind w:right="859"/>
              <w:spacing w:after="0" w:line="183" w:lineRule="exact"/>
              <w:rPr>
                <w:sz w:val="20"/>
                <w:szCs w:val="20"/>
                <w:color w:val="auto"/>
              </w:rPr>
            </w:pPr>
            <w:r>
              <w:rPr>
                <w:rFonts w:ascii="Arial" w:cs="Arial" w:eastAsia="Arial" w:hAnsi="Arial"/>
                <w:sz w:val="16"/>
                <w:szCs w:val="16"/>
                <w:b w:val="1"/>
                <w:bCs w:val="1"/>
                <w:color w:val="auto"/>
              </w:rPr>
              <w:t>$</w:t>
            </w:r>
          </w:p>
        </w:tc>
        <w:tc>
          <w:tcPr>
            <w:tcW w:w="52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1,617</w:t>
            </w:r>
          </w:p>
        </w:tc>
        <w:tc>
          <w:tcPr>
            <w:tcW w:w="160" w:type="dxa"/>
            <w:vAlign w:val="bottom"/>
          </w:tcPr>
          <w:p>
            <w:pPr>
              <w:spacing w:after="0"/>
              <w:rPr>
                <w:sz w:val="15"/>
                <w:szCs w:val="15"/>
                <w:color w:val="auto"/>
              </w:rPr>
            </w:pPr>
          </w:p>
        </w:tc>
        <w:tc>
          <w:tcPr>
            <w:tcW w:w="1160" w:type="dxa"/>
            <w:vAlign w:val="bottom"/>
            <w:gridSpan w:val="2"/>
          </w:tcPr>
          <w:p>
            <w:pPr>
              <w:jc w:val="right"/>
              <w:ind w:right="960"/>
              <w:spacing w:after="0" w:line="183" w:lineRule="exact"/>
              <w:rPr>
                <w:sz w:val="20"/>
                <w:szCs w:val="20"/>
                <w:color w:val="auto"/>
              </w:rPr>
            </w:pPr>
            <w:r>
              <w:rPr>
                <w:rFonts w:ascii="Arial" w:cs="Arial" w:eastAsia="Arial" w:hAnsi="Arial"/>
                <w:sz w:val="16"/>
                <w:szCs w:val="16"/>
                <w:b w:val="1"/>
                <w:bCs w:val="1"/>
                <w:color w:val="auto"/>
              </w:rPr>
              <w:t>$</w:t>
            </w:r>
          </w:p>
        </w:tc>
        <w:tc>
          <w:tcPr>
            <w:tcW w:w="52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2,001</w:t>
            </w:r>
          </w:p>
        </w:tc>
        <w:tc>
          <w:tcPr>
            <w:tcW w:w="100" w:type="dxa"/>
            <w:vAlign w:val="bottom"/>
          </w:tcPr>
          <w:p>
            <w:pPr>
              <w:spacing w:after="0"/>
              <w:rPr>
                <w:sz w:val="15"/>
                <w:szCs w:val="15"/>
                <w:color w:val="auto"/>
              </w:rPr>
            </w:pPr>
          </w:p>
        </w:tc>
      </w:tr>
      <w:tr>
        <w:trPr>
          <w:trHeight w:val="20"/>
        </w:trPr>
        <w:tc>
          <w:tcPr>
            <w:tcW w:w="7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9"/>
        </w:trPr>
        <w:tc>
          <w:tcPr>
            <w:tcW w:w="726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89"/>
        </w:trPr>
        <w:tc>
          <w:tcPr>
            <w:tcW w:w="7260" w:type="dxa"/>
            <w:vAlign w:val="bottom"/>
          </w:tcPr>
          <w:p>
            <w:pPr>
              <w:spacing w:after="0"/>
              <w:rPr>
                <w:sz w:val="20"/>
                <w:szCs w:val="20"/>
                <w:color w:val="auto"/>
              </w:rPr>
            </w:pPr>
            <w:r>
              <w:rPr>
                <w:rFonts w:ascii="Arial" w:cs="Arial" w:eastAsia="Arial" w:hAnsi="Arial"/>
                <w:sz w:val="16"/>
                <w:szCs w:val="16"/>
                <w:b w:val="1"/>
                <w:bCs w:val="1"/>
                <w:color w:val="auto"/>
              </w:rPr>
              <w:t>LIABILITIES, REDEEMABLE, CONVERTIBLE PREFERRED STOCK AND EQUITY</w:t>
            </w:r>
          </w:p>
        </w:tc>
        <w:tc>
          <w:tcPr>
            <w:tcW w:w="4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7260" w:type="dxa"/>
            <w:vAlign w:val="bottom"/>
            <w:shd w:val="clear" w:color="auto" w:fill="CFF0FC"/>
          </w:tcPr>
          <w:p>
            <w:pPr>
              <w:spacing w:after="0"/>
              <w:rPr>
                <w:sz w:val="20"/>
                <w:szCs w:val="20"/>
                <w:color w:val="auto"/>
              </w:rPr>
            </w:pPr>
            <w:r>
              <w:rPr>
                <w:rFonts w:ascii="Arial" w:cs="Arial" w:eastAsia="Arial" w:hAnsi="Arial"/>
                <w:sz w:val="16"/>
                <w:szCs w:val="16"/>
                <w:color w:val="auto"/>
              </w:rPr>
              <w:t>Accounts payable, trade</w:t>
            </w:r>
          </w:p>
        </w:tc>
        <w:tc>
          <w:tcPr>
            <w:tcW w:w="1520" w:type="dxa"/>
            <w:vAlign w:val="bottom"/>
            <w:gridSpan w:val="2"/>
            <w:shd w:val="clear" w:color="auto" w:fill="CFF0FC"/>
          </w:tcPr>
          <w:p>
            <w:pPr>
              <w:jc w:val="right"/>
              <w:ind w:right="859"/>
              <w:spacing w:after="0"/>
              <w:rPr>
                <w:sz w:val="20"/>
                <w:szCs w:val="20"/>
                <w:color w:val="auto"/>
              </w:rPr>
            </w:pPr>
            <w:r>
              <w:rPr>
                <w:rFonts w:ascii="Arial" w:cs="Arial" w:eastAsia="Arial" w:hAnsi="Arial"/>
                <w:sz w:val="16"/>
                <w:szCs w:val="16"/>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w:t>
            </w:r>
          </w:p>
        </w:tc>
        <w:tc>
          <w:tcPr>
            <w:tcW w:w="16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960"/>
              <w:spacing w:after="0"/>
              <w:rPr>
                <w:sz w:val="20"/>
                <w:szCs w:val="20"/>
                <w:color w:val="auto"/>
              </w:rPr>
            </w:pPr>
            <w:r>
              <w:rPr>
                <w:rFonts w:ascii="Arial" w:cs="Arial" w:eastAsia="Arial" w:hAnsi="Arial"/>
                <w:sz w:val="16"/>
                <w:szCs w:val="16"/>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120</w:t>
            </w:r>
          </w:p>
        </w:tc>
        <w:tc>
          <w:tcPr>
            <w:tcW w:w="100" w:type="dxa"/>
            <w:vAlign w:val="bottom"/>
            <w:shd w:val="clear" w:color="auto" w:fill="CFF0FC"/>
          </w:tcPr>
          <w:p>
            <w:pPr>
              <w:spacing w:after="0"/>
              <w:rPr>
                <w:sz w:val="16"/>
                <w:szCs w:val="16"/>
                <w:color w:val="auto"/>
              </w:rPr>
            </w:pPr>
          </w:p>
        </w:tc>
      </w:tr>
      <w:tr>
        <w:trPr>
          <w:trHeight w:val="189"/>
        </w:trPr>
        <w:tc>
          <w:tcPr>
            <w:tcW w:w="7260" w:type="dxa"/>
            <w:vAlign w:val="bottom"/>
          </w:tcPr>
          <w:p>
            <w:pPr>
              <w:spacing w:after="0"/>
              <w:rPr>
                <w:sz w:val="20"/>
                <w:szCs w:val="20"/>
                <w:color w:val="auto"/>
              </w:rPr>
            </w:pPr>
            <w:r>
              <w:rPr>
                <w:rFonts w:ascii="Arial" w:cs="Arial" w:eastAsia="Arial" w:hAnsi="Arial"/>
                <w:sz w:val="16"/>
                <w:szCs w:val="16"/>
                <w:color w:val="auto"/>
              </w:rPr>
              <w:t>Short-term borrowings and current portion of long-term debt</w:t>
            </w:r>
          </w:p>
        </w:tc>
        <w:tc>
          <w:tcPr>
            <w:tcW w:w="4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6"/>
                <w:szCs w:val="16"/>
                <w:color w:val="auto"/>
              </w:rPr>
            </w:pPr>
          </w:p>
        </w:tc>
      </w:tr>
      <w:tr>
        <w:trPr>
          <w:trHeight w:val="189"/>
        </w:trPr>
        <w:tc>
          <w:tcPr>
            <w:tcW w:w="7260" w:type="dxa"/>
            <w:vAlign w:val="bottom"/>
            <w:shd w:val="clear" w:color="auto" w:fill="CFF0FC"/>
          </w:tcPr>
          <w:p>
            <w:pPr>
              <w:spacing w:after="0"/>
              <w:rPr>
                <w:sz w:val="20"/>
                <w:szCs w:val="20"/>
                <w:color w:val="auto"/>
              </w:rPr>
            </w:pPr>
            <w:r>
              <w:rPr>
                <w:rFonts w:ascii="Arial" w:cs="Arial" w:eastAsia="Arial" w:hAnsi="Arial"/>
                <w:sz w:val="16"/>
                <w:szCs w:val="16"/>
                <w:color w:val="auto"/>
              </w:rPr>
              <w:t>Current portion of operating leases</w:t>
            </w:r>
          </w:p>
        </w:tc>
        <w:tc>
          <w:tcPr>
            <w:tcW w:w="48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w:t>
            </w: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FF0FC"/>
          </w:tcPr>
          <w:p>
            <w:pPr>
              <w:spacing w:after="0"/>
              <w:rPr>
                <w:sz w:val="16"/>
                <w:szCs w:val="16"/>
                <w:color w:val="auto"/>
              </w:rPr>
            </w:pPr>
          </w:p>
        </w:tc>
      </w:tr>
      <w:tr>
        <w:trPr>
          <w:trHeight w:val="189"/>
        </w:trPr>
        <w:tc>
          <w:tcPr>
            <w:tcW w:w="7260" w:type="dxa"/>
            <w:vAlign w:val="bottom"/>
          </w:tcPr>
          <w:p>
            <w:pPr>
              <w:spacing w:after="0"/>
              <w:rPr>
                <w:sz w:val="20"/>
                <w:szCs w:val="20"/>
                <w:color w:val="auto"/>
              </w:rPr>
            </w:pPr>
            <w:r>
              <w:rPr>
                <w:rFonts w:ascii="Arial" w:cs="Arial" w:eastAsia="Arial" w:hAnsi="Arial"/>
                <w:sz w:val="16"/>
                <w:szCs w:val="16"/>
                <w:color w:val="auto"/>
              </w:rPr>
              <w:t>Other current liabilities</w:t>
            </w:r>
          </w:p>
        </w:tc>
        <w:tc>
          <w:tcPr>
            <w:tcW w:w="48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w:t>
            </w:r>
          </w:p>
        </w:tc>
        <w:tc>
          <w:tcPr>
            <w:tcW w:w="100" w:type="dxa"/>
            <w:vAlign w:val="bottom"/>
          </w:tcPr>
          <w:p>
            <w:pPr>
              <w:spacing w:after="0"/>
              <w:rPr>
                <w:sz w:val="16"/>
                <w:szCs w:val="16"/>
                <w:color w:val="auto"/>
              </w:rPr>
            </w:pPr>
          </w:p>
        </w:tc>
      </w:tr>
      <w:tr>
        <w:trPr>
          <w:trHeight w:val="183"/>
        </w:trPr>
        <w:tc>
          <w:tcPr>
            <w:tcW w:w="7260" w:type="dxa"/>
            <w:vAlign w:val="bottom"/>
            <w:shd w:val="clear" w:color="auto" w:fill="CFF0FC"/>
          </w:tcPr>
          <w:p>
            <w:pPr>
              <w:ind w:left="140"/>
              <w:spacing w:after="0" w:line="183" w:lineRule="exact"/>
              <w:rPr>
                <w:sz w:val="20"/>
                <w:szCs w:val="20"/>
                <w:color w:val="auto"/>
              </w:rPr>
            </w:pPr>
            <w:r>
              <w:rPr>
                <w:rFonts w:ascii="Arial" w:cs="Arial" w:eastAsia="Arial" w:hAnsi="Arial"/>
                <w:sz w:val="16"/>
                <w:szCs w:val="16"/>
                <w:color w:val="auto"/>
              </w:rPr>
              <w:t>Total current liabilities</w:t>
            </w:r>
          </w:p>
        </w:tc>
        <w:tc>
          <w:tcPr>
            <w:tcW w:w="48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268</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261</w:t>
            </w:r>
          </w:p>
        </w:tc>
        <w:tc>
          <w:tcPr>
            <w:tcW w:w="100" w:type="dxa"/>
            <w:vAlign w:val="bottom"/>
            <w:shd w:val="clear" w:color="auto" w:fill="CFF0FC"/>
          </w:tcPr>
          <w:p>
            <w:pPr>
              <w:spacing w:after="0"/>
              <w:rPr>
                <w:sz w:val="15"/>
                <w:szCs w:val="15"/>
                <w:color w:val="auto"/>
              </w:rPr>
            </w:pPr>
          </w:p>
        </w:tc>
      </w:tr>
      <w:tr>
        <w:trPr>
          <w:trHeight w:val="189"/>
        </w:trPr>
        <w:tc>
          <w:tcPr>
            <w:tcW w:w="7260" w:type="dxa"/>
            <w:vAlign w:val="bottom"/>
          </w:tcPr>
          <w:p>
            <w:pPr>
              <w:spacing w:after="0"/>
              <w:rPr>
                <w:sz w:val="20"/>
                <w:szCs w:val="20"/>
                <w:color w:val="auto"/>
              </w:rPr>
            </w:pPr>
            <w:r>
              <w:rPr>
                <w:rFonts w:ascii="Arial" w:cs="Arial" w:eastAsia="Arial" w:hAnsi="Arial"/>
                <w:sz w:val="16"/>
                <w:szCs w:val="16"/>
                <w:color w:val="auto"/>
              </w:rPr>
              <w:t>Long-term debt, net of current portion</w:t>
            </w:r>
          </w:p>
        </w:tc>
        <w:tc>
          <w:tcPr>
            <w:tcW w:w="4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208</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466</w:t>
            </w:r>
          </w:p>
        </w:tc>
        <w:tc>
          <w:tcPr>
            <w:tcW w:w="100" w:type="dxa"/>
            <w:vAlign w:val="bottom"/>
          </w:tcPr>
          <w:p>
            <w:pPr>
              <w:spacing w:after="0"/>
              <w:rPr>
                <w:sz w:val="16"/>
                <w:szCs w:val="16"/>
                <w:color w:val="auto"/>
              </w:rPr>
            </w:pPr>
          </w:p>
        </w:tc>
      </w:tr>
      <w:tr>
        <w:trPr>
          <w:trHeight w:val="189"/>
        </w:trPr>
        <w:tc>
          <w:tcPr>
            <w:tcW w:w="7260" w:type="dxa"/>
            <w:vAlign w:val="bottom"/>
            <w:shd w:val="clear" w:color="auto" w:fill="CFF0FC"/>
          </w:tcPr>
          <w:p>
            <w:pPr>
              <w:spacing w:after="0"/>
              <w:rPr>
                <w:sz w:val="20"/>
                <w:szCs w:val="20"/>
                <w:color w:val="auto"/>
              </w:rPr>
            </w:pPr>
            <w:r>
              <w:rPr>
                <w:rFonts w:ascii="Arial" w:cs="Arial" w:eastAsia="Arial" w:hAnsi="Arial"/>
                <w:sz w:val="16"/>
                <w:szCs w:val="16"/>
                <w:color w:val="auto"/>
              </w:rPr>
              <w:t>Pension and other postretirement liabilities</w:t>
            </w:r>
          </w:p>
        </w:tc>
        <w:tc>
          <w:tcPr>
            <w:tcW w:w="48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191</w:t>
            </w: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197</w:t>
            </w:r>
          </w:p>
        </w:tc>
        <w:tc>
          <w:tcPr>
            <w:tcW w:w="100" w:type="dxa"/>
            <w:vAlign w:val="bottom"/>
            <w:shd w:val="clear" w:color="auto" w:fill="CFF0FC"/>
          </w:tcPr>
          <w:p>
            <w:pPr>
              <w:spacing w:after="0"/>
              <w:rPr>
                <w:sz w:val="16"/>
                <w:szCs w:val="16"/>
                <w:color w:val="auto"/>
              </w:rPr>
            </w:pPr>
          </w:p>
        </w:tc>
      </w:tr>
      <w:tr>
        <w:trPr>
          <w:trHeight w:val="189"/>
        </w:trPr>
        <w:tc>
          <w:tcPr>
            <w:tcW w:w="7260" w:type="dxa"/>
            <w:vAlign w:val="bottom"/>
          </w:tcPr>
          <w:p>
            <w:pPr>
              <w:spacing w:after="0"/>
              <w:rPr>
                <w:sz w:val="20"/>
                <w:szCs w:val="20"/>
                <w:color w:val="auto"/>
              </w:rPr>
            </w:pPr>
            <w:r>
              <w:rPr>
                <w:rFonts w:ascii="Arial" w:cs="Arial" w:eastAsia="Arial" w:hAnsi="Arial"/>
                <w:sz w:val="16"/>
                <w:szCs w:val="16"/>
                <w:color w:val="auto"/>
              </w:rPr>
              <w:t>Operating leases, net of current portion</w:t>
            </w:r>
          </w:p>
        </w:tc>
        <w:tc>
          <w:tcPr>
            <w:tcW w:w="4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30</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6"/>
                <w:szCs w:val="16"/>
                <w:color w:val="auto"/>
              </w:rPr>
            </w:pPr>
          </w:p>
        </w:tc>
      </w:tr>
      <w:tr>
        <w:trPr>
          <w:trHeight w:val="189"/>
        </w:trPr>
        <w:tc>
          <w:tcPr>
            <w:tcW w:w="72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Other long-term liabilities</w:t>
            </w:r>
          </w:p>
        </w:tc>
        <w:tc>
          <w:tcPr>
            <w:tcW w:w="480" w:type="dxa"/>
            <w:vAlign w:val="bottom"/>
            <w:tcBorders>
              <w:bottom w:val="single" w:sz="8" w:color="CFF0FC"/>
            </w:tcBorders>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spacing w:after="0"/>
              <w:rPr>
                <w:sz w:val="16"/>
                <w:szCs w:val="16"/>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207</w:t>
            </w:r>
          </w:p>
        </w:tc>
        <w:tc>
          <w:tcPr>
            <w:tcW w:w="16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spacing w:after="0"/>
              <w:rPr>
                <w:sz w:val="16"/>
                <w:szCs w:val="16"/>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197</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3"/>
        </w:trPr>
        <w:tc>
          <w:tcPr>
            <w:tcW w:w="7260" w:type="dxa"/>
            <w:vAlign w:val="bottom"/>
          </w:tcPr>
          <w:p>
            <w:pPr>
              <w:ind w:left="140"/>
              <w:spacing w:after="0" w:line="183" w:lineRule="exact"/>
              <w:rPr>
                <w:sz w:val="20"/>
                <w:szCs w:val="20"/>
                <w:color w:val="auto"/>
              </w:rPr>
            </w:pPr>
            <w:r>
              <w:rPr>
                <w:rFonts w:ascii="Arial" w:cs="Arial" w:eastAsia="Arial" w:hAnsi="Arial"/>
                <w:sz w:val="16"/>
                <w:szCs w:val="16"/>
                <w:color w:val="auto"/>
              </w:rPr>
              <w:t>Total liabilities</w:t>
            </w:r>
          </w:p>
        </w:tc>
        <w:tc>
          <w:tcPr>
            <w:tcW w:w="48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904</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1,142</w:t>
            </w:r>
          </w:p>
        </w:tc>
        <w:tc>
          <w:tcPr>
            <w:tcW w:w="100" w:type="dxa"/>
            <w:vAlign w:val="bottom"/>
          </w:tcPr>
          <w:p>
            <w:pPr>
              <w:spacing w:after="0"/>
              <w:rPr>
                <w:sz w:val="15"/>
                <w:szCs w:val="15"/>
                <w:color w:val="auto"/>
              </w:rPr>
            </w:pPr>
          </w:p>
        </w:tc>
      </w:tr>
      <w:tr>
        <w:trPr>
          <w:trHeight w:val="183"/>
        </w:trPr>
        <w:tc>
          <w:tcPr>
            <w:tcW w:w="726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9"/>
        </w:trPr>
        <w:tc>
          <w:tcPr>
            <w:tcW w:w="7260" w:type="dxa"/>
            <w:vAlign w:val="bottom"/>
          </w:tcPr>
          <w:p>
            <w:pPr>
              <w:spacing w:after="0"/>
              <w:rPr>
                <w:sz w:val="20"/>
                <w:szCs w:val="20"/>
                <w:color w:val="auto"/>
              </w:rPr>
            </w:pPr>
            <w:r>
              <w:rPr>
                <w:rFonts w:ascii="Arial" w:cs="Arial" w:eastAsia="Arial" w:hAnsi="Arial"/>
                <w:sz w:val="16"/>
                <w:szCs w:val="16"/>
                <w:color w:val="auto"/>
              </w:rPr>
              <w:t>Commitments and contingencies (Note 12)</w:t>
            </w:r>
          </w:p>
        </w:tc>
        <w:tc>
          <w:tcPr>
            <w:tcW w:w="4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726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75"/>
        </w:trPr>
        <w:tc>
          <w:tcPr>
            <w:tcW w:w="7260" w:type="dxa"/>
            <w:vAlign w:val="bottom"/>
          </w:tcPr>
          <w:p>
            <w:pPr>
              <w:spacing w:after="0" w:line="175" w:lineRule="exact"/>
              <w:rPr>
                <w:sz w:val="20"/>
                <w:szCs w:val="20"/>
                <w:color w:val="auto"/>
              </w:rPr>
            </w:pPr>
            <w:r>
              <w:rPr>
                <w:rFonts w:ascii="Arial" w:cs="Arial" w:eastAsia="Arial" w:hAnsi="Arial"/>
                <w:sz w:val="16"/>
                <w:szCs w:val="16"/>
                <w:color w:val="auto"/>
              </w:rPr>
              <w:t>Redeemable, convertible preferred stock, no par value, $100 per share</w:t>
            </w:r>
          </w:p>
        </w:tc>
        <w:tc>
          <w:tcPr>
            <w:tcW w:w="4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7260" w:type="dxa"/>
            <w:vAlign w:val="bottom"/>
          </w:tcPr>
          <w:p>
            <w:pPr>
              <w:ind w:left="140"/>
              <w:spacing w:after="0"/>
              <w:rPr>
                <w:sz w:val="20"/>
                <w:szCs w:val="20"/>
                <w:color w:val="auto"/>
              </w:rPr>
            </w:pPr>
            <w:r>
              <w:rPr>
                <w:rFonts w:ascii="Arial" w:cs="Arial" w:eastAsia="Arial" w:hAnsi="Arial"/>
                <w:sz w:val="16"/>
                <w:szCs w:val="16"/>
                <w:color w:val="auto"/>
              </w:rPr>
              <w:t>liquidation preference</w:t>
            </w:r>
          </w:p>
        </w:tc>
        <w:tc>
          <w:tcPr>
            <w:tcW w:w="4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99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218</w:t>
            </w:r>
          </w:p>
        </w:tc>
        <w:tc>
          <w:tcPr>
            <w:tcW w:w="100" w:type="dxa"/>
            <w:vAlign w:val="bottom"/>
          </w:tcPr>
          <w:p>
            <w:pPr>
              <w:spacing w:after="0"/>
              <w:rPr>
                <w:sz w:val="17"/>
                <w:szCs w:val="17"/>
                <w:color w:val="auto"/>
              </w:rPr>
            </w:pPr>
          </w:p>
        </w:tc>
      </w:tr>
      <w:tr>
        <w:trPr>
          <w:trHeight w:val="189"/>
        </w:trPr>
        <w:tc>
          <w:tcPr>
            <w:tcW w:w="726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9"/>
        </w:trPr>
        <w:tc>
          <w:tcPr>
            <w:tcW w:w="7260" w:type="dxa"/>
            <w:vAlign w:val="bottom"/>
          </w:tcPr>
          <w:p>
            <w:pPr>
              <w:spacing w:after="0"/>
              <w:rPr>
                <w:sz w:val="20"/>
                <w:szCs w:val="20"/>
                <w:color w:val="auto"/>
              </w:rPr>
            </w:pPr>
            <w:r>
              <w:rPr>
                <w:rFonts w:ascii="Arial" w:cs="Arial" w:eastAsia="Arial" w:hAnsi="Arial"/>
                <w:sz w:val="16"/>
                <w:szCs w:val="16"/>
                <w:b w:val="1"/>
                <w:bCs w:val="1"/>
                <w:color w:val="auto"/>
              </w:rPr>
              <w:t>Equity</w:t>
            </w:r>
          </w:p>
        </w:tc>
        <w:tc>
          <w:tcPr>
            <w:tcW w:w="4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7260" w:type="dxa"/>
            <w:vAlign w:val="bottom"/>
            <w:shd w:val="clear" w:color="auto" w:fill="CFF0FC"/>
          </w:tcPr>
          <w:p>
            <w:pPr>
              <w:spacing w:after="0"/>
              <w:rPr>
                <w:sz w:val="20"/>
                <w:szCs w:val="20"/>
                <w:color w:val="auto"/>
              </w:rPr>
            </w:pPr>
            <w:r>
              <w:rPr>
                <w:rFonts w:ascii="Arial" w:cs="Arial" w:eastAsia="Arial" w:hAnsi="Arial"/>
                <w:sz w:val="16"/>
                <w:szCs w:val="16"/>
                <w:color w:val="auto"/>
              </w:rPr>
              <w:t>Common stock, $0.01 par value</w:t>
            </w:r>
          </w:p>
        </w:tc>
        <w:tc>
          <w:tcPr>
            <w:tcW w:w="48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189"/>
        </w:trPr>
        <w:tc>
          <w:tcPr>
            <w:tcW w:w="7260" w:type="dxa"/>
            <w:vAlign w:val="bottom"/>
          </w:tcPr>
          <w:p>
            <w:pPr>
              <w:spacing w:after="0"/>
              <w:rPr>
                <w:sz w:val="20"/>
                <w:szCs w:val="20"/>
                <w:color w:val="auto"/>
              </w:rPr>
            </w:pPr>
            <w:r>
              <w:rPr>
                <w:rFonts w:ascii="Arial" w:cs="Arial" w:eastAsia="Arial" w:hAnsi="Arial"/>
                <w:sz w:val="16"/>
                <w:szCs w:val="16"/>
                <w:color w:val="auto"/>
              </w:rPr>
              <w:t>Additional paid in capital</w:t>
            </w:r>
          </w:p>
        </w:tc>
        <w:tc>
          <w:tcPr>
            <w:tcW w:w="4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1,278</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1,150</w:t>
            </w:r>
          </w:p>
        </w:tc>
        <w:tc>
          <w:tcPr>
            <w:tcW w:w="100" w:type="dxa"/>
            <w:vAlign w:val="bottom"/>
          </w:tcPr>
          <w:p>
            <w:pPr>
              <w:spacing w:after="0"/>
              <w:rPr>
                <w:sz w:val="16"/>
                <w:szCs w:val="16"/>
                <w:color w:val="auto"/>
              </w:rPr>
            </w:pPr>
          </w:p>
        </w:tc>
      </w:tr>
      <w:tr>
        <w:trPr>
          <w:trHeight w:val="189"/>
        </w:trPr>
        <w:tc>
          <w:tcPr>
            <w:tcW w:w="7260" w:type="dxa"/>
            <w:vAlign w:val="bottom"/>
            <w:shd w:val="clear" w:color="auto" w:fill="CFF0FC"/>
          </w:tcPr>
          <w:p>
            <w:pPr>
              <w:spacing w:after="0"/>
              <w:rPr>
                <w:sz w:val="20"/>
                <w:szCs w:val="20"/>
                <w:color w:val="auto"/>
              </w:rPr>
            </w:pPr>
            <w:r>
              <w:rPr>
                <w:rFonts w:ascii="Arial" w:cs="Arial" w:eastAsia="Arial" w:hAnsi="Arial"/>
                <w:sz w:val="16"/>
                <w:szCs w:val="16"/>
                <w:color w:val="auto"/>
              </w:rPr>
              <w:t>Treasury stock, at cost</w:t>
            </w:r>
          </w:p>
        </w:tc>
        <w:tc>
          <w:tcPr>
            <w:tcW w:w="48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6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(26)</w:t>
            </w:r>
          </w:p>
        </w:tc>
        <w:tc>
          <w:tcPr>
            <w:tcW w:w="12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6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(12)</w:t>
            </w:r>
          </w:p>
        </w:tc>
      </w:tr>
      <w:tr>
        <w:trPr>
          <w:trHeight w:val="189"/>
        </w:trPr>
        <w:tc>
          <w:tcPr>
            <w:tcW w:w="7260" w:type="dxa"/>
            <w:vAlign w:val="bottom"/>
          </w:tcPr>
          <w:p>
            <w:pPr>
              <w:spacing w:after="0"/>
              <w:rPr>
                <w:sz w:val="20"/>
                <w:szCs w:val="20"/>
                <w:color w:val="auto"/>
              </w:rPr>
            </w:pPr>
            <w:r>
              <w:rPr>
                <w:rFonts w:ascii="Arial" w:cs="Arial" w:eastAsia="Arial" w:hAnsi="Arial"/>
                <w:sz w:val="16"/>
                <w:szCs w:val="16"/>
                <w:color w:val="auto"/>
              </w:rPr>
              <w:t>Accumulated deficit</w:t>
            </w:r>
          </w:p>
        </w:tc>
        <w:tc>
          <w:tcPr>
            <w:tcW w:w="4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(521)</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6"/>
                <w:szCs w:val="16"/>
                <w:color w:val="auto"/>
              </w:rPr>
              <w:t>(393)</w:t>
            </w:r>
          </w:p>
        </w:tc>
      </w:tr>
      <w:tr>
        <w:trPr>
          <w:trHeight w:val="189"/>
        </w:trPr>
        <w:tc>
          <w:tcPr>
            <w:tcW w:w="7260" w:type="dxa"/>
            <w:vAlign w:val="bottom"/>
            <w:shd w:val="clear" w:color="auto" w:fill="CFF0FC"/>
          </w:tcPr>
          <w:p>
            <w:pPr>
              <w:spacing w:after="0"/>
              <w:rPr>
                <w:sz w:val="20"/>
                <w:szCs w:val="20"/>
                <w:color w:val="auto"/>
              </w:rPr>
            </w:pPr>
            <w:r>
              <w:rPr>
                <w:rFonts w:ascii="Arial" w:cs="Arial" w:eastAsia="Arial" w:hAnsi="Arial"/>
                <w:sz w:val="16"/>
                <w:szCs w:val="16"/>
                <w:color w:val="auto"/>
              </w:rPr>
              <w:t>Accumulated other comprehensive loss</w:t>
            </w:r>
          </w:p>
        </w:tc>
        <w:tc>
          <w:tcPr>
            <w:tcW w:w="48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6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(118)</w:t>
            </w:r>
          </w:p>
        </w:tc>
        <w:tc>
          <w:tcPr>
            <w:tcW w:w="12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6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(104)</w:t>
            </w:r>
          </w:p>
        </w:tc>
      </w:tr>
      <w:tr>
        <w:trPr>
          <w:trHeight w:val="183"/>
        </w:trPr>
        <w:tc>
          <w:tcPr>
            <w:tcW w:w="7260" w:type="dxa"/>
            <w:vAlign w:val="bottom"/>
            <w:tcBorders>
              <w:top w:val="single" w:sz="8" w:color="CFF0FC"/>
            </w:tcBorders>
          </w:tcPr>
          <w:p>
            <w:pPr>
              <w:ind w:left="140"/>
              <w:spacing w:after="0" w:line="183" w:lineRule="exact"/>
              <w:rPr>
                <w:sz w:val="20"/>
                <w:szCs w:val="20"/>
                <w:color w:val="auto"/>
              </w:rPr>
            </w:pPr>
            <w:r>
              <w:rPr>
                <w:rFonts w:ascii="Arial" w:cs="Arial" w:eastAsia="Arial" w:hAnsi="Arial"/>
                <w:sz w:val="16"/>
                <w:szCs w:val="16"/>
                <w:color w:val="auto"/>
              </w:rPr>
              <w:t>Total equity</w:t>
            </w:r>
          </w:p>
        </w:tc>
        <w:tc>
          <w:tcPr>
            <w:tcW w:w="480" w:type="dxa"/>
            <w:vAlign w:val="bottom"/>
            <w:tcBorders>
              <w:top w:val="single" w:sz="8" w:color="CFF0FC"/>
            </w:tcBorders>
          </w:tcPr>
          <w:p>
            <w:pPr>
              <w:spacing w:after="0"/>
              <w:rPr>
                <w:sz w:val="15"/>
                <w:szCs w:val="15"/>
                <w:color w:val="auto"/>
              </w:rPr>
            </w:pPr>
          </w:p>
        </w:tc>
        <w:tc>
          <w:tcPr>
            <w:tcW w:w="1040" w:type="dxa"/>
            <w:vAlign w:val="bottom"/>
            <w:tcBorders>
              <w:top w:val="single" w:sz="8" w:color="auto"/>
              <w:bottom w:val="single" w:sz="8" w:color="auto"/>
            </w:tcBorders>
          </w:tcPr>
          <w:p>
            <w:pPr>
              <w:spacing w:after="0"/>
              <w:rPr>
                <w:sz w:val="15"/>
                <w:szCs w:val="15"/>
                <w:color w:val="auto"/>
              </w:rPr>
            </w:pPr>
          </w:p>
        </w:tc>
        <w:tc>
          <w:tcPr>
            <w:tcW w:w="5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614</w:t>
            </w:r>
          </w:p>
        </w:tc>
        <w:tc>
          <w:tcPr>
            <w:tcW w:w="16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1040" w:type="dxa"/>
            <w:vAlign w:val="bottom"/>
            <w:tcBorders>
              <w:top w:val="single" w:sz="8" w:color="auto"/>
              <w:bottom w:val="single" w:sz="8" w:color="auto"/>
            </w:tcBorders>
          </w:tcPr>
          <w:p>
            <w:pPr>
              <w:spacing w:after="0"/>
              <w:rPr>
                <w:sz w:val="15"/>
                <w:szCs w:val="15"/>
                <w:color w:val="auto"/>
              </w:rPr>
            </w:pPr>
          </w:p>
        </w:tc>
        <w:tc>
          <w:tcPr>
            <w:tcW w:w="5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641</w:t>
            </w:r>
          </w:p>
        </w:tc>
        <w:tc>
          <w:tcPr>
            <w:tcW w:w="100" w:type="dxa"/>
            <w:vAlign w:val="bottom"/>
            <w:tcBorders>
              <w:top w:val="single" w:sz="8" w:color="CFF0FC"/>
            </w:tcBorders>
          </w:tcPr>
          <w:p>
            <w:pPr>
              <w:spacing w:after="0"/>
              <w:rPr>
                <w:sz w:val="15"/>
                <w:szCs w:val="15"/>
                <w:color w:val="auto"/>
              </w:rPr>
            </w:pPr>
          </w:p>
        </w:tc>
      </w:tr>
      <w:tr>
        <w:trPr>
          <w:trHeight w:val="203"/>
        </w:trPr>
        <w:tc>
          <w:tcPr>
            <w:tcW w:w="7260" w:type="dxa"/>
            <w:vAlign w:val="bottom"/>
            <w:shd w:val="clear" w:color="auto" w:fill="CFF0FC"/>
          </w:tcPr>
          <w:p>
            <w:pPr>
              <w:ind w:left="140"/>
              <w:spacing w:after="0" w:line="183" w:lineRule="exact"/>
              <w:rPr>
                <w:sz w:val="20"/>
                <w:szCs w:val="20"/>
                <w:color w:val="auto"/>
              </w:rPr>
            </w:pPr>
            <w:r>
              <w:rPr>
                <w:rFonts w:ascii="Arial" w:cs="Arial" w:eastAsia="Arial" w:hAnsi="Arial"/>
                <w:sz w:val="16"/>
                <w:szCs w:val="16"/>
                <w:b w:val="1"/>
                <w:bCs w:val="1"/>
                <w:color w:val="auto"/>
              </w:rPr>
              <w:t>TOTAL LIABILITIES, REDEEMABLE CONVERTIBLE PREFERRED STOCK AND EQUITY</w:t>
            </w:r>
          </w:p>
        </w:tc>
        <w:tc>
          <w:tcPr>
            <w:tcW w:w="48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859"/>
              <w:spacing w:after="0" w:line="183" w:lineRule="exact"/>
              <w:rPr>
                <w:sz w:val="20"/>
                <w:szCs w:val="20"/>
                <w:color w:val="auto"/>
              </w:rPr>
            </w:pPr>
            <w:r>
              <w:rPr>
                <w:rFonts w:ascii="Arial" w:cs="Arial" w:eastAsia="Arial" w:hAnsi="Arial"/>
                <w:sz w:val="16"/>
                <w:szCs w:val="16"/>
                <w:b w:val="1"/>
                <w:bCs w:val="1"/>
                <w:color w:val="auto"/>
                <w:w w:val="89"/>
              </w:rPr>
              <w:t>$</w:t>
            </w:r>
          </w:p>
        </w:tc>
        <w:tc>
          <w:tcPr>
            <w:tcW w:w="5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1,617</w:t>
            </w:r>
          </w:p>
        </w:tc>
        <w:tc>
          <w:tcPr>
            <w:tcW w:w="16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960"/>
              <w:spacing w:after="0" w:line="183" w:lineRule="exact"/>
              <w:rPr>
                <w:sz w:val="20"/>
                <w:szCs w:val="20"/>
                <w:color w:val="auto"/>
              </w:rPr>
            </w:pPr>
            <w:r>
              <w:rPr>
                <w:rFonts w:ascii="Arial" w:cs="Arial" w:eastAsia="Arial" w:hAnsi="Arial"/>
                <w:sz w:val="16"/>
                <w:szCs w:val="16"/>
                <w:b w:val="1"/>
                <w:bCs w:val="1"/>
                <w:color w:val="auto"/>
              </w:rPr>
              <w:t>$</w:t>
            </w:r>
          </w:p>
        </w:tc>
        <w:tc>
          <w:tcPr>
            <w:tcW w:w="5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2,001</w:t>
            </w:r>
          </w:p>
        </w:tc>
        <w:tc>
          <w:tcPr>
            <w:tcW w:w="100" w:type="dxa"/>
            <w:vAlign w:val="bottom"/>
            <w:shd w:val="clear" w:color="auto" w:fill="CFF0FC"/>
          </w:tcPr>
          <w:p>
            <w:pPr>
              <w:spacing w:after="0"/>
              <w:rPr>
                <w:sz w:val="17"/>
                <w:szCs w:val="17"/>
                <w:color w:val="auto"/>
              </w:rPr>
            </w:pPr>
          </w:p>
        </w:tc>
      </w:tr>
      <w:tr>
        <w:trPr>
          <w:trHeight w:val="20"/>
        </w:trPr>
        <w:tc>
          <w:tcPr>
            <w:tcW w:w="726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-3342640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-3342640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-1859915</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-1859915</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-282575</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-282575</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4"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color w:val="auto"/>
        </w:rPr>
        <w:t>The notes accompanying the financial statements contained in the Company’s Annual Report on Form 10-K for the year ended December 31, 2025 are an integral part of these consolidated financial statements.</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15" w:name="page16"/>
    <w:bookmarkEnd w:id="15"/>
    <w:p>
      <w:pPr>
        <w:spacing w:after="0"/>
        <w:rPr>
          <w:sz w:val="20"/>
          <w:szCs w:val="20"/>
          <w:color w:val="auto"/>
        </w:rPr>
      </w:pPr>
      <w:r>
        <w:rPr>
          <w:rFonts w:ascii="Arial" w:cs="Arial" w:eastAsia="Arial" w:hAnsi="Arial"/>
          <w:sz w:val="20"/>
          <w:szCs w:val="20"/>
          <w:color w:val="auto"/>
        </w:rPr>
        <w:t>Kodak Reports Fourth-Quarter and Full-Year 2025 Financial Results Page 13</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Eastman Kodak Company</w:t>
      </w:r>
    </w:p>
    <w:p>
      <w:pPr>
        <w:spacing w:after="0" w:line="17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Consolidated Statement of Cash Flows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7720" w:type="dxa"/>
            <w:vAlign w:val="bottom"/>
            <w:gridSpan w:val="2"/>
            <w:vMerge w:val="restart"/>
          </w:tcPr>
          <w:p>
            <w:pPr>
              <w:spacing w:after="0"/>
              <w:rPr>
                <w:sz w:val="20"/>
                <w:szCs w:val="20"/>
                <w:color w:val="auto"/>
              </w:rPr>
            </w:pPr>
            <w:r>
              <w:rPr>
                <w:rFonts w:ascii="Arial" w:cs="Arial" w:eastAsia="Arial" w:hAnsi="Arial"/>
                <w:sz w:val="13"/>
                <w:szCs w:val="13"/>
                <w:color w:val="auto"/>
              </w:rPr>
              <w:t>(in millions)</w:t>
            </w:r>
          </w:p>
        </w:tc>
        <w:tc>
          <w:tcPr>
            <w:tcW w:w="360" w:type="dxa"/>
            <w:vAlign w:val="bottom"/>
          </w:tcPr>
          <w:p>
            <w:pPr>
              <w:spacing w:after="0"/>
              <w:rPr>
                <w:sz w:val="14"/>
                <w:szCs w:val="14"/>
                <w:color w:val="auto"/>
              </w:rPr>
            </w:pPr>
          </w:p>
        </w:tc>
        <w:tc>
          <w:tcPr>
            <w:tcW w:w="3160" w:type="dxa"/>
            <w:vAlign w:val="bottom"/>
            <w:gridSpan w:val="6"/>
          </w:tcPr>
          <w:p>
            <w:pPr>
              <w:jc w:val="right"/>
              <w:ind w:right="980"/>
              <w:spacing w:after="0"/>
              <w:rPr>
                <w:sz w:val="20"/>
                <w:szCs w:val="20"/>
                <w:color w:val="auto"/>
              </w:rPr>
            </w:pPr>
            <w:r>
              <w:rPr>
                <w:rFonts w:ascii="Arial" w:cs="Arial" w:eastAsia="Arial" w:hAnsi="Arial"/>
                <w:sz w:val="13"/>
                <w:szCs w:val="13"/>
                <w:b w:val="1"/>
                <w:bCs w:val="1"/>
                <w:color w:val="auto"/>
              </w:rPr>
              <w:t>Year Ended December 31,</w:t>
            </w:r>
          </w:p>
        </w:tc>
        <w:tc>
          <w:tcPr>
            <w:tcW w:w="0" w:type="dxa"/>
            <w:vAlign w:val="bottom"/>
          </w:tcPr>
          <w:p>
            <w:pPr>
              <w:spacing w:after="0"/>
              <w:rPr>
                <w:sz w:val="1"/>
                <w:szCs w:val="1"/>
                <w:color w:val="auto"/>
              </w:rPr>
            </w:pPr>
          </w:p>
        </w:tc>
      </w:tr>
      <w:tr>
        <w:trPr>
          <w:trHeight w:val="142"/>
        </w:trPr>
        <w:tc>
          <w:tcPr>
            <w:tcW w:w="7720" w:type="dxa"/>
            <w:vAlign w:val="bottom"/>
            <w:gridSpan w:val="2"/>
            <w:vMerge w:val="continue"/>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ind w:right="573"/>
              <w:spacing w:after="0" w:line="142" w:lineRule="exact"/>
              <w:rPr>
                <w:sz w:val="20"/>
                <w:szCs w:val="20"/>
                <w:color w:val="auto"/>
              </w:rPr>
            </w:pPr>
            <w:r>
              <w:rPr>
                <w:rFonts w:ascii="Arial" w:cs="Arial" w:eastAsia="Arial" w:hAnsi="Arial"/>
                <w:sz w:val="13"/>
                <w:szCs w:val="13"/>
                <w:b w:val="1"/>
                <w:bCs w:val="1"/>
                <w:color w:val="auto"/>
              </w:rPr>
              <w:t>2025</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ind w:right="573"/>
              <w:spacing w:after="0" w:line="142" w:lineRule="exact"/>
              <w:rPr>
                <w:sz w:val="20"/>
                <w:szCs w:val="20"/>
                <w:color w:val="auto"/>
              </w:rPr>
            </w:pPr>
            <w:r>
              <w:rPr>
                <w:rFonts w:ascii="Arial" w:cs="Arial" w:eastAsia="Arial" w:hAnsi="Arial"/>
                <w:sz w:val="13"/>
                <w:szCs w:val="13"/>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720" w:type="dxa"/>
            <w:vAlign w:val="bottom"/>
            <w:gridSpan w:val="2"/>
            <w:shd w:val="clear" w:color="auto" w:fill="CFF0FC"/>
          </w:tcPr>
          <w:p>
            <w:pPr>
              <w:spacing w:after="0" w:line="142" w:lineRule="exact"/>
              <w:rPr>
                <w:sz w:val="20"/>
                <w:szCs w:val="20"/>
                <w:color w:val="auto"/>
              </w:rPr>
            </w:pPr>
            <w:r>
              <w:rPr>
                <w:rFonts w:ascii="Arial" w:cs="Arial" w:eastAsia="Arial" w:hAnsi="Arial"/>
                <w:sz w:val="13"/>
                <w:szCs w:val="13"/>
                <w:color w:val="auto"/>
              </w:rPr>
              <w:t>Cash flows from operating activities:</w:t>
            </w:r>
          </w:p>
        </w:tc>
        <w:tc>
          <w:tcPr>
            <w:tcW w:w="36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gridSpan w:val="2"/>
          </w:tcPr>
          <w:p>
            <w:pPr>
              <w:spacing w:after="0"/>
              <w:rPr>
                <w:sz w:val="20"/>
                <w:szCs w:val="20"/>
                <w:color w:val="auto"/>
              </w:rPr>
            </w:pPr>
            <w:r>
              <w:rPr>
                <w:rFonts w:ascii="Arial" w:cs="Arial" w:eastAsia="Arial" w:hAnsi="Arial"/>
                <w:sz w:val="13"/>
                <w:szCs w:val="13"/>
                <w:color w:val="auto"/>
              </w:rPr>
              <w:t>Net (loss) earnings</w:t>
            </w:r>
          </w:p>
        </w:tc>
        <w:tc>
          <w:tcPr>
            <w:tcW w:w="360" w:type="dxa"/>
            <w:vAlign w:val="bottom"/>
          </w:tcPr>
          <w:p>
            <w:pPr>
              <w:jc w:val="right"/>
              <w:ind w:right="213"/>
              <w:spacing w:after="0"/>
              <w:rPr>
                <w:sz w:val="20"/>
                <w:szCs w:val="20"/>
                <w:color w:val="auto"/>
              </w:rPr>
            </w:pPr>
            <w:r>
              <w:rPr>
                <w:rFonts w:ascii="Arial" w:cs="Arial" w:eastAsia="Arial" w:hAnsi="Arial"/>
                <w:sz w:val="13"/>
                <w:szCs w:val="13"/>
                <w:color w:val="auto"/>
                <w:w w:val="82"/>
              </w:rPr>
              <w:t>$</w:t>
            </w:r>
          </w:p>
        </w:tc>
        <w:tc>
          <w:tcPr>
            <w:tcW w:w="1380" w:type="dxa"/>
            <w:vAlign w:val="bottom"/>
            <w:gridSpan w:val="2"/>
          </w:tcPr>
          <w:p>
            <w:pPr>
              <w:jc w:val="right"/>
              <w:ind w:right="120"/>
              <w:spacing w:after="0"/>
              <w:rPr>
                <w:sz w:val="20"/>
                <w:szCs w:val="20"/>
                <w:color w:val="auto"/>
              </w:rPr>
            </w:pPr>
            <w:r>
              <w:rPr>
                <w:rFonts w:ascii="Arial" w:cs="Arial" w:eastAsia="Arial" w:hAnsi="Arial"/>
                <w:sz w:val="13"/>
                <w:szCs w:val="13"/>
                <w:color w:val="auto"/>
              </w:rPr>
              <w:t>(128)</w:t>
            </w:r>
          </w:p>
        </w:tc>
        <w:tc>
          <w:tcPr>
            <w:tcW w:w="4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20" w:type="dxa"/>
            <w:vAlign w:val="bottom"/>
          </w:tcPr>
          <w:p>
            <w:pPr>
              <w:jc w:val="right"/>
              <w:spacing w:after="0"/>
              <w:rPr>
                <w:sz w:val="20"/>
                <w:szCs w:val="20"/>
                <w:color w:val="auto"/>
              </w:rPr>
            </w:pPr>
            <w:r>
              <w:rPr>
                <w:rFonts w:ascii="Arial" w:cs="Arial" w:eastAsia="Arial" w:hAnsi="Arial"/>
                <w:sz w:val="13"/>
                <w:szCs w:val="13"/>
                <w:color w:val="auto"/>
              </w:rPr>
              <w:t>102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2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Adjustments to reconcile to net cash provided by (used in) operating activities:</w:t>
            </w:r>
          </w:p>
        </w:tc>
        <w:tc>
          <w:tcPr>
            <w:tcW w:w="36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gridSpan w:val="2"/>
          </w:tcPr>
          <w:p>
            <w:pPr>
              <w:ind w:left="140"/>
              <w:spacing w:after="0"/>
              <w:rPr>
                <w:sz w:val="20"/>
                <w:szCs w:val="20"/>
                <w:color w:val="auto"/>
              </w:rPr>
            </w:pPr>
            <w:r>
              <w:rPr>
                <w:rFonts w:ascii="Arial" w:cs="Arial" w:eastAsia="Arial" w:hAnsi="Arial"/>
                <w:sz w:val="13"/>
                <w:szCs w:val="13"/>
                <w:color w:val="auto"/>
              </w:rPr>
              <w:t>Depreciation and amortization</w:t>
            </w:r>
          </w:p>
        </w:tc>
        <w:tc>
          <w:tcPr>
            <w:tcW w:w="36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29</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28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gridSpan w:val="2"/>
            <w:shd w:val="clear" w:color="auto" w:fill="CFF0FC"/>
          </w:tcPr>
          <w:p>
            <w:pPr>
              <w:ind w:left="140"/>
              <w:spacing w:after="0"/>
              <w:rPr>
                <w:sz w:val="20"/>
                <w:szCs w:val="20"/>
                <w:color w:val="auto"/>
              </w:rPr>
            </w:pPr>
            <w:r>
              <w:rPr>
                <w:rFonts w:ascii="Arial" w:cs="Arial" w:eastAsia="Arial" w:hAnsi="Arial"/>
                <w:sz w:val="13"/>
                <w:szCs w:val="13"/>
                <w:color w:val="auto"/>
              </w:rPr>
              <w:t>Pension and other postretirement income</w:t>
            </w:r>
          </w:p>
        </w:tc>
        <w:tc>
          <w:tcPr>
            <w:tcW w:w="360" w:type="dxa"/>
            <w:vAlign w:val="bottom"/>
            <w:shd w:val="clear" w:color="auto" w:fill="CFF0FC"/>
          </w:tcPr>
          <w:p>
            <w:pPr>
              <w:spacing w:after="0"/>
              <w:rPr>
                <w:sz w:val="12"/>
                <w:szCs w:val="12"/>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(43)</w:t>
            </w: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(155)</w:t>
            </w:r>
          </w:p>
        </w:tc>
        <w:tc>
          <w:tcPr>
            <w:tcW w:w="0" w:type="dxa"/>
            <w:vAlign w:val="bottom"/>
          </w:tcPr>
          <w:p>
            <w:pPr>
              <w:spacing w:after="0"/>
              <w:rPr>
                <w:sz w:val="1"/>
                <w:szCs w:val="1"/>
                <w:color w:val="auto"/>
              </w:rPr>
            </w:pPr>
          </w:p>
        </w:tc>
      </w:tr>
      <w:tr>
        <w:trPr>
          <w:trHeight w:val="148"/>
        </w:trPr>
        <w:tc>
          <w:tcPr>
            <w:tcW w:w="7720" w:type="dxa"/>
            <w:vAlign w:val="bottom"/>
            <w:gridSpan w:val="2"/>
          </w:tcPr>
          <w:p>
            <w:pPr>
              <w:ind w:left="140"/>
              <w:spacing w:after="0"/>
              <w:rPr>
                <w:sz w:val="20"/>
                <w:szCs w:val="20"/>
                <w:color w:val="auto"/>
              </w:rPr>
            </w:pPr>
            <w:r>
              <w:rPr>
                <w:rFonts w:ascii="Arial" w:cs="Arial" w:eastAsia="Arial" w:hAnsi="Arial"/>
                <w:sz w:val="13"/>
                <w:szCs w:val="13"/>
                <w:color w:val="auto"/>
              </w:rPr>
              <w:t>Gain on settlement of Kodak Retirement Income Plan</w:t>
            </w:r>
          </w:p>
        </w:tc>
        <w:tc>
          <w:tcPr>
            <w:tcW w:w="360" w:type="dxa"/>
            <w:vAlign w:val="bottom"/>
          </w:tcPr>
          <w:p>
            <w:pPr>
              <w:spacing w:after="0"/>
              <w:rPr>
                <w:sz w:val="12"/>
                <w:szCs w:val="12"/>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3"/>
                <w:szCs w:val="13"/>
                <w:color w:val="auto"/>
              </w:rPr>
              <w:t>(66)</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7720" w:type="dxa"/>
            <w:vAlign w:val="bottom"/>
            <w:gridSpan w:val="2"/>
            <w:shd w:val="clear" w:color="auto" w:fill="CFF0FC"/>
          </w:tcPr>
          <w:p>
            <w:pPr>
              <w:ind w:left="140"/>
              <w:spacing w:after="0"/>
              <w:rPr>
                <w:sz w:val="20"/>
                <w:szCs w:val="20"/>
                <w:color w:val="auto"/>
              </w:rPr>
            </w:pPr>
            <w:r>
              <w:rPr>
                <w:rFonts w:ascii="Arial" w:cs="Arial" w:eastAsia="Arial" w:hAnsi="Arial"/>
                <w:sz w:val="13"/>
                <w:szCs w:val="13"/>
                <w:color w:val="auto"/>
              </w:rPr>
              <w:t>Asset impairments</w:t>
            </w:r>
          </w:p>
        </w:tc>
        <w:tc>
          <w:tcPr>
            <w:tcW w:w="36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20" w:type="dxa"/>
            <w:vAlign w:val="bottom"/>
            <w:gridSpan w:val="2"/>
          </w:tcPr>
          <w:p>
            <w:pPr>
              <w:ind w:left="140"/>
              <w:spacing w:after="0"/>
              <w:rPr>
                <w:sz w:val="20"/>
                <w:szCs w:val="20"/>
                <w:color w:val="auto"/>
              </w:rPr>
            </w:pPr>
            <w:r>
              <w:rPr>
                <w:rFonts w:ascii="Arial" w:cs="Arial" w:eastAsia="Arial" w:hAnsi="Arial"/>
                <w:sz w:val="13"/>
                <w:szCs w:val="13"/>
                <w:color w:val="auto"/>
              </w:rPr>
              <w:t>Paid-in-kind interest expense</w:t>
            </w:r>
          </w:p>
        </w:tc>
        <w:tc>
          <w:tcPr>
            <w:tcW w:w="36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36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gridSpan w:val="2"/>
            <w:shd w:val="clear" w:color="auto" w:fill="CFF0FC"/>
          </w:tcPr>
          <w:p>
            <w:pPr>
              <w:ind w:left="140"/>
              <w:spacing w:after="0"/>
              <w:rPr>
                <w:sz w:val="20"/>
                <w:szCs w:val="20"/>
                <w:color w:val="auto"/>
              </w:rPr>
            </w:pPr>
            <w:r>
              <w:rPr>
                <w:rFonts w:ascii="Arial" w:cs="Arial" w:eastAsia="Arial" w:hAnsi="Arial"/>
                <w:sz w:val="13"/>
                <w:szCs w:val="13"/>
                <w:color w:val="auto"/>
              </w:rPr>
              <w:t>Stock based compensation</w:t>
            </w:r>
          </w:p>
        </w:tc>
        <w:tc>
          <w:tcPr>
            <w:tcW w:w="36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7720" w:type="dxa"/>
            <w:vAlign w:val="bottom"/>
            <w:gridSpan w:val="2"/>
          </w:tcPr>
          <w:p>
            <w:pPr>
              <w:ind w:left="140"/>
              <w:spacing w:after="0" w:line="136" w:lineRule="exact"/>
              <w:rPr>
                <w:sz w:val="20"/>
                <w:szCs w:val="20"/>
                <w:color w:val="auto"/>
              </w:rPr>
            </w:pPr>
            <w:r>
              <w:rPr>
                <w:rFonts w:ascii="Arial" w:cs="Arial" w:eastAsia="Arial" w:hAnsi="Arial"/>
                <w:sz w:val="13"/>
                <w:szCs w:val="13"/>
                <w:color w:val="auto"/>
              </w:rPr>
              <w:t>Non-cash changes in workers' compensation and other employee benefit</w:t>
            </w:r>
          </w:p>
        </w:tc>
        <w:tc>
          <w:tcPr>
            <w:tcW w:w="3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7720" w:type="dxa"/>
            <w:vAlign w:val="bottom"/>
            <w:gridSpan w:val="2"/>
          </w:tcPr>
          <w:p>
            <w:pPr>
              <w:ind w:left="260"/>
              <w:spacing w:after="0"/>
              <w:rPr>
                <w:sz w:val="20"/>
                <w:szCs w:val="20"/>
                <w:color w:val="auto"/>
              </w:rPr>
            </w:pPr>
            <w:r>
              <w:rPr>
                <w:rFonts w:ascii="Arial" w:cs="Arial" w:eastAsia="Arial" w:hAnsi="Arial"/>
                <w:sz w:val="13"/>
                <w:szCs w:val="13"/>
                <w:color w:val="auto"/>
              </w:rPr>
              <w:t>reserves</w:t>
            </w:r>
          </w:p>
        </w:tc>
        <w:tc>
          <w:tcPr>
            <w:tcW w:w="360" w:type="dxa"/>
            <w:vAlign w:val="bottom"/>
          </w:tcPr>
          <w:p>
            <w:pPr>
              <w:spacing w:after="0"/>
              <w:rPr>
                <w:sz w:val="14"/>
                <w:szCs w:val="14"/>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48"/>
        </w:trPr>
        <w:tc>
          <w:tcPr>
            <w:tcW w:w="7720" w:type="dxa"/>
            <w:vAlign w:val="bottom"/>
            <w:gridSpan w:val="2"/>
            <w:shd w:val="clear" w:color="auto" w:fill="CFF0FC"/>
          </w:tcPr>
          <w:p>
            <w:pPr>
              <w:ind w:left="140"/>
              <w:spacing w:after="0"/>
              <w:rPr>
                <w:sz w:val="20"/>
                <w:szCs w:val="20"/>
                <w:color w:val="auto"/>
              </w:rPr>
            </w:pPr>
            <w:r>
              <w:rPr>
                <w:rFonts w:ascii="Arial" w:cs="Arial" w:eastAsia="Arial" w:hAnsi="Arial"/>
                <w:sz w:val="13"/>
                <w:szCs w:val="13"/>
                <w:color w:val="auto"/>
              </w:rPr>
              <w:t>Net gain on sales of assets</w:t>
            </w:r>
          </w:p>
        </w:tc>
        <w:tc>
          <w:tcPr>
            <w:tcW w:w="360" w:type="dxa"/>
            <w:vAlign w:val="bottom"/>
            <w:shd w:val="clear" w:color="auto" w:fill="CFF0FC"/>
          </w:tcPr>
          <w:p>
            <w:pPr>
              <w:spacing w:after="0"/>
              <w:rPr>
                <w:sz w:val="12"/>
                <w:szCs w:val="12"/>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149"/>
        </w:trPr>
        <w:tc>
          <w:tcPr>
            <w:tcW w:w="7720" w:type="dxa"/>
            <w:vAlign w:val="bottom"/>
            <w:gridSpan w:val="2"/>
          </w:tcPr>
          <w:p>
            <w:pPr>
              <w:ind w:left="140"/>
              <w:spacing w:after="0"/>
              <w:rPr>
                <w:sz w:val="20"/>
                <w:szCs w:val="20"/>
                <w:color w:val="auto"/>
              </w:rPr>
            </w:pPr>
            <w:r>
              <w:rPr>
                <w:rFonts w:ascii="Arial" w:cs="Arial" w:eastAsia="Arial" w:hAnsi="Arial"/>
                <w:sz w:val="13"/>
                <w:szCs w:val="13"/>
                <w:color w:val="auto"/>
              </w:rPr>
              <w:t>Loss on early extinguishment of debt</w:t>
            </w:r>
          </w:p>
        </w:tc>
        <w:tc>
          <w:tcPr>
            <w:tcW w:w="36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7</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6"/>
        </w:trPr>
        <w:tc>
          <w:tcPr>
            <w:tcW w:w="7720" w:type="dxa"/>
            <w:vAlign w:val="bottom"/>
            <w:gridSpan w:val="2"/>
            <w:shd w:val="clear" w:color="auto" w:fill="CFF0FC"/>
          </w:tcPr>
          <w:p>
            <w:pPr>
              <w:ind w:left="140"/>
              <w:spacing w:after="0" w:line="136" w:lineRule="exact"/>
              <w:rPr>
                <w:sz w:val="20"/>
                <w:szCs w:val="20"/>
                <w:color w:val="auto"/>
              </w:rPr>
            </w:pPr>
            <w:r>
              <w:rPr>
                <w:rFonts w:ascii="Arial" w:cs="Arial" w:eastAsia="Arial" w:hAnsi="Arial"/>
                <w:sz w:val="13"/>
                <w:szCs w:val="13"/>
                <w:color w:val="auto"/>
              </w:rPr>
              <w:t>Cash proceeds received from reversion of assets from Kodak Retirement</w:t>
            </w:r>
          </w:p>
        </w:tc>
        <w:tc>
          <w:tcPr>
            <w:tcW w:w="36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3"/>
                <w:szCs w:val="13"/>
                <w:color w:val="auto"/>
              </w:rPr>
              <w:t>Income Plan</w:t>
            </w:r>
          </w:p>
        </w:tc>
        <w:tc>
          <w:tcPr>
            <w:tcW w:w="36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618</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7720" w:type="dxa"/>
            <w:vAlign w:val="bottom"/>
            <w:gridSpan w:val="2"/>
          </w:tcPr>
          <w:p>
            <w:pPr>
              <w:ind w:left="140"/>
              <w:spacing w:after="0"/>
              <w:rPr>
                <w:sz w:val="20"/>
                <w:szCs w:val="20"/>
                <w:color w:val="auto"/>
              </w:rPr>
            </w:pPr>
            <w:r>
              <w:rPr>
                <w:rFonts w:ascii="Arial" w:cs="Arial" w:eastAsia="Arial" w:hAnsi="Arial"/>
                <w:sz w:val="13"/>
                <w:szCs w:val="13"/>
                <w:color w:val="auto"/>
              </w:rPr>
              <w:t>Provision (benefit) from deferred income taxes</w:t>
            </w:r>
          </w:p>
        </w:tc>
        <w:tc>
          <w:tcPr>
            <w:tcW w:w="36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48"/>
        </w:trPr>
        <w:tc>
          <w:tcPr>
            <w:tcW w:w="7720" w:type="dxa"/>
            <w:vAlign w:val="bottom"/>
            <w:gridSpan w:val="2"/>
            <w:shd w:val="clear" w:color="auto" w:fill="CFF0FC"/>
          </w:tcPr>
          <w:p>
            <w:pPr>
              <w:ind w:left="140"/>
              <w:spacing w:after="0"/>
              <w:rPr>
                <w:sz w:val="20"/>
                <w:szCs w:val="20"/>
                <w:color w:val="auto"/>
              </w:rPr>
            </w:pPr>
            <w:r>
              <w:rPr>
                <w:rFonts w:ascii="Arial" w:cs="Arial" w:eastAsia="Arial" w:hAnsi="Arial"/>
                <w:sz w:val="13"/>
                <w:szCs w:val="13"/>
                <w:color w:val="auto"/>
              </w:rPr>
              <w:t>Decrease in trade receivables</w:t>
            </w:r>
          </w:p>
        </w:tc>
        <w:tc>
          <w:tcPr>
            <w:tcW w:w="360" w:type="dxa"/>
            <w:vAlign w:val="bottom"/>
            <w:shd w:val="clear" w:color="auto" w:fill="CFF0FC"/>
          </w:tcPr>
          <w:p>
            <w:pPr>
              <w:spacing w:after="0"/>
              <w:rPr>
                <w:sz w:val="12"/>
                <w:szCs w:val="12"/>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gridSpan w:val="2"/>
          </w:tcPr>
          <w:p>
            <w:pPr>
              <w:ind w:left="140"/>
              <w:spacing w:after="0"/>
              <w:rPr>
                <w:sz w:val="20"/>
                <w:szCs w:val="20"/>
                <w:color w:val="auto"/>
              </w:rPr>
            </w:pPr>
            <w:r>
              <w:rPr>
                <w:rFonts w:ascii="Arial" w:cs="Arial" w:eastAsia="Arial" w:hAnsi="Arial"/>
                <w:sz w:val="13"/>
                <w:szCs w:val="13"/>
                <w:color w:val="auto"/>
              </w:rPr>
              <w:t>Decrease in miscellaneous receivables</w:t>
            </w:r>
          </w:p>
        </w:tc>
        <w:tc>
          <w:tcPr>
            <w:tcW w:w="36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20" w:type="dxa"/>
            <w:vAlign w:val="bottom"/>
            <w:gridSpan w:val="2"/>
            <w:shd w:val="clear" w:color="auto" w:fill="CFF0FC"/>
          </w:tcPr>
          <w:p>
            <w:pPr>
              <w:ind w:left="140"/>
              <w:spacing w:after="0"/>
              <w:rPr>
                <w:sz w:val="20"/>
                <w:szCs w:val="20"/>
                <w:color w:val="auto"/>
              </w:rPr>
            </w:pPr>
            <w:r>
              <w:rPr>
                <w:rFonts w:ascii="Arial" w:cs="Arial" w:eastAsia="Arial" w:hAnsi="Arial"/>
                <w:sz w:val="13"/>
                <w:szCs w:val="13"/>
                <w:color w:val="auto"/>
              </w:rPr>
              <w:t>Decrease (increase) in inventories</w:t>
            </w:r>
          </w:p>
        </w:tc>
        <w:tc>
          <w:tcPr>
            <w:tcW w:w="36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48"/>
        </w:trPr>
        <w:tc>
          <w:tcPr>
            <w:tcW w:w="7720" w:type="dxa"/>
            <w:vAlign w:val="bottom"/>
            <w:gridSpan w:val="2"/>
          </w:tcPr>
          <w:p>
            <w:pPr>
              <w:ind w:left="140"/>
              <w:spacing w:after="0"/>
              <w:rPr>
                <w:sz w:val="20"/>
                <w:szCs w:val="20"/>
                <w:color w:val="auto"/>
              </w:rPr>
            </w:pPr>
            <w:r>
              <w:rPr>
                <w:rFonts w:ascii="Arial" w:cs="Arial" w:eastAsia="Arial" w:hAnsi="Arial"/>
                <w:sz w:val="13"/>
                <w:szCs w:val="13"/>
                <w:color w:val="auto"/>
              </w:rPr>
              <w:t>Decrease in trade accounts payable</w:t>
            </w:r>
          </w:p>
        </w:tc>
        <w:tc>
          <w:tcPr>
            <w:tcW w:w="360" w:type="dxa"/>
            <w:vAlign w:val="bottom"/>
          </w:tcPr>
          <w:p>
            <w:pPr>
              <w:spacing w:after="0"/>
              <w:rPr>
                <w:sz w:val="12"/>
                <w:szCs w:val="12"/>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3"/>
                <w:szCs w:val="13"/>
                <w:color w:val="auto"/>
              </w:rPr>
              <w:t>(16)</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48"/>
        </w:trPr>
        <w:tc>
          <w:tcPr>
            <w:tcW w:w="7720" w:type="dxa"/>
            <w:vAlign w:val="bottom"/>
            <w:gridSpan w:val="2"/>
            <w:shd w:val="clear" w:color="auto" w:fill="CFF0FC"/>
          </w:tcPr>
          <w:p>
            <w:pPr>
              <w:ind w:left="140"/>
              <w:spacing w:after="0"/>
              <w:rPr>
                <w:sz w:val="20"/>
                <w:szCs w:val="20"/>
                <w:color w:val="auto"/>
              </w:rPr>
            </w:pPr>
            <w:r>
              <w:rPr>
                <w:rFonts w:ascii="Arial" w:cs="Arial" w:eastAsia="Arial" w:hAnsi="Arial"/>
                <w:sz w:val="13"/>
                <w:szCs w:val="13"/>
                <w:color w:val="auto"/>
              </w:rPr>
              <w:t>Decrease in liabilities excluding borrowings and trade payables</w:t>
            </w:r>
          </w:p>
        </w:tc>
        <w:tc>
          <w:tcPr>
            <w:tcW w:w="360" w:type="dxa"/>
            <w:vAlign w:val="bottom"/>
            <w:shd w:val="clear" w:color="auto" w:fill="CFF0FC"/>
          </w:tcPr>
          <w:p>
            <w:pPr>
              <w:spacing w:after="0"/>
              <w:rPr>
                <w:sz w:val="12"/>
                <w:szCs w:val="12"/>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(11)</w:t>
            </w: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(46)</w:t>
            </w:r>
          </w:p>
        </w:tc>
        <w:tc>
          <w:tcPr>
            <w:tcW w:w="0" w:type="dxa"/>
            <w:vAlign w:val="bottom"/>
          </w:tcPr>
          <w:p>
            <w:pPr>
              <w:spacing w:after="0"/>
              <w:rPr>
                <w:sz w:val="1"/>
                <w:szCs w:val="1"/>
                <w:color w:val="auto"/>
              </w:rPr>
            </w:pPr>
          </w:p>
        </w:tc>
      </w:tr>
      <w:tr>
        <w:trPr>
          <w:trHeight w:val="148"/>
        </w:trPr>
        <w:tc>
          <w:tcPr>
            <w:tcW w:w="7720" w:type="dxa"/>
            <w:vAlign w:val="bottom"/>
            <w:gridSpan w:val="2"/>
          </w:tcPr>
          <w:p>
            <w:pPr>
              <w:ind w:left="140"/>
              <w:spacing w:after="0"/>
              <w:rPr>
                <w:sz w:val="20"/>
                <w:szCs w:val="20"/>
                <w:color w:val="auto"/>
              </w:rPr>
            </w:pPr>
            <w:r>
              <w:rPr>
                <w:rFonts w:ascii="Arial" w:cs="Arial" w:eastAsia="Arial" w:hAnsi="Arial"/>
                <w:sz w:val="13"/>
                <w:szCs w:val="13"/>
                <w:color w:val="auto"/>
              </w:rPr>
              <w:t>Other items, net</w:t>
            </w:r>
          </w:p>
        </w:tc>
        <w:tc>
          <w:tcPr>
            <w:tcW w:w="36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720" w:type="dxa"/>
            <w:vAlign w:val="bottom"/>
            <w:gridSpan w:val="2"/>
            <w:shd w:val="clear" w:color="auto" w:fill="CFF0FC"/>
          </w:tcPr>
          <w:p>
            <w:pPr>
              <w:ind w:left="220"/>
              <w:spacing w:after="0" w:line="142" w:lineRule="exact"/>
              <w:rPr>
                <w:sz w:val="20"/>
                <w:szCs w:val="20"/>
                <w:color w:val="auto"/>
              </w:rPr>
            </w:pPr>
            <w:r>
              <w:rPr>
                <w:rFonts w:ascii="Arial" w:cs="Arial" w:eastAsia="Arial" w:hAnsi="Arial"/>
                <w:sz w:val="13"/>
                <w:szCs w:val="13"/>
                <w:color w:val="auto"/>
              </w:rPr>
              <w:t>Total adjustments</w:t>
            </w:r>
          </w:p>
        </w:tc>
        <w:tc>
          <w:tcPr>
            <w:tcW w:w="36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608</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60"/>
              <w:spacing w:after="0" w:line="142" w:lineRule="exact"/>
              <w:rPr>
                <w:sz w:val="20"/>
                <w:szCs w:val="20"/>
                <w:color w:val="auto"/>
              </w:rPr>
            </w:pPr>
            <w:r>
              <w:rPr>
                <w:rFonts w:ascii="Arial" w:cs="Arial" w:eastAsia="Arial" w:hAnsi="Arial"/>
                <w:sz w:val="13"/>
                <w:szCs w:val="13"/>
                <w:color w:val="auto"/>
              </w:rPr>
              <w:t>(109)</w:t>
            </w:r>
          </w:p>
        </w:tc>
        <w:tc>
          <w:tcPr>
            <w:tcW w:w="0" w:type="dxa"/>
            <w:vAlign w:val="bottom"/>
          </w:tcPr>
          <w:p>
            <w:pPr>
              <w:spacing w:after="0"/>
              <w:rPr>
                <w:sz w:val="1"/>
                <w:szCs w:val="1"/>
                <w:color w:val="auto"/>
              </w:rPr>
            </w:pPr>
          </w:p>
        </w:tc>
      </w:tr>
      <w:tr>
        <w:trPr>
          <w:trHeight w:val="20"/>
        </w:trPr>
        <w:tc>
          <w:tcPr>
            <w:tcW w:w="2600" w:type="dxa"/>
            <w:vAlign w:val="bottom"/>
            <w:shd w:val="clear" w:color="auto" w:fill="CFF0FC"/>
          </w:tcPr>
          <w:p>
            <w:pPr>
              <w:spacing w:after="0" w:line="20" w:lineRule="exact"/>
              <w:rPr>
                <w:sz w:val="1"/>
                <w:szCs w:val="1"/>
                <w:color w:val="auto"/>
              </w:rPr>
            </w:pPr>
          </w:p>
        </w:tc>
        <w:tc>
          <w:tcPr>
            <w:tcW w:w="51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720" w:type="dxa"/>
            <w:vAlign w:val="bottom"/>
            <w:gridSpan w:val="2"/>
          </w:tcPr>
          <w:p>
            <w:pPr>
              <w:ind w:left="280"/>
              <w:spacing w:after="0" w:line="142" w:lineRule="exact"/>
              <w:rPr>
                <w:sz w:val="20"/>
                <w:szCs w:val="20"/>
                <w:color w:val="auto"/>
              </w:rPr>
            </w:pPr>
            <w:r>
              <w:rPr>
                <w:rFonts w:ascii="Arial" w:cs="Arial" w:eastAsia="Arial" w:hAnsi="Arial"/>
                <w:sz w:val="13"/>
                <w:szCs w:val="13"/>
                <w:color w:val="auto"/>
              </w:rPr>
              <w:t>Net cash provided by (used in) operating activities</w:t>
            </w:r>
          </w:p>
        </w:tc>
        <w:tc>
          <w:tcPr>
            <w:tcW w:w="360" w:type="dxa"/>
            <w:vAlign w:val="bottom"/>
          </w:tcPr>
          <w:p>
            <w:pPr>
              <w:spacing w:after="0"/>
              <w:rPr>
                <w:sz w:val="12"/>
                <w:szCs w:val="12"/>
                <w:color w:val="auto"/>
              </w:rPr>
            </w:pPr>
          </w:p>
        </w:tc>
        <w:tc>
          <w:tcPr>
            <w:tcW w:w="1220" w:type="dxa"/>
            <w:vAlign w:val="bottom"/>
          </w:tcPr>
          <w:p>
            <w:pPr>
              <w:jc w:val="right"/>
              <w:spacing w:after="0" w:line="142" w:lineRule="exact"/>
              <w:rPr>
                <w:sz w:val="20"/>
                <w:szCs w:val="20"/>
                <w:color w:val="auto"/>
              </w:rPr>
            </w:pPr>
            <w:r>
              <w:rPr>
                <w:rFonts w:ascii="Arial" w:cs="Arial" w:eastAsia="Arial" w:hAnsi="Arial"/>
                <w:sz w:val="13"/>
                <w:szCs w:val="13"/>
                <w:color w:val="auto"/>
              </w:rPr>
              <w:t>480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20" w:type="dxa"/>
            <w:vAlign w:val="bottom"/>
            <w:gridSpan w:val="2"/>
          </w:tcPr>
          <w:p>
            <w:pPr>
              <w:jc w:val="right"/>
              <w:ind w:right="60"/>
              <w:spacing w:after="0" w:line="142" w:lineRule="exact"/>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42"/>
        </w:trPr>
        <w:tc>
          <w:tcPr>
            <w:tcW w:w="2600" w:type="dxa"/>
            <w:vAlign w:val="bottom"/>
            <w:shd w:val="clear" w:color="auto" w:fill="CFF0FC"/>
          </w:tcPr>
          <w:p>
            <w:pPr>
              <w:spacing w:after="0"/>
              <w:rPr>
                <w:sz w:val="12"/>
                <w:szCs w:val="12"/>
                <w:color w:val="auto"/>
              </w:rPr>
            </w:pPr>
          </w:p>
        </w:tc>
        <w:tc>
          <w:tcPr>
            <w:tcW w:w="5120" w:type="dxa"/>
            <w:vAlign w:val="bottom"/>
            <w:shd w:val="clear" w:color="auto" w:fill="CFF0FC"/>
          </w:tcPr>
          <w:p>
            <w:pPr>
              <w:spacing w:after="0"/>
              <w:rPr>
                <w:sz w:val="12"/>
                <w:szCs w:val="12"/>
                <w:color w:val="auto"/>
              </w:rPr>
            </w:pPr>
          </w:p>
        </w:tc>
        <w:tc>
          <w:tcPr>
            <w:tcW w:w="360" w:type="dxa"/>
            <w:vAlign w:val="bottom"/>
            <w:tcBorders>
              <w:top w:val="single" w:sz="8" w:color="auto"/>
            </w:tcBorders>
            <w:shd w:val="clear" w:color="auto" w:fill="CFF0FC"/>
          </w:tcPr>
          <w:p>
            <w:pPr>
              <w:spacing w:after="0"/>
              <w:rPr>
                <w:sz w:val="12"/>
                <w:szCs w:val="12"/>
                <w:color w:val="auto"/>
              </w:rPr>
            </w:pPr>
          </w:p>
        </w:tc>
        <w:tc>
          <w:tcPr>
            <w:tcW w:w="1220" w:type="dxa"/>
            <w:vAlign w:val="bottom"/>
            <w:tcBorders>
              <w:top w:val="single" w:sz="8" w:color="auto"/>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tcBorders>
              <w:top w:val="single" w:sz="8" w:color="auto"/>
            </w:tcBorders>
            <w:shd w:val="clear" w:color="auto" w:fill="CFF0FC"/>
          </w:tcPr>
          <w:p>
            <w:pPr>
              <w:spacing w:after="0"/>
              <w:rPr>
                <w:sz w:val="12"/>
                <w:szCs w:val="12"/>
                <w:color w:val="auto"/>
              </w:rPr>
            </w:pPr>
          </w:p>
        </w:tc>
        <w:tc>
          <w:tcPr>
            <w:tcW w:w="122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20" w:type="dxa"/>
            <w:vAlign w:val="bottom"/>
            <w:gridSpan w:val="2"/>
          </w:tcPr>
          <w:p>
            <w:pPr>
              <w:spacing w:after="0"/>
              <w:rPr>
                <w:sz w:val="20"/>
                <w:szCs w:val="20"/>
                <w:color w:val="auto"/>
              </w:rPr>
            </w:pPr>
            <w:r>
              <w:rPr>
                <w:rFonts w:ascii="Arial" w:cs="Arial" w:eastAsia="Arial" w:hAnsi="Arial"/>
                <w:sz w:val="13"/>
                <w:szCs w:val="13"/>
                <w:color w:val="auto"/>
              </w:rPr>
              <w:t>Cash flows from investing activities:</w:t>
            </w:r>
          </w:p>
        </w:tc>
        <w:tc>
          <w:tcPr>
            <w:tcW w:w="3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gridSpan w:val="2"/>
            <w:shd w:val="clear" w:color="auto" w:fill="CFF0FC"/>
          </w:tcPr>
          <w:p>
            <w:pPr>
              <w:ind w:left="140"/>
              <w:spacing w:after="0"/>
              <w:rPr>
                <w:sz w:val="20"/>
                <w:szCs w:val="20"/>
                <w:color w:val="auto"/>
              </w:rPr>
            </w:pPr>
            <w:r>
              <w:rPr>
                <w:rFonts w:ascii="Arial" w:cs="Arial" w:eastAsia="Arial" w:hAnsi="Arial"/>
                <w:sz w:val="13"/>
                <w:szCs w:val="13"/>
                <w:color w:val="auto"/>
              </w:rPr>
              <w:t>Additions to properties</w:t>
            </w:r>
          </w:p>
        </w:tc>
        <w:tc>
          <w:tcPr>
            <w:tcW w:w="360" w:type="dxa"/>
            <w:vAlign w:val="bottom"/>
            <w:shd w:val="clear" w:color="auto" w:fill="CFF0FC"/>
          </w:tcPr>
          <w:p>
            <w:pPr>
              <w:spacing w:after="0"/>
              <w:rPr>
                <w:sz w:val="12"/>
                <w:szCs w:val="12"/>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(34)</w:t>
            </w: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(56)</w:t>
            </w:r>
          </w:p>
        </w:tc>
        <w:tc>
          <w:tcPr>
            <w:tcW w:w="0" w:type="dxa"/>
            <w:vAlign w:val="bottom"/>
          </w:tcPr>
          <w:p>
            <w:pPr>
              <w:spacing w:after="0"/>
              <w:rPr>
                <w:sz w:val="1"/>
                <w:szCs w:val="1"/>
                <w:color w:val="auto"/>
              </w:rPr>
            </w:pPr>
          </w:p>
        </w:tc>
      </w:tr>
      <w:tr>
        <w:trPr>
          <w:trHeight w:val="149"/>
        </w:trPr>
        <w:tc>
          <w:tcPr>
            <w:tcW w:w="7720" w:type="dxa"/>
            <w:vAlign w:val="bottom"/>
            <w:gridSpan w:val="2"/>
          </w:tcPr>
          <w:p>
            <w:pPr>
              <w:ind w:left="140"/>
              <w:spacing w:after="0"/>
              <w:rPr>
                <w:sz w:val="20"/>
                <w:szCs w:val="20"/>
                <w:color w:val="auto"/>
              </w:rPr>
            </w:pPr>
            <w:r>
              <w:rPr>
                <w:rFonts w:ascii="Arial" w:cs="Arial" w:eastAsia="Arial" w:hAnsi="Arial"/>
                <w:sz w:val="13"/>
                <w:szCs w:val="13"/>
                <w:color w:val="auto"/>
              </w:rPr>
              <w:t>Net proceeds from sales of assets</w:t>
            </w:r>
          </w:p>
        </w:tc>
        <w:tc>
          <w:tcPr>
            <w:tcW w:w="36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720" w:type="dxa"/>
            <w:vAlign w:val="bottom"/>
            <w:gridSpan w:val="2"/>
            <w:shd w:val="clear" w:color="auto" w:fill="CFF0FC"/>
          </w:tcPr>
          <w:p>
            <w:pPr>
              <w:ind w:left="280"/>
              <w:spacing w:after="0" w:line="142" w:lineRule="exact"/>
              <w:rPr>
                <w:sz w:val="20"/>
                <w:szCs w:val="20"/>
                <w:color w:val="auto"/>
              </w:rPr>
            </w:pPr>
            <w:r>
              <w:rPr>
                <w:rFonts w:ascii="Arial" w:cs="Arial" w:eastAsia="Arial" w:hAnsi="Arial"/>
                <w:sz w:val="13"/>
                <w:szCs w:val="13"/>
                <w:color w:val="auto"/>
              </w:rPr>
              <w:t>Net cash used in investing activities</w:t>
            </w:r>
          </w:p>
        </w:tc>
        <w:tc>
          <w:tcPr>
            <w:tcW w:w="360" w:type="dxa"/>
            <w:vAlign w:val="bottom"/>
            <w:shd w:val="clear" w:color="auto" w:fill="CFF0FC"/>
          </w:tcPr>
          <w:p>
            <w:pPr>
              <w:spacing w:after="0"/>
              <w:rPr>
                <w:sz w:val="12"/>
                <w:szCs w:val="12"/>
                <w:color w:val="auto"/>
              </w:rPr>
            </w:pPr>
          </w:p>
        </w:tc>
        <w:tc>
          <w:tcPr>
            <w:tcW w:w="1380" w:type="dxa"/>
            <w:vAlign w:val="bottom"/>
            <w:gridSpan w:val="2"/>
            <w:shd w:val="clear" w:color="auto" w:fill="CFF0FC"/>
          </w:tcPr>
          <w:p>
            <w:pPr>
              <w:jc w:val="right"/>
              <w:ind w:right="120"/>
              <w:spacing w:after="0" w:line="142" w:lineRule="exact"/>
              <w:rPr>
                <w:sz w:val="20"/>
                <w:szCs w:val="20"/>
                <w:color w:val="auto"/>
              </w:rPr>
            </w:pPr>
            <w:r>
              <w:rPr>
                <w:rFonts w:ascii="Arial" w:cs="Arial" w:eastAsia="Arial" w:hAnsi="Arial"/>
                <w:sz w:val="13"/>
                <w:szCs w:val="13"/>
                <w:color w:val="auto"/>
              </w:rPr>
              <w:t>(29)</w:t>
            </w: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60"/>
              <w:spacing w:after="0" w:line="142" w:lineRule="exact"/>
              <w:rPr>
                <w:sz w:val="20"/>
                <w:szCs w:val="20"/>
                <w:color w:val="auto"/>
              </w:rPr>
            </w:pPr>
            <w:r>
              <w:rPr>
                <w:rFonts w:ascii="Arial" w:cs="Arial" w:eastAsia="Arial" w:hAnsi="Arial"/>
                <w:sz w:val="13"/>
                <w:szCs w:val="13"/>
                <w:color w:val="auto"/>
              </w:rPr>
              <w:t>(39)</w:t>
            </w:r>
          </w:p>
        </w:tc>
        <w:tc>
          <w:tcPr>
            <w:tcW w:w="0" w:type="dxa"/>
            <w:vAlign w:val="bottom"/>
          </w:tcPr>
          <w:p>
            <w:pPr>
              <w:spacing w:after="0"/>
              <w:rPr>
                <w:sz w:val="1"/>
                <w:szCs w:val="1"/>
                <w:color w:val="auto"/>
              </w:rPr>
            </w:pPr>
          </w:p>
        </w:tc>
      </w:tr>
      <w:tr>
        <w:trPr>
          <w:trHeight w:val="142"/>
        </w:trPr>
        <w:tc>
          <w:tcPr>
            <w:tcW w:w="2600" w:type="dxa"/>
            <w:vAlign w:val="bottom"/>
            <w:tcBorders>
              <w:top w:val="single" w:sz="8" w:color="CFF0FC"/>
            </w:tcBorders>
          </w:tcPr>
          <w:p>
            <w:pPr>
              <w:spacing w:after="0"/>
              <w:rPr>
                <w:sz w:val="12"/>
                <w:szCs w:val="12"/>
                <w:color w:val="auto"/>
              </w:rPr>
            </w:pPr>
          </w:p>
        </w:tc>
        <w:tc>
          <w:tcPr>
            <w:tcW w:w="5120" w:type="dxa"/>
            <w:vAlign w:val="bottom"/>
            <w:tcBorders>
              <w:top w:val="single" w:sz="8" w:color="CFF0FC"/>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160" w:type="dxa"/>
            <w:vAlign w:val="bottom"/>
            <w:tcBorders>
              <w:top w:val="single" w:sz="8" w:color="CFF0FC"/>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2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Cash flows from financing activities:</w:t>
            </w:r>
          </w:p>
        </w:tc>
        <w:tc>
          <w:tcPr>
            <w:tcW w:w="36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gridSpan w:val="2"/>
          </w:tcPr>
          <w:p>
            <w:pPr>
              <w:ind w:left="140"/>
              <w:spacing w:after="0"/>
              <w:rPr>
                <w:sz w:val="20"/>
                <w:szCs w:val="20"/>
                <w:color w:val="auto"/>
              </w:rPr>
            </w:pPr>
            <w:r>
              <w:rPr>
                <w:rFonts w:ascii="Arial" w:cs="Arial" w:eastAsia="Arial" w:hAnsi="Arial"/>
                <w:sz w:val="13"/>
                <w:szCs w:val="13"/>
                <w:color w:val="auto"/>
              </w:rPr>
              <w:t>Net proceeds from ATM equity offering program</w:t>
            </w:r>
          </w:p>
        </w:tc>
        <w:tc>
          <w:tcPr>
            <w:tcW w:w="36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7720" w:type="dxa"/>
            <w:vAlign w:val="bottom"/>
            <w:gridSpan w:val="2"/>
            <w:shd w:val="clear" w:color="auto" w:fill="CFF0FC"/>
          </w:tcPr>
          <w:p>
            <w:pPr>
              <w:ind w:left="140"/>
              <w:spacing w:after="0"/>
              <w:rPr>
                <w:sz w:val="20"/>
                <w:szCs w:val="20"/>
                <w:color w:val="auto"/>
              </w:rPr>
            </w:pPr>
            <w:r>
              <w:rPr>
                <w:rFonts w:ascii="Arial" w:cs="Arial" w:eastAsia="Arial" w:hAnsi="Arial"/>
                <w:sz w:val="13"/>
                <w:szCs w:val="13"/>
                <w:color w:val="auto"/>
              </w:rPr>
              <w:t>Repayment of Amended and Restated Term Loan Agreement</w:t>
            </w:r>
          </w:p>
        </w:tc>
        <w:tc>
          <w:tcPr>
            <w:tcW w:w="360" w:type="dxa"/>
            <w:vAlign w:val="bottom"/>
            <w:shd w:val="clear" w:color="auto" w:fill="CFF0FC"/>
          </w:tcPr>
          <w:p>
            <w:pPr>
              <w:spacing w:after="0"/>
              <w:rPr>
                <w:sz w:val="12"/>
                <w:szCs w:val="12"/>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(306)</w:t>
            </w: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149"/>
        </w:trPr>
        <w:tc>
          <w:tcPr>
            <w:tcW w:w="7720" w:type="dxa"/>
            <w:vAlign w:val="bottom"/>
            <w:gridSpan w:val="2"/>
          </w:tcPr>
          <w:p>
            <w:pPr>
              <w:ind w:left="140"/>
              <w:spacing w:after="0"/>
              <w:rPr>
                <w:sz w:val="20"/>
                <w:szCs w:val="20"/>
                <w:color w:val="auto"/>
              </w:rPr>
            </w:pPr>
            <w:r>
              <w:rPr>
                <w:rFonts w:ascii="Arial" w:cs="Arial" w:eastAsia="Arial" w:hAnsi="Arial"/>
                <w:sz w:val="13"/>
                <w:szCs w:val="13"/>
                <w:color w:val="auto"/>
              </w:rPr>
              <w:t>Preferred stock cash dividend payments</w:t>
            </w:r>
          </w:p>
        </w:tc>
        <w:tc>
          <w:tcPr>
            <w:tcW w:w="360" w:type="dxa"/>
            <w:vAlign w:val="bottom"/>
          </w:tcPr>
          <w:p>
            <w:pPr>
              <w:spacing w:after="0"/>
              <w:rPr>
                <w:sz w:val="12"/>
                <w:szCs w:val="12"/>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48"/>
        </w:trPr>
        <w:tc>
          <w:tcPr>
            <w:tcW w:w="7720" w:type="dxa"/>
            <w:vAlign w:val="bottom"/>
            <w:gridSpan w:val="2"/>
            <w:shd w:val="clear" w:color="auto" w:fill="CFF0FC"/>
          </w:tcPr>
          <w:p>
            <w:pPr>
              <w:ind w:left="140"/>
              <w:spacing w:after="0"/>
              <w:rPr>
                <w:sz w:val="20"/>
                <w:szCs w:val="20"/>
                <w:color w:val="auto"/>
              </w:rPr>
            </w:pPr>
            <w:r>
              <w:rPr>
                <w:rFonts w:ascii="Arial" w:cs="Arial" w:eastAsia="Arial" w:hAnsi="Arial"/>
                <w:sz w:val="13"/>
                <w:szCs w:val="13"/>
                <w:color w:val="auto"/>
              </w:rPr>
              <w:t>Treasury stock purchases</w:t>
            </w:r>
          </w:p>
        </w:tc>
        <w:tc>
          <w:tcPr>
            <w:tcW w:w="360" w:type="dxa"/>
            <w:vAlign w:val="bottom"/>
            <w:shd w:val="clear" w:color="auto" w:fill="CFF0FC"/>
          </w:tcPr>
          <w:p>
            <w:pPr>
              <w:spacing w:after="0"/>
              <w:rPr>
                <w:sz w:val="12"/>
                <w:szCs w:val="12"/>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(7)</w:t>
            </w: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49"/>
        </w:trPr>
        <w:tc>
          <w:tcPr>
            <w:tcW w:w="7720" w:type="dxa"/>
            <w:vAlign w:val="bottom"/>
            <w:gridSpan w:val="2"/>
          </w:tcPr>
          <w:p>
            <w:pPr>
              <w:ind w:left="140"/>
              <w:spacing w:after="0"/>
              <w:rPr>
                <w:sz w:val="20"/>
                <w:szCs w:val="20"/>
                <w:color w:val="auto"/>
              </w:rPr>
            </w:pPr>
            <w:r>
              <w:rPr>
                <w:rFonts w:ascii="Arial" w:cs="Arial" w:eastAsia="Arial" w:hAnsi="Arial"/>
                <w:sz w:val="13"/>
                <w:szCs w:val="13"/>
                <w:color w:val="auto"/>
              </w:rPr>
              <w:t>Finance lease payments</w:t>
            </w:r>
          </w:p>
        </w:tc>
        <w:tc>
          <w:tcPr>
            <w:tcW w:w="36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720" w:type="dxa"/>
            <w:vAlign w:val="bottom"/>
            <w:gridSpan w:val="2"/>
            <w:shd w:val="clear" w:color="auto" w:fill="CFF0FC"/>
          </w:tcPr>
          <w:p>
            <w:pPr>
              <w:ind w:left="280"/>
              <w:spacing w:after="0" w:line="142" w:lineRule="exact"/>
              <w:rPr>
                <w:sz w:val="20"/>
                <w:szCs w:val="20"/>
                <w:color w:val="auto"/>
              </w:rPr>
            </w:pPr>
            <w:r>
              <w:rPr>
                <w:rFonts w:ascii="Arial" w:cs="Arial" w:eastAsia="Arial" w:hAnsi="Arial"/>
                <w:sz w:val="13"/>
                <w:szCs w:val="13"/>
                <w:color w:val="auto"/>
              </w:rPr>
              <w:t>Net cash used in financing activities</w:t>
            </w:r>
          </w:p>
        </w:tc>
        <w:tc>
          <w:tcPr>
            <w:tcW w:w="360" w:type="dxa"/>
            <w:vAlign w:val="bottom"/>
            <w:shd w:val="clear" w:color="auto" w:fill="CFF0FC"/>
          </w:tcPr>
          <w:p>
            <w:pPr>
              <w:spacing w:after="0"/>
              <w:rPr>
                <w:sz w:val="12"/>
                <w:szCs w:val="12"/>
                <w:color w:val="auto"/>
              </w:rPr>
            </w:pPr>
          </w:p>
        </w:tc>
        <w:tc>
          <w:tcPr>
            <w:tcW w:w="1380" w:type="dxa"/>
            <w:vAlign w:val="bottom"/>
            <w:gridSpan w:val="2"/>
            <w:shd w:val="clear" w:color="auto" w:fill="CFF0FC"/>
          </w:tcPr>
          <w:p>
            <w:pPr>
              <w:jc w:val="right"/>
              <w:ind w:right="120"/>
              <w:spacing w:after="0" w:line="142" w:lineRule="exact"/>
              <w:rPr>
                <w:sz w:val="20"/>
                <w:szCs w:val="20"/>
                <w:color w:val="auto"/>
              </w:rPr>
            </w:pPr>
            <w:r>
              <w:rPr>
                <w:rFonts w:ascii="Arial" w:cs="Arial" w:eastAsia="Arial" w:hAnsi="Arial"/>
                <w:sz w:val="13"/>
                <w:szCs w:val="13"/>
                <w:color w:val="auto"/>
              </w:rPr>
              <w:t>(314)</w:t>
            </w: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60"/>
              <w:spacing w:after="0" w:line="142" w:lineRule="exact"/>
              <w:rPr>
                <w:sz w:val="20"/>
                <w:szCs w:val="20"/>
                <w:color w:val="auto"/>
              </w:rPr>
            </w:pPr>
            <w:r>
              <w:rPr>
                <w:rFonts w:ascii="Arial" w:cs="Arial" w:eastAsia="Arial" w:hAnsi="Arial"/>
                <w:sz w:val="13"/>
                <w:szCs w:val="13"/>
                <w:color w:val="auto"/>
              </w:rPr>
              <w:t>(23)</w:t>
            </w:r>
          </w:p>
        </w:tc>
        <w:tc>
          <w:tcPr>
            <w:tcW w:w="0" w:type="dxa"/>
            <w:vAlign w:val="bottom"/>
          </w:tcPr>
          <w:p>
            <w:pPr>
              <w:spacing w:after="0"/>
              <w:rPr>
                <w:sz w:val="1"/>
                <w:szCs w:val="1"/>
                <w:color w:val="auto"/>
              </w:rPr>
            </w:pPr>
          </w:p>
        </w:tc>
      </w:tr>
      <w:tr>
        <w:trPr>
          <w:trHeight w:val="20"/>
        </w:trPr>
        <w:tc>
          <w:tcPr>
            <w:tcW w:w="2600" w:type="dxa"/>
            <w:vAlign w:val="bottom"/>
            <w:shd w:val="clear" w:color="auto" w:fill="CFF0FC"/>
          </w:tcPr>
          <w:p>
            <w:pPr>
              <w:spacing w:after="0" w:line="20" w:lineRule="exact"/>
              <w:rPr>
                <w:sz w:val="1"/>
                <w:szCs w:val="1"/>
                <w:color w:val="auto"/>
              </w:rPr>
            </w:pPr>
          </w:p>
        </w:tc>
        <w:tc>
          <w:tcPr>
            <w:tcW w:w="51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720" w:type="dxa"/>
            <w:vAlign w:val="bottom"/>
            <w:gridSpan w:val="2"/>
          </w:tcPr>
          <w:p>
            <w:pPr>
              <w:spacing w:after="0" w:line="142" w:lineRule="exact"/>
              <w:rPr>
                <w:sz w:val="20"/>
                <w:szCs w:val="20"/>
                <w:color w:val="auto"/>
              </w:rPr>
            </w:pPr>
            <w:r>
              <w:rPr>
                <w:rFonts w:ascii="Arial" w:cs="Arial" w:eastAsia="Arial" w:hAnsi="Arial"/>
                <w:sz w:val="13"/>
                <w:szCs w:val="13"/>
                <w:color w:val="auto"/>
              </w:rPr>
              <w:t>Effect of exchange rate changes on cash, cash equivalents and restricted cash</w:t>
            </w:r>
          </w:p>
        </w:tc>
        <w:tc>
          <w:tcPr>
            <w:tcW w:w="360" w:type="dxa"/>
            <w:vAlign w:val="bottom"/>
          </w:tcPr>
          <w:p>
            <w:pPr>
              <w:spacing w:after="0"/>
              <w:rPr>
                <w:sz w:val="12"/>
                <w:szCs w:val="12"/>
                <w:color w:val="auto"/>
              </w:rPr>
            </w:pPr>
          </w:p>
        </w:tc>
        <w:tc>
          <w:tcPr>
            <w:tcW w:w="1220" w:type="dxa"/>
            <w:vAlign w:val="bottom"/>
          </w:tcPr>
          <w:p>
            <w:pPr>
              <w:jc w:val="right"/>
              <w:spacing w:after="0" w:line="142" w:lineRule="exact"/>
              <w:rPr>
                <w:sz w:val="20"/>
                <w:szCs w:val="20"/>
                <w:color w:val="auto"/>
              </w:rPr>
            </w:pPr>
            <w:r>
              <w:rPr>
                <w:rFonts w:ascii="Arial" w:cs="Arial" w:eastAsia="Arial" w:hAnsi="Arial"/>
                <w:sz w:val="13"/>
                <w:szCs w:val="13"/>
                <w:color w:val="auto"/>
              </w:rPr>
              <w:t>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20" w:type="dxa"/>
            <w:vAlign w:val="bottom"/>
            <w:gridSpan w:val="2"/>
          </w:tcPr>
          <w:p>
            <w:pPr>
              <w:jc w:val="right"/>
              <w:ind w:right="60"/>
              <w:spacing w:after="0" w:line="142" w:lineRule="exact"/>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720" w:type="dxa"/>
            <w:vAlign w:val="bottom"/>
            <w:gridSpan w:val="2"/>
            <w:shd w:val="clear" w:color="auto" w:fill="CFF0FC"/>
          </w:tcPr>
          <w:p>
            <w:pPr>
              <w:spacing w:after="0" w:line="142" w:lineRule="exact"/>
              <w:rPr>
                <w:sz w:val="20"/>
                <w:szCs w:val="20"/>
                <w:color w:val="auto"/>
              </w:rPr>
            </w:pPr>
            <w:r>
              <w:rPr>
                <w:rFonts w:ascii="Arial" w:cs="Arial" w:eastAsia="Arial" w:hAnsi="Arial"/>
                <w:sz w:val="13"/>
                <w:szCs w:val="13"/>
                <w:color w:val="auto"/>
              </w:rPr>
              <w:t>Net increase (decrease) in cash, cash equivalents and restricted cash</w:t>
            </w:r>
          </w:p>
        </w:tc>
        <w:tc>
          <w:tcPr>
            <w:tcW w:w="36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141</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60"/>
              <w:spacing w:after="0" w:line="142" w:lineRule="exact"/>
              <w:rPr>
                <w:sz w:val="20"/>
                <w:szCs w:val="20"/>
                <w:color w:val="auto"/>
              </w:rPr>
            </w:pPr>
            <w:r>
              <w:rPr>
                <w:rFonts w:ascii="Arial" w:cs="Arial" w:eastAsia="Arial" w:hAnsi="Arial"/>
                <w:sz w:val="13"/>
                <w:szCs w:val="13"/>
                <w:color w:val="auto"/>
              </w:rPr>
              <w:t>(76)</w:t>
            </w:r>
          </w:p>
        </w:tc>
        <w:tc>
          <w:tcPr>
            <w:tcW w:w="0" w:type="dxa"/>
            <w:vAlign w:val="bottom"/>
          </w:tcPr>
          <w:p>
            <w:pPr>
              <w:spacing w:after="0"/>
              <w:rPr>
                <w:sz w:val="1"/>
                <w:szCs w:val="1"/>
                <w:color w:val="auto"/>
              </w:rPr>
            </w:pPr>
          </w:p>
        </w:tc>
      </w:tr>
      <w:tr>
        <w:trPr>
          <w:trHeight w:val="148"/>
        </w:trPr>
        <w:tc>
          <w:tcPr>
            <w:tcW w:w="7720" w:type="dxa"/>
            <w:vAlign w:val="bottom"/>
            <w:gridSpan w:val="2"/>
          </w:tcPr>
          <w:p>
            <w:pPr>
              <w:spacing w:after="0"/>
              <w:rPr>
                <w:sz w:val="20"/>
                <w:szCs w:val="20"/>
                <w:color w:val="auto"/>
              </w:rPr>
            </w:pPr>
            <w:r>
              <w:rPr>
                <w:rFonts w:ascii="Arial" w:cs="Arial" w:eastAsia="Arial" w:hAnsi="Arial"/>
                <w:sz w:val="13"/>
                <w:szCs w:val="13"/>
                <w:color w:val="auto"/>
              </w:rPr>
              <w:t>Cash, cash equivalents and restricted cash, beginning of period</w:t>
            </w:r>
          </w:p>
        </w:tc>
        <w:tc>
          <w:tcPr>
            <w:tcW w:w="36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7720" w:type="dxa"/>
            <w:vAlign w:val="bottom"/>
            <w:gridSpan w:val="2"/>
            <w:shd w:val="clear" w:color="auto" w:fill="CFF0FC"/>
          </w:tcPr>
          <w:p>
            <w:pPr>
              <w:spacing w:after="0" w:line="142" w:lineRule="exact"/>
              <w:rPr>
                <w:sz w:val="20"/>
                <w:szCs w:val="20"/>
                <w:color w:val="auto"/>
              </w:rPr>
            </w:pPr>
            <w:r>
              <w:rPr>
                <w:rFonts w:ascii="Arial" w:cs="Arial" w:eastAsia="Arial" w:hAnsi="Arial"/>
                <w:sz w:val="13"/>
                <w:szCs w:val="13"/>
                <w:color w:val="auto"/>
              </w:rPr>
              <w:t>Cash, cash equivalents and restricted cash, end of period</w:t>
            </w:r>
          </w:p>
        </w:tc>
        <w:tc>
          <w:tcPr>
            <w:tcW w:w="360" w:type="dxa"/>
            <w:vAlign w:val="bottom"/>
            <w:shd w:val="clear" w:color="auto" w:fill="CFF0FC"/>
          </w:tcPr>
          <w:p>
            <w:pPr>
              <w:jc w:val="right"/>
              <w:ind w:right="213"/>
              <w:spacing w:after="0" w:line="142" w:lineRule="exact"/>
              <w:rPr>
                <w:sz w:val="20"/>
                <w:szCs w:val="20"/>
                <w:color w:val="auto"/>
              </w:rPr>
            </w:pPr>
            <w:r>
              <w:rPr>
                <w:rFonts w:ascii="Arial" w:cs="Arial" w:eastAsia="Arial" w:hAnsi="Arial"/>
                <w:sz w:val="13"/>
                <w:szCs w:val="13"/>
                <w:color w:val="auto"/>
                <w:w w:val="82"/>
              </w:rPr>
              <w:t>$</w:t>
            </w:r>
          </w:p>
        </w:tc>
        <w:tc>
          <w:tcPr>
            <w:tcW w:w="122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442</w:t>
            </w:r>
          </w:p>
        </w:tc>
        <w:tc>
          <w:tcPr>
            <w:tcW w:w="160" w:type="dxa"/>
            <w:vAlign w:val="bottom"/>
            <w:shd w:val="clear" w:color="auto" w:fill="CFF0FC"/>
          </w:tcPr>
          <w:p>
            <w:pPr>
              <w:spacing w:after="0"/>
              <w:rPr>
                <w:sz w:val="15"/>
                <w:szCs w:val="15"/>
                <w:color w:val="auto"/>
              </w:rPr>
            </w:pPr>
          </w:p>
        </w:tc>
        <w:tc>
          <w:tcPr>
            <w:tcW w:w="460" w:type="dxa"/>
            <w:vAlign w:val="bottom"/>
            <w:gridSpan w:val="2"/>
            <w:shd w:val="clear" w:color="auto" w:fill="CFF0FC"/>
          </w:tcPr>
          <w:p>
            <w:pPr>
              <w:jc w:val="right"/>
              <w:ind w:right="260"/>
              <w:spacing w:after="0" w:line="142" w:lineRule="exact"/>
              <w:rPr>
                <w:sz w:val="20"/>
                <w:szCs w:val="20"/>
                <w:color w:val="auto"/>
              </w:rPr>
            </w:pPr>
            <w:r>
              <w:rPr>
                <w:rFonts w:ascii="Arial" w:cs="Arial" w:eastAsia="Arial" w:hAnsi="Arial"/>
                <w:sz w:val="13"/>
                <w:szCs w:val="13"/>
                <w:color w:val="auto"/>
              </w:rPr>
              <w:t>$</w:t>
            </w:r>
          </w:p>
        </w:tc>
        <w:tc>
          <w:tcPr>
            <w:tcW w:w="122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301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7720" w:type="dxa"/>
            <w:vAlign w:val="bottom"/>
            <w:tcBorders>
              <w:top w:val="single" w:sz="8" w:color="CFF0FC"/>
            </w:tcBorders>
            <w:gridSpan w:val="2"/>
          </w:tcPr>
          <w:p>
            <w:pPr>
              <w:spacing w:after="0"/>
              <w:rPr>
                <w:sz w:val="20"/>
                <w:szCs w:val="20"/>
                <w:color w:val="auto"/>
              </w:rPr>
            </w:pPr>
            <w:r>
              <w:rPr>
                <w:rFonts w:ascii="Arial" w:cs="Arial" w:eastAsia="Arial" w:hAnsi="Arial"/>
                <w:sz w:val="13"/>
                <w:szCs w:val="13"/>
                <w:b w:val="1"/>
                <w:bCs w:val="1"/>
                <w:color w:val="auto"/>
              </w:rPr>
              <w:t>Non-cash investing and financing items:</w:t>
            </w:r>
          </w:p>
        </w:tc>
        <w:tc>
          <w:tcPr>
            <w:tcW w:w="36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160" w:type="dxa"/>
            <w:vAlign w:val="bottom"/>
            <w:tcBorders>
              <w:top w:val="single" w:sz="8" w:color="CFF0FC"/>
            </w:tcBorders>
          </w:tcPr>
          <w:p>
            <w:pPr>
              <w:spacing w:after="0"/>
              <w:rPr>
                <w:sz w:val="22"/>
                <w:szCs w:val="22"/>
                <w:color w:val="auto"/>
              </w:rPr>
            </w:pPr>
          </w:p>
        </w:tc>
        <w:tc>
          <w:tcPr>
            <w:tcW w:w="120" w:type="dxa"/>
            <w:vAlign w:val="bottom"/>
            <w:tcBorders>
              <w:top w:val="single" w:sz="8" w:color="CFF0FC"/>
            </w:tcBorders>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100" w:type="dxa"/>
            <w:vAlign w:val="bottom"/>
            <w:tcBorders>
              <w:top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142"/>
        </w:trPr>
        <w:tc>
          <w:tcPr>
            <w:tcW w:w="2600" w:type="dxa"/>
            <w:vAlign w:val="bottom"/>
            <w:tcBorders>
              <w:top w:val="single" w:sz="8" w:color="auto"/>
            </w:tcBorders>
            <w:shd w:val="clear" w:color="auto" w:fill="CFF0FC"/>
          </w:tcPr>
          <w:p>
            <w:pPr>
              <w:spacing w:after="0" w:line="142" w:lineRule="exact"/>
              <w:rPr>
                <w:sz w:val="20"/>
                <w:szCs w:val="20"/>
                <w:color w:val="auto"/>
              </w:rPr>
            </w:pPr>
            <w:r>
              <w:rPr>
                <w:rFonts w:ascii="Arial" w:cs="Arial" w:eastAsia="Arial" w:hAnsi="Arial"/>
                <w:sz w:val="13"/>
                <w:szCs w:val="13"/>
                <w:color w:val="auto"/>
              </w:rPr>
              <w:t>Non-cash investing activities:</w:t>
            </w:r>
          </w:p>
        </w:tc>
        <w:tc>
          <w:tcPr>
            <w:tcW w:w="51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20" w:type="dxa"/>
            <w:vAlign w:val="bottom"/>
            <w:gridSpan w:val="2"/>
          </w:tcPr>
          <w:p>
            <w:pPr>
              <w:ind w:left="160"/>
              <w:spacing w:after="0"/>
              <w:rPr>
                <w:sz w:val="20"/>
                <w:szCs w:val="20"/>
                <w:color w:val="auto"/>
              </w:rPr>
            </w:pPr>
            <w:r>
              <w:rPr>
                <w:rFonts w:ascii="Arial" w:cs="Arial" w:eastAsia="Arial" w:hAnsi="Arial"/>
                <w:sz w:val="13"/>
                <w:szCs w:val="13"/>
                <w:color w:val="auto"/>
              </w:rPr>
              <w:t>Reversion of KRIP non-cash investment assets to Kodak</w:t>
            </w:r>
          </w:p>
        </w:tc>
        <w:tc>
          <w:tcPr>
            <w:tcW w:w="360" w:type="dxa"/>
            <w:vAlign w:val="bottom"/>
          </w:tcPr>
          <w:p>
            <w:pPr>
              <w:jc w:val="right"/>
              <w:ind w:right="213"/>
              <w:spacing w:after="0"/>
              <w:rPr>
                <w:sz w:val="20"/>
                <w:szCs w:val="20"/>
                <w:color w:val="auto"/>
              </w:rPr>
            </w:pPr>
            <w:r>
              <w:rPr>
                <w:rFonts w:ascii="Arial" w:cs="Arial" w:eastAsia="Arial" w:hAnsi="Arial"/>
                <w:sz w:val="13"/>
                <w:szCs w:val="13"/>
                <w:color w:val="auto"/>
                <w:w w:val="82"/>
              </w:rPr>
              <w:t>$</w:t>
            </w:r>
          </w:p>
        </w:tc>
        <w:tc>
          <w:tcPr>
            <w:tcW w:w="1220" w:type="dxa"/>
            <w:vAlign w:val="bottom"/>
          </w:tcPr>
          <w:p>
            <w:pPr>
              <w:jc w:val="right"/>
              <w:spacing w:after="0"/>
              <w:rPr>
                <w:sz w:val="20"/>
                <w:szCs w:val="20"/>
                <w:color w:val="auto"/>
              </w:rPr>
            </w:pPr>
            <w:r>
              <w:rPr>
                <w:rFonts w:ascii="Arial" w:cs="Arial" w:eastAsia="Arial" w:hAnsi="Arial"/>
                <w:sz w:val="13"/>
                <w:szCs w:val="13"/>
                <w:color w:val="auto"/>
              </w:rPr>
              <w:t>148</w:t>
            </w:r>
          </w:p>
        </w:tc>
        <w:tc>
          <w:tcPr>
            <w:tcW w:w="160" w:type="dxa"/>
            <w:vAlign w:val="bottom"/>
          </w:tcPr>
          <w:p>
            <w:pPr>
              <w:spacing w:after="0"/>
              <w:rPr>
                <w:sz w:val="12"/>
                <w:szCs w:val="12"/>
                <w:color w:val="auto"/>
              </w:rPr>
            </w:pPr>
          </w:p>
        </w:tc>
        <w:tc>
          <w:tcPr>
            <w:tcW w:w="4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3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772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Non-cash financing activities:</w:t>
            </w:r>
          </w:p>
        </w:tc>
        <w:tc>
          <w:tcPr>
            <w:tcW w:w="36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7720" w:type="dxa"/>
            <w:vAlign w:val="bottom"/>
            <w:gridSpan w:val="2"/>
          </w:tcPr>
          <w:p>
            <w:pPr>
              <w:ind w:left="160"/>
              <w:spacing w:after="0"/>
              <w:rPr>
                <w:sz w:val="20"/>
                <w:szCs w:val="20"/>
                <w:color w:val="auto"/>
              </w:rPr>
            </w:pPr>
            <w:r>
              <w:rPr>
                <w:rFonts w:ascii="Arial" w:cs="Arial" w:eastAsia="Arial" w:hAnsi="Arial"/>
                <w:sz w:val="13"/>
                <w:szCs w:val="13"/>
                <w:color w:val="auto"/>
              </w:rPr>
              <w:t>Series C preferred stock exchange to common stock</w:t>
            </w:r>
          </w:p>
        </w:tc>
        <w:tc>
          <w:tcPr>
            <w:tcW w:w="360" w:type="dxa"/>
            <w:vAlign w:val="bottom"/>
          </w:tcPr>
          <w:p>
            <w:pPr>
              <w:jc w:val="right"/>
              <w:ind w:right="213"/>
              <w:spacing w:after="0"/>
              <w:rPr>
                <w:sz w:val="20"/>
                <w:szCs w:val="20"/>
                <w:color w:val="auto"/>
              </w:rPr>
            </w:pPr>
            <w:r>
              <w:rPr>
                <w:rFonts w:ascii="Arial" w:cs="Arial" w:eastAsia="Arial" w:hAnsi="Arial"/>
                <w:sz w:val="13"/>
                <w:szCs w:val="13"/>
                <w:color w:val="auto"/>
                <w:w w:val="82"/>
              </w:rPr>
              <w:t>$</w:t>
            </w:r>
          </w:p>
        </w:tc>
        <w:tc>
          <w:tcPr>
            <w:tcW w:w="1220" w:type="dxa"/>
            <w:vAlign w:val="bottom"/>
          </w:tcPr>
          <w:p>
            <w:pPr>
              <w:jc w:val="right"/>
              <w:spacing w:after="0"/>
              <w:rPr>
                <w:sz w:val="20"/>
                <w:szCs w:val="20"/>
                <w:color w:val="auto"/>
              </w:rPr>
            </w:pPr>
            <w:r>
              <w:rPr>
                <w:rFonts w:ascii="Arial" w:cs="Arial" w:eastAsia="Arial" w:hAnsi="Arial"/>
                <w:sz w:val="13"/>
                <w:szCs w:val="13"/>
                <w:color w:val="auto"/>
              </w:rPr>
              <w:t>124</w:t>
            </w:r>
          </w:p>
        </w:tc>
        <w:tc>
          <w:tcPr>
            <w:tcW w:w="160" w:type="dxa"/>
            <w:vAlign w:val="bottom"/>
          </w:tcPr>
          <w:p>
            <w:pPr>
              <w:spacing w:after="0"/>
              <w:rPr>
                <w:sz w:val="15"/>
                <w:szCs w:val="15"/>
                <w:color w:val="auto"/>
              </w:rPr>
            </w:pPr>
          </w:p>
        </w:tc>
        <w:tc>
          <w:tcPr>
            <w:tcW w:w="4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3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-2374265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-2374265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-1783080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-1783080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-1011555</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-1011555</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-608330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-591185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-608330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-591185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6"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color w:val="auto"/>
        </w:rPr>
        <w:t>The notes accompanying the financial statements contained in the Company’s Annual Report on Form 10-K for the year ended December 31, 2025 are an integral part of these consolidated financial statements.</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16" w:name="page17"/>
    <w:bookmarkEnd w:id="1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lowerLetter"/>
      <w:start w:val="4"/>
    </w:lvl>
  </w:abstractNum>
  <w:abstractNum w:abstractNumId="2">
    <w:nsid w:val="41B71EFB"/>
    <w:multiLevelType w:val="hybridMultilevel"/>
    <w:lvl w:ilvl="0">
      <w:lvlJc w:val="left"/>
      <w:lvlText w:val="%1"/>
      <w:numFmt w:val="decimal"/>
      <w:start w:val="104"/>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lvl w:ilvl="1">
      <w:lvlJc w:val="left"/>
      <w:lvlText w:val="o"/>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lvl w:ilvl="1">
      <w:lvlJc w:val="left"/>
      <w:lvlText w:val="o"/>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2026-03-12T15:30:01Z</dcterms:created>
  <dcterms:modified xsi:type="dcterms:W3CDTF">2026-03-12T15:30:01Z</dcterms:modified>
</cp:coreProperties>
</file>