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GSO CAPITAL PARTNERS LP</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5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40" w:type="dxa"/>
            <w:vAlign w:val="bottom"/>
            <w:gridSpan w:val="8"/>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Pr>
          <w:p>
            <w:pPr>
              <w:spacing w:after="0"/>
              <w:rPr>
                <w:sz w:val="8"/>
                <w:szCs w:val="8"/>
                <w:color w:val="auto"/>
              </w:rPr>
            </w:pPr>
          </w:p>
        </w:tc>
        <w:tc>
          <w:tcPr>
            <w:tcW w:w="3660" w:type="dxa"/>
            <w:vAlign w:val="bottom"/>
            <w:gridSpan w:val="8"/>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08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3640" w:type="dxa"/>
            <w:vAlign w:val="bottom"/>
            <w:gridSpan w:val="8"/>
            <w:vMerge w:val="continue"/>
          </w:tcPr>
          <w:p>
            <w:pPr>
              <w:spacing w:after="0"/>
              <w:rPr>
                <w:sz w:val="4"/>
                <w:szCs w:val="4"/>
                <w:color w:val="auto"/>
              </w:rPr>
            </w:pPr>
          </w:p>
        </w:tc>
        <w:tc>
          <w:tcPr>
            <w:tcW w:w="200" w:type="dxa"/>
            <w:vAlign w:val="bottom"/>
          </w:tcPr>
          <w:p>
            <w:pPr>
              <w:spacing w:after="0"/>
              <w:rPr>
                <w:sz w:val="4"/>
                <w:szCs w:val="4"/>
                <w:color w:val="auto"/>
              </w:rPr>
            </w:pPr>
          </w:p>
        </w:tc>
        <w:tc>
          <w:tcPr>
            <w:tcW w:w="36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0000FF"/>
              </w:rPr>
              <w:t>11/04/2015</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840" w:type="dxa"/>
            <w:vAlign w:val="bottom"/>
          </w:tcPr>
          <w:p>
            <w:pPr>
              <w:spacing w:after="0"/>
              <w:rPr>
                <w:sz w:val="11"/>
                <w:szCs w:val="11"/>
                <w:color w:val="auto"/>
              </w:rPr>
            </w:pPr>
          </w:p>
        </w:tc>
        <w:tc>
          <w:tcPr>
            <w:tcW w:w="1080" w:type="dxa"/>
            <w:vAlign w:val="bottom"/>
            <w:vMerge w:val="restart"/>
          </w:tcPr>
          <w:p>
            <w:pPr>
              <w:ind w:left="160"/>
              <w:spacing w:after="0"/>
              <w:rPr>
                <w:sz w:val="20"/>
                <w:szCs w:val="20"/>
                <w:color w:val="auto"/>
              </w:rPr>
            </w:pPr>
            <w:r>
              <w:rPr>
                <w:rFonts w:ascii="Arial" w:cs="Arial" w:eastAsia="Arial" w:hAnsi="Arial"/>
                <w:sz w:val="18"/>
                <w:szCs w:val="18"/>
                <w:color w:val="0000FF"/>
              </w:rPr>
              <w:t>10154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color w:val="auto"/>
              </w:rPr>
              <w:t>Person</w:t>
            </w: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160"/>
              <w:spacing w:after="0"/>
              <w:rPr>
                <w:sz w:val="20"/>
                <w:szCs w:val="20"/>
                <w:color w:val="auto"/>
              </w:rPr>
            </w:pPr>
            <w:r>
              <w:rPr>
                <w:rFonts w:ascii="Arial" w:cs="Arial" w:eastAsia="Arial" w:hAnsi="Arial"/>
                <w:sz w:val="14"/>
                <w:szCs w:val="14"/>
                <w:color w:val="auto"/>
              </w:rPr>
              <w:t>(Zip)</w:t>
            </w: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70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1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180" w:type="dxa"/>
            <w:vAlign w:val="bottom"/>
          </w:tcPr>
          <w:p>
            <w:pPr>
              <w:spacing w:after="0"/>
              <w:rPr>
                <w:sz w:val="6"/>
                <w:szCs w:val="6"/>
                <w:color w:val="auto"/>
              </w:rPr>
            </w:pPr>
          </w:p>
        </w:tc>
        <w:tc>
          <w:tcPr>
            <w:tcW w:w="9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w:t>
            </w:r>
          </w:p>
        </w:tc>
        <w:tc>
          <w:tcPr>
            <w:tcW w:w="820" w:type="dxa"/>
            <w:vAlign w:val="bottom"/>
          </w:tcPr>
          <w:p>
            <w:pPr>
              <w:spacing w:after="0"/>
              <w:rPr>
                <w:sz w:val="11"/>
                <w:szCs w:val="11"/>
                <w:color w:val="auto"/>
              </w:rPr>
            </w:pP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11/02/2015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13,095</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12.3701</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230,966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11/03/2015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26,189</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12.7232</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257,155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11/04/2015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15,714</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13.7884</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272,869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(1)(7)(12)(13)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11/02/2015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36,905</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12.3701</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167,672</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11/03/2015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73,811</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12.7232</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241,483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0000FF"/>
                <w:w w:val="88"/>
              </w:rPr>
              <w:t>11/04/2015</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360" w:type="dxa"/>
            <w:vAlign w:val="bottom"/>
          </w:tcPr>
          <w:p>
            <w:pPr>
              <w:spacing w:after="0"/>
              <w:rPr>
                <w:sz w:val="22"/>
                <w:szCs w:val="2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8"/>
                <w:szCs w:val="18"/>
                <w:color w:val="0000FF"/>
              </w:rPr>
              <w:t>44,286</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13.7884</w:t>
            </w: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9"/>
              </w:rPr>
              <w:t>285,769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(2)(7)(12)(13)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3,145,099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(3)(7)(12)(13)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2,958,768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5"/>
                <w:vertAlign w:val="subscript"/>
              </w:rPr>
              <w:t>See Footnotes</w:t>
            </w:r>
            <w:r>
              <w:rPr>
                <w:rFonts w:ascii="Arial" w:cs="Arial" w:eastAsia="Arial" w:hAnsi="Arial"/>
                <w:sz w:val="10"/>
                <w:szCs w:val="10"/>
                <w:color w:val="008000"/>
                <w:w w:val="95"/>
              </w:rPr>
              <w:t>(4)(7)(12)(13)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3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14"/>
              <w:spacing w:after="0"/>
              <w:rPr>
                <w:sz w:val="20"/>
                <w:szCs w:val="20"/>
                <w:color w:val="auto"/>
              </w:rPr>
            </w:pPr>
            <w:r>
              <w:rPr>
                <w:rFonts w:ascii="Arial" w:cs="Arial" w:eastAsia="Arial" w:hAnsi="Arial"/>
                <w:sz w:val="18"/>
                <w:szCs w:val="18"/>
                <w:color w:val="0000FF"/>
                <w:w w:val="89"/>
              </w:rPr>
              <w:t>986,236</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78"/>
                <w:vertAlign w:val="subscript"/>
              </w:rPr>
              <w:t>See Footnotes</w:t>
            </w:r>
            <w:r>
              <w:rPr>
                <w:rFonts w:ascii="Arial" w:cs="Arial" w:eastAsia="Arial" w:hAnsi="Arial"/>
                <w:sz w:val="11"/>
                <w:szCs w:val="11"/>
                <w:color w:val="008000"/>
                <w:w w:val="78"/>
              </w:rPr>
              <w:t>(5)(12)(13)(14)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7"/>
              </w:rPr>
              <w:t>1,226,470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(6)(12)(13)(14)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90"/>
              </w:rPr>
              <w:t>48,006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(8)(11)(13)(14)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90"/>
              </w:rPr>
              <w:t>13,853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line="255" w:lineRule="exact"/>
              <w:rPr>
                <w:sz w:val="20"/>
                <w:szCs w:val="20"/>
                <w:color w:val="auto"/>
              </w:rPr>
            </w:pPr>
            <w:r>
              <w:rPr>
                <w:rFonts w:ascii="Arial" w:cs="Arial" w:eastAsia="Arial" w:hAnsi="Arial"/>
                <w:sz w:val="29"/>
                <w:szCs w:val="29"/>
                <w:color w:val="0000FF"/>
                <w:w w:val="93"/>
                <w:vertAlign w:val="subscript"/>
              </w:rPr>
              <w:t>See Footnotes</w:t>
            </w:r>
            <w:r>
              <w:rPr>
                <w:rFonts w:ascii="Arial" w:cs="Arial" w:eastAsia="Arial" w:hAnsi="Arial"/>
                <w:sz w:val="10"/>
                <w:szCs w:val="10"/>
                <w:color w:val="008000"/>
                <w:w w:val="93"/>
              </w:rPr>
              <w:t>(9)(11)(13)(14)</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vMerge w:val="restart"/>
          </w:tcPr>
          <w:p>
            <w:pPr>
              <w:jc w:val="center"/>
              <w:ind w:right="14"/>
              <w:spacing w:after="0"/>
              <w:rPr>
                <w:sz w:val="20"/>
                <w:szCs w:val="20"/>
                <w:color w:val="auto"/>
              </w:rPr>
            </w:pPr>
            <w:r>
              <w:rPr>
                <w:rFonts w:ascii="Arial" w:cs="Arial" w:eastAsia="Arial" w:hAnsi="Arial"/>
                <w:sz w:val="18"/>
                <w:szCs w:val="18"/>
                <w:color w:val="0000FF"/>
                <w:w w:val="84"/>
              </w:rPr>
              <w:t>1,846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I</w:t>
            </w:r>
          </w:p>
        </w:tc>
        <w:tc>
          <w:tcPr>
            <w:tcW w:w="1800" w:type="dxa"/>
            <w:vAlign w:val="bottom"/>
            <w:gridSpan w:val="3"/>
          </w:tcPr>
          <w:p>
            <w:pPr>
              <w:spacing w:after="0"/>
              <w:rPr>
                <w:sz w:val="20"/>
                <w:szCs w:val="20"/>
                <w:color w:val="auto"/>
              </w:rPr>
            </w:pPr>
            <w:r>
              <w:rPr>
                <w:rFonts w:ascii="Arial" w:cs="Arial" w:eastAsia="Arial" w:hAnsi="Arial"/>
                <w:sz w:val="18"/>
                <w:szCs w:val="18"/>
                <w:color w:val="0000FF"/>
                <w:w w:val="91"/>
              </w:rPr>
              <w:t>See Footnotes</w:t>
            </w:r>
            <w:r>
              <w:rPr>
                <w:rFonts w:ascii="Arial" w:cs="Arial" w:eastAsia="Arial" w:hAnsi="Arial"/>
                <w:sz w:val="22"/>
                <w:szCs w:val="22"/>
                <w:color w:val="008000"/>
                <w:w w:val="91"/>
                <w:vertAlign w:val="superscript"/>
              </w:rPr>
              <w:t>(10)(11)(13)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008000"/>
              </w:rPr>
              <w:t>(14)(15)</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40" w:type="dxa"/>
            <w:vAlign w:val="bottom"/>
            <w:gridSpan w:val="14"/>
          </w:tcPr>
          <w:p>
            <w:pPr>
              <w:jc w:val="center"/>
              <w:ind w:left="32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22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4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jc w:val="right"/>
              <w:ind w:right="119"/>
              <w:spacing w:after="0"/>
              <w:rPr>
                <w:sz w:val="20"/>
                <w:szCs w:val="20"/>
                <w:color w:val="auto"/>
              </w:rPr>
            </w:pPr>
            <w:r>
              <w:rPr>
                <w:rFonts w:ascii="Arial" w:cs="Arial" w:eastAsia="Arial" w:hAnsi="Arial"/>
                <w:sz w:val="12"/>
                <w:szCs w:val="12"/>
                <w:b w:val="1"/>
                <w:bCs w:val="1"/>
                <w:color w:val="auto"/>
                <w:w w:val="95"/>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820" w:type="dxa"/>
            <w:vAlign w:val="bottom"/>
          </w:tcPr>
          <w:p>
            <w:pPr>
              <w:ind w:left="38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GSO CAPITAL PARTNERS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345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23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8237220"/>
                    </a:xfrm>
                    <a:prstGeom prst="rect">
                      <a:avLst/>
                    </a:prstGeom>
                    <a:noFill/>
                  </pic:spPr>
                </pic:pic>
              </a:graphicData>
            </a:graphic>
          </wp:anchor>
        </w:drawing>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10154</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GSO Cactus Credit Opportunities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GSO CAPITAL PARTNERS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345 PARK AVENUE</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10154</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GSO Credit Alpha Trading (Cayman)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w w:val="96"/>
              </w:rPr>
              <w:t>C/O GSO CAPITAL PARTNERS LP</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rPr>
              <w:t>345 PARK AVENUE</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80" w:type="dxa"/>
            <w:vAlign w:val="bottom"/>
            <w:gridSpan w:val="3"/>
          </w:tcPr>
          <w:p>
            <w:pPr>
              <w:ind w:left="26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4"/>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Goodman Bennett J</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w w:val="96"/>
              </w:rPr>
              <w:t>C/O GSO CAPITAL PARTNERS LP</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rPr>
              <w:t>345 PARK AVENUE</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80" w:type="dxa"/>
            <w:vAlign w:val="bottom"/>
            <w:gridSpan w:val="3"/>
          </w:tcPr>
          <w:p>
            <w:pPr>
              <w:ind w:left="26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Smith J Albert III</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w w:val="96"/>
              </w:rPr>
              <w:t>C/O GSO CAPITAL PARTNERS LP</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0000FF"/>
              </w:rPr>
              <w:t>345 PARK AVENUE</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80" w:type="dxa"/>
            <w:vAlign w:val="bottom"/>
            <w:gridSpan w:val="3"/>
          </w:tcPr>
          <w:p>
            <w:pPr>
              <w:ind w:left="26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10154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3"/>
          </w:tcPr>
          <w:p>
            <w:pPr>
              <w:ind w:left="2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Cactus Credit Opportunities Fund LP directly holds these securities.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Credit Alpha Trading (Cayman) LP directly holds these securities.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Special Situations Fund LP directly holds these securities.</w:t>
      </w:r>
    </w:p>
    <w:p>
      <w:pPr>
        <w:spacing w:after="0" w:line="41"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Special Situations Overseas Master Fund Ltd. directly holds these securities. GSO Special Situations Overseas Master Fund Ltd. is a wholly-owned subsidiary of GSO Special Situations Overseas Fund Ltd.</w:t>
      </w:r>
    </w:p>
    <w:p>
      <w:pPr>
        <w:spacing w:after="0" w:line="30" w:lineRule="exact"/>
        <w:rPr>
          <w:rFonts w:ascii="Arial" w:cs="Arial" w:eastAsia="Arial" w:hAnsi="Arial"/>
          <w:sz w:val="14"/>
          <w:szCs w:val="14"/>
          <w:color w:val="008000"/>
        </w:rPr>
      </w:pPr>
    </w:p>
    <w:p>
      <w:pPr>
        <w:ind w:left="20" w:right="1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Palmetto Opportunistic Investment Partners LP directly holds these securities. GSO Palmetto Opportunistic Associates LLC is the general partner of GSO Palmetto Opportunistic Investment Partners LP. GSO Holdings I L.L.C. is the managing member of GSO Palmetto Opportunistic Associates LLC.</w:t>
      </w:r>
    </w:p>
    <w:p>
      <w:pPr>
        <w:spacing w:after="0" w:line="30"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GSO Credit-A Partners LP directly holds these securities (together with GSO Cactus Credit Opportunities Fund LP, GSO Credit Alpha Trading (Cayman) LP, GSO Special Situations Fund LP, GSO Special Situations Overseas Master Fund Ltd. and GSO Palmetto Opportunistic Investment Partners LP, the "GSO Funds"). GSO Credit-A Associates LLC is the general partner of GSO Credit-A Partners LP. GSO Holdings I L.L.C. is the managing member of GSO Credit-A Associates LLC.</w:t>
      </w:r>
    </w:p>
    <w:p>
      <w:pPr>
        <w:spacing w:after="0" w:line="30"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GSO Capital Partners LP is the investment manager of each of GSO Cactus Credit Opportunities Fund LP, GSO Credit Alpha Trading (Cayman) LP, GSO Special Situations Fund LP, GSO Special Situations Overseas Fund Ltd. and GSO Special Situations Overseas Master Fund Ltd. GSO Advisor Holdings L.L.C. is the special limited partner of GSO Capital Partners LP.</w:t>
      </w: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FS Investment Corporation directly holds these shares of Common Stock.</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Locust Street Funding LLC directly holds these shares of Common Stock.</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FS Investment Corporation II directly holds these shares of Common Stock (together with FS Investment Corporation and Locust Street Funding LLC, the "FS Funds").</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FB Income Advisor, LLC and FSIC II Advisor, LLC are the investment managers of FS Investment Corporation and FS Investment Corporation II, respectively. FS Investment Corporation is the sole</w:t>
      </w:r>
    </w:p>
    <w:p>
      <w:pPr>
        <w:spacing w:after="0" w:line="22" w:lineRule="exact"/>
        <w:rPr>
          <w:rFonts w:ascii="Arial" w:cs="Arial" w:eastAsia="Arial" w:hAnsi="Arial"/>
          <w:sz w:val="12"/>
          <w:szCs w:val="12"/>
          <w:color w:val="008000"/>
        </w:rPr>
      </w:pPr>
    </w:p>
    <w:p>
      <w:pPr>
        <w:ind w:left="20" w:right="160"/>
        <w:spacing w:after="0" w:line="230" w:lineRule="auto"/>
        <w:rPr>
          <w:rFonts w:ascii="Arial" w:cs="Arial" w:eastAsia="Arial" w:hAnsi="Arial"/>
          <w:sz w:val="12"/>
          <w:szCs w:val="12"/>
          <w:color w:val="008000"/>
        </w:rPr>
      </w:pPr>
      <w:r>
        <w:rPr>
          <w:rFonts w:ascii="Arial" w:cs="Arial" w:eastAsia="Arial" w:hAnsi="Arial"/>
          <w:sz w:val="14"/>
          <w:szCs w:val="14"/>
          <w:color w:val="008000"/>
        </w:rPr>
        <w:t>member of Locust Street Funding LLC. In addition, each of Michael C. Forman, David J. Adelman, Gerald F. Stahlecker and Zachary Klehr may be deemed to have shared investment control with respect to the shares of Common Stock held by the FS Funds.</w:t>
      </w:r>
    </w:p>
    <w:p>
      <w:pPr>
        <w:sectPr>
          <w:pgSz w:w="11900" w:h="16838" w:orient="portrait"/>
          <w:cols w:equalWidth="0" w:num="1">
            <w:col w:w="11340"/>
          </w:cols>
          <w:pgMar w:left="260" w:top="131" w:right="299" w:bottom="0" w:gutter="0" w:footer="0" w:header="0"/>
        </w:sectPr>
      </w:pPr>
    </w:p>
    <w:bookmarkStart w:id="2" w:name="page3"/>
    <w:bookmarkEnd w:id="2"/>
    <w:p>
      <w:pPr>
        <w:ind w:right="60" w:firstLine="9"/>
        <w:spacing w:after="0" w:line="275"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Blackstone Holdings I L.P. is the sole member of GSO Advisor Holdings L.L.C. Blackstone Holdings I L.P. and Blackstone Holdings II L.P. are the managing members of GSO Holdings I L.L.C. Blackstone Holdings I/II GP Inc. is the general partner of each of Blackstone Holdings I L.P. and Blackstone Holdings II L.P. The Blackstone Group L.P. is the controlling shareholder of Blackstone Holdings I/II GP Inc. Blackstone Group Management L.L.C. is the general partner of The Blackstone Group L.P. Blackstone Group Management L.L.C. is wholly-owned by Blackstone's senior managing directors and controlled by its founder, Stephen A. Schwarzman. In addition, each of Bennett J. Goodman and J. Albert Smith III may be deemed to have shared investment control with respect to the securities held by the GSO Funds.</w:t>
      </w:r>
    </w:p>
    <w:p>
      <w:pPr>
        <w:spacing w:after="0" w:line="164" w:lineRule="exact"/>
        <w:rPr>
          <w:rFonts w:ascii="Arial" w:cs="Arial" w:eastAsia="Arial" w:hAnsi="Arial"/>
          <w:sz w:val="12"/>
          <w:szCs w:val="12"/>
          <w:color w:val="008000"/>
        </w:rPr>
      </w:pPr>
    </w:p>
    <w:p>
      <w:pPr>
        <w:ind w:right="20" w:firstLine="9"/>
        <w:spacing w:after="0" w:line="305"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Information with respect to each of the Reporting Persons is given solely by such Reporting Person, and no Reporting Person has responsibility for the accuracy or completeness of information supplied by another Reporting Person.</w:t>
      </w: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Due to the limitations of the electronic filing system certain Reporting Persons are filing a separate Form 4.</w:t>
      </w:r>
    </w:p>
    <w:p>
      <w:pPr>
        <w:spacing w:after="0" w:line="41" w:lineRule="exact"/>
        <w:rPr>
          <w:rFonts w:ascii="Arial" w:cs="Arial" w:eastAsia="Arial" w:hAnsi="Arial"/>
          <w:sz w:val="14"/>
          <w:szCs w:val="14"/>
          <w:color w:val="008000"/>
        </w:rPr>
      </w:pPr>
    </w:p>
    <w:p>
      <w:pPr>
        <w:ind w:firstLine="9"/>
        <w:spacing w:after="0" w:line="27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of the Reporting Persons (other than to the extent each directly holds securities of the Issuer), disclaims beneficial ownership of the securities held by each of the GSO Funds and the FS Funds, except to the extent of such Reporting Person's pecuniary interest therein, and, pursuant to Rule 16a-1(a)(4) under the Securities Exchange Act of 1934, each of the Reporting Persons (other than to the extent each directly holds securities of the Issuer) states that the inclusion of these shares in this report shall not be deemed an admission of beneficial ownership of all of the reported shares for purposes of Section 16 or for any other purpose.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008000"/>
        </w:rPr>
        <w:t>This Amendment amends and restates the Form 4 filed by the Reporting Persons on November 4, 2015 to correct the information reported relating to the trades on November 2, 2015 that was incorrect due to administrative error.</w:t>
      </w:r>
    </w:p>
    <w:p>
      <w:pPr>
        <w:sectPr>
          <w:pgSz w:w="11900" w:h="16838" w:orient="portrait"/>
          <w:cols w:equalWidth="0" w:num="1">
            <w:col w:w="11280"/>
          </w:cols>
          <w:pgMar w:left="280" w:top="129" w:right="33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GSO CACTUS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21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214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OPPORTUNITIES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8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GSO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8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Marisa Beeney, Name: Marisa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5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Beeney,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9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33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GSO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34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/s/ Marisa Beeney,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80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880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Name: Marisa Beeney,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626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BENNETT J.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4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Marisa Beeney,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9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Marisa Beeney,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57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575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49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 ALBERT SMITH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Marisa Beeney, Name: Marisa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5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Beeney,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7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GSO CREDIT ALPHA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528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TRADING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GSO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Investment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8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Marisa Beeney, Name: Marisa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5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Beeney,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9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499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33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12/01/2015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40" w:space="80"/>
            <w:col w:w="2160"/>
          </w:cols>
          <w:pgMar w:left="280" w:top="129"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2" Type="http://schemas.openxmlformats.org/officeDocument/2006/relationships/hyperlink" Target="http://www.sec.gov/cgi-bin/browse-edgar?action=getcompany&amp;CIK=0001362495" TargetMode="External"/><Relationship Id="rId13" Type="http://schemas.openxmlformats.org/officeDocument/2006/relationships/hyperlink" Target="http://www.sec.gov/cgi-bin/browse-edgar?action=getcompany&amp;CIK=0000031235" TargetMode="External"/><Relationship Id="rId15" Type="http://schemas.openxmlformats.org/officeDocument/2006/relationships/hyperlink" Target="http://www.sec.gov/cgi-bin/browse-edgar?action=getcompany&amp;CIK=0001604632" TargetMode="External"/><Relationship Id="rId16" Type="http://schemas.openxmlformats.org/officeDocument/2006/relationships/hyperlink" Target="http://www.sec.gov/cgi-bin/browse-edgar?action=getcompany&amp;CIK=0001657609" TargetMode="External"/><Relationship Id="rId17" Type="http://schemas.openxmlformats.org/officeDocument/2006/relationships/hyperlink" Target="http://www.sec.gov/cgi-bin/browse-edgar?action=getcompany&amp;CIK=0001394691" TargetMode="External"/><Relationship Id="rId18" Type="http://schemas.openxmlformats.org/officeDocument/2006/relationships/hyperlink" Target="http://www.sec.gov/cgi-bin/browse-edgar?action=getcompany&amp;CIK=000139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2019-12-23T15:44:03Z</dcterms:created>
  <dcterms:modified xsi:type="dcterms:W3CDTF">2019-12-23T15:44:03Z</dcterms:modified>
</cp:coreProperties>
</file>