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52"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10-K/A</w:t>
      </w:r>
    </w:p>
    <w:p>
      <w:pPr>
        <w:spacing w:after="0" w:line="180" w:lineRule="exact"/>
        <w:rPr>
          <w:sz w:val="24"/>
          <w:szCs w:val="24"/>
          <w:color w:val="auto"/>
        </w:rPr>
      </w:pPr>
    </w:p>
    <w:p>
      <w:pPr>
        <w:ind w:left="2000"/>
        <w:spacing w:after="0"/>
        <w:rPr>
          <w:sz w:val="20"/>
          <w:szCs w:val="20"/>
          <w:color w:val="auto"/>
        </w:rPr>
      </w:pPr>
      <w:r>
        <w:rPr>
          <w:rFonts w:ascii="Courier New" w:cs="Courier New" w:eastAsia="Courier New" w:hAnsi="Courier New"/>
          <w:sz w:val="15"/>
          <w:szCs w:val="15"/>
          <w:color w:val="auto"/>
        </w:rPr>
        <w:t>AMENDMENT TO APPLICATION OR REPORT</w:t>
      </w:r>
    </w:p>
    <w:p>
      <w:pPr>
        <w:spacing w:after="0" w:line="33"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Filed Pursuant to Section 13 or 15 (d) of</w:t>
      </w:r>
    </w:p>
    <w:p>
      <w:pPr>
        <w:spacing w:after="0" w:line="5"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52"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Eastman Kodak Company</w:t>
      </w:r>
    </w:p>
    <w:p>
      <w:pPr>
        <w:spacing w:after="0" w:line="3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AMENDMENT NO. 1</w:t>
      </w:r>
    </w:p>
    <w:p>
      <w:pPr>
        <w:spacing w:after="0" w:line="180" w:lineRule="exact"/>
        <w:rPr>
          <w:sz w:val="24"/>
          <w:szCs w:val="24"/>
          <w:color w:val="auto"/>
        </w:rPr>
      </w:pPr>
    </w:p>
    <w:p>
      <w:pPr>
        <w:jc w:val="both"/>
        <w:ind w:right="3219" w:firstLine="454"/>
        <w:spacing w:after="0" w:line="307" w:lineRule="auto"/>
        <w:rPr>
          <w:sz w:val="20"/>
          <w:szCs w:val="20"/>
          <w:color w:val="auto"/>
        </w:rPr>
      </w:pPr>
      <w:r>
        <w:rPr>
          <w:rFonts w:ascii="Courier New" w:cs="Courier New" w:eastAsia="Courier New" w:hAnsi="Courier New"/>
          <w:sz w:val="15"/>
          <w:szCs w:val="15"/>
          <w:color w:val="auto"/>
        </w:rPr>
        <w:t>The undersigned registrant hereby amends the following items, financial statements, exhibits, or other portions of its Annual Report on Form 10-K for the year ended December 31, 1995 as set forth below:</w:t>
      </w:r>
    </w:p>
    <w:p>
      <w:pPr>
        <w:spacing w:after="0" w:line="222" w:lineRule="exact"/>
        <w:rPr>
          <w:sz w:val="24"/>
          <w:szCs w:val="24"/>
          <w:color w:val="auto"/>
        </w:rPr>
      </w:pPr>
    </w:p>
    <w:p>
      <w:pPr>
        <w:jc w:val="both"/>
        <w:ind w:right="3219"/>
        <w:spacing w:after="0" w:line="368" w:lineRule="auto"/>
        <w:rPr>
          <w:sz w:val="20"/>
          <w:szCs w:val="20"/>
          <w:color w:val="auto"/>
        </w:rPr>
      </w:pPr>
      <w:r>
        <w:rPr>
          <w:rFonts w:ascii="Courier New" w:cs="Courier New" w:eastAsia="Courier New" w:hAnsi="Courier New"/>
          <w:sz w:val="15"/>
          <w:szCs w:val="15"/>
          <w:color w:val="auto"/>
        </w:rPr>
        <w:t>The exhibit listed below and attached hereto is hereby added to the registrant's Annual Report on Form 10-K for the year ended December 31, 1995.</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Exhibit</w:t>
      </w:r>
    </w:p>
    <w:p>
      <w:pPr>
        <w:spacing w:after="0" w:line="180" w:lineRule="exact"/>
        <w:rPr>
          <w:sz w:val="24"/>
          <w:szCs w:val="24"/>
          <w:color w:val="auto"/>
        </w:rPr>
      </w:pPr>
    </w:p>
    <w:p>
      <w:pPr>
        <w:ind w:left="1000" w:right="3219" w:hanging="552"/>
        <w:spacing w:after="0" w:line="368" w:lineRule="auto"/>
        <w:tabs>
          <w:tab w:leader="none" w:pos="10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Eastman Kodak Employees' Savings and Investment Plan Annual Report on Form 11-K for the fiscal year ended December 30, 1995.</w:t>
      </w:r>
    </w:p>
    <w:p>
      <w:pPr>
        <w:spacing w:after="0" w:line="178" w:lineRule="exact"/>
        <w:rPr>
          <w:sz w:val="24"/>
          <w:szCs w:val="24"/>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amendment to be signed on its behalf by the undersigned, thereunto duly authorized.</w:t>
      </w:r>
    </w:p>
    <w:p>
      <w:pPr>
        <w:spacing w:after="0" w:line="47" w:lineRule="exact"/>
        <w:rPr>
          <w:sz w:val="24"/>
          <w:szCs w:val="24"/>
          <w:color w:val="auto"/>
        </w:rPr>
      </w:pPr>
    </w:p>
    <w:p>
      <w:pPr>
        <w:ind w:left="4080"/>
        <w:spacing w:after="0"/>
        <w:rPr>
          <w:sz w:val="20"/>
          <w:szCs w:val="20"/>
          <w:color w:val="auto"/>
        </w:rPr>
      </w:pPr>
      <w:r>
        <w:rPr>
          <w:rFonts w:ascii="Courier New" w:cs="Courier New" w:eastAsia="Courier New" w:hAnsi="Courier New"/>
          <w:sz w:val="15"/>
          <w:szCs w:val="15"/>
          <w:color w:val="auto"/>
        </w:rPr>
        <w:t>Eastman Kodak Company</w:t>
      </w:r>
    </w:p>
    <w:p>
      <w:pPr>
        <w:spacing w:after="0" w:line="33" w:lineRule="exact"/>
        <w:rPr>
          <w:sz w:val="24"/>
          <w:szCs w:val="24"/>
          <w:color w:val="auto"/>
        </w:rPr>
      </w:pPr>
    </w:p>
    <w:p>
      <w:pPr>
        <w:ind w:left="436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4"/>
          <w:szCs w:val="24"/>
          <w:color w:val="auto"/>
        </w:rPr>
      </w:pPr>
    </w:p>
    <w:p>
      <w:pPr>
        <w:spacing w:after="0" w:line="301" w:lineRule="exact"/>
        <w:rPr>
          <w:sz w:val="24"/>
          <w:szCs w:val="24"/>
          <w:color w:val="auto"/>
        </w:rPr>
      </w:pPr>
    </w:p>
    <w:p>
      <w:pPr>
        <w:ind w:left="4080"/>
        <w:spacing w:after="0"/>
        <w:rPr>
          <w:sz w:val="20"/>
          <w:szCs w:val="20"/>
          <w:color w:val="auto"/>
        </w:rPr>
      </w:pPr>
      <w:r>
        <w:rPr>
          <w:rFonts w:ascii="Courier New" w:cs="Courier New" w:eastAsia="Courier New" w:hAnsi="Courier New"/>
          <w:sz w:val="15"/>
          <w:szCs w:val="15"/>
          <w:color w:val="auto"/>
        </w:rPr>
        <w:t>David J. FitzPatrick</w:t>
      </w:r>
    </w:p>
    <w:p>
      <w:pPr>
        <w:spacing w:after="0" w:line="33" w:lineRule="exact"/>
        <w:rPr>
          <w:sz w:val="24"/>
          <w:szCs w:val="24"/>
          <w:color w:val="auto"/>
        </w:rPr>
      </w:pPr>
    </w:p>
    <w:p>
      <w:pPr>
        <w:ind w:left="4080"/>
        <w:spacing w:after="0"/>
        <w:rPr>
          <w:sz w:val="20"/>
          <w:szCs w:val="20"/>
          <w:color w:val="auto"/>
        </w:rPr>
      </w:pPr>
      <w:r>
        <w:rPr>
          <w:rFonts w:ascii="Courier New" w:cs="Courier New" w:eastAsia="Courier New" w:hAnsi="Courier New"/>
          <w:sz w:val="15"/>
          <w:szCs w:val="15"/>
          <w:color w:val="auto"/>
        </w:rPr>
        <w:t>Vice President and Controller</w:t>
      </w:r>
    </w:p>
    <w:p>
      <w:pPr>
        <w:spacing w:after="0" w:line="152"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April 30, 1996</w:t>
      </w:r>
    </w:p>
    <w:p>
      <w:pPr>
        <w:sectPr>
          <w:pgSz w:w="11900" w:h="16838" w:orient="portrait"/>
          <w:cols w:equalWidth="0" w:num="1">
            <w:col w:w="10219"/>
          </w:cols>
          <w:pgMar w:left="240" w:top="533" w:right="1440" w:bottom="1440" w:gutter="0" w:footer="0" w:header="0"/>
        </w:sectPr>
      </w:pPr>
    </w:p>
    <w:bookmarkStart w:id="1" w:name="page2"/>
    <w:bookmarkEnd w:id="1"/>
    <w:p>
      <w:pPr>
        <w:spacing w:after="0"/>
        <w:tabs>
          <w:tab w:leader="none" w:pos="60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0" w:lineRule="exact"/>
        <w:rPr>
          <w:sz w:val="20"/>
          <w:szCs w:val="20"/>
          <w:color w:val="auto"/>
        </w:rPr>
      </w:pPr>
    </w:p>
    <w:p>
      <w:pPr>
        <w:ind w:left="2180"/>
        <w:spacing w:after="0"/>
        <w:tabs>
          <w:tab w:leader="none" w:pos="3800" w:val="left"/>
        </w:tabs>
        <w:rPr>
          <w:sz w:val="20"/>
          <w:szCs w:val="20"/>
          <w:color w:val="auto"/>
        </w:rPr>
      </w:pPr>
      <w:r>
        <w:rPr>
          <w:rFonts w:ascii="Courier New" w:cs="Courier New" w:eastAsia="Courier New" w:hAnsi="Courier New"/>
          <w:sz w:val="15"/>
          <w:szCs w:val="15"/>
          <w:color w:val="auto"/>
        </w:rPr>
        <w:t>Washington, D.C.</w:t>
        <w:tab/>
        <w:t>20549</w:t>
      </w:r>
    </w:p>
    <w:p>
      <w:pPr>
        <w:spacing w:after="0" w:line="1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FORM 11-K</w:t>
      </w:r>
    </w:p>
    <w:p>
      <w:pPr>
        <w:spacing w:after="0" w:line="180" w:lineRule="exact"/>
        <w:rPr>
          <w:sz w:val="20"/>
          <w:szCs w:val="20"/>
          <w:color w:val="auto"/>
        </w:rPr>
      </w:pPr>
    </w:p>
    <w:p>
      <w:pPr>
        <w:ind w:left="1540" w:right="4419" w:hanging="627"/>
        <w:spacing w:after="0" w:line="368" w:lineRule="auto"/>
        <w:tabs>
          <w:tab w:leader="none" w:pos="13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 [FEE REQUIRED]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the fiscal year ended December 30, 1995</w:t>
      </w:r>
    </w:p>
    <w:p>
      <w:pPr>
        <w:spacing w:after="0" w:line="33"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1360" w:right="4319" w:hanging="629"/>
        <w:spacing w:after="0" w:line="368" w:lineRule="auto"/>
        <w:tabs>
          <w:tab w:leader="none" w:pos="90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 [NO FEE REQUIRED]</w:t>
      </w:r>
    </w:p>
    <w:p>
      <w:pPr>
        <w:sectPr>
          <w:pgSz w:w="11900" w:h="16838" w:orient="portrait"/>
          <w:cols w:equalWidth="0" w:num="1">
            <w:col w:w="10139"/>
          </w:cols>
          <w:pgMar w:left="320" w:top="265" w:right="1440" w:bottom="1440" w:gutter="0" w:footer="0" w:header="0"/>
        </w:sectPr>
      </w:pP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86" w:lineRule="exact"/>
        <w:rPr>
          <w:sz w:val="20"/>
          <w:szCs w:val="20"/>
          <w:color w:val="auto"/>
        </w:rPr>
      </w:pPr>
    </w:p>
    <w:p>
      <w:pPr>
        <w:sectPr>
          <w:pgSz w:w="11900" w:h="16838" w:orient="portrait"/>
          <w:cols w:equalWidth="0" w:num="2">
            <w:col w:w="3100" w:space="720"/>
            <w:col w:w="6319"/>
          </w:cols>
          <w:pgMar w:left="320" w:top="265"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0" w:lineRule="exact"/>
        <w:rPr>
          <w:sz w:val="20"/>
          <w:szCs w:val="20"/>
          <w:color w:val="auto"/>
        </w:rPr>
      </w:pPr>
    </w:p>
    <w:p>
      <w:pPr>
        <w:sectPr>
          <w:pgSz w:w="11900" w:h="16838" w:orient="portrait"/>
          <w:cols w:equalWidth="0" w:num="2">
            <w:col w:w="3820" w:space="180"/>
            <w:col w:w="6139"/>
          </w:cols>
          <w:pgMar w:left="320" w:top="26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1-87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2" w:lineRule="exact"/>
        <w:rPr>
          <w:sz w:val="20"/>
          <w:szCs w:val="20"/>
          <w:color w:val="auto"/>
        </w:rPr>
      </w:pPr>
    </w:p>
    <w:p>
      <w:pPr>
        <w:sectPr>
          <w:pgSz w:w="11900" w:h="16838" w:orient="portrait"/>
          <w:cols w:equalWidth="0" w:num="2">
            <w:col w:w="2360" w:space="0"/>
            <w:col w:w="7779"/>
          </w:cols>
          <w:pgMar w:left="320" w:top="265" w:right="1440" w:bottom="1440" w:gutter="0" w:footer="0" w:header="0"/>
          <w:type w:val="continuous"/>
        </w:sectPr>
      </w:pPr>
    </w:p>
    <w:p>
      <w:pPr>
        <w:ind w:left="-80" w:right="4139" w:firstLine="811"/>
        <w:spacing w:after="0" w:line="368" w:lineRule="auto"/>
        <w:tabs>
          <w:tab w:leader="none" w:pos="11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title of the plan and the address of the plan, if different from that of the issuer named below:</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EASTMAN KODAK EMPLOYEES'</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SAVINGS AND INVESTMENT PLAN</w:t>
      </w:r>
    </w:p>
    <w:p>
      <w:pPr>
        <w:spacing w:after="0" w:line="326" w:lineRule="exact"/>
        <w:rPr>
          <w:sz w:val="20"/>
          <w:szCs w:val="20"/>
          <w:color w:val="auto"/>
        </w:rPr>
      </w:pPr>
    </w:p>
    <w:p>
      <w:pPr>
        <w:ind w:left="-80" w:right="3779" w:firstLine="811"/>
        <w:spacing w:after="0" w:line="368" w:lineRule="auto"/>
        <w:tabs>
          <w:tab w:leader="none" w:pos="11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 of the securities held pursuant to the plan and the address of its principal executive office:</w:t>
      </w:r>
    </w:p>
    <w:p>
      <w:pPr>
        <w:spacing w:after="0" w:line="178"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EASTMAN KODAK COMPANY</w:t>
      </w:r>
    </w:p>
    <w:p>
      <w:pPr>
        <w:spacing w:after="0" w:line="3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343 STATE STREET</w:t>
      </w:r>
    </w:p>
    <w:p>
      <w:pPr>
        <w:spacing w:after="0" w:line="5" w:lineRule="exact"/>
        <w:rPr>
          <w:sz w:val="20"/>
          <w:szCs w:val="20"/>
          <w:color w:val="auto"/>
        </w:rPr>
      </w:pPr>
    </w:p>
    <w:p>
      <w:pPr>
        <w:jc w:val="center"/>
        <w:ind w:right="3579"/>
        <w:spacing w:after="0"/>
        <w:tabs>
          <w:tab w:leader="none" w:pos="160" w:val="left"/>
        </w:tabs>
        <w:rPr>
          <w:sz w:val="20"/>
          <w:szCs w:val="20"/>
          <w:color w:val="auto"/>
        </w:rPr>
      </w:pPr>
      <w:r>
        <w:rPr>
          <w:rFonts w:ascii="Courier New" w:cs="Courier New" w:eastAsia="Courier New" w:hAnsi="Courier New"/>
          <w:sz w:val="15"/>
          <w:szCs w:val="15"/>
          <w:color w:val="auto"/>
        </w:rPr>
        <w:t>ROCHESTER, NEW YORK</w:t>
        <w:tab/>
        <w:t>14650</w:t>
      </w:r>
    </w:p>
    <w:p>
      <w:pPr>
        <w:sectPr>
          <w:pgSz w:w="11900" w:h="16838" w:orient="portrait"/>
          <w:cols w:equalWidth="0" w:num="1">
            <w:col w:w="10139"/>
          </w:cols>
          <w:pgMar w:left="320" w:top="265" w:right="1440" w:bottom="1440" w:gutter="0" w:footer="0" w:header="0"/>
          <w:type w:val="continuous"/>
        </w:sectPr>
      </w:pPr>
    </w:p>
    <w:bookmarkStart w:id="3" w:name="page4"/>
    <w:bookmarkEnd w:id="3"/>
    <w:p>
      <w:pPr>
        <w:jc w:val="center"/>
        <w:spacing w:after="0"/>
        <w:tabs>
          <w:tab w:leader="none" w:pos="16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8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18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INDEX TO FINANCIAL STATEMENTS, SCHEDULES AND EXHIBIT</w:t>
      </w:r>
    </w:p>
    <w:p>
      <w:pPr>
        <w:spacing w:after="0" w:line="3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DECEMBER 30, 1995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0" w:type="dxa"/>
            <w:vAlign w:val="bottom"/>
            <w:vMerge w:val="restart"/>
          </w:tcPr>
          <w:p>
            <w:pPr>
              <w:spacing w:after="0"/>
              <w:rPr>
                <w:sz w:val="20"/>
                <w:szCs w:val="20"/>
                <w:color w:val="auto"/>
              </w:rPr>
            </w:pPr>
            <w:r>
              <w:rPr>
                <w:rFonts w:ascii="Courier New" w:cs="Courier New" w:eastAsia="Courier New" w:hAnsi="Courier New"/>
                <w:sz w:val="15"/>
                <w:szCs w:val="15"/>
                <w:color w:val="auto"/>
              </w:rPr>
              <w:t>(a)</w:t>
            </w:r>
          </w:p>
        </w:tc>
        <w:tc>
          <w:tcPr>
            <w:tcW w:w="38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175"/>
        </w:trPr>
        <w:tc>
          <w:tcPr>
            <w:tcW w:w="360" w:type="dxa"/>
            <w:vAlign w:val="bottom"/>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Report of Independent Accountants</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Statement of Net Assets</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Statement of Changes in Net Assets</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Schedules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I.  Schedule of Investments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19-36</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II.  Allocation of Net Assets to</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37-42</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860" w:type="dxa"/>
            <w:vAlign w:val="bottom"/>
          </w:tcPr>
          <w:p>
            <w:pPr>
              <w:ind w:left="820"/>
              <w:spacing w:after="0"/>
              <w:rPr>
                <w:sz w:val="20"/>
                <w:szCs w:val="20"/>
                <w:color w:val="auto"/>
              </w:rPr>
            </w:pPr>
            <w:r>
              <w:rPr>
                <w:rFonts w:ascii="Courier New" w:cs="Courier New" w:eastAsia="Courier New" w:hAnsi="Courier New"/>
                <w:sz w:val="15"/>
                <w:szCs w:val="15"/>
                <w:color w:val="auto"/>
              </w:rPr>
              <w:t>Investment Funds</w:t>
            </w: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III.  Allocation of Changes in Net</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43-49</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860" w:type="dxa"/>
            <w:vAlign w:val="bottom"/>
          </w:tcPr>
          <w:p>
            <w:pPr>
              <w:ind w:left="820"/>
              <w:spacing w:after="0"/>
              <w:rPr>
                <w:sz w:val="20"/>
                <w:szCs w:val="20"/>
                <w:color w:val="auto"/>
              </w:rPr>
            </w:pPr>
            <w:r>
              <w:rPr>
                <w:rFonts w:ascii="Courier New" w:cs="Courier New" w:eastAsia="Courier New" w:hAnsi="Courier New"/>
                <w:sz w:val="15"/>
                <w:szCs w:val="15"/>
                <w:color w:val="auto"/>
              </w:rPr>
              <w:t>Assets to Investment Funds</w:t>
            </w: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Consent of Independent Accountants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8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Savings and Investment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Committee and the Participants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Eastman Kodak Employees' Savings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Investment Plan</w:t>
      </w:r>
    </w:p>
    <w:p>
      <w:pPr>
        <w:spacing w:after="0" w:line="326" w:lineRule="exact"/>
        <w:rPr>
          <w:sz w:val="20"/>
          <w:szCs w:val="20"/>
          <w:color w:val="auto"/>
        </w:rPr>
      </w:pPr>
    </w:p>
    <w:p>
      <w:pPr>
        <w:ind w:right="4319"/>
        <w:spacing w:after="0" w:line="252" w:lineRule="auto"/>
        <w:rPr>
          <w:sz w:val="20"/>
          <w:szCs w:val="20"/>
          <w:color w:val="auto"/>
        </w:rPr>
      </w:pPr>
      <w:r>
        <w:rPr>
          <w:rFonts w:ascii="Courier New" w:cs="Courier New" w:eastAsia="Courier New" w:hAnsi="Courier New"/>
          <w:sz w:val="15"/>
          <w:szCs w:val="15"/>
          <w:color w:val="auto"/>
        </w:rPr>
        <w:t>In our opinion, the financial statements and related schedules listed in the index appearing on page 2 of this Annual Report on Form 11-K present fairly, in all material respects, the net assets of the Eastman Kodak Employees' Savings and Investment Plan at December 30, 1995 and 1994, and the changes in net assets for each of the three fiscal years in the period ended December 30, 1995, in conformity with generally accepted accounting principles. These financial statements are the responsibility of the Plan Administrator;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the Plan Administrator, and evaluating the overall financial statement presentation. We believe that our audits provide a reasonable basis for the opinion expressed above.</w:t>
      </w: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Rochester, New York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26, 1996</w:t>
      </w:r>
    </w:p>
    <w:p>
      <w:pPr>
        <w:sectPr>
          <w:pgSz w:w="11900" w:h="16838" w:orient="portrait"/>
          <w:cols w:equalWidth="0" w:num="1">
            <w:col w:w="10219"/>
          </w:cols>
          <w:pgMar w:left="240" w:top="265" w:right="1440"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1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62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720" w:type="dxa"/>
            <w:vAlign w:val="bottom"/>
          </w:tcPr>
          <w:p>
            <w:pPr>
              <w:ind w:left="2620"/>
              <w:spacing w:after="0"/>
              <w:rPr>
                <w:sz w:val="20"/>
                <w:szCs w:val="20"/>
                <w:color w:val="auto"/>
              </w:rPr>
            </w:pPr>
            <w:r>
              <w:rPr>
                <w:rFonts w:ascii="Courier New" w:cs="Courier New" w:eastAsia="Courier New" w:hAnsi="Courier New"/>
                <w:sz w:val="15"/>
                <w:szCs w:val="15"/>
                <w:color w:val="auto"/>
              </w:rPr>
              <w:t>STATEMENT OF NET ASSETS</w:t>
            </w: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3080"/>
              <w:spacing w:after="0"/>
              <w:rPr>
                <w:sz w:val="20"/>
                <w:szCs w:val="20"/>
                <w:color w:val="auto"/>
              </w:rPr>
            </w:pPr>
            <w:r>
              <w:rPr>
                <w:rFonts w:ascii="Courier New" w:cs="Courier New" w:eastAsia="Courier New" w:hAnsi="Courier New"/>
                <w:sz w:val="15"/>
                <w:szCs w:val="15"/>
                <w:color w:val="auto"/>
              </w:rPr>
              <w:t>(in thousands)</w:t>
            </w:r>
          </w:p>
        </w:tc>
        <w:tc>
          <w:tcPr>
            <w:tcW w:w="1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3"/>
                <w:szCs w:val="23"/>
                <w:color w:val="auto"/>
              </w:rPr>
            </w:pPr>
          </w:p>
        </w:tc>
        <w:tc>
          <w:tcPr>
            <w:tcW w:w="2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2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5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w w:val="97"/>
              </w:rPr>
              <w:t>$  501,602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402,780</w:t>
            </w:r>
          </w:p>
        </w:tc>
        <w:tc>
          <w:tcPr>
            <w:tcW w:w="0" w:type="dxa"/>
            <w:vAlign w:val="bottom"/>
          </w:tcPr>
          <w:p>
            <w:pPr>
              <w:spacing w:after="0"/>
              <w:rPr>
                <w:sz w:val="1"/>
                <w:szCs w:val="1"/>
                <w:color w:val="auto"/>
              </w:rPr>
            </w:pPr>
          </w:p>
        </w:tc>
      </w:tr>
      <w:tr>
        <w:trPr>
          <w:trHeight w:val="175"/>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Eastman Kodak Company common stock</w:t>
            </w:r>
          </w:p>
        </w:tc>
        <w:tc>
          <w:tcPr>
            <w:tcW w:w="15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Eastman Chemical Company common stock</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40,174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24,319</w:t>
            </w:r>
          </w:p>
        </w:tc>
        <w:tc>
          <w:tcPr>
            <w:tcW w:w="0" w:type="dxa"/>
            <w:vAlign w:val="bottom"/>
          </w:tcPr>
          <w:p>
            <w:pPr>
              <w:spacing w:after="0"/>
              <w:rPr>
                <w:sz w:val="1"/>
                <w:szCs w:val="1"/>
                <w:color w:val="auto"/>
              </w:rPr>
            </w:pPr>
          </w:p>
        </w:tc>
      </w:tr>
      <w:tr>
        <w:trPr>
          <w:trHeight w:val="175"/>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Other common stocks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156,596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126,020</w:t>
            </w:r>
          </w:p>
        </w:tc>
        <w:tc>
          <w:tcPr>
            <w:tcW w:w="0" w:type="dxa"/>
            <w:vAlign w:val="bottom"/>
          </w:tcPr>
          <w:p>
            <w:pPr>
              <w:spacing w:after="0"/>
              <w:rPr>
                <w:sz w:val="1"/>
                <w:szCs w:val="1"/>
                <w:color w:val="auto"/>
              </w:rPr>
            </w:pPr>
          </w:p>
        </w:tc>
      </w:tr>
      <w:tr>
        <w:trPr>
          <w:trHeight w:val="175"/>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Mutual funds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474,403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366,552</w:t>
            </w:r>
          </w:p>
        </w:tc>
        <w:tc>
          <w:tcPr>
            <w:tcW w:w="0" w:type="dxa"/>
            <w:vAlign w:val="bottom"/>
          </w:tcPr>
          <w:p>
            <w:pPr>
              <w:spacing w:after="0"/>
              <w:rPr>
                <w:sz w:val="1"/>
                <w:szCs w:val="1"/>
                <w:color w:val="auto"/>
              </w:rPr>
            </w:pPr>
          </w:p>
        </w:tc>
      </w:tr>
      <w:tr>
        <w:trPr>
          <w:trHeight w:val="175"/>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Interest in common/collective</w:t>
            </w:r>
          </w:p>
        </w:tc>
        <w:tc>
          <w:tcPr>
            <w:tcW w:w="15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132,721</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93,546</w:t>
            </w:r>
          </w:p>
        </w:tc>
        <w:tc>
          <w:tcPr>
            <w:tcW w:w="0" w:type="dxa"/>
            <w:vAlign w:val="bottom"/>
          </w:tcPr>
          <w:p>
            <w:pPr>
              <w:spacing w:after="0"/>
              <w:rPr>
                <w:sz w:val="1"/>
                <w:szCs w:val="1"/>
                <w:color w:val="auto"/>
              </w:rPr>
            </w:pPr>
          </w:p>
        </w:tc>
      </w:tr>
      <w:tr>
        <w:trPr>
          <w:trHeight w:val="175"/>
        </w:trPr>
        <w:tc>
          <w:tcPr>
            <w:tcW w:w="4720" w:type="dxa"/>
            <w:vAlign w:val="bottom"/>
          </w:tcPr>
          <w:p>
            <w:pPr>
              <w:ind w:left="620"/>
              <w:spacing w:after="0"/>
              <w:rPr>
                <w:sz w:val="20"/>
                <w:szCs w:val="20"/>
                <w:color w:val="auto"/>
              </w:rPr>
            </w:pPr>
            <w:r>
              <w:rPr>
                <w:rFonts w:ascii="Courier New" w:cs="Courier New" w:eastAsia="Courier New" w:hAnsi="Courier New"/>
                <w:sz w:val="15"/>
                <w:szCs w:val="15"/>
                <w:color w:val="auto"/>
              </w:rPr>
              <w:t>trusts (pooled) funds</w:t>
            </w:r>
          </w:p>
        </w:tc>
        <w:tc>
          <w:tcPr>
            <w:tcW w:w="15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 funds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4,798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7,956</w:t>
            </w:r>
          </w:p>
        </w:tc>
        <w:tc>
          <w:tcPr>
            <w:tcW w:w="0" w:type="dxa"/>
            <w:vAlign w:val="bottom"/>
          </w:tcPr>
          <w:p>
            <w:pPr>
              <w:spacing w:after="0"/>
              <w:rPr>
                <w:sz w:val="1"/>
                <w:szCs w:val="1"/>
                <w:color w:val="auto"/>
              </w:rPr>
            </w:pPr>
          </w:p>
        </w:tc>
      </w:tr>
      <w:tr>
        <w:trPr>
          <w:trHeight w:val="256"/>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Corporate debt instruments</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15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3,305,515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3,021,859</w:t>
            </w:r>
          </w:p>
        </w:tc>
        <w:tc>
          <w:tcPr>
            <w:tcW w:w="0" w:type="dxa"/>
            <w:vAlign w:val="bottom"/>
          </w:tcPr>
          <w:p>
            <w:pPr>
              <w:spacing w:after="0"/>
              <w:rPr>
                <w:sz w:val="1"/>
                <w:szCs w:val="1"/>
                <w:color w:val="auto"/>
              </w:rPr>
            </w:pPr>
          </w:p>
        </w:tc>
      </w:tr>
      <w:tr>
        <w:trPr>
          <w:trHeight w:val="256"/>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Group annuity contracts</w:t>
            </w:r>
          </w:p>
        </w:tc>
        <w:tc>
          <w:tcPr>
            <w:tcW w:w="150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62,609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50,921</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Employer contributions receivable</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3,548</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Dividends and interest receivable</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3,576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3,893</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Receivables for securities sold</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1,337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1,098</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Miscellaneous receivable</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139</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Total assets (cost: 1995 - $4,396,944</w:t>
            </w:r>
          </w:p>
        </w:tc>
        <w:tc>
          <w:tcPr>
            <w:tcW w:w="1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2260"/>
              <w:spacing w:after="0"/>
              <w:rPr>
                <w:sz w:val="20"/>
                <w:szCs w:val="20"/>
                <w:color w:val="auto"/>
              </w:rPr>
            </w:pPr>
            <w:r>
              <w:rPr>
                <w:rFonts w:ascii="Courier New" w:cs="Courier New" w:eastAsia="Courier New" w:hAnsi="Courier New"/>
                <w:sz w:val="15"/>
                <w:szCs w:val="15"/>
                <w:color w:val="auto"/>
              </w:rPr>
              <w:t>1994 - $4,027,147)</w:t>
            </w:r>
          </w:p>
        </w:tc>
        <w:tc>
          <w:tcPr>
            <w:tcW w:w="15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4,687,106</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4,102,570</w:t>
            </w:r>
          </w:p>
        </w:tc>
        <w:tc>
          <w:tcPr>
            <w:tcW w:w="0" w:type="dxa"/>
            <w:vAlign w:val="bottom"/>
          </w:tcPr>
          <w:p>
            <w:pPr>
              <w:spacing w:after="0"/>
              <w:rPr>
                <w:sz w:val="1"/>
                <w:szCs w:val="1"/>
                <w:color w:val="auto"/>
              </w:rPr>
            </w:pPr>
          </w:p>
        </w:tc>
      </w:tr>
      <w:tr>
        <w:trPr>
          <w:trHeight w:val="93"/>
        </w:trPr>
        <w:tc>
          <w:tcPr>
            <w:tcW w:w="472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15,275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11,906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Distributions payable to participants</w:t>
            </w:r>
          </w:p>
        </w:tc>
        <w:tc>
          <w:tcPr>
            <w:tcW w:w="15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Distributions payable to successor plans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522,627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459,973</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Payable for securities purchased</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1,873</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541,803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474,448</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Net assets</w:t>
            </w: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$4,145,303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$3,628,122</w:t>
            </w:r>
          </w:p>
        </w:tc>
        <w:tc>
          <w:tcPr>
            <w:tcW w:w="0" w:type="dxa"/>
            <w:vAlign w:val="bottom"/>
          </w:tcPr>
          <w:p>
            <w:pPr>
              <w:spacing w:after="0"/>
              <w:rPr>
                <w:sz w:val="1"/>
                <w:szCs w:val="1"/>
                <w:color w:val="auto"/>
              </w:rPr>
            </w:pPr>
          </w:p>
        </w:tc>
      </w:tr>
      <w:tr>
        <w:trPr>
          <w:trHeight w:val="256"/>
        </w:trPr>
        <w:tc>
          <w:tcPr>
            <w:tcW w:w="4720" w:type="dxa"/>
            <w:vAlign w:val="bottom"/>
          </w:tcPr>
          <w:p>
            <w:pPr>
              <w:spacing w:after="0"/>
              <w:rPr>
                <w:sz w:val="22"/>
                <w:szCs w:val="22"/>
                <w:color w:val="auto"/>
              </w:rPr>
            </w:pPr>
          </w:p>
        </w:tc>
        <w:tc>
          <w:tcPr>
            <w:tcW w:w="150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(See accompanying notes to financial statements)</w:t>
      </w:r>
    </w:p>
    <w:p>
      <w:pPr>
        <w:sectPr>
          <w:pgSz w:w="11900" w:h="16838" w:orient="portrait"/>
          <w:cols w:equalWidth="0" w:num="1">
            <w:col w:w="10219"/>
          </w:cols>
          <w:pgMar w:left="240" w:top="265"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8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5"/>
          <w:szCs w:val="15"/>
          <w:color w:val="auto"/>
        </w:rPr>
        <w:t>STATEMENT OF CHANGES IN NET ASSETS</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450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For the year ended December 30,</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45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1995</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15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   12,413</w:t>
            </w:r>
          </w:p>
        </w:tc>
        <w:tc>
          <w:tcPr>
            <w:tcW w:w="16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   12,081</w:t>
            </w:r>
          </w:p>
        </w:tc>
        <w:tc>
          <w:tcPr>
            <w:tcW w:w="13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11,415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5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Dividends on Eastman Chemical</w:t>
            </w:r>
          </w:p>
        </w:tc>
        <w:tc>
          <w:tcPr>
            <w:tcW w:w="15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499</w:t>
            </w:r>
          </w:p>
        </w:tc>
        <w:tc>
          <w:tcPr>
            <w:tcW w:w="16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490</w:t>
            </w: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5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13,641</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13,666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5,833</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272,618</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261,888</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258,608</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15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684</w:t>
            </w:r>
          </w:p>
        </w:tc>
        <w:tc>
          <w:tcPr>
            <w:tcW w:w="16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804</w:t>
            </w:r>
          </w:p>
        </w:tc>
        <w:tc>
          <w:tcPr>
            <w:tcW w:w="13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1,563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15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5"/>
                <w:szCs w:val="15"/>
                <w:color w:val="auto"/>
              </w:rPr>
              <w:t>Miscellaneous income</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15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291,817</w:t>
            </w:r>
          </w:p>
        </w:tc>
        <w:tc>
          <w:tcPr>
            <w:tcW w:w="16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34,325</w:t>
            </w:r>
          </w:p>
        </w:tc>
        <w:tc>
          <w:tcPr>
            <w:tcW w:w="13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122,946</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 investments</w:t>
            </w:r>
          </w:p>
        </w:tc>
        <w:tc>
          <w:tcPr>
            <w:tcW w:w="154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150,533</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152,802</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175,142</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742,209</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476,056</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575,507</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5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(155,879)</w:t>
            </w: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(153,825)</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(118,320)</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154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(62,655)</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(459,973)</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5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(6,494)</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(5,907)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(2,115)</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225,028</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619,705</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120,435</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Increase (Decrease) in net assets</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517,181</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(143,649)</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455,072</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assets at beginning of year</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3,628,122</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3,771,771</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3,316,699</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assets at end of year</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$4,145,303</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$3,628,122</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$3,771,771</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(See accompanying notes to financial statements)</w:t>
      </w:r>
    </w:p>
    <w:p>
      <w:pPr>
        <w:sectPr>
          <w:pgSz w:w="11900" w:h="16838" w:orient="portrait"/>
          <w:cols w:equalWidth="0" w:num="1">
            <w:col w:w="10219"/>
          </w:cols>
          <w:pgMar w:left="240" w:top="265"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NOTES TO FINANCIAL STATEMENTS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DESCRIPTION OF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5"/>
          <w:szCs w:val="15"/>
          <w:color w:val="auto"/>
        </w:rPr>
        <w:t>The Eastman Kodak Employees' Savings and Investment Plan (the Plan or SIP) is a defined contribution plan of a controlled group of corporations consisting of Eastman Kodak Company and certain United States subsidiaries operating in the United States (Kodak). Regular full-time, regular part-time, supplementary or conditional employees of these corporations are eligible to participate in the Plan. Limited service employees, co-ops and special program employees are not eligible. The Plan is subject to the Employee Retirement Income Security Act of 1974.</w:t>
      </w:r>
    </w:p>
    <w:p>
      <w:pPr>
        <w:spacing w:after="0" w:line="78" w:lineRule="exact"/>
        <w:rPr>
          <w:sz w:val="20"/>
          <w:szCs w:val="20"/>
          <w:color w:val="auto"/>
        </w:rPr>
      </w:pPr>
    </w:p>
    <w:p>
      <w:pPr>
        <w:jc w:val="both"/>
        <w:ind w:right="3139"/>
        <w:spacing w:after="0" w:line="287" w:lineRule="auto"/>
        <w:rPr>
          <w:sz w:val="20"/>
          <w:szCs w:val="20"/>
          <w:color w:val="auto"/>
        </w:rPr>
      </w:pPr>
      <w:r>
        <w:rPr>
          <w:rFonts w:ascii="Courier New" w:cs="Courier New" w:eastAsia="Courier New" w:hAnsi="Courier New"/>
          <w:sz w:val="15"/>
          <w:szCs w:val="15"/>
          <w:color w:val="auto"/>
        </w:rPr>
        <w:t>The Plan is administered by the Savings and Investment Plan Committee (SIPCO), which is the Plan Administrator and Named Fiduciary. The Trusts, forming part of the Plan, are administered by Boston Safe Deposit and Trust Company (Boston Safe) and Fidelity Management Trust Company (the Plan Trustees).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Amendments and Other Changes</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Effective February 1, 1994, the Plan added three new funds, the Balanced Mutual Fund, the Large Stock Index Fund and the International Stock Fund. The Plan also renamed the existing funds as follows: the Kodak Stock Fund (formerly Fund A), the Smaller Stock Fund (formerly Fund B) and the Fixed Income Fund (formerly Fund D).</w:t>
      </w:r>
    </w:p>
    <w:p>
      <w:pPr>
        <w:spacing w:after="0" w:line="6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On December 31, 1993, Kodak spun off its worldwide chemical business, Eastman Chemical Company (ECC or Eastman). Subsequent to the spin-off, account balances of the ECC participants were liquidated and the proceeds invested in newly-created funds (7 different fund options) within the Plan that are managed by Fidelity Management Trust Company (Fidelity), the trustee and recordkeeper for ECC participants. Effective January 1, 1994, all salary deferrals of ECC participants have been contributed to the Eastman Investment Plan (EIP). The provisions of the Plan described below with respect to loans and distributions apply equally to the ECC participants in the Plan. Upon receiving determination letters from the IRS with respect to the SIP and EIP plans, the account balances of ECC participants will be transferred from SIP to EIP. See Federal Income Tax Status footnote. The balances of the ECC participants are reflected as a liability in the accompanying financial statements.</w:t>
      </w:r>
    </w:p>
    <w:p>
      <w:pPr>
        <w:spacing w:after="0" w:line="84"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5"/>
          <w:szCs w:val="15"/>
          <w:color w:val="auto"/>
        </w:rPr>
        <w:t>Effective November 30, 1994, Kodak sold its Clinical Diagnostics Division (CDD); the CDD employees remained employees of Kodak and active participants in the Plan until December 26, 1994. Upon receiving a determination letter from the IRS with respect to the SIP Plan and successor plan sponsored by the purchaser of CDD, the account balances of the CDD employees will be transferred from SIP to such successor plan. The balances of the CDD employees are reflected as a liability in the accompanying financial statements.</w:t>
      </w:r>
    </w:p>
    <w:p>
      <w:pPr>
        <w:sectPr>
          <w:pgSz w:w="11900" w:h="16838" w:orient="portrait"/>
          <w:cols w:equalWidth="0" w:num="1">
            <w:col w:w="10219"/>
          </w:cols>
          <w:pgMar w:left="240" w:top="265" w:right="1440" w:bottom="1440" w:gutter="0" w:footer="0" w:header="0"/>
        </w:sectPr>
      </w:pPr>
    </w:p>
    <w:bookmarkStart w:id="13" w:name="page14"/>
    <w:bookmarkEnd w:id="13"/>
    <w:p>
      <w:pPr>
        <w:spacing w:after="0" w:line="264" w:lineRule="auto"/>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Amendments and Other Changes (Cont'd)</w:t>
      </w:r>
    </w:p>
    <w:p>
      <w:pPr>
        <w:spacing w:after="0" w:line="180" w:lineRule="exact"/>
        <w:rPr>
          <w:sz w:val="20"/>
          <w:szCs w:val="20"/>
          <w:color w:val="auto"/>
        </w:rPr>
      </w:pPr>
    </w:p>
    <w:p>
      <w:pPr>
        <w:jc w:val="both"/>
        <w:ind w:right="4139"/>
        <w:spacing w:after="0" w:line="307" w:lineRule="auto"/>
        <w:rPr>
          <w:sz w:val="20"/>
          <w:szCs w:val="20"/>
          <w:color w:val="auto"/>
        </w:rPr>
      </w:pPr>
      <w:r>
        <w:rPr>
          <w:rFonts w:ascii="Courier New" w:cs="Courier New" w:eastAsia="Courier New" w:hAnsi="Courier New"/>
          <w:sz w:val="15"/>
          <w:szCs w:val="15"/>
          <w:color w:val="auto"/>
        </w:rPr>
        <w:t>The Plan was amended in 1993 to provide for the payment of certain administrative expenses by the Trust, including fees for attorneys, accountants, investment advisors and the Plan Trustees.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180" w:lineRule="exact"/>
        <w:rPr>
          <w:sz w:val="20"/>
          <w:szCs w:val="20"/>
          <w:color w:val="auto"/>
        </w:rPr>
      </w:pPr>
    </w:p>
    <w:p>
      <w:pPr>
        <w:ind w:right="3139"/>
        <w:spacing w:after="0" w:line="259" w:lineRule="auto"/>
        <w:rPr>
          <w:sz w:val="20"/>
          <w:szCs w:val="20"/>
          <w:color w:val="auto"/>
        </w:rPr>
      </w:pPr>
      <w:r>
        <w:rPr>
          <w:rFonts w:ascii="Courier New" w:cs="Courier New" w:eastAsia="Courier New" w:hAnsi="Courier New"/>
          <w:sz w:val="15"/>
          <w:szCs w:val="15"/>
          <w:color w:val="auto"/>
        </w:rPr>
        <w:t>The Plan includes a salary reduction provision allowing eligible participants to defer up to 15% of qualifying compensation as defined in the Plan. The maximum deferral for a Plan year is limited to 15% of the aggregate of wage dividend and qualifying compensation, but not more than the statutory limit of $9,240 for calendar year 1995 ($9,240 and $8,994 for calendar years 1994 and 1993, respectively). Participants' salary deferrals are contributed to the Plan by Kodak on behalf of the participants. All contributions are immediately vested. Boston Safe will invest the amount contributed to the Plan into the investment funds described in the Investments footnote, as directed by the participant. Participants may make transfers among the funds once a month.</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80" w:lineRule="exact"/>
        <w:rPr>
          <w:sz w:val="20"/>
          <w:szCs w:val="20"/>
          <w:color w:val="auto"/>
        </w:rPr>
      </w:pPr>
    </w:p>
    <w:p>
      <w:pPr>
        <w:ind w:right="3319"/>
        <w:spacing w:after="0" w:line="262" w:lineRule="auto"/>
        <w:rPr>
          <w:sz w:val="20"/>
          <w:szCs w:val="20"/>
          <w:color w:val="auto"/>
        </w:rPr>
      </w:pPr>
      <w:r>
        <w:rPr>
          <w:rFonts w:ascii="Courier New" w:cs="Courier New" w:eastAsia="Courier New" w:hAnsi="Courier New"/>
          <w:sz w:val="15"/>
          <w:szCs w:val="15"/>
          <w:color w:val="auto"/>
        </w:rPr>
        <w:t>SIPCO may grant a loan to a participant provided that the aggregate of the participant's outstanding loans made after 1993 plus two times the participant's outstanding loans initiated before 1994 will not exceed the lesser of: 1) $50,000 less the highest outstanding loan balance during the previous 12 months, or 2) 50% of the current value of the participant's account. A new loan must be at least $1,000 and repaid within five years of the date of the loan. In accordance with the Plan provisions, the rate of interest is fixed at the discretion of SIPCO. Interest is charged at the lesser of the maximum legal rate or the prime rate.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from the Plan are made under the following circumstances:</w:t>
      </w:r>
    </w:p>
    <w:p>
      <w:pPr>
        <w:spacing w:after="0" w:line="180" w:lineRule="exact"/>
        <w:rPr>
          <w:sz w:val="20"/>
          <w:szCs w:val="20"/>
          <w:color w:val="auto"/>
        </w:rPr>
      </w:pPr>
    </w:p>
    <w:p>
      <w:pPr>
        <w:ind w:left="820" w:right="3959" w:hanging="372"/>
        <w:spacing w:after="0" w:line="260"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portion of an account may be withdrawn without the approval of SIPCO or its designee. Approval of hardship withdrawals will only be granted in order to meet obligations relating to the payment of substantial out-of-pocket medical (or dental) bills for the participant, the participant's spouse or any of the participant's dependents, the purchase or construction of a primary, single family residence, tuition, room and board or other post-secondary educational expenses, or payments to prevent eviction/foreclosure.</w:t>
      </w:r>
    </w:p>
    <w:p>
      <w:pPr>
        <w:spacing w:after="0" w:line="81" w:lineRule="exact"/>
        <w:rPr>
          <w:rFonts w:ascii="Courier New" w:cs="Courier New" w:eastAsia="Courier New" w:hAnsi="Courier New"/>
          <w:sz w:val="15"/>
          <w:szCs w:val="15"/>
          <w:color w:val="auto"/>
        </w:rPr>
      </w:pPr>
    </w:p>
    <w:p>
      <w:pPr>
        <w:ind w:left="820" w:right="4319" w:hanging="372"/>
        <w:spacing w:after="0" w:line="307"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attaining age 59 1/2, a participant may elect to receive a lump sum cash distribution from the Plan while still actively employed.</w:t>
      </w:r>
    </w:p>
    <w:p>
      <w:pPr>
        <w:spacing w:after="0" w:line="47" w:lineRule="exact"/>
        <w:rPr>
          <w:rFonts w:ascii="Courier New" w:cs="Courier New" w:eastAsia="Courier New" w:hAnsi="Courier New"/>
          <w:sz w:val="15"/>
          <w:szCs w:val="15"/>
          <w:color w:val="auto"/>
        </w:rPr>
      </w:pPr>
    </w:p>
    <w:p>
      <w:pPr>
        <w:ind w:left="820" w:right="4139" w:hanging="372"/>
        <w:spacing w:after="0" w:line="307" w:lineRule="auto"/>
        <w:tabs>
          <w:tab w:leader="none" w:pos="8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separation from service with Kodak for any reason except death, the full value of a participant's account is distributed as designated by the participant in a lump sum</w:t>
      </w:r>
    </w:p>
    <w:p>
      <w:pPr>
        <w:sectPr>
          <w:pgSz w:w="11900" w:h="16838" w:orient="portrait"/>
          <w:cols w:equalWidth="0" w:num="1">
            <w:col w:w="10219"/>
          </w:cols>
          <w:pgMar w:left="240" w:top="265" w:right="1440" w:bottom="1440" w:gutter="0" w:footer="0" w:header="0"/>
        </w:sectPr>
      </w:pPr>
    </w:p>
    <w:bookmarkStart w:id="15" w:name="page16"/>
    <w:bookmarkEnd w:id="15"/>
    <w:p>
      <w:pPr>
        <w:spacing w:after="0" w:line="307" w:lineRule="auto"/>
        <w:tabs>
          <w:tab w:leader="none" w:pos="820" w:val="left"/>
        </w:tabs>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8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(Cont'd)</w:t>
      </w:r>
    </w:p>
    <w:p>
      <w:pPr>
        <w:spacing w:after="0" w:line="180" w:lineRule="exact"/>
        <w:rPr>
          <w:sz w:val="20"/>
          <w:szCs w:val="20"/>
          <w:color w:val="auto"/>
        </w:rPr>
      </w:pPr>
    </w:p>
    <w:p>
      <w:pPr>
        <w:ind w:left="820" w:right="4039"/>
        <w:spacing w:after="0" w:line="287" w:lineRule="auto"/>
        <w:rPr>
          <w:sz w:val="20"/>
          <w:szCs w:val="20"/>
          <w:color w:val="auto"/>
        </w:rPr>
      </w:pPr>
      <w:r>
        <w:rPr>
          <w:rFonts w:ascii="Courier New" w:cs="Courier New" w:eastAsia="Courier New" w:hAnsi="Courier New"/>
          <w:sz w:val="15"/>
          <w:szCs w:val="15"/>
          <w:color w:val="auto"/>
        </w:rPr>
        <w:t>payment, or in monthly or annual installments. If an appropriate designation is not made by the participant, the account is paid in a lump sum cash payment in February following the year the participant turns age 65.</w:t>
      </w:r>
    </w:p>
    <w:p>
      <w:pPr>
        <w:spacing w:after="0" w:line="61" w:lineRule="exact"/>
        <w:rPr>
          <w:sz w:val="20"/>
          <w:szCs w:val="20"/>
          <w:color w:val="auto"/>
        </w:rPr>
      </w:pPr>
    </w:p>
    <w:p>
      <w:pPr>
        <w:ind w:left="820" w:right="4139"/>
        <w:spacing w:after="0" w:line="266" w:lineRule="auto"/>
        <w:rPr>
          <w:sz w:val="20"/>
          <w:szCs w:val="20"/>
          <w:color w:val="auto"/>
        </w:rPr>
      </w:pPr>
      <w:r>
        <w:rPr>
          <w:rFonts w:ascii="Courier New" w:cs="Courier New" w:eastAsia="Courier New" w:hAnsi="Courier New"/>
          <w:sz w:val="15"/>
          <w:szCs w:val="15"/>
          <w:color w:val="auto"/>
        </w:rPr>
        <w:t>Certain participants who separate from service with Kodak may elect to defer distributions from the Plan up to March</w:t>
      </w:r>
    </w:p>
    <w:p>
      <w:pPr>
        <w:spacing w:after="0" w:line="1" w:lineRule="exact"/>
        <w:rPr>
          <w:sz w:val="20"/>
          <w:szCs w:val="20"/>
          <w:color w:val="auto"/>
        </w:rPr>
      </w:pPr>
    </w:p>
    <w:p>
      <w:pPr>
        <w:ind w:left="820" w:right="3959"/>
        <w:spacing w:after="0" w:line="258" w:lineRule="auto"/>
        <w:rPr>
          <w:sz w:val="20"/>
          <w:szCs w:val="20"/>
          <w:color w:val="auto"/>
        </w:rPr>
      </w:pPr>
      <w:r>
        <w:rPr>
          <w:rFonts w:ascii="Courier New" w:cs="Courier New" w:eastAsia="Courier New" w:hAnsi="Courier New"/>
          <w:sz w:val="15"/>
          <w:szCs w:val="15"/>
          <w:color w:val="auto"/>
        </w:rPr>
        <w:t>15 of the year after attaining age 70 1/2. This election is available to separated participants who at the time of separation either: a) have an account balance of more than $3,500, b) are age 65 or older, c) are age 55 or older with 10 or more years of Total Service as defined in the Kodak Retirement Income Plan, or d) as of December 31, 1995, had age and Total Service as defined in the Kodak Retirement Income Plan which, when added together, totaled at least 75.</w:t>
      </w:r>
    </w:p>
    <w:p>
      <w:pPr>
        <w:spacing w:after="0" w:line="84" w:lineRule="exact"/>
        <w:rPr>
          <w:sz w:val="20"/>
          <w:szCs w:val="20"/>
          <w:color w:val="auto"/>
        </w:rPr>
      </w:pPr>
    </w:p>
    <w:p>
      <w:pPr>
        <w:ind w:left="820" w:right="4039" w:hanging="372"/>
        <w:spacing w:after="0" w:line="271" w:lineRule="auto"/>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the value of a participant's account is paid in a lump sum to a designated beneficiary, if any, or to the decedent's estate, except that if there is a surviving spouse, then the entire sum will be paid to such spouse unless the spouse consents to the beneficiary designation of the participant.</w:t>
      </w:r>
    </w:p>
    <w:p>
      <w:pPr>
        <w:spacing w:after="0" w:line="72" w:lineRule="exact"/>
        <w:rPr>
          <w:rFonts w:ascii="Courier New" w:cs="Courier New" w:eastAsia="Courier New" w:hAnsi="Courier New"/>
          <w:sz w:val="15"/>
          <w:szCs w:val="15"/>
          <w:color w:val="auto"/>
        </w:rPr>
      </w:pPr>
    </w:p>
    <w:p>
      <w:pPr>
        <w:ind w:left="820" w:right="4139" w:hanging="372"/>
        <w:spacing w:after="0" w:line="307" w:lineRule="auto"/>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Trustees are authorized to honor "qualified domestic relations orders" issued and served in accordance with Section 414(p) of the Internal Revenue Code.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Termination</w:t>
      </w:r>
    </w:p>
    <w:p>
      <w:pPr>
        <w:spacing w:after="0" w:line="180"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While Kodak expects to continue the Plan, it has the right to discontinue contributions and amend or terminate the Plan at any time. In the event that contributions to the Plan are discontinued, the Plan Trustees will continue to administer the Trusts. In the event of the termination of the Trusts as a result of or incident to termination of the Plan, the value of the participants' accounts will be paid in accordance with the provisions of the Plan.</w:t>
      </w:r>
    </w:p>
    <w:p>
      <w:pPr>
        <w:spacing w:after="0" w:line="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tab/>
        <w:t>SUMMARY OF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Accounting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operates on a fiscal year ending December 30.</w:t>
      </w:r>
    </w:p>
    <w:p>
      <w:pPr>
        <w:spacing w:after="0" w:line="180"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The Plan's financial statements have been prepared on the accrual basis of accounting. Distributions to participants are recorded when the request for payment meeting the provisions of the Plan is received.</w:t>
      </w:r>
    </w:p>
    <w:p>
      <w:pPr>
        <w:spacing w:after="0" w:line="47"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Employer contributions represent qualifying compensation withheld from the participants by Kodak for contribution to the Plan.</w:t>
      </w:r>
    </w:p>
    <w:p>
      <w:pPr>
        <w:sectPr>
          <w:pgSz w:w="11900" w:h="16838" w:orient="portrait"/>
          <w:cols w:equalWidth="0" w:num="1">
            <w:col w:w="10219"/>
          </w:cols>
          <w:pgMar w:left="240" w:top="265" w:right="1440" w:bottom="1440" w:gutter="0" w:footer="0" w:header="0"/>
        </w:sectPr>
      </w:pPr>
    </w:p>
    <w:bookmarkStart w:id="17" w:name="page18"/>
    <w:bookmarkEnd w:id="17"/>
    <w:p>
      <w:pPr>
        <w:spacing w:after="0" w:line="368"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8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Valuation and Income Recognition</w:t>
      </w:r>
    </w:p>
    <w:p>
      <w:pPr>
        <w:spacing w:after="0" w:line="180" w:lineRule="exact"/>
        <w:rPr>
          <w:sz w:val="20"/>
          <w:szCs w:val="20"/>
          <w:color w:val="auto"/>
        </w:rPr>
      </w:pPr>
    </w:p>
    <w:p>
      <w:pPr>
        <w:ind w:right="3219"/>
        <w:spacing w:after="0" w:line="255" w:lineRule="auto"/>
        <w:rPr>
          <w:sz w:val="20"/>
          <w:szCs w:val="20"/>
          <w:color w:val="auto"/>
        </w:rPr>
      </w:pPr>
      <w:r>
        <w:rPr>
          <w:rFonts w:ascii="Courier New" w:cs="Courier New" w:eastAsia="Courier New" w:hAnsi="Courier New"/>
          <w:sz w:val="15"/>
          <w:szCs w:val="15"/>
          <w:color w:val="auto"/>
        </w:rPr>
        <w:t>The group annuity contracts included in the Fixed Income Funds are valued at cost plus interest reinvested. American Institute of Certified Public Accountant's (AICPA's) Statement of Position (SOP) 94-4, "Reporting of Investment Contracts Held by Health and Welfare Benefit Plans and Defined-Contribution Pension Plans", which is effective for the plan year ended December 30, 1995, requires that guaranteed investment contracts be valued at cost plus interest reinvested if they are fully benefit responsive, as defined by SOP 94-4. SIPCO believes that the group annuity contracts held by the Plan are fully benefit responsive. In aggregate, the recorded value of the group annuity contracts approximates their fair value. Interest in common or collective trusts (pooled) funds reflect fair values as certified by the managers of such funds. Fair values of all other investments were based upon active market quotations at national exchanges, if available, at December 30, or, if not available, upon amounts believed by SIPCO to be realizable at that time.</w:t>
      </w:r>
    </w:p>
    <w:p>
      <w:pPr>
        <w:spacing w:after="0" w:line="88"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Purchases and sales of securities are recorded on a trade-date basis. Interest income is recorded on the accrual basis. Dividends are recorded on the ex-dividend date.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80" w:lineRule="exact"/>
        <w:rPr>
          <w:sz w:val="20"/>
          <w:szCs w:val="20"/>
          <w:color w:val="auto"/>
        </w:rPr>
      </w:pPr>
    </w:p>
    <w:p>
      <w:pPr>
        <w:ind w:right="3499"/>
        <w:spacing w:after="0" w:line="307" w:lineRule="auto"/>
        <w:rPr>
          <w:sz w:val="20"/>
          <w:szCs w:val="20"/>
          <w:color w:val="auto"/>
        </w:rPr>
      </w:pPr>
      <w:r>
        <w:rPr>
          <w:rFonts w:ascii="Courier New" w:cs="Courier New" w:eastAsia="Courier New" w:hAnsi="Courier New"/>
          <w:sz w:val="15"/>
          <w:szCs w:val="15"/>
          <w:color w:val="auto"/>
        </w:rPr>
        <w:t>Certain reclassifications of December 30, 1994 and December 30, 1993 financial statement and related schedule amounts have been made to conform with the December 30, 1995 presentation.</w:t>
      </w:r>
    </w:p>
    <w:p>
      <w:pPr>
        <w:spacing w:after="0" w:line="22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tab/>
        <w:t>INVESTMENTS</w:t>
      </w:r>
    </w:p>
    <w:p>
      <w:pPr>
        <w:spacing w:after="0" w:line="180"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All contributions are paid to Boston Safe. No bond is furnished by the Plan Trustees in connection with the custody of security investments or other assets of the Plan.</w:t>
      </w:r>
    </w:p>
    <w:p>
      <w:pPr>
        <w:spacing w:after="0" w:line="47"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The Plan Trustees are authorized to keep any portion of any of the foregoing funds in cash or liquid investments as they may deem advisable.</w:t>
      </w:r>
    </w:p>
    <w:p>
      <w:pPr>
        <w:spacing w:after="0" w:line="3"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All dividends, interest or gains derived from investments in each Fund are reinvested in the respective Fund by the Plan Trustees.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at Boston Safe</w:t>
      </w:r>
    </w:p>
    <w:p>
      <w:pPr>
        <w:spacing w:after="0" w:line="180" w:lineRule="exact"/>
        <w:rPr>
          <w:sz w:val="20"/>
          <w:szCs w:val="20"/>
          <w:color w:val="auto"/>
        </w:rPr>
      </w:pPr>
    </w:p>
    <w:p>
      <w:pPr>
        <w:ind w:right="3419"/>
        <w:spacing w:after="0" w:line="271" w:lineRule="auto"/>
        <w:rPr>
          <w:sz w:val="20"/>
          <w:szCs w:val="20"/>
          <w:color w:val="auto"/>
        </w:rPr>
      </w:pPr>
      <w:r>
        <w:rPr>
          <w:rFonts w:ascii="Courier New" w:cs="Courier New" w:eastAsia="Courier New" w:hAnsi="Courier New"/>
          <w:sz w:val="15"/>
          <w:szCs w:val="15"/>
          <w:color w:val="auto"/>
        </w:rPr>
        <w:t>The Kodak Stock Fund consists primarily of Kodak stock. Purchases of Kodak stock are made throughout the year in a systematic manner. When Kodak spun off its worldwide chemical business on December 31, 1993, shareowners received one share of ECC for every four Kodak shares owned. In 1994, 1,279,321 shares of ECC stock were sold at an average price of $46.10 per share and the proceeds were used to acquire shares of Kodak stock.</w:t>
      </w:r>
    </w:p>
    <w:p>
      <w:pPr>
        <w:spacing w:after="0" w:line="72"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The Smaller Stock Fund consists primarily of investments in U.S. stocks made through mutual funds, group trusts, or separate accounts, all of which are selected by an Investment Manager appointed by SIPCO.</w:t>
      </w:r>
    </w:p>
    <w:p>
      <w:pPr>
        <w:sectPr>
          <w:pgSz w:w="11900" w:h="16838" w:orient="portrait"/>
          <w:cols w:equalWidth="0" w:num="1">
            <w:col w:w="10219"/>
          </w:cols>
          <w:pgMar w:left="240" w:top="265" w:right="1440" w:bottom="1440" w:gutter="0" w:footer="0" w:header="0"/>
        </w:sectPr>
      </w:pPr>
    </w:p>
    <w:bookmarkStart w:id="19" w:name="page20"/>
    <w:bookmarkEnd w:id="19"/>
    <w:p>
      <w:pPr>
        <w:spacing w:after="0" w:line="307"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at Boston Safe (Cont'd)</w:t>
      </w:r>
    </w:p>
    <w:p>
      <w:pPr>
        <w:spacing w:after="0" w:line="180" w:lineRule="exact"/>
        <w:rPr>
          <w:sz w:val="20"/>
          <w:szCs w:val="20"/>
          <w:color w:val="auto"/>
        </w:rPr>
      </w:pPr>
    </w:p>
    <w:p>
      <w:pPr>
        <w:ind w:right="3319"/>
        <w:spacing w:after="0" w:line="277" w:lineRule="auto"/>
        <w:rPr>
          <w:sz w:val="20"/>
          <w:szCs w:val="20"/>
          <w:color w:val="auto"/>
        </w:rPr>
      </w:pPr>
      <w:r>
        <w:rPr>
          <w:rFonts w:ascii="Courier New" w:cs="Courier New" w:eastAsia="Courier New" w:hAnsi="Courier New"/>
          <w:sz w:val="15"/>
          <w:szCs w:val="15"/>
          <w:color w:val="auto"/>
        </w:rPr>
        <w:t>The Fixed Income Fund's assets are invested primarily in contracts with insurance companies. Effective annual yields on these contracts ranged between 4.47% and 12.97% depending on the date of the contribution, transfer or rollover. The blended rate of return on the Fixed Income Fund was approximately 8.7% in 1995 (8.5% in 1994 and 9.3% in 1993).</w:t>
      </w:r>
    </w:p>
    <w:p>
      <w:pPr>
        <w:spacing w:after="0" w:line="68"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The Balanced Mutual Fund is composed of a single mutual fund selected by SIPCO, the Fidelity Puritan Fund, which is a balanced fund that seeks current income consistent with preservation of capital by investing in a diversified portfolio of mainly high-dividend-paying common stocks, preferred stocks, and bonds of any quality.</w:t>
      </w:r>
    </w:p>
    <w:p>
      <w:pPr>
        <w:spacing w:after="0" w:line="68" w:lineRule="exact"/>
        <w:rPr>
          <w:sz w:val="20"/>
          <w:szCs w:val="20"/>
          <w:color w:val="auto"/>
        </w:rPr>
      </w:pPr>
    </w:p>
    <w:p>
      <w:pPr>
        <w:ind w:right="3959"/>
        <w:spacing w:after="0" w:line="368" w:lineRule="auto"/>
        <w:rPr>
          <w:sz w:val="20"/>
          <w:szCs w:val="20"/>
          <w:color w:val="auto"/>
        </w:rPr>
      </w:pPr>
      <w:r>
        <w:rPr>
          <w:rFonts w:ascii="Courier New" w:cs="Courier New" w:eastAsia="Courier New" w:hAnsi="Courier New"/>
          <w:sz w:val="15"/>
          <w:szCs w:val="15"/>
          <w:color w:val="auto"/>
        </w:rPr>
        <w:t>The Large Stock Index Fund invests in all 500 stocks that compose the Standard &amp; Poor's 500 Index.</w:t>
      </w:r>
    </w:p>
    <w:p>
      <w:pPr>
        <w:spacing w:after="0" w:line="3"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The International Stock Fund invests in a large number of widely diversified stocks in more than 30 countries around the world.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at Fidelity</w:t>
      </w:r>
    </w:p>
    <w:p>
      <w:pPr>
        <w:spacing w:after="0" w:line="180"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The account balance of each ECC participant was invested in the following funds as designated by each participant.</w:t>
      </w:r>
    </w:p>
    <w:p>
      <w:pPr>
        <w:spacing w:after="0" w:line="3" w:lineRule="exact"/>
        <w:rPr>
          <w:sz w:val="20"/>
          <w:szCs w:val="20"/>
          <w:color w:val="auto"/>
        </w:rPr>
      </w:pPr>
    </w:p>
    <w:p>
      <w:pPr>
        <w:ind w:right="3959"/>
        <w:spacing w:after="0" w:line="368" w:lineRule="auto"/>
        <w:rPr>
          <w:sz w:val="20"/>
          <w:szCs w:val="20"/>
          <w:color w:val="auto"/>
        </w:rPr>
      </w:pPr>
      <w:r>
        <w:rPr>
          <w:rFonts w:ascii="Courier New" w:cs="Courier New" w:eastAsia="Courier New" w:hAnsi="Courier New"/>
          <w:sz w:val="15"/>
          <w:szCs w:val="15"/>
          <w:color w:val="auto"/>
        </w:rPr>
        <w:t>The Kodak Stock Fund continued to be available into 1994 and then was discontinued as an investment option available to ECC participants.</w:t>
      </w:r>
    </w:p>
    <w:p>
      <w:pPr>
        <w:spacing w:after="0" w:line="3" w:lineRule="exact"/>
        <w:rPr>
          <w:sz w:val="20"/>
          <w:szCs w:val="20"/>
          <w:color w:val="auto"/>
        </w:rPr>
      </w:pPr>
    </w:p>
    <w:p>
      <w:pPr>
        <w:ind w:right="3779"/>
        <w:spacing w:after="0" w:line="368" w:lineRule="auto"/>
        <w:rPr>
          <w:sz w:val="20"/>
          <w:szCs w:val="20"/>
          <w:color w:val="auto"/>
        </w:rPr>
      </w:pPr>
      <w:r>
        <w:rPr>
          <w:rFonts w:ascii="Courier New" w:cs="Courier New" w:eastAsia="Courier New" w:hAnsi="Courier New"/>
          <w:sz w:val="15"/>
          <w:szCs w:val="15"/>
          <w:color w:val="auto"/>
        </w:rPr>
        <w:t>The Eastman Stock Fund consists primarily of shares of Eastman Chemical Company common stock.</w:t>
      </w:r>
    </w:p>
    <w:p>
      <w:pPr>
        <w:spacing w:after="0" w:line="3"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5"/>
          <w:szCs w:val="15"/>
          <w:color w:val="auto"/>
        </w:rPr>
        <w:t>The Fidelity Managed Income Portfolio is a fixed income fund consisting of investment contracts with one or more financial institutions that pay interest to the fund. The rate of interest paid to the fund will change from time to time as investment contracts mature and new contracts are purchased. Effective annual yields on these contracts ranged between 4.47% and 12.97% depending on the date of the contribution, transfer or rollover. The blending of earnings in the Fidelity Managed Income Portfolio produced an effective yield of approximately 8.51% in 1995 and 8.97% in 1994.</w:t>
      </w:r>
    </w:p>
    <w:p>
      <w:pPr>
        <w:spacing w:after="0" w:line="78"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Fidelity Fund seeks long-term capital growth and reasonable current income. It focuses investments on companies that the fund's manager believes are marked by solid balance sheets and good prospects for growth. Investments will be diversified across a variety of market sectors.</w:t>
      </w:r>
    </w:p>
    <w:p>
      <w:pPr>
        <w:spacing w:after="0" w:line="61" w:lineRule="exact"/>
        <w:rPr>
          <w:sz w:val="20"/>
          <w:szCs w:val="20"/>
          <w:color w:val="auto"/>
        </w:rPr>
      </w:pPr>
    </w:p>
    <w:p>
      <w:pPr>
        <w:ind w:right="3219"/>
        <w:spacing w:after="0" w:line="287" w:lineRule="auto"/>
        <w:rPr>
          <w:sz w:val="20"/>
          <w:szCs w:val="20"/>
          <w:color w:val="auto"/>
        </w:rPr>
      </w:pPr>
      <w:r>
        <w:rPr>
          <w:rFonts w:ascii="Courier New" w:cs="Courier New" w:eastAsia="Courier New" w:hAnsi="Courier New"/>
          <w:sz w:val="15"/>
          <w:szCs w:val="15"/>
          <w:color w:val="auto"/>
        </w:rPr>
        <w:t>The Fidelity Puritan Fund is a balanced fund that seeks current income consistent with preservation of capital by investing in a diversified portfolio of mainly high-dividend-paying common stocks, preferred stocks, and bonds of any quality.</w:t>
      </w:r>
    </w:p>
    <w:p>
      <w:pPr>
        <w:sectPr>
          <w:pgSz w:w="11900" w:h="16838" w:orient="portrait"/>
          <w:cols w:equalWidth="0" w:num="1">
            <w:col w:w="10219"/>
          </w:cols>
          <w:pgMar w:left="240" w:top="265" w:right="1440" w:bottom="1440" w:gutter="0" w:footer="0" w:header="0"/>
        </w:sectPr>
      </w:pPr>
    </w:p>
    <w:bookmarkStart w:id="21" w:name="page22"/>
    <w:bookmarkEnd w:id="21"/>
    <w:p>
      <w:pPr>
        <w:spacing w:after="0" w:line="287" w:lineRule="auto"/>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8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Funds at Fidelity (Cont'd)</w:t>
      </w:r>
    </w:p>
    <w:p>
      <w:pPr>
        <w:spacing w:after="0" w:line="180"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The Fidelity Magellan Fund is a growth fund seeking long-term capital appreciation by investing in stocks, and corporate securities convertible into stocks, of domestic, multinational and foreign companies that the fund's manager believes offer potential for growth, which also leads to a correspondingly higher level of risk.</w:t>
      </w:r>
    </w:p>
    <w:p>
      <w:pPr>
        <w:spacing w:after="0" w:line="68" w:lineRule="exact"/>
        <w:rPr>
          <w:sz w:val="20"/>
          <w:szCs w:val="20"/>
          <w:color w:val="auto"/>
        </w:rPr>
      </w:pPr>
    </w:p>
    <w:p>
      <w:pPr>
        <w:ind w:right="3499"/>
        <w:spacing w:after="0" w:line="307" w:lineRule="auto"/>
        <w:rPr>
          <w:sz w:val="20"/>
          <w:szCs w:val="20"/>
          <w:color w:val="auto"/>
        </w:rPr>
      </w:pPr>
      <w:r>
        <w:rPr>
          <w:rFonts w:ascii="Courier New" w:cs="Courier New" w:eastAsia="Courier New" w:hAnsi="Courier New"/>
          <w:sz w:val="15"/>
          <w:szCs w:val="15"/>
          <w:color w:val="auto"/>
        </w:rPr>
        <w:t>The Fidelity Contrafund is a growth fund seeking long-term capital appreciation by investing primarily in securities of companies believed by the fund's manager to be out of favor and undervalued.</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number of participants in each fund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8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Boston Safe Funds:</w:t>
            </w:r>
          </w:p>
        </w:tc>
        <w:tc>
          <w:tcPr>
            <w:tcW w:w="1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820" w:type="dxa"/>
            <w:vAlign w:val="bottom"/>
            <w:vMerge w:val="continue"/>
          </w:tcPr>
          <w:p>
            <w:pPr>
              <w:spacing w:after="0"/>
              <w:rPr>
                <w:sz w:val="8"/>
                <w:szCs w:val="8"/>
                <w:color w:val="auto"/>
              </w:rPr>
            </w:pPr>
          </w:p>
        </w:tc>
        <w:tc>
          <w:tcPr>
            <w:tcW w:w="18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28,744</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25,250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Kodak Stock Fund</w:t>
            </w:r>
          </w:p>
        </w:tc>
        <w:tc>
          <w:tcPr>
            <w:tcW w:w="18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Smaller Stock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28,940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26,834</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Fixed Income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60,635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58,857</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Balanced Mutual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9,019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6,140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Large Stock Index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7,874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3,938</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International Stock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8,040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5,716</w:t>
            </w:r>
          </w:p>
        </w:tc>
        <w:tc>
          <w:tcPr>
            <w:tcW w:w="0" w:type="dxa"/>
            <w:vAlign w:val="bottom"/>
          </w:tcPr>
          <w:p>
            <w:pPr>
              <w:spacing w:after="0"/>
              <w:rPr>
                <w:sz w:val="1"/>
                <w:szCs w:val="1"/>
                <w:color w:val="auto"/>
              </w:rPr>
            </w:pPr>
          </w:p>
        </w:tc>
      </w:tr>
      <w:tr>
        <w:trPr>
          <w:trHeight w:val="268"/>
        </w:trPr>
        <w:tc>
          <w:tcPr>
            <w:tcW w:w="3820" w:type="dxa"/>
            <w:vAlign w:val="bottom"/>
          </w:tcPr>
          <w:p>
            <w:pPr>
              <w:spacing w:after="0"/>
              <w:rPr>
                <w:sz w:val="23"/>
                <w:szCs w:val="23"/>
                <w:color w:val="auto"/>
              </w:rPr>
            </w:pPr>
          </w:p>
        </w:tc>
        <w:tc>
          <w:tcPr>
            <w:tcW w:w="28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3820" w:type="dxa"/>
            <w:vAlign w:val="bottom"/>
            <w:vMerge w:val="restart"/>
          </w:tcPr>
          <w:p>
            <w:pPr>
              <w:spacing w:after="0"/>
              <w:rPr>
                <w:sz w:val="20"/>
                <w:szCs w:val="20"/>
                <w:color w:val="auto"/>
              </w:rPr>
            </w:pPr>
            <w:r>
              <w:rPr>
                <w:rFonts w:ascii="Courier New" w:cs="Courier New" w:eastAsia="Courier New" w:hAnsi="Courier New"/>
                <w:sz w:val="15"/>
                <w:szCs w:val="15"/>
                <w:color w:val="auto"/>
              </w:rPr>
              <w:t>Fidelity Funds:</w:t>
            </w:r>
          </w:p>
        </w:tc>
        <w:tc>
          <w:tcPr>
            <w:tcW w:w="1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820" w:type="dxa"/>
            <w:vAlign w:val="bottom"/>
            <w:vMerge w:val="continue"/>
          </w:tcPr>
          <w:p>
            <w:pPr>
              <w:spacing w:after="0"/>
              <w:rPr>
                <w:sz w:val="8"/>
                <w:szCs w:val="8"/>
                <w:color w:val="auto"/>
              </w:rPr>
            </w:pPr>
          </w:p>
        </w:tc>
        <w:tc>
          <w:tcPr>
            <w:tcW w:w="18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2,240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2,586</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Kodak Stock Fund</w:t>
            </w:r>
          </w:p>
        </w:tc>
        <w:tc>
          <w:tcPr>
            <w:tcW w:w="18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Eastman Stock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2,778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2,567</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Fidelity Managed Income Portfolio</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10,079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10,325</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Fidelity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1,965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2,119</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Fidelity Puritan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2,581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2,888</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4,239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4,664</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Fidelity Contrafund</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2,147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2,291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419"/>
        <w:spacing w:after="0" w:line="307" w:lineRule="auto"/>
        <w:rPr>
          <w:sz w:val="20"/>
          <w:szCs w:val="20"/>
          <w:color w:val="auto"/>
        </w:rPr>
      </w:pPr>
      <w:r>
        <w:rPr>
          <w:rFonts w:ascii="Courier New" w:cs="Courier New" w:eastAsia="Courier New" w:hAnsi="Courier New"/>
          <w:sz w:val="15"/>
          <w:szCs w:val="15"/>
          <w:color w:val="auto"/>
        </w:rPr>
        <w:t>The total number of participants in the Plan was less than the sum of the number of participants shown above because many participants invest in more than one fund.</w:t>
      </w:r>
    </w:p>
    <w:p>
      <w:pPr>
        <w:sectPr>
          <w:pgSz w:w="11900" w:h="16838" w:orient="portrait"/>
          <w:cols w:equalWidth="0" w:num="1">
            <w:col w:w="10219"/>
          </w:cols>
          <w:pgMar w:left="240" w:top="265" w:right="1440" w:bottom="1440" w:gutter="0" w:footer="0" w:header="0"/>
        </w:sectPr>
      </w:pPr>
    </w:p>
    <w:bookmarkStart w:id="23" w:name="page24"/>
    <w:bookmarkEnd w:id="23"/>
    <w:p>
      <w:pPr>
        <w:spacing w:after="0" w:line="307" w:lineRule="auto"/>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LOANS TO PARTICIPANTS</w:t>
      </w:r>
    </w:p>
    <w:p>
      <w:pPr>
        <w:spacing w:after="0" w:line="180" w:lineRule="exact"/>
        <w:rPr>
          <w:sz w:val="20"/>
          <w:szCs w:val="20"/>
          <w:color w:val="auto"/>
        </w:rPr>
      </w:pPr>
    </w:p>
    <w:p>
      <w:pPr>
        <w:ind w:right="3139"/>
        <w:spacing w:after="0" w:line="257" w:lineRule="auto"/>
        <w:rPr>
          <w:sz w:val="20"/>
          <w:szCs w:val="20"/>
          <w:color w:val="auto"/>
        </w:rPr>
      </w:pPr>
      <w:r>
        <w:rPr>
          <w:rFonts w:ascii="Courier New" w:cs="Courier New" w:eastAsia="Courier New" w:hAnsi="Courier New"/>
          <w:sz w:val="15"/>
          <w:szCs w:val="15"/>
          <w:color w:val="auto"/>
        </w:rPr>
        <w:t>The Plan Trustees make loans to participants in accordance with Plan provisions. The Plan's receivable for loans made during 1995 and 1994 is recorded as an asset of a Loan Fund. The Plan's receivable for loans made prior to 1994 continues to be recorded as an asset of each of the funds from which the participants made the loan election. Loans made are accounted for as a transfer from the fund directed by the participant to the loan fund. The principal portion of loan repayments reduce the Loan Fund receivable. The principal and interest repaid are directed to funds to which the participant's current contributions are directed; the principal is accounted for as a transfer and the interest accounted for as income in the fund to which the participant's current contributions are directed. Loans cannot be made from the Fixed Income Funds.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earned on loans to participants for the fiscal years ended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30 is: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4"/>
              </w:rPr>
              <w:t>1995</w:t>
            </w:r>
          </w:p>
        </w:tc>
        <w:tc>
          <w:tcPr>
            <w:tcW w:w="20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4"/>
              </w:rPr>
              <w:t>1994</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rPr>
              <w:t>Boston Safe Funds:</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40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564</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666</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793</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Kodak Stock Fund</w:t>
            </w: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Smaller Stock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823</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1,080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1,114</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Fixed Income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1,874</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538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Balanced Mutual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Large Stock Index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International Stock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00" w:type="dxa"/>
            <w:vAlign w:val="bottom"/>
            <w:vMerge w:val="continue"/>
          </w:tcPr>
          <w:p>
            <w:pPr>
              <w:spacing w:after="0"/>
              <w:rPr>
                <w:sz w:val="15"/>
                <w:szCs w:val="15"/>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$3,425</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$2,328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$1,907</w:t>
            </w: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1995</w:t>
            </w:r>
          </w:p>
        </w:tc>
        <w:tc>
          <w:tcPr>
            <w:tcW w:w="900" w:type="dxa"/>
            <w:vAlign w:val="bottom"/>
          </w:tcPr>
          <w:p>
            <w:pPr>
              <w:spacing w:after="0"/>
              <w:rPr>
                <w:sz w:val="23"/>
                <w:szCs w:val="23"/>
                <w:color w:val="auto"/>
              </w:rPr>
            </w:pP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4"/>
              </w:rPr>
              <w:t>1994</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rPr>
              <w:t>Fidelity Funds:</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240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11</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Kodak Stock Fund</w:t>
            </w:r>
          </w:p>
        </w:tc>
        <w:tc>
          <w:tcPr>
            <w:tcW w:w="3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Eastman Stock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Fidelity Managed Income</w:t>
            </w:r>
          </w:p>
        </w:tc>
        <w:tc>
          <w:tcPr>
            <w:tcW w:w="320" w:type="dxa"/>
            <w:vAlign w:val="bottom"/>
          </w:tcPr>
          <w:p>
            <w:pPr>
              <w:spacing w:after="0"/>
              <w:rPr>
                <w:sz w:val="15"/>
                <w:szCs w:val="15"/>
                <w:color w:val="auto"/>
              </w:rPr>
            </w:pPr>
          </w:p>
        </w:tc>
        <w:tc>
          <w:tcPr>
            <w:tcW w:w="8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310</w:t>
            </w:r>
          </w:p>
        </w:tc>
        <w:tc>
          <w:tcPr>
            <w:tcW w:w="900" w:type="dxa"/>
            <w:vAlign w:val="bottom"/>
          </w:tcPr>
          <w:p>
            <w:pPr>
              <w:spacing w:after="0"/>
              <w:rPr>
                <w:sz w:val="15"/>
                <w:szCs w:val="15"/>
                <w:color w:val="auto"/>
              </w:rPr>
            </w:pPr>
          </w:p>
        </w:tc>
        <w:tc>
          <w:tcPr>
            <w:tcW w:w="11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179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Portfolio</w:t>
            </w:r>
          </w:p>
        </w:tc>
        <w:tc>
          <w:tcPr>
            <w:tcW w:w="3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Fidelity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Fidelity Puritan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Fidelity Magellan 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Fidelity Contrafund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2"/>
                <w:szCs w:val="22"/>
                <w:color w:val="auto"/>
              </w:rPr>
            </w:pP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679"/>
        <w:spacing w:after="0" w:line="368" w:lineRule="auto"/>
        <w:rPr>
          <w:sz w:val="20"/>
          <w:szCs w:val="20"/>
          <w:color w:val="auto"/>
        </w:rPr>
      </w:pPr>
      <w:r>
        <w:rPr>
          <w:rFonts w:ascii="Courier New" w:cs="Courier New" w:eastAsia="Courier New" w:hAnsi="Courier New"/>
          <w:sz w:val="15"/>
          <w:szCs w:val="15"/>
          <w:color w:val="auto"/>
        </w:rPr>
        <w:t>For purposes of Form 5500 the interest income shown above is included in interest from other loans.</w:t>
      </w:r>
    </w:p>
    <w:p>
      <w:pPr>
        <w:sectPr>
          <w:pgSz w:w="11900" w:h="16838" w:orient="portrait"/>
          <w:cols w:equalWidth="0" w:num="1">
            <w:col w:w="10219"/>
          </w:cols>
          <w:pgMar w:left="240" w:top="440" w:right="1440" w:bottom="1440" w:gutter="0" w:footer="0" w:header="0"/>
        </w:sectPr>
      </w:pPr>
    </w:p>
    <w:bookmarkStart w:id="25" w:name="page26"/>
    <w:bookmarkEnd w:id="25"/>
    <w:p>
      <w:pPr>
        <w:spacing w:after="0" w:line="368" w:lineRule="auto"/>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8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5:</w:t>
        <w:tab/>
        <w:t>NET REALIZED AND UNREALIZED GAINS (LOSSES) FROM INVESTMENTS</w:t>
      </w:r>
    </w:p>
    <w:p>
      <w:pPr>
        <w:spacing w:after="0" w:line="180" w:lineRule="exact"/>
        <w:rPr>
          <w:sz w:val="20"/>
          <w:szCs w:val="20"/>
          <w:color w:val="auto"/>
        </w:rPr>
      </w:pPr>
    </w:p>
    <w:p>
      <w:pPr>
        <w:ind w:right="2859"/>
        <w:spacing w:after="0" w:line="368" w:lineRule="auto"/>
        <w:rPr>
          <w:sz w:val="20"/>
          <w:szCs w:val="20"/>
          <w:color w:val="auto"/>
        </w:rPr>
      </w:pPr>
      <w:r>
        <w:rPr>
          <w:rFonts w:ascii="Courier New" w:cs="Courier New" w:eastAsia="Courier New" w:hAnsi="Courier New"/>
          <w:sz w:val="15"/>
          <w:szCs w:val="15"/>
          <w:color w:val="auto"/>
        </w:rPr>
        <w:t>Components of net realized and unrealized gains (losses) from investments and proceeds from sales of investments for the fiscal years ended on December 30 are: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(in thousands)</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3"/>
                <w:szCs w:val="23"/>
                <w:color w:val="auto"/>
              </w:rPr>
            </w:pPr>
          </w:p>
        </w:tc>
        <w:tc>
          <w:tcPr>
            <w:tcW w:w="118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Realized</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Unrealized</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Net Realized</w:t>
            </w:r>
          </w:p>
        </w:tc>
        <w:tc>
          <w:tcPr>
            <w:tcW w:w="1180" w:type="dxa"/>
            <w:vAlign w:val="bottom"/>
            <w:vMerge w:val="restart"/>
          </w:tcPr>
          <w:p>
            <w:pPr>
              <w:jc w:val="center"/>
              <w:ind w:left="24"/>
              <w:spacing w:after="0"/>
              <w:rPr>
                <w:sz w:val="20"/>
                <w:szCs w:val="20"/>
                <w:color w:val="auto"/>
              </w:rPr>
            </w:pPr>
            <w:r>
              <w:rPr>
                <w:rFonts w:ascii="Courier New" w:cs="Courier New" w:eastAsia="Courier New" w:hAnsi="Courier New"/>
                <w:sz w:val="15"/>
                <w:szCs w:val="15"/>
                <w:color w:val="auto"/>
                <w:w w:val="99"/>
              </w:rPr>
              <w:t>Proceeds</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gains</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gains</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and Unrealized</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(losses)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(losses)</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gains (losses)</w:t>
            </w: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from</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from</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from</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from</w:t>
            </w:r>
          </w:p>
        </w:tc>
        <w:tc>
          <w:tcPr>
            <w:tcW w:w="118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sales of</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investments</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investments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investments</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260" w:type="dxa"/>
            <w:vAlign w:val="bottom"/>
          </w:tcPr>
          <w:p>
            <w:pPr>
              <w:ind w:left="720"/>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Boston Safe Eastman Kodak</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$17,500</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$127,190</w:t>
            </w:r>
          </w:p>
        </w:tc>
        <w:tc>
          <w:tcPr>
            <w:tcW w:w="16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$144,690</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$105,480</w:t>
            </w:r>
          </w:p>
        </w:tc>
        <w:tc>
          <w:tcPr>
            <w:tcW w:w="0" w:type="dxa"/>
            <w:vAlign w:val="bottom"/>
          </w:tcPr>
          <w:p>
            <w:pPr>
              <w:spacing w:after="0"/>
              <w:rPr>
                <w:sz w:val="1"/>
                <w:szCs w:val="1"/>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Fidelity Eastman Kodak</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4,880</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2,352</w:t>
            </w:r>
          </w:p>
        </w:tc>
        <w:tc>
          <w:tcPr>
            <w:tcW w:w="16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7,232</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26,772</w:t>
            </w:r>
          </w:p>
        </w:tc>
        <w:tc>
          <w:tcPr>
            <w:tcW w:w="0" w:type="dxa"/>
            <w:vAlign w:val="bottom"/>
          </w:tcPr>
          <w:p>
            <w:pPr>
              <w:spacing w:after="0"/>
              <w:rPr>
                <w:sz w:val="1"/>
                <w:szCs w:val="1"/>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Fidelity Eastman stock</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4,553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2,102</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6,655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89,992</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securities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38,851</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94,389</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133,240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169,336</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$65,784</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$226,033</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$291,817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$391,580</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260" w:type="dxa"/>
            <w:vAlign w:val="bottom"/>
          </w:tcPr>
          <w:p>
            <w:pPr>
              <w:ind w:left="720"/>
              <w:spacing w:after="0"/>
              <w:rPr>
                <w:sz w:val="20"/>
                <w:szCs w:val="20"/>
                <w:color w:val="auto"/>
              </w:rPr>
            </w:pPr>
            <w:r>
              <w:rPr>
                <w:rFonts w:ascii="Courier New" w:cs="Courier New" w:eastAsia="Courier New" w:hAnsi="Courier New"/>
                <w:sz w:val="15"/>
                <w:szCs w:val="15"/>
                <w:color w:val="auto"/>
              </w:rPr>
              <w:t>1994</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Boston Safe Eastman Kodak</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$19,846</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  2,845</w:t>
            </w:r>
          </w:p>
        </w:tc>
        <w:tc>
          <w:tcPr>
            <w:tcW w:w="16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$ 22,691</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$ 25,142</w:t>
            </w:r>
          </w:p>
        </w:tc>
        <w:tc>
          <w:tcPr>
            <w:tcW w:w="0" w:type="dxa"/>
            <w:vAlign w:val="bottom"/>
          </w:tcPr>
          <w:p>
            <w:pPr>
              <w:spacing w:after="0"/>
              <w:rPr>
                <w:sz w:val="1"/>
                <w:szCs w:val="1"/>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Fidelity Eastman Kodak</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1,172</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3,359</w:t>
            </w:r>
          </w:p>
        </w:tc>
        <w:tc>
          <w:tcPr>
            <w:tcW w:w="16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4,531</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16,828</w:t>
            </w:r>
          </w:p>
        </w:tc>
        <w:tc>
          <w:tcPr>
            <w:tcW w:w="0" w:type="dxa"/>
            <w:vAlign w:val="bottom"/>
          </w:tcPr>
          <w:p>
            <w:pPr>
              <w:spacing w:after="0"/>
              <w:rPr>
                <w:sz w:val="1"/>
                <w:szCs w:val="1"/>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Fidelity Eastman stock</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829</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2,043</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2,872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26,521</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securities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20,730</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(16,499)</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4,231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724,197</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$42,577</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(8,252)</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$ 34,325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$792,688</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260" w:type="dxa"/>
            <w:vAlign w:val="bottom"/>
          </w:tcPr>
          <w:p>
            <w:pPr>
              <w:ind w:left="720"/>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Courier New" w:cs="Courier New" w:eastAsia="Courier New" w:hAnsi="Courier New"/>
                <w:sz w:val="15"/>
                <w:szCs w:val="15"/>
                <w:color w:val="auto"/>
              </w:rPr>
              <w:t>Eastman Kodak Company</w:t>
            </w:r>
          </w:p>
        </w:tc>
        <w:tc>
          <w:tcPr>
            <w:tcW w:w="11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$22,537</w:t>
            </w: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$ 78,627</w:t>
            </w:r>
          </w:p>
        </w:tc>
        <w:tc>
          <w:tcPr>
            <w:tcW w:w="16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$101,164</w:t>
            </w:r>
          </w:p>
        </w:tc>
        <w:tc>
          <w:tcPr>
            <w:tcW w:w="11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$ 97,295</w:t>
            </w:r>
          </w:p>
        </w:tc>
        <w:tc>
          <w:tcPr>
            <w:tcW w:w="0" w:type="dxa"/>
            <w:vAlign w:val="bottom"/>
          </w:tcPr>
          <w:p>
            <w:pPr>
              <w:spacing w:after="0"/>
              <w:rPr>
                <w:sz w:val="1"/>
                <w:szCs w:val="1"/>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securities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13,039</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8,743</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21,782</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244,948</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$35,576</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$ 87,370</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$122,946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$342,243</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Consistent with Department of Labor regulations, the components of net realized and unrealized gains and losses from investments are calculated for purposes of Form 5500 based on an investment's current value at the beginning of the year, or acquisition cost if acquired during the year (revalued cost). For purposes of determining realized gains and losses, the revalued cost of investments sold are determined based upon a weighted average basis.</w:t>
      </w:r>
    </w:p>
    <w:p>
      <w:pPr>
        <w:sectPr>
          <w:pgSz w:w="11900" w:h="16838" w:orient="portrait"/>
          <w:cols w:equalWidth="0" w:num="1">
            <w:col w:w="10219"/>
          </w:cols>
          <w:pgMar w:left="240" w:top="265" w:right="1440" w:bottom="1440" w:gutter="0" w:footer="0" w:header="0"/>
        </w:sectPr>
      </w:pPr>
    </w:p>
    <w:bookmarkStart w:id="27" w:name="page28"/>
    <w:bookmarkEnd w:id="27"/>
    <w:p>
      <w:pPr>
        <w:spacing w:after="0" w:line="271" w:lineRule="auto"/>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8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6:</w:t>
        <w:tab/>
        <w:t>UNIT VALUES AND PARTICIPANT UNITS</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thousands, except per unit data)</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are the funds' month-end unit values and participants' units as calculated by the Trustees.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Kodak</w:t>
            </w:r>
          </w:p>
        </w:tc>
        <w:tc>
          <w:tcPr>
            <w:tcW w:w="720" w:type="dxa"/>
            <w:vAlign w:val="bottom"/>
          </w:tcPr>
          <w:p>
            <w:pPr>
              <w:spacing w:after="0"/>
              <w:rPr>
                <w:sz w:val="15"/>
                <w:szCs w:val="15"/>
                <w:color w:val="auto"/>
              </w:rPr>
            </w:pPr>
          </w:p>
        </w:tc>
        <w:tc>
          <w:tcPr>
            <w:tcW w:w="182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Smaller</w:t>
            </w:r>
          </w:p>
        </w:tc>
        <w:tc>
          <w:tcPr>
            <w:tcW w:w="192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Fixed</w:t>
            </w:r>
          </w:p>
        </w:tc>
        <w:tc>
          <w:tcPr>
            <w:tcW w:w="260" w:type="dxa"/>
            <w:vAlign w:val="bottom"/>
          </w:tcPr>
          <w:p>
            <w:pPr>
              <w:spacing w:after="0"/>
              <w:rPr>
                <w:sz w:val="15"/>
                <w:szCs w:val="15"/>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Balanced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Large</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Stock</w:t>
            </w:r>
          </w:p>
        </w:tc>
        <w:tc>
          <w:tcPr>
            <w:tcW w:w="15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72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Stock Fund</w:t>
            </w:r>
          </w:p>
        </w:tc>
        <w:tc>
          <w:tcPr>
            <w:tcW w:w="182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Stock Fund</w:t>
            </w:r>
          </w:p>
        </w:tc>
        <w:tc>
          <w:tcPr>
            <w:tcW w:w="1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Income Fund</w:t>
            </w:r>
          </w:p>
        </w:tc>
        <w:tc>
          <w:tcPr>
            <w:tcW w:w="26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Mutual Fund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Index</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Fund</w:t>
            </w:r>
          </w:p>
        </w:tc>
        <w:tc>
          <w:tcPr>
            <w:tcW w:w="1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Stock Fund</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Unit</w:t>
            </w: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7"/>
              </w:rPr>
              <w:t>Units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Unit</w:t>
            </w: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Units</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Unit</w:t>
            </w: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Units</w:t>
            </w:r>
          </w:p>
        </w:tc>
        <w:tc>
          <w:tcPr>
            <w:tcW w:w="2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Unit</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Units</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Unit</w:t>
            </w: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Units</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Unit</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Units</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Value</w:t>
            </w:r>
          </w:p>
        </w:tc>
        <w:tc>
          <w:tcPr>
            <w:tcW w:w="720" w:type="dxa"/>
            <w:vAlign w:val="bottom"/>
            <w:vMerge w:val="continue"/>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Value</w:t>
            </w:r>
          </w:p>
        </w:tc>
        <w:tc>
          <w:tcPr>
            <w:tcW w:w="820" w:type="dxa"/>
            <w:vAlign w:val="bottom"/>
            <w:vMerge w:val="continue"/>
          </w:tcPr>
          <w:p>
            <w:pPr>
              <w:spacing w:after="0"/>
              <w:rPr>
                <w:sz w:val="15"/>
                <w:szCs w:val="15"/>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Value</w:t>
            </w:r>
          </w:p>
        </w:tc>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Value</w:t>
            </w:r>
          </w:p>
        </w:tc>
        <w:tc>
          <w:tcPr>
            <w:tcW w:w="820" w:type="dxa"/>
            <w:vAlign w:val="bottom"/>
            <w:vMerge w:val="continue"/>
          </w:tcPr>
          <w:p>
            <w:pPr>
              <w:spacing w:after="0"/>
              <w:rPr>
                <w:sz w:val="15"/>
                <w:szCs w:val="15"/>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Value</w:t>
            </w:r>
          </w:p>
        </w:tc>
        <w:tc>
          <w:tcPr>
            <w:tcW w:w="820" w:type="dxa"/>
            <w:vAlign w:val="bottom"/>
            <w:vMerge w:val="continue"/>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2"/>
                <w:szCs w:val="22"/>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$15.0685</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6"/>
              </w:rPr>
              <w:t>26,008</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$17.2073</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22,038</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$13.0164</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213,600</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9.7775</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6,112</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$10.2868</w:t>
            </w: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2,748</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$ 9.1940</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4,721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10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February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15.7864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25,165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17.7324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21,743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13.1009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214,881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10.0723</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6,086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10.6743</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2,806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9.0807</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4,573</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16.4715</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24,234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18.1159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21,782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13.1944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217,663</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10.3041</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6,141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10.9885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3,056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9.4996</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4,698</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17.7611</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23,160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18.4164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21,711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13.2854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218,367</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10.5114</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6,338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11.3028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9.7944</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4,902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18.7554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23,702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18.8146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21,517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13.3800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217,214</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10.7334</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6,483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11.7387</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3,462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9.8095</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4,991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18.8246</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24,672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19.3313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21,528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13.4718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215,772</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10.8543</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6,498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12.0151</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3,641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9.7335</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4,837</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July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17.8873</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25,487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20.0670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21,636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13.5671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213,797</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11.2170</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6,593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12.3953</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4,013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10.3433</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18.0442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25,566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20.4823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21,628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13.6630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213,204</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11.2698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6,673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12.4269</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4,145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10.1110</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4,973</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18.5041</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24,993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20.9314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21,691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13.7564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213,433</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11.4284</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6,727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12.9388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4,248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10.2605</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October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19.5477</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24,123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20.2634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21,782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13.8526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213,496</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11.2441</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6,862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12.8935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4,760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9.9805</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21.4281</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23,091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20.9552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21,831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13.9463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213,978</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11.6399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7,013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13.4240</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5,203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10.1649</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5,171</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21.0227</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23,837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21.3790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21,857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14.0432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211,742</w:t>
            </w:r>
          </w:p>
        </w:tc>
        <w:tc>
          <w:tcPr>
            <w:tcW w:w="2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11.9054</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6,985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13.6526</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5,437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10.4931</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5,592</w:t>
            </w:r>
          </w:p>
        </w:tc>
        <w:tc>
          <w:tcPr>
            <w:tcW w:w="0" w:type="dxa"/>
            <w:vAlign w:val="bottom"/>
          </w:tcPr>
          <w:p>
            <w:pPr>
              <w:spacing w:after="0"/>
              <w:rPr>
                <w:sz w:val="1"/>
                <w:szCs w:val="1"/>
                <w:color w:val="auto"/>
              </w:rPr>
            </w:pPr>
          </w:p>
        </w:tc>
      </w:tr>
      <w:tr>
        <w:trPr>
          <w:trHeight w:val="268"/>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$13.1614</w:t>
            </w:r>
          </w:p>
        </w:tc>
        <w:tc>
          <w:tcPr>
            <w:tcW w:w="7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6"/>
              </w:rPr>
              <w:t>23,892</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$17.5092</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24,491</w:t>
            </w:r>
          </w:p>
        </w:tc>
        <w:tc>
          <w:tcPr>
            <w:tcW w:w="10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$11.9962</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220,988</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10.0000</w:t>
            </w:r>
          </w:p>
        </w:tc>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2,486</w:t>
            </w: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$10.0000</w:t>
            </w:r>
          </w:p>
        </w:tc>
        <w:tc>
          <w:tcPr>
            <w:tcW w:w="8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656</w:t>
            </w:r>
          </w:p>
        </w:tc>
        <w:tc>
          <w:tcPr>
            <w:tcW w:w="9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6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1,696</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10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February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12.8902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23,857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17.3762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24,235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12.0620</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218,291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9.9578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4,088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9.9858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9.9600</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13.1532</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23,957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16.7451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24,225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12.1353</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219,121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9.6107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4,885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9.5378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9.5937</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3,046</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12.7038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24,583</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16.9046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23,957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12.2135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217,556</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9.7089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5,165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9.6417</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1,750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9.8725</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3,232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14.2177</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24,264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16.8853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23,811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12.2969</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217,333</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9.7722</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5,430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9.8061</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1,887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9.8833</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3,637</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14.5874</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24,425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16.5158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23,586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12.3827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217,050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9.6929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5,594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9.5626</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9.7177</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3,767</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July</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14.6618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24,794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17.0051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23,130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12.4725</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216,857</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9.9324</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5,663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9.8681</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2,105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10.0029</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3,849</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15.1800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24,902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17.6836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22,920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12.5628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216,300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10.2236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5,861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10.2698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2,185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10.3276</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4,034</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15.7718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23,896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17.4677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22,830</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12.6508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217,032</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10.0075</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5,940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10.0253</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2,314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10.0446</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4,231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October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14.6868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25,141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17.6552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22,712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12.7422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214,944</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10.1239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6,036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10.2448</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2,447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10.2602</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4,550</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14.0218</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26,744</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16.9373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22,632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12.8314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212,291</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9.8056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9.8789</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9.7532</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4,726</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14.6890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26,409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17.1395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22,502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12.9232</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212,737</w:t>
            </w:r>
          </w:p>
        </w:tc>
        <w:tc>
          <w:tcPr>
            <w:tcW w:w="2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9.8250</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6,018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10.0300</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2,623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9.6911</w:t>
            </w:r>
          </w:p>
        </w:tc>
        <w:tc>
          <w:tcPr>
            <w:tcW w:w="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4,765</w:t>
            </w:r>
          </w:p>
        </w:tc>
        <w:tc>
          <w:tcPr>
            <w:tcW w:w="0" w:type="dxa"/>
            <w:vAlign w:val="bottom"/>
          </w:tcPr>
          <w:p>
            <w:pPr>
              <w:spacing w:after="0"/>
              <w:rPr>
                <w:sz w:val="1"/>
                <w:szCs w:val="1"/>
                <w:color w:val="auto"/>
              </w:rPr>
            </w:pPr>
          </w:p>
        </w:tc>
      </w:tr>
    </w:tbl>
    <w:p>
      <w:pPr>
        <w:sectPr>
          <w:pgSz w:w="11900" w:h="16838" w:orient="portrait"/>
          <w:cols w:equalWidth="0" w:num="1">
            <w:col w:w="11520"/>
          </w:cols>
          <w:pgMar w:left="240" w:top="265" w:right="139" w:bottom="144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5"/>
        </w:trPr>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15</w:t>
            </w:r>
          </w:p>
        </w:tc>
        <w:tc>
          <w:tcPr>
            <w:tcW w:w="3320" w:type="dxa"/>
            <w:vAlign w:val="bottom"/>
            <w:gridSpan w:val="5"/>
            <w:vMerge w:val="restart"/>
          </w:tcPr>
          <w:p>
            <w:pPr>
              <w:jc w:val="right"/>
              <w:ind w:right="424"/>
              <w:spacing w:after="0"/>
              <w:rPr>
                <w:sz w:val="20"/>
                <w:szCs w:val="20"/>
                <w:color w:val="auto"/>
              </w:rPr>
            </w:pPr>
            <w:r>
              <w:rPr>
                <w:rFonts w:ascii="Courier New" w:cs="Courier New" w:eastAsia="Courier New" w:hAnsi="Courier New"/>
                <w:sz w:val="15"/>
                <w:szCs w:val="15"/>
                <w:color w:val="auto"/>
              </w:rPr>
              <w:t>AND PARTICIPANT UNITS (Cont'd)</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UNIT VALUES</w:t>
            </w:r>
          </w:p>
        </w:tc>
        <w:tc>
          <w:tcPr>
            <w:tcW w:w="3320" w:type="dxa"/>
            <w:vAlign w:val="bottom"/>
            <w:gridSpan w:val="5"/>
            <w:vMerge w:val="continue"/>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gridSpan w:val="5"/>
          </w:tcPr>
          <w:p>
            <w:pPr>
              <w:spacing w:after="0"/>
              <w:rPr>
                <w:sz w:val="20"/>
                <w:szCs w:val="20"/>
                <w:color w:val="auto"/>
              </w:rPr>
            </w:pPr>
            <w:r>
              <w:rPr>
                <w:rFonts w:ascii="Courier New" w:cs="Courier New" w:eastAsia="Courier New" w:hAnsi="Courier New"/>
                <w:sz w:val="15"/>
                <w:szCs w:val="15"/>
                <w:color w:val="auto"/>
              </w:rPr>
              <w:t>(in thousands, except per unit data)</w:t>
            </w: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Kodak</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Eastman</w:t>
            </w:r>
          </w:p>
        </w:tc>
        <w:tc>
          <w:tcPr>
            <w:tcW w:w="1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Fidelity Managed</w:t>
            </w:r>
          </w:p>
        </w:tc>
        <w:tc>
          <w:tcPr>
            <w:tcW w:w="168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rPr>
              <w:t>Fidelity Fund</w:t>
            </w: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Fidelity</w:t>
            </w:r>
          </w:p>
        </w:tc>
        <w:tc>
          <w:tcPr>
            <w:tcW w:w="15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Fidelity</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580" w:type="dxa"/>
            <w:vAlign w:val="bottom"/>
            <w:gridSpan w:val="2"/>
          </w:tcPr>
          <w:p>
            <w:pPr>
              <w:jc w:val="center"/>
              <w:ind w:right="64"/>
              <w:spacing w:after="0"/>
              <w:rPr>
                <w:sz w:val="20"/>
                <w:szCs w:val="20"/>
                <w:color w:val="auto"/>
              </w:rPr>
            </w:pPr>
            <w:r>
              <w:rPr>
                <w:rFonts w:ascii="Courier New" w:cs="Courier New" w:eastAsia="Courier New" w:hAnsi="Courier New"/>
                <w:sz w:val="15"/>
                <w:szCs w:val="15"/>
                <w:color w:val="auto"/>
              </w:rPr>
              <w:t>Stock Fund</w:t>
            </w:r>
          </w:p>
        </w:tc>
        <w:tc>
          <w:tcPr>
            <w:tcW w:w="240" w:type="dxa"/>
            <w:vAlign w:val="bottom"/>
          </w:tcPr>
          <w:p>
            <w:pPr>
              <w:spacing w:after="0"/>
              <w:rPr>
                <w:sz w:val="15"/>
                <w:szCs w:val="15"/>
                <w:color w:val="auto"/>
              </w:rPr>
            </w:pPr>
          </w:p>
        </w:tc>
        <w:tc>
          <w:tcPr>
            <w:tcW w:w="15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Stock Fund</w:t>
            </w:r>
          </w:p>
        </w:tc>
        <w:tc>
          <w:tcPr>
            <w:tcW w:w="1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Income Portfolio</w:t>
            </w:r>
          </w:p>
        </w:tc>
        <w:tc>
          <w:tcPr>
            <w:tcW w:w="1680" w:type="dxa"/>
            <w:vAlign w:val="bottom"/>
            <w:gridSpan w:val="2"/>
            <w:vMerge w:val="continue"/>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Puritan Fund</w:t>
            </w:r>
          </w:p>
        </w:tc>
        <w:tc>
          <w:tcPr>
            <w:tcW w:w="15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Magellan Fund</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5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7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Unit</w:t>
            </w:r>
          </w:p>
        </w:tc>
        <w:tc>
          <w:tcPr>
            <w:tcW w:w="680" w:type="dxa"/>
            <w:vAlign w:val="bottom"/>
            <w:vMerge w:val="restart"/>
          </w:tcPr>
          <w:p>
            <w:pPr>
              <w:spacing w:after="0"/>
              <w:rPr>
                <w:sz w:val="20"/>
                <w:szCs w:val="20"/>
                <w:color w:val="auto"/>
              </w:rPr>
            </w:pPr>
            <w:r>
              <w:rPr>
                <w:rFonts w:ascii="Courier New" w:cs="Courier New" w:eastAsia="Courier New" w:hAnsi="Courier New"/>
                <w:sz w:val="15"/>
                <w:szCs w:val="15"/>
                <w:color w:val="auto"/>
              </w:rPr>
              <w:t>Units</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w:t>
            </w: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Units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Units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w:t>
            </w:r>
          </w:p>
        </w:tc>
        <w:tc>
          <w:tcPr>
            <w:tcW w:w="8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Units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Units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w:t>
            </w:r>
          </w:p>
        </w:tc>
        <w:tc>
          <w:tcPr>
            <w:tcW w:w="7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Units</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Value</w:t>
            </w: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Value</w:t>
            </w:r>
          </w:p>
        </w:tc>
        <w:tc>
          <w:tcPr>
            <w:tcW w:w="880" w:type="dxa"/>
            <w:vAlign w:val="bottom"/>
            <w:vMerge w:val="continue"/>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900" w:type="dxa"/>
            <w:vAlign w:val="bottom"/>
            <w:vMerge w:val="continue"/>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860" w:type="dxa"/>
            <w:vAlign w:val="bottom"/>
            <w:vMerge w:val="continue"/>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880" w:type="dxa"/>
            <w:vAlign w:val="bottom"/>
            <w:vMerge w:val="continue"/>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2"/>
                <w:szCs w:val="22"/>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6"/>
              </w:rPr>
              <w:t>$11.21</w:t>
            </w:r>
          </w:p>
        </w:tc>
        <w:tc>
          <w:tcPr>
            <w:tcW w:w="680" w:type="dxa"/>
            <w:vAlign w:val="bottom"/>
            <w:vMerge w:val="restart"/>
          </w:tcPr>
          <w:p>
            <w:pPr>
              <w:spacing w:after="0"/>
              <w:rPr>
                <w:sz w:val="20"/>
                <w:szCs w:val="20"/>
                <w:color w:val="auto"/>
              </w:rPr>
            </w:pPr>
            <w:r>
              <w:rPr>
                <w:rFonts w:ascii="Courier New" w:cs="Courier New" w:eastAsia="Courier New" w:hAnsi="Courier New"/>
                <w:sz w:val="15"/>
                <w:szCs w:val="15"/>
                <w:color w:val="auto"/>
              </w:rPr>
              <w:t>1,720</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3"/>
              </w:rPr>
              <w:t>11.14</w:t>
            </w: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2,491</w:t>
            </w: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vMerge w:val="restart"/>
          </w:tcPr>
          <w:p>
            <w:pPr>
              <w:jc w:val="center"/>
              <w:ind w:left="24"/>
              <w:spacing w:after="0"/>
              <w:rPr>
                <w:sz w:val="20"/>
                <w:szCs w:val="20"/>
                <w:color w:val="auto"/>
              </w:rPr>
            </w:pPr>
            <w:r>
              <w:rPr>
                <w:rFonts w:ascii="Courier New" w:cs="Courier New" w:eastAsia="Courier New" w:hAnsi="Courier New"/>
                <w:sz w:val="15"/>
                <w:szCs w:val="15"/>
                <w:color w:val="auto"/>
              </w:rPr>
              <w:t>281,150</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$18.45</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450</w:t>
            </w: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$14.74</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1,102</w:t>
            </w: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$66.12</w:t>
            </w:r>
          </w:p>
        </w:tc>
        <w:tc>
          <w:tcPr>
            <w:tcW w:w="7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502</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9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February</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11.75</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1,683</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12.23</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1,928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292,008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438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1,081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69.83</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12.23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1,616</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12.50</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1,654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299,504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435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1,077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72.44</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1,461</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12.74</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2,037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299,870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20.15</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428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1,056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75.81</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459</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1,445</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13.43</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307,370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20.49</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430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1,037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77.59</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459</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13.99</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1,486</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13.36</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1,750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307,884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21.04</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428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16.15</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1,044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83.50</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448</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July</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13.25</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1,724</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14.25</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1,616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307,937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429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1,028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89.91</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454</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1,762</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14.39</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307,750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437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1,022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90.69</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453</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1,644</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14.33</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2,366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302,453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22.31</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438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16.78</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1,030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92.37</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446</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October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1,435</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13.27</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2,974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298,380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22.05</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444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16.51</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1,031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89.99</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15.63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1,355</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14.60</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2,173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312,378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450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91.99</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450</w:t>
            </w: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15.39</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1,363</w:t>
            </w:r>
          </w:p>
        </w:tc>
        <w:tc>
          <w:tcPr>
            <w:tcW w:w="240" w:type="dxa"/>
            <w:vAlign w:val="bottom"/>
          </w:tcPr>
          <w:p>
            <w:pPr>
              <w:spacing w:after="0"/>
              <w:rPr>
                <w:sz w:val="22"/>
                <w:szCs w:val="22"/>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13.97</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2,911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300,029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22.61</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479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17.01</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1,052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85.98</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488</w:t>
            </w:r>
          </w:p>
        </w:tc>
        <w:tc>
          <w:tcPr>
            <w:tcW w:w="0" w:type="dxa"/>
            <w:vAlign w:val="bottom"/>
          </w:tcPr>
          <w:p>
            <w:pPr>
              <w:spacing w:after="0"/>
              <w:rPr>
                <w:sz w:val="1"/>
                <w:szCs w:val="1"/>
                <w:color w:val="auto"/>
              </w:rPr>
            </w:pPr>
          </w:p>
        </w:tc>
      </w:tr>
      <w:tr>
        <w:trPr>
          <w:trHeight w:val="618"/>
        </w:trPr>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6"/>
              </w:rPr>
              <w:t>$ 9.84</w:t>
            </w:r>
          </w:p>
        </w:tc>
        <w:tc>
          <w:tcPr>
            <w:tcW w:w="680" w:type="dxa"/>
            <w:vAlign w:val="bottom"/>
            <w:vMerge w:val="restart"/>
          </w:tcPr>
          <w:p>
            <w:pPr>
              <w:spacing w:after="0"/>
              <w:rPr>
                <w:sz w:val="20"/>
                <w:szCs w:val="20"/>
                <w:color w:val="auto"/>
              </w:rPr>
            </w:pPr>
            <w:r>
              <w:rPr>
                <w:rFonts w:ascii="Courier New" w:cs="Courier New" w:eastAsia="Courier New" w:hAnsi="Courier New"/>
                <w:sz w:val="15"/>
                <w:szCs w:val="15"/>
                <w:color w:val="auto"/>
              </w:rPr>
              <w:t>2,611</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9.60</w:t>
            </w:r>
          </w:p>
        </w:tc>
        <w:tc>
          <w:tcPr>
            <w:tcW w:w="8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459</w:t>
            </w: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vMerge w:val="restart"/>
          </w:tcPr>
          <w:p>
            <w:pPr>
              <w:jc w:val="center"/>
              <w:ind w:left="24"/>
              <w:spacing w:after="0"/>
              <w:rPr>
                <w:sz w:val="20"/>
                <w:szCs w:val="20"/>
                <w:color w:val="auto"/>
              </w:rPr>
            </w:pPr>
            <w:r>
              <w:rPr>
                <w:rFonts w:ascii="Courier New" w:cs="Courier New" w:eastAsia="Courier New" w:hAnsi="Courier New"/>
                <w:sz w:val="15"/>
                <w:szCs w:val="15"/>
                <w:color w:val="auto"/>
              </w:rPr>
              <w:t>261,294</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$20.09</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483</w:t>
            </w: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$16.45</w:t>
            </w:r>
          </w:p>
        </w:tc>
        <w:tc>
          <w:tcPr>
            <w:tcW w:w="8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1,193</w:t>
            </w: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$73.65</w:t>
            </w:r>
          </w:p>
        </w:tc>
        <w:tc>
          <w:tcPr>
            <w:tcW w:w="72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rPr>
              <w:t>572</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9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February</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9.62</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2,387</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9.11</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258,586</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19.69</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504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1,245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73.11</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586</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9.92</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2,280</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8.87</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807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264,517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18.71</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502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1,230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69.72</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583</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9.29</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2,218</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9.78</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902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265,702</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19.15</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492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1,208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70.42</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583</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10.57</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2,092</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10.57</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268,578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19.13</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481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1,178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66.84</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10.84</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2,053</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10.58</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269,607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478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15.15</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1,183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63.94</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605</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July</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2,028</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11.42</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273,247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19.22</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467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1,148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66.08</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590</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11.30</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1,928</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11.67</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1,195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276,641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486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1,136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69.21</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570</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1,865</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12.11</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1,252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279,149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18.62</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481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15.35</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1,178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67.41</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566</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October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1,857</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12.04</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279,319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19.02</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478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15.53</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1,161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69.69</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541</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10.46</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1,815</w:t>
            </w:r>
          </w:p>
        </w:tc>
        <w:tc>
          <w:tcPr>
            <w:tcW w:w="240" w:type="dxa"/>
            <w:vAlign w:val="bottom"/>
          </w:tcPr>
          <w:p>
            <w:pPr>
              <w:spacing w:after="0"/>
              <w:rPr>
                <w:sz w:val="15"/>
                <w:szCs w:val="15"/>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10.52</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2,652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271,998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18.35</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472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15.04</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1,135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65.87</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527</w:t>
            </w: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10.93</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1,796</w:t>
            </w:r>
          </w:p>
        </w:tc>
        <w:tc>
          <w:tcPr>
            <w:tcW w:w="240" w:type="dxa"/>
            <w:vAlign w:val="bottom"/>
          </w:tcPr>
          <w:p>
            <w:pPr>
              <w:spacing w:after="0"/>
              <w:rPr>
                <w:sz w:val="22"/>
                <w:szCs w:val="22"/>
                <w:color w:val="auto"/>
              </w:rPr>
            </w:pPr>
          </w:p>
        </w:tc>
        <w:tc>
          <w:tcPr>
            <w:tcW w:w="6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3"/>
              </w:rPr>
              <w:t>11.32</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2,203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280,203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470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14.81</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1,146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66.80</w:t>
            </w:r>
          </w:p>
        </w:tc>
        <w:tc>
          <w:tcPr>
            <w:tcW w:w="720" w:type="dxa"/>
            <w:vAlign w:val="bottom"/>
          </w:tcPr>
          <w:p>
            <w:pPr>
              <w:jc w:val="center"/>
              <w:ind w:left="4"/>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bl>
    <w:p>
      <w:pPr>
        <w:sectPr>
          <w:pgSz w:w="11900" w:h="16838" w:orient="portrait"/>
          <w:cols w:equalWidth="0" w:num="1">
            <w:col w:w="11080"/>
          </w:cols>
          <w:pgMar w:left="240" w:top="265" w:right="579"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80"/>
        <w:spacing w:after="0"/>
        <w:rPr>
          <w:sz w:val="20"/>
          <w:szCs w:val="20"/>
          <w:color w:val="auto"/>
        </w:rPr>
      </w:pPr>
      <w:r>
        <w:rPr>
          <w:rFonts w:ascii="Courier New" w:cs="Courier New" w:eastAsia="Courier New" w:hAnsi="Courier New"/>
          <w:sz w:val="15"/>
          <w:szCs w:val="15"/>
          <w:color w:val="auto"/>
        </w:rPr>
        <w:t>16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 VALUES AND PARTICIPANT UNITS (Cont'd)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unit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15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Fidelity</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5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Contrafund</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5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Unit</w:t>
            </w:r>
          </w:p>
        </w:tc>
        <w:tc>
          <w:tcPr>
            <w:tcW w:w="7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Units</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$29.79</w:t>
            </w:r>
          </w:p>
        </w:tc>
        <w:tc>
          <w:tcPr>
            <w:tcW w:w="720" w:type="dxa"/>
            <w:vAlign w:val="bottom"/>
            <w:vMerge w:val="restart"/>
          </w:tcPr>
          <w:p>
            <w:pPr>
              <w:jc w:val="center"/>
              <w:ind w:left="24"/>
              <w:spacing w:after="0"/>
              <w:rPr>
                <w:sz w:val="20"/>
                <w:szCs w:val="20"/>
                <w:color w:val="auto"/>
              </w:rPr>
            </w:pPr>
            <w:r>
              <w:rPr>
                <w:rFonts w:ascii="Courier New" w:cs="Courier New" w:eastAsia="Courier New" w:hAnsi="Courier New"/>
                <w:sz w:val="15"/>
                <w:szCs w:val="15"/>
                <w:color w:val="auto"/>
                <w:w w:val="96"/>
              </w:rPr>
              <w:t>454</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8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February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30.99</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444</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32.12</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432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33.57</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429</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34.38</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420</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36.56</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416</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July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39.36</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424</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39.88</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427</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40.61</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426</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October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39.87</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433</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40.92</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437</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38.02</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486</w:t>
            </w:r>
          </w:p>
        </w:tc>
        <w:tc>
          <w:tcPr>
            <w:tcW w:w="0" w:type="dxa"/>
            <w:vAlign w:val="bottom"/>
          </w:tcPr>
          <w:p>
            <w:pPr>
              <w:spacing w:after="0"/>
              <w:rPr>
                <w:sz w:val="1"/>
                <w:szCs w:val="1"/>
                <w:color w:val="auto"/>
              </w:rPr>
            </w:pPr>
          </w:p>
        </w:tc>
      </w:tr>
      <w:tr>
        <w:trPr>
          <w:trHeight w:val="618"/>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$31.81</w:t>
            </w:r>
          </w:p>
        </w:tc>
        <w:tc>
          <w:tcPr>
            <w:tcW w:w="720" w:type="dxa"/>
            <w:vAlign w:val="bottom"/>
            <w:vMerge w:val="restart"/>
          </w:tcPr>
          <w:p>
            <w:pPr>
              <w:jc w:val="center"/>
              <w:ind w:left="24"/>
              <w:spacing w:after="0"/>
              <w:rPr>
                <w:sz w:val="20"/>
                <w:szCs w:val="20"/>
                <w:color w:val="auto"/>
              </w:rPr>
            </w:pPr>
            <w:r>
              <w:rPr>
                <w:rFonts w:ascii="Courier New" w:cs="Courier New" w:eastAsia="Courier New" w:hAnsi="Courier New"/>
                <w:sz w:val="15"/>
                <w:szCs w:val="15"/>
                <w:color w:val="auto"/>
                <w:w w:val="96"/>
              </w:rPr>
              <w:t>473</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January</w:t>
            </w:r>
          </w:p>
        </w:tc>
        <w:tc>
          <w:tcPr>
            <w:tcW w:w="8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February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31.36</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520</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30.12</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522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April</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30.49</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528</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May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30.32</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519</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June</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29.13</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519</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July</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29.74</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511</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August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30.98</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502</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September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30.57</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493</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October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31.44</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484</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30.01</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467</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30.28</w:t>
            </w:r>
          </w:p>
        </w:tc>
        <w:tc>
          <w:tcPr>
            <w:tcW w:w="7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466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8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7:</w:t>
        <w:tab/>
        <w:t>SIGNIFICANT INVESTMENTS</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The following table represents investments having a value equal to or greater than 5% of net assets at December 30, 1995:</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2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w w:val="99"/>
              </w:rPr>
              <w:t>(in thousands)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140" w:type="dxa"/>
            <w:vAlign w:val="bottom"/>
          </w:tcPr>
          <w:p>
            <w:pPr>
              <w:spacing w:after="0"/>
              <w:rPr>
                <w:sz w:val="23"/>
                <w:szCs w:val="23"/>
                <w:color w:val="auto"/>
              </w:rPr>
            </w:pPr>
          </w:p>
        </w:tc>
        <w:tc>
          <w:tcPr>
            <w:tcW w:w="10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Maturity</w:t>
            </w:r>
          </w:p>
        </w:tc>
        <w:tc>
          <w:tcPr>
            <w:tcW w:w="7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7"/>
              </w:rPr>
              <w:t>Interest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Principal</w:t>
            </w:r>
          </w:p>
        </w:tc>
        <w:tc>
          <w:tcPr>
            <w:tcW w:w="900" w:type="dxa"/>
            <w:vAlign w:val="bottom"/>
          </w:tcPr>
          <w:p>
            <w:pPr>
              <w:spacing w:after="0"/>
              <w:rPr>
                <w:sz w:val="23"/>
                <w:szCs w:val="23"/>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Fair or</w:t>
            </w:r>
          </w:p>
        </w:tc>
        <w:tc>
          <w:tcPr>
            <w:tcW w:w="0" w:type="dxa"/>
            <w:vAlign w:val="bottom"/>
          </w:tcPr>
          <w:p>
            <w:pPr>
              <w:spacing w:after="0"/>
              <w:rPr>
                <w:sz w:val="1"/>
                <w:szCs w:val="1"/>
                <w:color w:val="auto"/>
              </w:rPr>
            </w:pPr>
          </w:p>
        </w:tc>
      </w:tr>
      <w:tr>
        <w:trPr>
          <w:trHeight w:val="175"/>
        </w:trPr>
        <w:tc>
          <w:tcPr>
            <w:tcW w:w="21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Investment</w:t>
            </w:r>
          </w:p>
        </w:tc>
        <w:tc>
          <w:tcPr>
            <w:tcW w:w="10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 or</w:t>
            </w:r>
          </w:p>
        </w:tc>
        <w:tc>
          <w:tcPr>
            <w:tcW w:w="9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Cost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Contract</w:t>
            </w:r>
          </w:p>
        </w:tc>
        <w:tc>
          <w:tcPr>
            <w:tcW w:w="0" w:type="dxa"/>
            <w:vAlign w:val="bottom"/>
          </w:tcPr>
          <w:p>
            <w:pPr>
              <w:spacing w:after="0"/>
              <w:rPr>
                <w:sz w:val="1"/>
                <w:szCs w:val="1"/>
                <w:color w:val="auto"/>
              </w:rPr>
            </w:pPr>
          </w:p>
        </w:tc>
      </w:tr>
      <w:tr>
        <w:trPr>
          <w:trHeight w:val="175"/>
        </w:trPr>
        <w:tc>
          <w:tcPr>
            <w:tcW w:w="2140" w:type="dxa"/>
            <w:vAlign w:val="bottom"/>
            <w:vMerge w:val="continue"/>
          </w:tcPr>
          <w:p>
            <w:pPr>
              <w:spacing w:after="0"/>
              <w:rPr>
                <w:sz w:val="15"/>
                <w:szCs w:val="15"/>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Date</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Rate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900" w:type="dxa"/>
            <w:vAlign w:val="bottom"/>
            <w:vMerge w:val="continue"/>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2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140" w:type="dxa"/>
            <w:vAlign w:val="bottom"/>
          </w:tcPr>
          <w:p>
            <w:pPr>
              <w:spacing w:after="0"/>
              <w:rPr>
                <w:sz w:val="20"/>
                <w:szCs w:val="20"/>
                <w:color w:val="auto"/>
              </w:rPr>
            </w:pPr>
            <w:r>
              <w:rPr>
                <w:rFonts w:ascii="Courier New" w:cs="Courier New" w:eastAsia="Courier New" w:hAnsi="Courier New"/>
                <w:sz w:val="15"/>
                <w:szCs w:val="15"/>
                <w:color w:val="auto"/>
              </w:rPr>
              <w:t>Eastman Kodak Company</w:t>
            </w:r>
          </w:p>
        </w:tc>
        <w:tc>
          <w:tcPr>
            <w:tcW w:w="10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N/A</w:t>
            </w:r>
          </w:p>
        </w:tc>
        <w:tc>
          <w:tcPr>
            <w:tcW w:w="76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N/A</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7,487</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$309,491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501,602</w:t>
            </w: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0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John Hancock Life Ins.</w:t>
            </w:r>
          </w:p>
        </w:tc>
        <w:tc>
          <w:tcPr>
            <w:tcW w:w="10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3/1/1999</w:t>
            </w:r>
          </w:p>
        </w:tc>
        <w:tc>
          <w:tcPr>
            <w:tcW w:w="7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8.84%</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$330,555</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330,555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330,555</w:t>
            </w: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GAC #4481</w:t>
            </w:r>
          </w:p>
        </w:tc>
        <w:tc>
          <w:tcPr>
            <w:tcW w:w="10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20"/>
                <w:szCs w:val="20"/>
                <w:color w:val="auto"/>
              </w:rPr>
            </w:pPr>
            <w:r>
              <w:rPr>
                <w:rFonts w:ascii="Courier New" w:cs="Courier New" w:eastAsia="Courier New" w:hAnsi="Courier New"/>
                <w:sz w:val="15"/>
                <w:szCs w:val="15"/>
                <w:color w:val="auto"/>
              </w:rPr>
              <w:t>John Hancock Life Ins.</w:t>
            </w:r>
          </w:p>
        </w:tc>
        <w:tc>
          <w:tcPr>
            <w:tcW w:w="10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10/3/2002</w:t>
            </w:r>
          </w:p>
        </w:tc>
        <w:tc>
          <w:tcPr>
            <w:tcW w:w="7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10.1%</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$238,705</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238,705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238,705</w:t>
            </w: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GAC #5702</w:t>
            </w:r>
          </w:p>
        </w:tc>
        <w:tc>
          <w:tcPr>
            <w:tcW w:w="10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1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$878,751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$1,070,862</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8:</w:t>
        <w:tab/>
        <w:t>FEDERAL INCOME TAX STATUS</w:t>
      </w:r>
    </w:p>
    <w:p>
      <w:pPr>
        <w:spacing w:after="0" w:line="180" w:lineRule="exact"/>
        <w:rPr>
          <w:sz w:val="20"/>
          <w:szCs w:val="20"/>
          <w:color w:val="auto"/>
        </w:rPr>
      </w:pPr>
    </w:p>
    <w:p>
      <w:pPr>
        <w:ind w:right="3219"/>
        <w:spacing w:after="0" w:line="267" w:lineRule="auto"/>
        <w:rPr>
          <w:sz w:val="20"/>
          <w:szCs w:val="20"/>
          <w:color w:val="auto"/>
        </w:rPr>
      </w:pPr>
      <w:r>
        <w:rPr>
          <w:rFonts w:ascii="Courier New" w:cs="Courier New" w:eastAsia="Courier New" w:hAnsi="Courier New"/>
          <w:sz w:val="15"/>
          <w:szCs w:val="15"/>
          <w:color w:val="auto"/>
        </w:rPr>
        <w:t>In February 1988, the Plan received a favorable tax determination letter from the Internal Revenue Service. The Plan has been amended since receiving such letter. The Plan Administrator believes that the Plan continues to be in compliance with the applicable requirements of the Internal Revenue Code and, accordingly, participants' contributions to the Plan and earnings thereon are not taxable to a participant until distributed, subject to certain Internal Revenue Code limitations.</w:t>
      </w:r>
    </w:p>
    <w:p>
      <w:pPr>
        <w:spacing w:after="0" w:line="75" w:lineRule="exact"/>
        <w:rPr>
          <w:sz w:val="20"/>
          <w:szCs w:val="20"/>
          <w:color w:val="auto"/>
        </w:rPr>
      </w:pPr>
    </w:p>
    <w:p>
      <w:pPr>
        <w:jc w:val="both"/>
        <w:ind w:right="3139"/>
        <w:spacing w:after="0" w:line="277" w:lineRule="auto"/>
        <w:rPr>
          <w:sz w:val="20"/>
          <w:szCs w:val="20"/>
          <w:color w:val="auto"/>
        </w:rPr>
      </w:pPr>
      <w:r>
        <w:rPr>
          <w:rFonts w:ascii="Courier New" w:cs="Courier New" w:eastAsia="Courier New" w:hAnsi="Courier New"/>
          <w:sz w:val="15"/>
          <w:szCs w:val="15"/>
          <w:color w:val="auto"/>
        </w:rPr>
        <w:t>The Plan Administrators of the Plan and EIP have requested tax determination letters from the Internal Revenue Service pursuant to the requirements of the Tax Reform Act of 1986, which the Plan Administrators expect to receive. Upon receiving such determination letters, the account balances of ECC participants will be transferred to EIP.</w:t>
      </w:r>
    </w:p>
    <w:p>
      <w:pPr>
        <w:spacing w:after="0" w:line="6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9:</w:t>
        <w:tab/>
        <w:t>RELATED PARTY TRANSACTIONS</w:t>
      </w:r>
    </w:p>
    <w:p>
      <w:pPr>
        <w:spacing w:after="0" w:line="180" w:lineRule="exact"/>
        <w:rPr>
          <w:sz w:val="20"/>
          <w:szCs w:val="20"/>
          <w:color w:val="auto"/>
        </w:rPr>
      </w:pPr>
    </w:p>
    <w:p>
      <w:pPr>
        <w:ind w:right="3139"/>
        <w:spacing w:after="0" w:line="271" w:lineRule="auto"/>
        <w:rPr>
          <w:sz w:val="20"/>
          <w:szCs w:val="20"/>
          <w:color w:val="auto"/>
        </w:rPr>
      </w:pPr>
      <w:r>
        <w:rPr>
          <w:rFonts w:ascii="Courier New" w:cs="Courier New" w:eastAsia="Courier New" w:hAnsi="Courier New"/>
          <w:sz w:val="15"/>
          <w:szCs w:val="15"/>
          <w:color w:val="auto"/>
        </w:rPr>
        <w:t>Certain Plan investments are shares of mutual funds managed by Fidelity Investments. Fidelity Management Trust Company is the trustee for ECC participants; therefore, these transactions constitute related party transactions. Fees paid by the Plan to Fidelity Investments for management services amounted to $43,000 and $29,000 for the years ended December 30, 1995 and 1994, respectively.</w:t>
      </w:r>
    </w:p>
    <w:p>
      <w:pPr>
        <w:sectPr>
          <w:pgSz w:w="11900" w:h="16838" w:orient="portrait"/>
          <w:cols w:equalWidth="0" w:num="1">
            <w:col w:w="10219"/>
          </w:cols>
          <w:pgMar w:left="240" w:top="265" w:right="1440" w:bottom="1440" w:gutter="0" w:footer="0" w:header="0"/>
        </w:sectPr>
      </w:pPr>
    </w:p>
    <w:bookmarkStart w:id="35" w:name="page36"/>
    <w:bookmarkEnd w:id="35"/>
    <w:p>
      <w:pPr>
        <w:spacing w:after="0" w:line="271" w:lineRule="auto"/>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8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NOTE 10:</w:t>
        <w:tab/>
        <w:t>COMMITMENTS</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A portion of administrative expenses consist of fees for recordkeeping, trust, and investment management services provided to the Plan by various parties. The contracts under which these services are provided are long-term in nature, but can be cancelled by either party with advance notice. Such contracts contain both fixed- and activity-based variable fee structures.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ectPr>
          <w:pgSz w:w="11900" w:h="16838" w:orient="portrait"/>
          <w:cols w:equalWidth="0" w:num="1">
            <w:col w:w="10219"/>
          </w:cols>
          <w:pgMar w:left="240" w:top="265" w:right="1440" w:bottom="1440"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8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Schedule I</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Principal</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18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 or</w:t>
            </w:r>
          </w:p>
        </w:tc>
        <w:tc>
          <w:tcPr>
            <w:tcW w:w="460" w:type="dxa"/>
            <w:vAlign w:val="bottom"/>
          </w:tcPr>
          <w:p>
            <w:pPr>
              <w:spacing w:after="0"/>
              <w:rPr>
                <w:sz w:val="15"/>
                <w:szCs w:val="15"/>
                <w:color w:val="auto"/>
              </w:rPr>
            </w:pPr>
          </w:p>
        </w:tc>
        <w:tc>
          <w:tcPr>
            <w:tcW w:w="10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w w:val="94"/>
              </w:rPr>
              <w:t>Cost</w:t>
            </w:r>
          </w:p>
        </w:tc>
        <w:tc>
          <w:tcPr>
            <w:tcW w:w="5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vMerge w:val="continue"/>
          </w:tcPr>
          <w:p>
            <w:pPr>
              <w:spacing w:after="0"/>
              <w:rPr>
                <w:sz w:val="15"/>
                <w:szCs w:val="15"/>
                <w:color w:val="auto"/>
              </w:rPr>
            </w:pP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Shares</w:t>
            </w:r>
          </w:p>
        </w:tc>
        <w:tc>
          <w:tcPr>
            <w:tcW w:w="4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1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BOSTON SAFE FUNDS</w:t>
            </w:r>
          </w:p>
        </w:tc>
        <w:tc>
          <w:tcPr>
            <w:tcW w:w="1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KODAK STOCK FUND</w:t>
            </w: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Eastman Kodak Company Common</w:t>
            </w: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7,176</w:t>
            </w:r>
          </w:p>
        </w:tc>
        <w:tc>
          <w:tcPr>
            <w:tcW w:w="146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$294,908</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$480,795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2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80" w:type="dxa"/>
            <w:vAlign w:val="bottom"/>
            <w:vMerge w:val="restart"/>
          </w:tcPr>
          <w:p>
            <w:pPr>
              <w:spacing w:after="0"/>
              <w:rPr>
                <w:sz w:val="20"/>
                <w:szCs w:val="20"/>
                <w:color w:val="auto"/>
              </w:rPr>
            </w:pPr>
            <w:r>
              <w:rPr>
                <w:rFonts w:ascii="Courier New" w:cs="Courier New" w:eastAsia="Courier New" w:hAnsi="Courier New"/>
                <w:sz w:val="15"/>
                <w:szCs w:val="15"/>
                <w:color w:val="auto"/>
              </w:rPr>
              <w:t>Common/Collective Trust</w:t>
            </w:r>
          </w:p>
        </w:tc>
        <w:tc>
          <w:tcPr>
            <w:tcW w:w="1260" w:type="dxa"/>
            <w:vAlign w:val="bottom"/>
          </w:tcPr>
          <w:p>
            <w:pPr>
              <w:spacing w:after="0"/>
              <w:rPr>
                <w:sz w:val="22"/>
                <w:szCs w:val="22"/>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180" w:type="dxa"/>
            <w:vAlign w:val="bottom"/>
            <w:vMerge w:val="continue"/>
          </w:tcPr>
          <w:p>
            <w:pPr>
              <w:spacing w:after="0"/>
              <w:rPr>
                <w:sz w:val="8"/>
                <w:szCs w:val="8"/>
                <w:color w:val="auto"/>
              </w:rPr>
            </w:pP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   119</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119</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TBC Inc. Daily Liquidity Fund</w:t>
            </w:r>
          </w:p>
        </w:tc>
        <w:tc>
          <w:tcPr>
            <w:tcW w:w="12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2,617</w:t>
            </w:r>
          </w:p>
        </w:tc>
        <w:tc>
          <w:tcPr>
            <w:tcW w:w="146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$ 28,601</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$ 35,595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Acorn Fund Inc.</w:t>
            </w:r>
          </w:p>
        </w:tc>
        <w:tc>
          <w:tcPr>
            <w:tcW w:w="12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Babson Enterprises Fd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2,240</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33,690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35,084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CMC Small Cap</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614</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35,229</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37,787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FPA Paramount Fd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1,874</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25,495</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27,691</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Lindner Dividend Fund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1,019</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25,154</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27,462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Lindner Fund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1,499</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31,241</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34,814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Montgomery Small Cap Fund</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2,022</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28,096</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36,964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Mutual Qualified Income Fund</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911</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22,403</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27,097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Sequoia Fund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499</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25,738</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38,985</w:t>
            </w:r>
          </w:p>
        </w:tc>
        <w:tc>
          <w:tcPr>
            <w:tcW w:w="0" w:type="dxa"/>
            <w:vAlign w:val="bottom"/>
          </w:tcPr>
          <w:p>
            <w:pPr>
              <w:spacing w:after="0"/>
              <w:rPr>
                <w:sz w:val="1"/>
                <w:szCs w:val="1"/>
                <w:color w:val="auto"/>
              </w:rPr>
            </w:pPr>
          </w:p>
        </w:tc>
      </w:tr>
      <w:tr>
        <w:trPr>
          <w:trHeight w:val="175"/>
        </w:trPr>
        <w:tc>
          <w:tcPr>
            <w:tcW w:w="3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26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8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$255,647</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$301,479</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Common Stocks</w:t>
            </w: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ADC Telecommunications Inc.</w:t>
            </w:r>
          </w:p>
        </w:tc>
        <w:tc>
          <w:tcPr>
            <w:tcW w:w="12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AES Corp.</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522</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AM Intl. Inc. New</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Addington Res.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295</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Adflex Solutions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Adobe Sys.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Airgas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Albany Intl. Corp. CL A</w:t>
            </w: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4</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Albemarle Corp.</w:t>
            </w:r>
          </w:p>
        </w:tc>
        <w:tc>
          <w:tcPr>
            <w:tcW w:w="12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Alberto Culver Co. CL A</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Alco Std. Corp.</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952</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1,465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Alexander &amp; Alexander Svcs.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165</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Alexander &amp; Baldwin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64</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1,669</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1,472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Allergan Inc.</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w:t>
            </w:r>
          </w:p>
        </w:tc>
        <w:tc>
          <w:tcPr>
            <w:tcW w:w="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256"/>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Alltel Corp.</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22"/>
                <w:szCs w:val="22"/>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122</w:t>
            </w:r>
          </w:p>
        </w:tc>
        <w:tc>
          <w:tcPr>
            <w:tcW w:w="5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left="8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0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360" w:type="dxa"/>
            <w:vAlign w:val="bottom"/>
          </w:tcPr>
          <w:p>
            <w:pPr>
              <w:spacing w:after="0"/>
              <w:rPr>
                <w:sz w:val="23"/>
                <w:szCs w:val="23"/>
                <w:color w:val="auto"/>
              </w:rPr>
            </w:pPr>
          </w:p>
        </w:tc>
        <w:tc>
          <w:tcPr>
            <w:tcW w:w="10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Aluminum Co. Amer.</w:t>
            </w:r>
          </w:p>
        </w:tc>
        <w:tc>
          <w:tcPr>
            <w:tcW w:w="3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Amerada Hess Corp.</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America Online Inc. Del.</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American Express Co.</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1,655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American Greetings Corp. CL A</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American Stores Co. New</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1,145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Amgen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Amphenol Corp. CL A</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Amre Corp.</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Anadarko Pete Corp.</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Analogic Corp. Com. Par $0.05</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351</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Arkansas Best Corp. Del.</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Atlantic Southeast Airls.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3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Attwoods PLC Cont. Rts. to Pur. Adr.</w:t>
            </w: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Avon Prods.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Aydin Corp.</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BHC Finl.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Baker Hughes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Baldwin Technology Inc. CL A</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Banctec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Bank New York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Banponce Corp. New</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Banyan Sys.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Barnes &amp; Noble Inc. Com.</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1,073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Baxter Int'l.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Bay Networks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 Aerospace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Bear Stearns Cos.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Beckman Instrs. Inc. New</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Becton Dickinson &amp; Co.</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Bemis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Beneficial Corp.</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Bergen Brunswig Corp. CL A</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Bindley Westn. Inds.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Biogen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Black &amp; Decker Corp.</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Block Drug Inc. CL A</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Block H &amp; R Inc.</w:t>
            </w:r>
          </w:p>
        </w:tc>
        <w:tc>
          <w:tcPr>
            <w:tcW w:w="3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25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Boatmens Bancshares Inc.</w:t>
            </w:r>
          </w:p>
        </w:tc>
        <w:tc>
          <w:tcPr>
            <w:tcW w:w="360" w:type="dxa"/>
            <w:vAlign w:val="bottom"/>
          </w:tcPr>
          <w:p>
            <w:pPr>
              <w:spacing w:after="0"/>
              <w:rPr>
                <w:sz w:val="22"/>
                <w:szCs w:val="22"/>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1" w:name="page42"/>
    <w:bookmarkEnd w:id="41"/>
    <w:p>
      <w:pPr>
        <w:ind w:left="6080"/>
        <w:spacing w:after="0"/>
        <w:rPr>
          <w:sz w:val="20"/>
          <w:szCs w:val="20"/>
          <w:color w:val="auto"/>
        </w:rPr>
      </w:pPr>
      <w:r>
        <w:rPr>
          <w:rFonts w:ascii="Courier New" w:cs="Courier New" w:eastAsia="Courier New" w:hAnsi="Courier New"/>
          <w:sz w:val="15"/>
          <w:szCs w:val="15"/>
          <w:color w:val="auto"/>
        </w:rPr>
        <w:t>&lt; PAGE&gt; 21</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1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280" w:type="dxa"/>
            <w:vAlign w:val="bottom"/>
          </w:tcPr>
          <w:p>
            <w:pPr>
              <w:spacing w:after="0"/>
              <w:rPr>
                <w:sz w:val="23"/>
                <w:szCs w:val="23"/>
                <w:color w:val="auto"/>
              </w:rPr>
            </w:pPr>
          </w:p>
        </w:tc>
        <w:tc>
          <w:tcPr>
            <w:tcW w:w="11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61</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228</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Body Shop International Ord. 5P</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Boston Acoustics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Boston Chicken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Boston Scientific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Brady W. H. Co.</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Bridgeport Machs. Inc. Com.</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Brown Tom Inc. New</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Brush Wellman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75"/>
        </w:trPr>
        <w:tc>
          <w:tcPr>
            <w:tcW w:w="3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Burlington Coat Factory Whse. Corp.</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Burlington North Santa Fe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CKE Restaurants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CMI Corp. Okla. CL A</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CML Group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CUC Int'l.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Cablevision Sys. Corp. CL A</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Cabletron Sys.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California Microwave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Cambrex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Camco Intl. Inc. Com.</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Capstead Mtg.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Cardinal Health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Castle &amp; Cooke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Catellus Dev.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Century Tel. Enterprises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Ceridian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Champion Int'l.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Chart House Enterprises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Charter One Finl.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Charter Pwr. Sys.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Chaus Bernard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Chock Full O Nuts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Cincinnati Finl.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Cinergy Corp.</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Cisco Sys.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Citicasters Inc. CL A</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Claires Stores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Comcast Corp. CL A Spl.</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Comdisco Inc.</w:t>
            </w:r>
          </w:p>
        </w:tc>
        <w:tc>
          <w:tcPr>
            <w:tcW w:w="2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256"/>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Comerica Inc.</w:t>
            </w:r>
          </w:p>
        </w:tc>
        <w:tc>
          <w:tcPr>
            <w:tcW w:w="280" w:type="dxa"/>
            <w:vAlign w:val="bottom"/>
          </w:tcPr>
          <w:p>
            <w:pPr>
              <w:spacing w:after="0"/>
              <w:rPr>
                <w:sz w:val="22"/>
                <w:szCs w:val="22"/>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bl>
    <w:p>
      <w:pPr>
        <w:sectPr>
          <w:pgSz w:w="11900" w:h="16838" w:orient="portrait"/>
          <w:cols w:equalWidth="0" w:num="1">
            <w:col w:w="10219"/>
          </w:cols>
          <w:pgMar w:left="240" w:top="440" w:right="1440" w:bottom="1440" w:gutter="0" w:footer="0" w:header="0"/>
        </w:sectPr>
      </w:pPr>
    </w:p>
    <w:bookmarkStart w:id="42" w:name="page43"/>
    <w:bookmarkEnd w:id="42"/>
    <w:p>
      <w:pPr>
        <w:ind w:left="6080"/>
        <w:spacing w:after="0"/>
        <w:rPr>
          <w:sz w:val="20"/>
          <w:szCs w:val="20"/>
          <w:color w:val="auto"/>
        </w:rPr>
      </w:pPr>
      <w:r>
        <w:rPr>
          <w:rFonts w:ascii="Courier New" w:cs="Courier New" w:eastAsia="Courier New" w:hAnsi="Courier New"/>
          <w:sz w:val="15"/>
          <w:szCs w:val="15"/>
          <w:color w:val="auto"/>
        </w:rPr>
        <w:t>&lt; PAGE&gt; 22</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2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80" w:type="dxa"/>
            <w:vAlign w:val="bottom"/>
          </w:tcPr>
          <w:p>
            <w:pPr>
              <w:spacing w:after="0"/>
              <w:rPr>
                <w:sz w:val="23"/>
                <w:szCs w:val="23"/>
                <w:color w:val="auto"/>
              </w:rPr>
            </w:pPr>
          </w:p>
        </w:tc>
        <w:tc>
          <w:tcPr>
            <w:tcW w:w="11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Commercial Fed. Corp.</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Community Health Sys.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Compression Labs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Computer Sciences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Computervision Corp. New</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Concurrent Computer Corp. New New</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Cone MLS Corp. N 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Stores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Control Data Sys.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Cooper Inds.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Cooper Tire &amp; Rubr. Co.</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Cray Resh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Crestar Finl.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Crown Books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Crown Vantage Inc.</w:t>
            </w:r>
          </w:p>
        </w:tc>
        <w:tc>
          <w:tcPr>
            <w:tcW w:w="180" w:type="dxa"/>
            <w:vAlign w:val="bottom"/>
          </w:tcPr>
          <w:p>
            <w:pPr>
              <w:spacing w:after="0"/>
              <w:rPr>
                <w:sz w:val="15"/>
                <w:szCs w:val="15"/>
                <w:color w:val="auto"/>
              </w:rPr>
            </w:pPr>
          </w:p>
        </w:tc>
        <w:tc>
          <w:tcPr>
            <w:tcW w:w="11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Cummins Engine Inc.</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Cypress Semiconductor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DQE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DSC Communications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DST Sys. Inc. Del.</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Dana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Daniel Inds.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c>
          <w:tcPr>
            <w:tcW w:w="0" w:type="dxa"/>
            <w:vAlign w:val="bottom"/>
          </w:tcPr>
          <w:p>
            <w:pPr>
              <w:spacing w:after="0"/>
              <w:rPr>
                <w:sz w:val="1"/>
                <w:szCs w:val="1"/>
                <w:color w:val="auto"/>
              </w:rPr>
            </w:pPr>
          </w:p>
        </w:tc>
      </w:tr>
      <w:tr>
        <w:trPr>
          <w:trHeight w:val="175"/>
        </w:trPr>
        <w:tc>
          <w:tcPr>
            <w:tcW w:w="3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Danka Business Sys. PLC Sponsor ADR</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1,798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Darden Restaurants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Data Gen.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Data I. O.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Dayton Hudson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Dean Foods Co.</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Delta Air Lines Inc. Del.</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Delta Woodside Inds. Inc. New</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Dexter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Digital Equip.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Digital Microwave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Dixie Yarns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Dole Food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Dollar Gen.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Dover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Dress Barn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Drew Inds. Inc. Com. New</w:t>
            </w:r>
          </w:p>
        </w:tc>
        <w:tc>
          <w:tcPr>
            <w:tcW w:w="180" w:type="dxa"/>
            <w:vAlign w:val="bottom"/>
          </w:tcPr>
          <w:p>
            <w:pPr>
              <w:spacing w:after="0"/>
              <w:rPr>
                <w:sz w:val="22"/>
                <w:szCs w:val="22"/>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bl>
    <w:p>
      <w:pPr>
        <w:sectPr>
          <w:pgSz w:w="11900" w:h="16838" w:orient="portrait"/>
          <w:cols w:equalWidth="0" w:num="1">
            <w:col w:w="10219"/>
          </w:cols>
          <w:pgMar w:left="240" w:top="440" w:right="1440" w:bottom="1440" w:gutter="0" w:footer="0" w:header="0"/>
        </w:sectPr>
      </w:pPr>
    </w:p>
    <w:bookmarkStart w:id="43" w:name="page44"/>
    <w:bookmarkEnd w:id="4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8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2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2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49</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645</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Durakon Inds. Inc.</w:t>
            </w:r>
          </w:p>
        </w:tc>
        <w:tc>
          <w:tcPr>
            <w:tcW w:w="12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Eastern Enterprises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Eastern Utils. Assoc.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Eaton Vance Corp. Non Vtg.</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1,065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Eckerd Corp. Del.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Electronics for Imaging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Enhance Finl. Svcs.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Enron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Entergy Corp. New</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Equitable Cos.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Equitable Iowa Cos. New</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Evans &amp; Sutherland Computer</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Exabyte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Failure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Fansteel Inc. Del.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Federal Express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1,699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Federal Home LN Mtg. Corp. Common</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2,914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Federal Mogul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Federal Paper Brd.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Federated Dept. Stores Inc. Del.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Ferro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Fifth Third Bancorp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First Bk. Sys.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First Chicago NBD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First Intst. Bancorp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First USA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Fiserv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Fleet Finl. Group Inc. New</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Flightsafety Int'l.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Fluor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Foster L. B. Co. CL 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Franklin Quest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Franklin Res.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1,763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Freeport-McMoran Copper &amp; Gold</w:t>
            </w:r>
          </w:p>
        </w:tc>
        <w:tc>
          <w:tcPr>
            <w:tcW w:w="12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Inc. CL A</w:t>
            </w:r>
          </w:p>
        </w:tc>
        <w:tc>
          <w:tcPr>
            <w:tcW w:w="12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Frontier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Frontier Ins. Group Inc. New</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Fuller H. B.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Furon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ind w:left="8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0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4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77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Gateway 2000 Inc.</w:t>
            </w:r>
          </w:p>
        </w:tc>
        <w:tc>
          <w:tcPr>
            <w:tcW w:w="14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Gaylord Container Corp. CL A</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824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Gaylord Entmt. Co. CL A</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General Dynamics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General Host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General Mtrs. Corp. CL H</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Genesco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Genetech Inc. Spl.</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Genuine Parts Co.</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Gerber Scientific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Giant Cem. Hldg.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Giant Food Inc. CL A</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Giant Group LTD</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Gibson Greetings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291</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Giddings &amp; Lewis Inc. Wis.</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Glenayre Technologies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Global Nat. Res.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Golden West Finl. Corp. Del.</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Goulds Pumps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Grace W. R. &amp; Co.</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Great Lakes Chem.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Great Westn. Finl.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Greenpoint Finl.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Griffon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Grossmans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Groundwater Technology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Gtech Hldgs.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Gundle/Slt. Environmental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HBO &amp; Co.</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HFS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HUBCO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Haemonetics Corp. Mass.</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Halliburton Co.</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Harcourt Gen.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Harley Davidson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Harper Group Inc.</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Harris Corp. Del.</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Harsco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256"/>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Hartmarx Corp.</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ind w:left="8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2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80" w:type="dxa"/>
            <w:vAlign w:val="bottom"/>
          </w:tcPr>
          <w:p>
            <w:pPr>
              <w:spacing w:after="0"/>
              <w:rPr>
                <w:sz w:val="23"/>
                <w:szCs w:val="23"/>
                <w:color w:val="auto"/>
              </w:rPr>
            </w:pPr>
          </w:p>
        </w:tc>
        <w:tc>
          <w:tcPr>
            <w:tcW w:w="11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1,440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Hasbro Inc.</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Healthcare Compare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Healthdyne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Healthdyne Info. Enterprises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Healthsouth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0" w:type="dxa"/>
            <w:vAlign w:val="bottom"/>
          </w:tcPr>
          <w:p>
            <w:pPr>
              <w:spacing w:after="0"/>
              <w:rPr>
                <w:sz w:val="1"/>
                <w:szCs w:val="1"/>
                <w:color w:val="auto"/>
              </w:rPr>
            </w:pPr>
          </w:p>
        </w:tc>
      </w:tr>
      <w:tr>
        <w:trPr>
          <w:trHeight w:val="175"/>
        </w:trPr>
        <w:tc>
          <w:tcPr>
            <w:tcW w:w="3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Health Care &amp; Retirement Corp. Del.</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Health Mgmt. Assoc. Inc. New CL A</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Health Sys. Int'l.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Heilig Meyers Co.</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Hercules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Heritage Media Corp. CL A New</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Hexcel Corp. New</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Hilton Hotels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Home Shopping Network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Home St. Hldgs. Inc. Com.</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Hooper Holmes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Horsham Corp. Sub. Vtg.</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1,538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Host Marriott Corp. Com.</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Houghton Mifflin Co.</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Household Int'l.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Huffy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Hunt J. B. Trans. Svcs.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Hurco Co.</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Illinois Cent. Corp. Ser. A</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Illinova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Imo Inds.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Inco LTD</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Information Res.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Ingersoll Rand Co.</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Integrated Silicon Solution In.</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Inter Regl. Finl. Group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Intergraph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Intertan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Intuit</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James Riv. Corp. VA</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John Alden Finl. Corp.</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John Nuveen Co. CL A</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1,304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Jones Apparel Group Inc.</w:t>
            </w:r>
          </w:p>
        </w:tc>
        <w:tc>
          <w:tcPr>
            <w:tcW w:w="18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823</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K Swiss Inc. CL A</w:t>
            </w:r>
          </w:p>
        </w:tc>
        <w:tc>
          <w:tcPr>
            <w:tcW w:w="180" w:type="dxa"/>
            <w:vAlign w:val="bottom"/>
          </w:tcPr>
          <w:p>
            <w:pPr>
              <w:spacing w:after="0"/>
              <w:rPr>
                <w:sz w:val="22"/>
                <w:szCs w:val="22"/>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669</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9" w:name="page50"/>
    <w:bookmarkEnd w:id="49"/>
    <w:p>
      <w:pPr>
        <w:ind w:left="6080"/>
        <w:spacing w:after="0"/>
        <w:rPr>
          <w:sz w:val="20"/>
          <w:szCs w:val="20"/>
          <w:color w:val="auto"/>
        </w:rPr>
      </w:pPr>
      <w:r>
        <w:rPr>
          <w:rFonts w:ascii="Courier New" w:cs="Courier New" w:eastAsia="Courier New" w:hAnsi="Courier New"/>
          <w:sz w:val="15"/>
          <w:szCs w:val="15"/>
          <w:color w:val="auto"/>
        </w:rPr>
        <w:t>&lt; PAGE&gt; 26</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1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3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297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Kaman Corp. CL A</w:t>
            </w:r>
          </w:p>
        </w:tc>
        <w:tc>
          <w:tcPr>
            <w:tcW w:w="1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Kaneb Svcs.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Kansas City Southn. Inds.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Kellwood Co.</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Kemet Corp. Com.</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Kerr McGee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Knight Ridder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LCI International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LDI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LSI Logic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Lafarge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Lamson &amp; Sessions Co.</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Lear Seating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Learonal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Legg Mason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Leggett &amp; Platt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Lennar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Leslie Bldg. Prods.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Leslie's Poolmart</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Liberty Financial Companies</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Life Re.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Lillian Vernon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Lincare Holdings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Little Switz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Litton Inds.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Long Island Bancorp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Loral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Louisiana Pac.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Lufkin Inds.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MCN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MGIC Invt. Corp. WIS</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Mac Frugals Bargains Close Outs</w:t>
            </w:r>
          </w:p>
        </w:tc>
        <w:tc>
          <w:tcPr>
            <w:tcW w:w="13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96</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1,363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1,350</w:t>
            </w:r>
          </w:p>
        </w:tc>
        <w:tc>
          <w:tcPr>
            <w:tcW w:w="0" w:type="dxa"/>
            <w:vAlign w:val="bottom"/>
          </w:tcPr>
          <w:p>
            <w:pPr>
              <w:spacing w:after="0"/>
              <w:rPr>
                <w:sz w:val="1"/>
                <w:szCs w:val="1"/>
                <w:color w:val="auto"/>
              </w:rPr>
            </w:pPr>
          </w:p>
        </w:tc>
      </w:tr>
      <w:tr>
        <w:trPr>
          <w:trHeight w:val="175"/>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Inc.</w:t>
            </w:r>
          </w:p>
        </w:tc>
        <w:tc>
          <w:tcPr>
            <w:tcW w:w="1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Macneal Schwendler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Magna Intl. Class A</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Magnetek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Marriott Intl.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Masco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256"/>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Matrix Svc. Co.</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bl>
    <w:p>
      <w:pPr>
        <w:sectPr>
          <w:pgSz w:w="11900" w:h="16838" w:orient="portrait"/>
          <w:cols w:equalWidth="0" w:num="1">
            <w:col w:w="10219"/>
          </w:cols>
          <w:pgMar w:left="240" w:top="440"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8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2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SMALLER STOCK FUND (Cont'd)</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2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313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McClatchy Newspapers Inc. CL A</w:t>
            </w:r>
          </w:p>
        </w:tc>
        <w:tc>
          <w:tcPr>
            <w:tcW w:w="12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Mead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Measurex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Medaphis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Media Gen. Inc. CL 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Mellon Bk.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Meredith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Michael Anthony Jewelers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Micro Whse. Inc. Com.</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Miller Herman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Minerais Technologies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1,434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Mitchell Energy &amp; Dev. Corp. CL B</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Molex Inc. CL A</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Montana Pwr.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Moore Med.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NAC Re.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NIPSCO Inds.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NS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Nabisco Hldgs.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Nalco Chem.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Nashua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National City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National Picture &amp; Frame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National Semiconductor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Newell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Newmont Mng.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Nine West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Nokia Corp. ADR</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Noodle Kidoddle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Nordstrom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Northrop Grumman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Novacare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Novell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Nynex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OHM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OMI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Occidental Pete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Officemax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Ogden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8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2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vMerge w:val="continue"/>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2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SMALLER STOCK FUND (Cont'd)</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2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133</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Old Republic Int'l. Corp.</w:t>
            </w:r>
          </w:p>
        </w:tc>
        <w:tc>
          <w:tcPr>
            <w:tcW w:w="12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Omnicom Group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Optical Coating Lab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Outboard Marine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Oxford Health Plans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PMI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Paccar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Pacific Enterprises</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Paine Webber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1,880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Panhandle Eastn.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Parker &amp; Parsley Pete Co. Del.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Parker Hannifin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Peoples Heritage Finl.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Peoplesoft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Perini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Petroleum Geo-Svcs. A/S Sponsored</w:t>
            </w:r>
          </w:p>
        </w:tc>
        <w:tc>
          <w:tcPr>
            <w:tcW w:w="12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691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1,035</w:t>
            </w: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ADR</w:t>
            </w:r>
          </w:p>
        </w:tc>
        <w:tc>
          <w:tcPr>
            <w:tcW w:w="12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Pharmacia &amp; Upjohn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Pier 1 Imports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Pinkertons Inc. New</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Pinnacle West Cap.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Pioneer Hi Bred Int'l.</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Piper Jaffray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Pittston Brink's Group Com.</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Policy Mgmt. Sys.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Portec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Praxair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Price/Costco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Pride Pete Svcs.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Primesource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Progressive Corp. Ohio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Providian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Quaker Chem.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Quaker Oats Co.</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Quaker St.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Questar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Quick &amp; Reilly Group Inc.</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Quixote Corp.</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8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180" w:type="dxa"/>
            <w:vAlign w:val="bottom"/>
            <w:vMerge w:val="restart"/>
          </w:tcPr>
          <w:p>
            <w:pPr>
              <w:jc w:val="right"/>
              <w:ind w:right="1204"/>
              <w:spacing w:after="0"/>
              <w:rPr>
                <w:sz w:val="20"/>
                <w:szCs w:val="20"/>
                <w:color w:val="auto"/>
              </w:rPr>
            </w:pPr>
            <w:r>
              <w:rPr>
                <w:rFonts w:ascii="Courier New" w:cs="Courier New" w:eastAsia="Courier New" w:hAnsi="Courier New"/>
                <w:sz w:val="15"/>
                <w:szCs w:val="15"/>
                <w:color w:val="auto"/>
              </w:rPr>
              <w:t>Description</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vMerge w:val="continue"/>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18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Ralston Purina Co-Ralston Purina</w:t>
            </w:r>
          </w:p>
        </w:tc>
        <w:tc>
          <w:tcPr>
            <w:tcW w:w="13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33</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1,344</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2,058</w:t>
            </w:r>
          </w:p>
        </w:tc>
        <w:tc>
          <w:tcPr>
            <w:tcW w:w="0" w:type="dxa"/>
            <w:vAlign w:val="bottom"/>
          </w:tcPr>
          <w:p>
            <w:pPr>
              <w:spacing w:after="0"/>
              <w:rPr>
                <w:sz w:val="1"/>
                <w:szCs w:val="1"/>
                <w:color w:val="auto"/>
              </w:rPr>
            </w:pPr>
          </w:p>
        </w:tc>
      </w:tr>
      <w:tr>
        <w:trPr>
          <w:trHeight w:val="175"/>
        </w:trPr>
        <w:tc>
          <w:tcPr>
            <w:tcW w:w="3180" w:type="dxa"/>
            <w:vAlign w:val="bottom"/>
          </w:tcPr>
          <w:p>
            <w:pPr>
              <w:ind w:left="260"/>
              <w:spacing w:after="0"/>
              <w:rPr>
                <w:sz w:val="20"/>
                <w:szCs w:val="20"/>
                <w:color w:val="auto"/>
              </w:rPr>
            </w:pPr>
            <w:r>
              <w:rPr>
                <w:rFonts w:ascii="Courier New" w:cs="Courier New" w:eastAsia="Courier New" w:hAnsi="Courier New"/>
                <w:sz w:val="15"/>
                <w:szCs w:val="15"/>
                <w:color w:val="auto"/>
              </w:rPr>
              <w:t>Group</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Raymond James Finl. Inc.</w:t>
            </w:r>
          </w:p>
        </w:tc>
        <w:tc>
          <w:tcPr>
            <w:tcW w:w="13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Reebok Intl. LTD</w:t>
            </w:r>
          </w:p>
        </w:tc>
        <w:tc>
          <w:tcPr>
            <w:tcW w:w="1320" w:type="dxa"/>
            <w:vAlign w:val="bottom"/>
            <w:vMerge w:val="continue"/>
          </w:tcPr>
          <w:p>
            <w:pPr>
              <w:spacing w:after="0"/>
              <w:rPr>
                <w:sz w:val="15"/>
                <w:szCs w:val="15"/>
                <w:color w:val="auto"/>
              </w:rPr>
            </w:pP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Reliastar Finl.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Revco D. S. Inc. New</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Rexene Corp. New</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Reynolds &amp; Reynolds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Reynolds Metals Co.</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Richardson Electrs. LTD</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Robbins &amp; Myers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Rohm &amp; Haas Co.</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Roper Inds. Inc. New</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Rubbermaid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Russ Berrie &amp; Co.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970</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Rykoff S. E. &amp; Co.</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SGS-Thomson Microelectronics</w:t>
            </w:r>
          </w:p>
        </w:tc>
        <w:tc>
          <w:tcPr>
            <w:tcW w:w="13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55</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75"/>
        </w:trPr>
        <w:tc>
          <w:tcPr>
            <w:tcW w:w="318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SHS-N. Y. Registry</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SPS Technologies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Safeway Inc. New</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St. Jude Med.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Santa Fe Energy Res.</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Schawk Inc.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Scherer R. P. Corp. Del.</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Schering Plough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Scholastic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Schulman A.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Scotts Co.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653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Scripps E. W. Co.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Sea Containers LTD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Seacor Holdings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Seagram LTD</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Selective Ins. Grp.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Sensormatic Electrs.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Shaw Group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Sherwin Williams Co.</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Sigma Aldrich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Silicon Valley Bancshares</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c>
          <w:tcPr>
            <w:tcW w:w="0" w:type="dxa"/>
            <w:vAlign w:val="bottom"/>
          </w:tcPr>
          <w:p>
            <w:pPr>
              <w:spacing w:after="0"/>
              <w:rPr>
                <w:sz w:val="1"/>
                <w:szCs w:val="1"/>
                <w:color w:val="auto"/>
              </w:rPr>
            </w:pPr>
          </w:p>
        </w:tc>
      </w:tr>
      <w:tr>
        <w:trPr>
          <w:trHeight w:val="256"/>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Silicon Valley Group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6" w:name="page57"/>
    <w:bookmarkEnd w:id="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8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1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3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26</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357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328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Skywest Inc.</w:t>
            </w:r>
          </w:p>
        </w:tc>
        <w:tc>
          <w:tcPr>
            <w:tcW w:w="1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Software Pubg.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Southwest Airls. Co.</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Spacelabs Med.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Spelling Entmt. Group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Sphere Drake Holdings LTD Shs.</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Standard Fed. Bancorpation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Stanhome Inc. Vtg.</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Stewart Enterprises Inc. CL A</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Stratus Computer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Sun Microsystems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Sunbeam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Sundstrand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Sunglass Hut Int'l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Sungard Data Sys.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Swift Energy Co.</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Sybron Chem.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Sybron Int'l.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Symantec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TCA Cable TV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1,047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TIG Hldgs.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Talbots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Tandycrafts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Tech. Data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Telco Sys.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Tele Danmark A/S Sponsored ADR</w:t>
            </w:r>
          </w:p>
        </w:tc>
        <w:tc>
          <w:tcPr>
            <w:tcW w:w="138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5"/>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Repstg. CL B Shs.</w:t>
            </w:r>
          </w:p>
        </w:tc>
        <w:tc>
          <w:tcPr>
            <w:tcW w:w="1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Teleflex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Telephone &amp; Data Sys.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Tellabs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Telxon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Tencor Instrs.</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Tenet Healthcare Corp. Com.</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Teradyne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Thomas &amp; Betts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Thornburg Mtg. Asset Corp. Com.</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Tiffany &amp; Co. New</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Tokheim Corp.</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c>
          <w:tcPr>
            <w:tcW w:w="0" w:type="dxa"/>
            <w:vAlign w:val="bottom"/>
          </w:tcPr>
          <w:p>
            <w:pPr>
              <w:spacing w:after="0"/>
              <w:rPr>
                <w:sz w:val="1"/>
                <w:szCs w:val="1"/>
                <w:color w:val="auto"/>
              </w:rPr>
            </w:pPr>
          </w:p>
        </w:tc>
      </w:tr>
      <w:tr>
        <w:trPr>
          <w:trHeight w:val="256"/>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Topps Inc.</w:t>
            </w:r>
          </w:p>
        </w:tc>
        <w:tc>
          <w:tcPr>
            <w:tcW w:w="13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58" w:name="page59"/>
    <w:bookmarkEnd w:id="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80"/>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18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Amount or</w:t>
            </w:r>
          </w:p>
        </w:tc>
        <w:tc>
          <w:tcPr>
            <w:tcW w:w="140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vMerge w:val="continue"/>
          </w:tcPr>
          <w:p>
            <w:pPr>
              <w:spacing w:after="0"/>
              <w:rPr>
                <w:sz w:val="15"/>
                <w:szCs w:val="15"/>
                <w:color w:val="auto"/>
              </w:rPr>
            </w:pP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w:t>
            </w:r>
          </w:p>
        </w:tc>
        <w:tc>
          <w:tcPr>
            <w:tcW w:w="140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1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3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237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Torchmark Corp.</w:t>
            </w: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Triad Sys. Corp. Com. Par $0.001</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Trimas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True North Communications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Tyco Intl. LTD</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Tyson Foods Inc.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UAL Corp. Par $0.01</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UGI Corp. New</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UNC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UST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Ultrak Inc. Com No Par</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Unifi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Union Carbide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 S. Healthcare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Univar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Universal Health Svcs. Inc. CL B</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Unocal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VWR Scientific Products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294</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Valassis Communications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Vanguard Cellular Sys. Inc.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Varsity Spirit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Veeco Instrs. Inc. Del. Com.</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Viacom Inc. Class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Vicorp Restaurants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Viewlogic Sys.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Vishay Intertechnology Inc. Com.</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Vons Cos.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Vulcan Matls. Co.</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WMX Technologies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Wabash Nat'l.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Warnaco Group Inc. CL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Washington Federal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Washington Mutual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Waterhouse Inv. Svcs.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Westcoast Energy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Western Atlas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Western Digital Corp.</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Western Pubg. Group Inc.</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256"/>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Weston Roy F. Inc. New Ser. A</w:t>
            </w: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80"/>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Principal</w:t>
            </w:r>
          </w:p>
        </w:tc>
        <w:tc>
          <w:tcPr>
            <w:tcW w:w="1460" w:type="dxa"/>
            <w:vAlign w:val="bottom"/>
          </w:tcPr>
          <w:p>
            <w:pPr>
              <w:spacing w:after="0"/>
              <w:rPr>
                <w:sz w:val="15"/>
                <w:szCs w:val="15"/>
                <w:color w:val="auto"/>
              </w:rPr>
            </w:pPr>
          </w:p>
        </w:tc>
        <w:tc>
          <w:tcPr>
            <w:tcW w:w="11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 or</w:t>
            </w:r>
          </w:p>
        </w:tc>
        <w:tc>
          <w:tcPr>
            <w:tcW w:w="14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Shares</w:t>
            </w:r>
          </w:p>
        </w:tc>
        <w:tc>
          <w:tcPr>
            <w:tcW w:w="1460" w:type="dxa"/>
            <w:vAlign w:val="bottom"/>
            <w:vMerge w:val="continue"/>
          </w:tcPr>
          <w:p>
            <w:pPr>
              <w:spacing w:after="0"/>
              <w:rPr>
                <w:sz w:val="15"/>
                <w:szCs w:val="15"/>
                <w:color w:val="auto"/>
              </w:rPr>
            </w:pPr>
          </w:p>
        </w:tc>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08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SMALLER STOCK FUND (Cont'd)</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Common Stocks (Cont'd)</w:t>
            </w:r>
          </w:p>
        </w:tc>
        <w:tc>
          <w:tcPr>
            <w:tcW w:w="13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30</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Wet Seal Inc. CL A</w:t>
            </w:r>
          </w:p>
        </w:tc>
        <w:tc>
          <w:tcPr>
            <w:tcW w:w="13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Wheelabrator Technologies Inc.</w:t>
            </w:r>
          </w:p>
        </w:tc>
        <w:tc>
          <w:tcPr>
            <w:tcW w:w="13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7</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116</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5"/>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New Par $0.01</w:t>
            </w:r>
          </w:p>
        </w:tc>
        <w:tc>
          <w:tcPr>
            <w:tcW w:w="13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Whitman Corp.</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2,425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Whittaker Corp. Par $0.01</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Willamette Inds. Inc.</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Williams Cos. Inc.</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Winnebago Inds. Inc.</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Wisconsin Cent. Transn. Corp.</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Witco Corp.</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Worldcom Inc.</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Worthington Inds. Inc.</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595</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Wyman Gordon Co.</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Younkers Inc.</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Zenith Electrs. Corp.</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Zero Corp.</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284</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Zions Bancorp</w:t>
            </w: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r>
        <w:trPr>
          <w:trHeight w:val="175"/>
        </w:trPr>
        <w:tc>
          <w:tcPr>
            <w:tcW w:w="30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$139,415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$156,596</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Common/Collective Trusts</w:t>
            </w:r>
          </w:p>
        </w:tc>
        <w:tc>
          <w:tcPr>
            <w:tcW w:w="136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$6,917</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  6,917</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6,917</w:t>
            </w:r>
          </w:p>
        </w:tc>
        <w:tc>
          <w:tcPr>
            <w:tcW w:w="0" w:type="dxa"/>
            <w:vAlign w:val="bottom"/>
          </w:tcPr>
          <w:p>
            <w:pPr>
              <w:spacing w:after="0"/>
              <w:rPr>
                <w:sz w:val="1"/>
                <w:szCs w:val="1"/>
                <w:color w:val="auto"/>
              </w:rPr>
            </w:pP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TBC Inc. Daily Liquidity Fund</w:t>
            </w:r>
          </w:p>
        </w:tc>
        <w:tc>
          <w:tcPr>
            <w:tcW w:w="13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ind w:left="80"/>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8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Maturity</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Interest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Contract</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8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Dates</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Rates</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00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FIXED INCOME FUND</w:t>
            </w:r>
          </w:p>
        </w:tc>
        <w:tc>
          <w:tcPr>
            <w:tcW w:w="1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Group Annuity Contracts</w:t>
            </w:r>
          </w:p>
        </w:tc>
        <w:tc>
          <w:tcPr>
            <w:tcW w:w="1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01/03/01-04/01/03</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6.72%- 9.25%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737,244</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Aetna Life Insurance Co.</w:t>
            </w:r>
          </w:p>
        </w:tc>
        <w:tc>
          <w:tcPr>
            <w:tcW w:w="18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Bankers Trust</w:t>
            </w:r>
          </w:p>
        </w:tc>
        <w:tc>
          <w:tcPr>
            <w:tcW w:w="18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12/31/02</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7.58%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94,428</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Continental Assurance Co.</w:t>
            </w:r>
          </w:p>
        </w:tc>
        <w:tc>
          <w:tcPr>
            <w:tcW w:w="1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01/02/97-03/01/01</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8.86%- 9.42%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204,111</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John Hancock Mutual Life</w:t>
            </w:r>
          </w:p>
        </w:tc>
        <w:tc>
          <w:tcPr>
            <w:tcW w:w="1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09/03/96-10/03/02</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8.84%-12.97%</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899,410</w:t>
            </w:r>
          </w:p>
        </w:tc>
        <w:tc>
          <w:tcPr>
            <w:tcW w:w="0" w:type="dxa"/>
            <w:vAlign w:val="bottom"/>
          </w:tcPr>
          <w:p>
            <w:pPr>
              <w:spacing w:after="0"/>
              <w:rPr>
                <w:sz w:val="1"/>
                <w:szCs w:val="1"/>
                <w:color w:val="auto"/>
              </w:rPr>
            </w:pPr>
          </w:p>
        </w:tc>
      </w:tr>
      <w:tr>
        <w:trPr>
          <w:trHeight w:val="175"/>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Insurance Co.</w:t>
            </w:r>
          </w:p>
        </w:tc>
        <w:tc>
          <w:tcPr>
            <w:tcW w:w="18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Lehman</w:t>
            </w:r>
          </w:p>
        </w:tc>
        <w:tc>
          <w:tcPr>
            <w:tcW w:w="18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06/15/99</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8.53%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64,945</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New England Mutual Life</w:t>
            </w:r>
          </w:p>
        </w:tc>
        <w:tc>
          <w:tcPr>
            <w:tcW w:w="18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01/02/96</w:t>
            </w:r>
          </w:p>
        </w:tc>
        <w:tc>
          <w:tcPr>
            <w:tcW w:w="13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9.00%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35,456</w:t>
            </w:r>
          </w:p>
        </w:tc>
        <w:tc>
          <w:tcPr>
            <w:tcW w:w="0" w:type="dxa"/>
            <w:vAlign w:val="bottom"/>
          </w:tcPr>
          <w:p>
            <w:pPr>
              <w:spacing w:after="0"/>
              <w:rPr>
                <w:sz w:val="1"/>
                <w:szCs w:val="1"/>
                <w:color w:val="auto"/>
              </w:rPr>
            </w:pPr>
          </w:p>
        </w:tc>
      </w:tr>
      <w:tr>
        <w:trPr>
          <w:trHeight w:val="175"/>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Insurance Co.</w:t>
            </w:r>
          </w:p>
        </w:tc>
        <w:tc>
          <w:tcPr>
            <w:tcW w:w="18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New York Life Insurance Co.</w:t>
            </w:r>
          </w:p>
        </w:tc>
        <w:tc>
          <w:tcPr>
            <w:tcW w:w="1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12/01/97-10/01/07</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5.90%- 8.39%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172,210</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Principal Mutual Life</w:t>
            </w:r>
          </w:p>
        </w:tc>
        <w:tc>
          <w:tcPr>
            <w:tcW w:w="18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11/23/03</w:t>
            </w:r>
          </w:p>
        </w:tc>
        <w:tc>
          <w:tcPr>
            <w:tcW w:w="13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6.85%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155,903</w:t>
            </w:r>
          </w:p>
        </w:tc>
        <w:tc>
          <w:tcPr>
            <w:tcW w:w="0" w:type="dxa"/>
            <w:vAlign w:val="bottom"/>
          </w:tcPr>
          <w:p>
            <w:pPr>
              <w:spacing w:after="0"/>
              <w:rPr>
                <w:sz w:val="1"/>
                <w:szCs w:val="1"/>
                <w:color w:val="auto"/>
              </w:rPr>
            </w:pPr>
          </w:p>
        </w:tc>
      </w:tr>
      <w:tr>
        <w:trPr>
          <w:trHeight w:val="175"/>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Insurance Co.</w:t>
            </w:r>
          </w:p>
        </w:tc>
        <w:tc>
          <w:tcPr>
            <w:tcW w:w="18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Provident National Assurance</w:t>
            </w:r>
          </w:p>
        </w:tc>
        <w:tc>
          <w:tcPr>
            <w:tcW w:w="186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12/01/00</w:t>
            </w:r>
          </w:p>
        </w:tc>
        <w:tc>
          <w:tcPr>
            <w:tcW w:w="13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8.40%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73,957</w:t>
            </w:r>
          </w:p>
        </w:tc>
        <w:tc>
          <w:tcPr>
            <w:tcW w:w="0" w:type="dxa"/>
            <w:vAlign w:val="bottom"/>
          </w:tcPr>
          <w:p>
            <w:pPr>
              <w:spacing w:after="0"/>
              <w:rPr>
                <w:sz w:val="1"/>
                <w:szCs w:val="1"/>
                <w:color w:val="auto"/>
              </w:rPr>
            </w:pPr>
          </w:p>
        </w:tc>
      </w:tr>
      <w:tr>
        <w:trPr>
          <w:trHeight w:val="175"/>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Co.</w:t>
            </w:r>
          </w:p>
        </w:tc>
        <w:tc>
          <w:tcPr>
            <w:tcW w:w="18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The Prudential Life Insurance</w:t>
            </w:r>
          </w:p>
        </w:tc>
        <w:tc>
          <w:tcPr>
            <w:tcW w:w="18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03/02/98-10/02/06</w:t>
            </w:r>
          </w:p>
        </w:tc>
        <w:tc>
          <w:tcPr>
            <w:tcW w:w="13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7.75%- 9.21%</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497,994</w:t>
            </w:r>
          </w:p>
        </w:tc>
        <w:tc>
          <w:tcPr>
            <w:tcW w:w="0" w:type="dxa"/>
            <w:vAlign w:val="bottom"/>
          </w:tcPr>
          <w:p>
            <w:pPr>
              <w:spacing w:after="0"/>
              <w:rPr>
                <w:sz w:val="1"/>
                <w:szCs w:val="1"/>
                <w:color w:val="auto"/>
              </w:rPr>
            </w:pPr>
          </w:p>
        </w:tc>
      </w:tr>
      <w:tr>
        <w:trPr>
          <w:trHeight w:val="175"/>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Co. of America</w:t>
            </w:r>
          </w:p>
        </w:tc>
        <w:tc>
          <w:tcPr>
            <w:tcW w:w="18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Mitsubishi Bank Limited</w:t>
            </w:r>
          </w:p>
        </w:tc>
        <w:tc>
          <w:tcPr>
            <w:tcW w:w="18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07/02/98</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9.39%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72,249</w:t>
            </w:r>
          </w:p>
        </w:tc>
        <w:tc>
          <w:tcPr>
            <w:tcW w:w="0" w:type="dxa"/>
            <w:vAlign w:val="bottom"/>
          </w:tcPr>
          <w:p>
            <w:pPr>
              <w:spacing w:after="0"/>
              <w:rPr>
                <w:sz w:val="1"/>
                <w:szCs w:val="1"/>
                <w:color w:val="auto"/>
              </w:rPr>
            </w:pPr>
          </w:p>
        </w:tc>
      </w:tr>
      <w:tr>
        <w:trPr>
          <w:trHeight w:val="175"/>
        </w:trPr>
        <w:tc>
          <w:tcPr>
            <w:tcW w:w="30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$3,007,907</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4" w:name="page65"/>
    <w:bookmarkEnd w:id="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ind w:left="8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4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Amount or</w:t>
            </w:r>
          </w:p>
        </w:tc>
        <w:tc>
          <w:tcPr>
            <w:tcW w:w="1420" w:type="dxa"/>
            <w:vAlign w:val="bottom"/>
          </w:tcPr>
          <w:p>
            <w:pPr>
              <w:spacing w:after="0"/>
              <w:rPr>
                <w:sz w:val="22"/>
                <w:szCs w:val="22"/>
                <w:color w:val="auto"/>
              </w:rPr>
            </w:pPr>
          </w:p>
        </w:tc>
        <w:tc>
          <w:tcPr>
            <w:tcW w:w="114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93"/>
        </w:trPr>
        <w:tc>
          <w:tcPr>
            <w:tcW w:w="304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Description</w:t>
            </w:r>
          </w:p>
        </w:tc>
        <w:tc>
          <w:tcPr>
            <w:tcW w:w="1400" w:type="dxa"/>
            <w:vAlign w:val="bottom"/>
            <w:vMerge w:val="continue"/>
          </w:tcPr>
          <w:p>
            <w:pPr>
              <w:spacing w:after="0"/>
              <w:rPr>
                <w:sz w:val="8"/>
                <w:szCs w:val="8"/>
                <w:color w:val="auto"/>
              </w:rPr>
            </w:pPr>
          </w:p>
        </w:tc>
        <w:tc>
          <w:tcPr>
            <w:tcW w:w="14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Cost</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Shares</w:t>
            </w:r>
          </w:p>
        </w:tc>
        <w:tc>
          <w:tcPr>
            <w:tcW w:w="1420" w:type="dxa"/>
            <w:vAlign w:val="bottom"/>
            <w:vMerge w:val="continue"/>
          </w:tcPr>
          <w:p>
            <w:pPr>
              <w:spacing w:after="0"/>
              <w:rPr>
                <w:sz w:val="15"/>
                <w:szCs w:val="15"/>
                <w:color w:val="auto"/>
              </w:rPr>
            </w:pP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304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BALANCED MUTUAL FUND</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Fidelity Puritan Fund</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4,924</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$79,038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$83,757</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LARGE STOCK INDEX FUND</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Common/Collective Trust</w:t>
            </w:r>
          </w:p>
        </w:tc>
        <w:tc>
          <w:tcPr>
            <w:tcW w:w="14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3,940</w:t>
            </w:r>
          </w:p>
        </w:tc>
        <w:tc>
          <w:tcPr>
            <w:tcW w:w="142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$57,584</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$71,164</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WFB Equity Index Fund</w:t>
            </w:r>
          </w:p>
        </w:tc>
        <w:tc>
          <w:tcPr>
            <w:tcW w:w="14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TBC Inc. Daily Liquidity Fund</w:t>
            </w:r>
          </w:p>
        </w:tc>
        <w:tc>
          <w:tcPr>
            <w:tcW w:w="14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12</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$57,596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$71,176</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INTERNATIONAL STOCK FUND</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Common/Collective Trusts</w:t>
            </w:r>
          </w:p>
        </w:tc>
        <w:tc>
          <w:tcPr>
            <w:tcW w:w="14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Russell Frank Invt. Co.</w:t>
            </w:r>
          </w:p>
        </w:tc>
        <w:tc>
          <w:tcPr>
            <w:tcW w:w="14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2,878</w:t>
            </w:r>
          </w:p>
        </w:tc>
        <w:tc>
          <w:tcPr>
            <w:tcW w:w="142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$46,329</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$49,053</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Int'l. Fd.</w:t>
            </w:r>
          </w:p>
        </w:tc>
        <w:tc>
          <w:tcPr>
            <w:tcW w:w="14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Russell Frank Invt. Co.</w:t>
            </w:r>
          </w:p>
        </w:tc>
        <w:tc>
          <w:tcPr>
            <w:tcW w:w="140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314</w:t>
            </w:r>
          </w:p>
        </w:tc>
        <w:tc>
          <w:tcPr>
            <w:tcW w:w="142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5,257</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5,456</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Emerging Mkts. Fd.</w:t>
            </w:r>
          </w:p>
        </w:tc>
        <w:tc>
          <w:tcPr>
            <w:tcW w:w="14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4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$51,586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$54,509</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ind w:left="80"/>
        <w:spacing w:after="0"/>
        <w:rPr>
          <w:sz w:val="20"/>
          <w:szCs w:val="20"/>
          <w:color w:val="auto"/>
        </w:rPr>
      </w:pPr>
      <w:r>
        <w:rPr>
          <w:rFonts w:ascii="Courier New" w:cs="Courier New" w:eastAsia="Courier New" w:hAnsi="Courier New"/>
          <w:sz w:val="15"/>
          <w:szCs w:val="15"/>
          <w:color w:val="auto"/>
        </w:rPr>
        <w:t>35</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20" w:type="dxa"/>
            <w:vAlign w:val="bottom"/>
          </w:tcPr>
          <w:p>
            <w:pPr>
              <w:spacing w:after="0"/>
              <w:rPr>
                <w:sz w:val="15"/>
                <w:szCs w:val="15"/>
                <w:color w:val="auto"/>
              </w:rPr>
            </w:pP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Principal</w:t>
            </w:r>
          </w:p>
        </w:tc>
        <w:tc>
          <w:tcPr>
            <w:tcW w:w="1420" w:type="dxa"/>
            <w:vAlign w:val="bottom"/>
          </w:tcPr>
          <w:p>
            <w:pPr>
              <w:spacing w:after="0"/>
              <w:rPr>
                <w:sz w:val="15"/>
                <w:szCs w:val="15"/>
                <w:color w:val="auto"/>
              </w:rPr>
            </w:pPr>
          </w:p>
        </w:tc>
        <w:tc>
          <w:tcPr>
            <w:tcW w:w="114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75"/>
        </w:trPr>
        <w:tc>
          <w:tcPr>
            <w:tcW w:w="272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Description</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 or</w:t>
            </w:r>
          </w:p>
        </w:tc>
        <w:tc>
          <w:tcPr>
            <w:tcW w:w="14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Cost</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vMerge w:val="continue"/>
          </w:tcPr>
          <w:p>
            <w:pPr>
              <w:spacing w:after="0"/>
              <w:rPr>
                <w:sz w:val="15"/>
                <w:szCs w:val="15"/>
                <w:color w:val="auto"/>
              </w:rPr>
            </w:pPr>
          </w:p>
        </w:tc>
        <w:tc>
          <w:tcPr>
            <w:tcW w:w="17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Shares</w:t>
            </w:r>
          </w:p>
        </w:tc>
        <w:tc>
          <w:tcPr>
            <w:tcW w:w="1420" w:type="dxa"/>
            <w:vAlign w:val="bottom"/>
            <w:vMerge w:val="continue"/>
          </w:tcPr>
          <w:p>
            <w:pPr>
              <w:spacing w:after="0"/>
              <w:rPr>
                <w:sz w:val="15"/>
                <w:szCs w:val="15"/>
                <w:color w:val="auto"/>
              </w:rPr>
            </w:pP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272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FIDELITY FUNDS</w:t>
            </w:r>
          </w:p>
        </w:tc>
        <w:tc>
          <w:tcPr>
            <w:tcW w:w="17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KODAK STOCK FUND</w:t>
            </w:r>
          </w:p>
        </w:tc>
        <w:tc>
          <w:tcPr>
            <w:tcW w:w="1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Eastman Kodak Company</w:t>
            </w:r>
          </w:p>
        </w:tc>
        <w:tc>
          <w:tcPr>
            <w:tcW w:w="17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311</w:t>
            </w:r>
          </w:p>
        </w:tc>
        <w:tc>
          <w:tcPr>
            <w:tcW w:w="142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$14,583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$20,807</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Short-Term Interest Fund</w:t>
            </w: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$361</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361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361</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EASTMAN STOCK FUND</w:t>
            </w: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Eastman Chemical Company</w:t>
            </w:r>
          </w:p>
        </w:tc>
        <w:tc>
          <w:tcPr>
            <w:tcW w:w="172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641</w:t>
            </w:r>
          </w:p>
        </w:tc>
        <w:tc>
          <w:tcPr>
            <w:tcW w:w="142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$38,686</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$40,174</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vMerge w:val="restart"/>
          </w:tcPr>
          <w:p>
            <w:pPr>
              <w:ind w:left="900"/>
              <w:spacing w:after="0"/>
              <w:rPr>
                <w:sz w:val="20"/>
                <w:szCs w:val="20"/>
                <w:color w:val="auto"/>
              </w:rPr>
            </w:pPr>
            <w:r>
              <w:rPr>
                <w:rFonts w:ascii="Courier New" w:cs="Courier New" w:eastAsia="Courier New" w:hAnsi="Courier New"/>
                <w:sz w:val="15"/>
                <w:szCs w:val="15"/>
                <w:color w:val="auto"/>
              </w:rPr>
              <w:t>Description</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Maturity</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Contract</w:t>
            </w: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1780" w:type="dxa"/>
            <w:vAlign w:val="bottom"/>
          </w:tcPr>
          <w:p>
            <w:pPr>
              <w:ind w:left="500"/>
              <w:spacing w:after="0"/>
              <w:rPr>
                <w:sz w:val="20"/>
                <w:szCs w:val="20"/>
                <w:color w:val="auto"/>
              </w:rPr>
            </w:pPr>
            <w:r>
              <w:rPr>
                <w:rFonts w:ascii="Courier New" w:cs="Courier New" w:eastAsia="Courier New" w:hAnsi="Courier New"/>
                <w:sz w:val="15"/>
                <w:szCs w:val="15"/>
                <w:color w:val="auto"/>
              </w:rPr>
              <w:t>Dates</w:t>
            </w: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Rates</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175"/>
        </w:trPr>
        <w:tc>
          <w:tcPr>
            <w:tcW w:w="312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FIDELITY MANAGED INCOME</w:t>
            </w: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PORTFOLIO (FIXED INCOME FUND)*</w:t>
            </w:r>
          </w:p>
        </w:tc>
        <w:tc>
          <w:tcPr>
            <w:tcW w:w="1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Group Annuity Contracts</w:t>
            </w:r>
          </w:p>
        </w:tc>
        <w:tc>
          <w:tcPr>
            <w:tcW w:w="17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01/03/01-04/01/03</w:t>
            </w:r>
          </w:p>
        </w:tc>
        <w:tc>
          <w:tcPr>
            <w:tcW w:w="14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6.72%- 9.25%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$ 71,818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Aetna Life Insurance Co.</w:t>
            </w:r>
          </w:p>
        </w:tc>
        <w:tc>
          <w:tcPr>
            <w:tcW w:w="1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Continental Assurance Co.</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rPr>
              <w:t>01/02/97-03/01/01</w:t>
            </w:r>
          </w:p>
        </w:tc>
        <w:tc>
          <w:tcPr>
            <w:tcW w:w="1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8.86%- 9.42%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23,062</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Deutsche Bank</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01/15/97</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12,428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John Hancock Mutual</w:t>
            </w:r>
          </w:p>
        </w:tc>
        <w:tc>
          <w:tcPr>
            <w:tcW w:w="178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09/01/96-10/03/01</w:t>
            </w:r>
          </w:p>
        </w:tc>
        <w:tc>
          <w:tcPr>
            <w:tcW w:w="14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8.84%-12.97%</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102,113</w:t>
            </w:r>
          </w:p>
        </w:tc>
        <w:tc>
          <w:tcPr>
            <w:tcW w:w="0" w:type="dxa"/>
            <w:vAlign w:val="bottom"/>
          </w:tcPr>
          <w:p>
            <w:pPr>
              <w:spacing w:after="0"/>
              <w:rPr>
                <w:sz w:val="1"/>
                <w:szCs w:val="1"/>
                <w:color w:val="auto"/>
              </w:rPr>
            </w:pPr>
          </w:p>
        </w:tc>
      </w:tr>
      <w:tr>
        <w:trPr>
          <w:trHeight w:val="175"/>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Life Insurance Co.</w:t>
            </w:r>
          </w:p>
        </w:tc>
        <w:tc>
          <w:tcPr>
            <w:tcW w:w="1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Mitsubishi Bank Limited</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07/02/98</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8,156</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New England Mutual Life</w:t>
            </w:r>
          </w:p>
        </w:tc>
        <w:tc>
          <w:tcPr>
            <w:tcW w:w="17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01/02/96</w:t>
            </w:r>
          </w:p>
        </w:tc>
        <w:tc>
          <w:tcPr>
            <w:tcW w:w="14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9.00%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3,999</w:t>
            </w:r>
          </w:p>
        </w:tc>
        <w:tc>
          <w:tcPr>
            <w:tcW w:w="0" w:type="dxa"/>
            <w:vAlign w:val="bottom"/>
          </w:tcPr>
          <w:p>
            <w:pPr>
              <w:spacing w:after="0"/>
              <w:rPr>
                <w:sz w:val="1"/>
                <w:szCs w:val="1"/>
                <w:color w:val="auto"/>
              </w:rPr>
            </w:pPr>
          </w:p>
        </w:tc>
      </w:tr>
      <w:tr>
        <w:trPr>
          <w:trHeight w:val="175"/>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Insurance Co.</w:t>
            </w:r>
          </w:p>
        </w:tc>
        <w:tc>
          <w:tcPr>
            <w:tcW w:w="1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New York Life</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03/31/98</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5,084</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Protective Life</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03/31/97</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10,517</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Provident National Assurance Co.</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12/02/02</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8.40%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7,769</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The Prudential Life Insurance</w:t>
            </w:r>
          </w:p>
        </w:tc>
        <w:tc>
          <w:tcPr>
            <w:tcW w:w="1780" w:type="dxa"/>
            <w:vAlign w:val="bottom"/>
            <w:vMerge w:val="restart"/>
          </w:tcPr>
          <w:p>
            <w:pPr>
              <w:ind w:left="420"/>
              <w:spacing w:after="0"/>
              <w:rPr>
                <w:sz w:val="20"/>
                <w:szCs w:val="20"/>
                <w:color w:val="auto"/>
              </w:rPr>
            </w:pPr>
            <w:r>
              <w:rPr>
                <w:rFonts w:ascii="Courier New" w:cs="Courier New" w:eastAsia="Courier New" w:hAnsi="Courier New"/>
                <w:sz w:val="15"/>
                <w:szCs w:val="15"/>
                <w:color w:val="auto"/>
              </w:rPr>
              <w:t>03/01/98</w:t>
            </w:r>
          </w:p>
        </w:tc>
        <w:tc>
          <w:tcPr>
            <w:tcW w:w="140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9.21%</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14,379</w:t>
            </w:r>
          </w:p>
        </w:tc>
        <w:tc>
          <w:tcPr>
            <w:tcW w:w="0" w:type="dxa"/>
            <w:vAlign w:val="bottom"/>
          </w:tcPr>
          <w:p>
            <w:pPr>
              <w:spacing w:after="0"/>
              <w:rPr>
                <w:sz w:val="1"/>
                <w:szCs w:val="1"/>
                <w:color w:val="auto"/>
              </w:rPr>
            </w:pPr>
          </w:p>
        </w:tc>
      </w:tr>
      <w:tr>
        <w:trPr>
          <w:trHeight w:val="175"/>
        </w:trPr>
        <w:tc>
          <w:tcPr>
            <w:tcW w:w="3120" w:type="dxa"/>
            <w:vAlign w:val="bottom"/>
          </w:tcPr>
          <w:p>
            <w:pPr>
              <w:ind w:left="260"/>
              <w:spacing w:after="0"/>
              <w:rPr>
                <w:sz w:val="20"/>
                <w:szCs w:val="20"/>
                <w:color w:val="auto"/>
              </w:rPr>
            </w:pPr>
            <w:r>
              <w:rPr>
                <w:rFonts w:ascii="Courier New" w:cs="Courier New" w:eastAsia="Courier New" w:hAnsi="Courier New"/>
                <w:sz w:val="15"/>
                <w:szCs w:val="15"/>
                <w:color w:val="auto"/>
              </w:rPr>
              <w:t>Co. of America</w:t>
            </w:r>
          </w:p>
        </w:tc>
        <w:tc>
          <w:tcPr>
            <w:tcW w:w="17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Peoples Security Life</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rPr>
              <w:t>09/30/96-12/15/97</w:t>
            </w:r>
          </w:p>
        </w:tc>
        <w:tc>
          <w:tcPr>
            <w:tcW w:w="1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6.94%- 7.11%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24,878</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SunAmerica Life Insurance</w:t>
            </w:r>
          </w:p>
        </w:tc>
        <w:tc>
          <w:tcPr>
            <w:tcW w:w="1780" w:type="dxa"/>
            <w:vAlign w:val="bottom"/>
          </w:tcPr>
          <w:p>
            <w:pPr>
              <w:ind w:left="420"/>
              <w:spacing w:after="0"/>
              <w:rPr>
                <w:sz w:val="20"/>
                <w:szCs w:val="20"/>
                <w:color w:val="auto"/>
              </w:rPr>
            </w:pPr>
            <w:r>
              <w:rPr>
                <w:rFonts w:ascii="Courier New" w:cs="Courier New" w:eastAsia="Courier New" w:hAnsi="Courier New"/>
                <w:sz w:val="15"/>
                <w:szCs w:val="15"/>
                <w:color w:val="auto"/>
              </w:rPr>
              <w:t>06/30/97</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13,405</w:t>
            </w:r>
          </w:p>
        </w:tc>
        <w:tc>
          <w:tcPr>
            <w:tcW w:w="0" w:type="dxa"/>
            <w:vAlign w:val="bottom"/>
          </w:tcPr>
          <w:p>
            <w:pPr>
              <w:spacing w:after="0"/>
              <w:rPr>
                <w:sz w:val="1"/>
                <w:szCs w:val="1"/>
                <w:color w:val="auto"/>
              </w:rPr>
            </w:pPr>
          </w:p>
        </w:tc>
      </w:tr>
      <w:tr>
        <w:trPr>
          <w:trHeight w:val="175"/>
        </w:trPr>
        <w:tc>
          <w:tcPr>
            <w:tcW w:w="31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$297,608</w:t>
            </w:r>
          </w:p>
        </w:tc>
        <w:tc>
          <w:tcPr>
            <w:tcW w:w="0" w:type="dxa"/>
            <w:vAlign w:val="bottom"/>
          </w:tcPr>
          <w:p>
            <w:pPr>
              <w:spacing w:after="0"/>
              <w:rPr>
                <w:sz w:val="1"/>
                <w:szCs w:val="1"/>
                <w:color w:val="auto"/>
              </w:rPr>
            </w:pPr>
          </w:p>
        </w:tc>
      </w:tr>
      <w:tr>
        <w:trPr>
          <w:trHeight w:val="256"/>
        </w:trPr>
        <w:tc>
          <w:tcPr>
            <w:tcW w:w="3120" w:type="dxa"/>
            <w:vAlign w:val="bottom"/>
            <w:vMerge w:val="restart"/>
          </w:tcPr>
          <w:p>
            <w:pPr>
              <w:spacing w:after="0"/>
              <w:rPr>
                <w:sz w:val="20"/>
                <w:szCs w:val="20"/>
                <w:color w:val="auto"/>
              </w:rPr>
            </w:pPr>
            <w:r>
              <w:rPr>
                <w:rFonts w:ascii="Courier New" w:cs="Courier New" w:eastAsia="Courier New" w:hAnsi="Courier New"/>
                <w:sz w:val="15"/>
                <w:szCs w:val="15"/>
                <w:color w:val="auto"/>
              </w:rPr>
              <w:t>*Investment held by Related Party.</w:t>
            </w:r>
          </w:p>
        </w:tc>
        <w:tc>
          <w:tcPr>
            <w:tcW w:w="1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1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68" w:name="page69"/>
    <w:bookmarkEnd w:id="6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ind w:left="80"/>
        <w:spacing w:after="0"/>
        <w:rPr>
          <w:sz w:val="20"/>
          <w:szCs w:val="20"/>
          <w:color w:val="auto"/>
        </w:rPr>
      </w:pPr>
      <w:r>
        <w:rPr>
          <w:rFonts w:ascii="Courier New" w:cs="Courier New" w:eastAsia="Courier New" w:hAnsi="Courier New"/>
          <w:sz w:val="15"/>
          <w:szCs w:val="15"/>
          <w:color w:val="auto"/>
        </w:rPr>
        <w:t>36</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 (Cont'd)</w:t>
      </w:r>
    </w:p>
    <w:p>
      <w:pPr>
        <w:spacing w:after="0" w:line="18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SCHEDULE OF INVESTMENTS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c>
          <w:tcPr>
            <w:tcW w:w="16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Amount or</w:t>
            </w:r>
          </w:p>
        </w:tc>
        <w:tc>
          <w:tcPr>
            <w:tcW w:w="1420" w:type="dxa"/>
            <w:vAlign w:val="bottom"/>
          </w:tcPr>
          <w:p>
            <w:pPr>
              <w:spacing w:after="0"/>
              <w:rPr>
                <w:sz w:val="22"/>
                <w:szCs w:val="22"/>
                <w:color w:val="auto"/>
              </w:rPr>
            </w:pPr>
          </w:p>
        </w:tc>
        <w:tc>
          <w:tcPr>
            <w:tcW w:w="114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93"/>
        </w:trPr>
        <w:tc>
          <w:tcPr>
            <w:tcW w:w="2760" w:type="dxa"/>
            <w:vAlign w:val="bottom"/>
            <w:vMerge w:val="restart"/>
          </w:tcPr>
          <w:p>
            <w:pPr>
              <w:ind w:left="1080"/>
              <w:spacing w:after="0"/>
              <w:rPr>
                <w:sz w:val="20"/>
                <w:szCs w:val="20"/>
                <w:color w:val="auto"/>
              </w:rPr>
            </w:pPr>
            <w:r>
              <w:rPr>
                <w:rFonts w:ascii="Courier New" w:cs="Courier New" w:eastAsia="Courier New" w:hAnsi="Courier New"/>
                <w:sz w:val="15"/>
                <w:szCs w:val="15"/>
                <w:color w:val="auto"/>
              </w:rPr>
              <w:t>Description</w:t>
            </w:r>
          </w:p>
        </w:tc>
        <w:tc>
          <w:tcPr>
            <w:tcW w:w="1680" w:type="dxa"/>
            <w:vAlign w:val="bottom"/>
            <w:vMerge w:val="continue"/>
          </w:tcPr>
          <w:p>
            <w:pPr>
              <w:spacing w:after="0"/>
              <w:rPr>
                <w:sz w:val="8"/>
                <w:szCs w:val="8"/>
                <w:color w:val="auto"/>
              </w:rPr>
            </w:pPr>
          </w:p>
        </w:tc>
        <w:tc>
          <w:tcPr>
            <w:tcW w:w="142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Cost</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1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Shares</w:t>
            </w:r>
          </w:p>
        </w:tc>
        <w:tc>
          <w:tcPr>
            <w:tcW w:w="1420" w:type="dxa"/>
            <w:vAlign w:val="bottom"/>
            <w:vMerge w:val="continue"/>
          </w:tcPr>
          <w:p>
            <w:pPr>
              <w:spacing w:after="0"/>
              <w:rPr>
                <w:sz w:val="15"/>
                <w:szCs w:val="15"/>
                <w:color w:val="auto"/>
              </w:rPr>
            </w:pP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56"/>
        </w:trPr>
        <w:tc>
          <w:tcPr>
            <w:tcW w:w="276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FIDELITY MANAGED INCOME</w:t>
            </w:r>
          </w:p>
        </w:tc>
        <w:tc>
          <w:tcPr>
            <w:tcW w:w="1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PORTFOLIO (FIXED INCOME</w:t>
            </w:r>
          </w:p>
        </w:tc>
        <w:tc>
          <w:tcPr>
            <w:tcW w:w="1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FUND)* (Cont'd)</w:t>
            </w:r>
          </w:p>
        </w:tc>
        <w:tc>
          <w:tcPr>
            <w:tcW w:w="16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Short-Term Interest Fund</w:t>
            </w:r>
          </w:p>
        </w:tc>
        <w:tc>
          <w:tcPr>
            <w:tcW w:w="1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$4,437</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$ 4,437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$ 4,437</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FIDELITY FUND*</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Fidelity Fund</w:t>
            </w:r>
          </w:p>
        </w:tc>
        <w:tc>
          <w:tcPr>
            <w:tcW w:w="1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479</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$ 9,738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$10,827</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FIDELITY PURITAN FUND*</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Puritan Fund</w:t>
            </w:r>
          </w:p>
        </w:tc>
        <w:tc>
          <w:tcPr>
            <w:tcW w:w="1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1,052</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$17,202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$17,901</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FIDELITY MAGELLAN FUND*</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Magellan Fund</w:t>
            </w:r>
          </w:p>
        </w:tc>
        <w:tc>
          <w:tcPr>
            <w:tcW w:w="1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488</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$36,243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$41,958</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FIDELITY CONTRAFUND*</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Contrafund</w:t>
            </w:r>
          </w:p>
        </w:tc>
        <w:tc>
          <w:tcPr>
            <w:tcW w:w="16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486</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$16,194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$18,481</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held by Related Party.</w:t>
      </w:r>
    </w:p>
    <w:p>
      <w:pPr>
        <w:sectPr>
          <w:pgSz w:w="11900" w:h="16838" w:orient="portrait"/>
          <w:cols w:equalWidth="0" w:num="1">
            <w:col w:w="10219"/>
          </w:cols>
          <w:pgMar w:left="240" w:top="265" w:right="1440" w:bottom="1440"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ind w:left="80"/>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ind w:left="10360"/>
        <w:spacing w:after="0"/>
        <w:rPr>
          <w:sz w:val="20"/>
          <w:szCs w:val="20"/>
          <w:color w:val="auto"/>
        </w:rPr>
      </w:pPr>
      <w:r>
        <w:rPr>
          <w:rFonts w:ascii="Courier New" w:cs="Courier New" w:eastAsia="Courier New" w:hAnsi="Courier New"/>
          <w:sz w:val="15"/>
          <w:szCs w:val="15"/>
          <w:color w:val="auto"/>
        </w:rPr>
        <w:t>Schedule II</w:t>
      </w:r>
    </w:p>
    <w:p>
      <w:pPr>
        <w:spacing w:after="0" w:line="3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ALLOCATION OF NET ASSETS TO INVESTMENT FUNDS</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December 30, 1995</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Kodak</w:t>
            </w: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Smaller</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Fixed</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Balanced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Large Stock</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Income Fund</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Mutual Fund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Index Fund</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 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Kodak Company</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$480,795</w:t>
            </w: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vMerge w:val="continue"/>
          </w:tcPr>
          <w:p>
            <w:pPr>
              <w:spacing w:after="0"/>
              <w:rPr>
                <w:sz w:val="15"/>
                <w:szCs w:val="15"/>
                <w:color w:val="auto"/>
              </w:rPr>
            </w:pP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$156,596</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Other common stocks</w:t>
            </w:r>
          </w:p>
        </w:tc>
        <w:tc>
          <w:tcPr>
            <w:tcW w:w="1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$83,757</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Mutual funds</w:t>
            </w:r>
          </w:p>
        </w:tc>
        <w:tc>
          <w:tcPr>
            <w:tcW w:w="128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301,479</w:t>
            </w:r>
          </w:p>
        </w:tc>
        <w:tc>
          <w:tcPr>
            <w:tcW w:w="14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in common/collective</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119</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6,917</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$71,176</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$54,509</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trusts (pooled) funds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Short-term interest funds</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$3,007,907</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Group annuity contracts</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1,792</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2,910</w:t>
            </w:r>
          </w:p>
        </w:tc>
        <w:tc>
          <w:tcPr>
            <w:tcW w:w="1440" w:type="dxa"/>
            <w:vAlign w:val="bottom"/>
            <w:vMerge w:val="continue"/>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34</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30</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628</w:t>
            </w: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339</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635</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2,201</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166</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157</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102</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Dividends/Interest receivable</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3,006</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w:t>
            </w: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Receivables for securities sold</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525</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1460" w:type="dxa"/>
            <w:vAlign w:val="bottom"/>
            <w:vMerge w:val="continue"/>
          </w:tcPr>
          <w:p>
            <w:pPr>
              <w:spacing w:after="0"/>
              <w:rPr>
                <w:sz w:val="15"/>
                <w:szCs w:val="15"/>
                <w:color w:val="auto"/>
              </w:rPr>
            </w:pP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17</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280" w:type="dxa"/>
            <w:vAlign w:val="bottom"/>
            <w:vMerge w:val="continue"/>
          </w:tcPr>
          <w:p>
            <w:pPr>
              <w:spacing w:after="0"/>
              <w:rPr>
                <w:sz w:val="15"/>
                <w:szCs w:val="15"/>
                <w:color w:val="auto"/>
              </w:rPr>
            </w:pP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continue"/>
          </w:tcPr>
          <w:p>
            <w:pPr>
              <w:spacing w:after="0"/>
              <w:rPr>
                <w:sz w:val="15"/>
                <w:szCs w:val="15"/>
                <w:color w:val="auto"/>
              </w:rPr>
            </w:pP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w:t>
            </w:r>
          </w:p>
        </w:tc>
        <w:tc>
          <w:tcPr>
            <w:tcW w:w="1460" w:type="dxa"/>
            <w:vAlign w:val="bottom"/>
            <w:vMerge w:val="continue"/>
          </w:tcPr>
          <w:p>
            <w:pPr>
              <w:spacing w:after="0"/>
              <w:rPr>
                <w:sz w:val="15"/>
                <w:szCs w:val="15"/>
                <w:color w:val="auto"/>
              </w:rPr>
            </w:pP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continue"/>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486,058</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469,297</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3,010,746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83,960</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71,381</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54,624</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205</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195</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409</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16</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11</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Pending loans to participants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1,405</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1,086</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12,205</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204</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76</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6,575</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12,289</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36,662</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2,756</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1,881</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1,027</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successor plans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Payable for securities purchased</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520</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1,516</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18</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128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280" w:type="dxa"/>
            <w:vAlign w:val="bottom"/>
            <w:vMerge w:val="continue"/>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678</w:t>
            </w: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(16,704)</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(452)</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23,768</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(2,958)</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(4,225)</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liabilities/transfers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(8,485)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14,316</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74,560</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3,552</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(972)</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(3,022)</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assets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$494,543</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$454,981</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$2,936,186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$80,408</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$72,353</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$57,646</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56"/>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5460" w:type="dxa"/>
            <w:vAlign w:val="bottom"/>
            <w:gridSpan w:val="6"/>
            <w:vMerge w:val="restart"/>
          </w:tcPr>
          <w:p>
            <w:pPr>
              <w:jc w:val="center"/>
              <w:ind w:left="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680" w:type="dxa"/>
            <w:vAlign w:val="bottom"/>
          </w:tcPr>
          <w:p>
            <w:pPr>
              <w:spacing w:after="0"/>
              <w:rPr>
                <w:sz w:val="22"/>
                <w:szCs w:val="22"/>
                <w:color w:val="auto"/>
              </w:rPr>
            </w:pPr>
          </w:p>
        </w:tc>
        <w:tc>
          <w:tcPr>
            <w:tcW w:w="226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rPr>
              <w:t>Schedule II (Cont'd)</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5460" w:type="dxa"/>
            <w:vAlign w:val="bottom"/>
            <w:gridSpan w:val="6"/>
            <w:vMerge w:val="continue"/>
          </w:tcPr>
          <w:p>
            <w:pPr>
              <w:spacing w:after="0"/>
              <w:rPr>
                <w:sz w:val="8"/>
                <w:szCs w:val="8"/>
                <w:color w:val="auto"/>
              </w:rPr>
            </w:pPr>
          </w:p>
        </w:tc>
        <w:tc>
          <w:tcPr>
            <w:tcW w:w="680" w:type="dxa"/>
            <w:vAlign w:val="bottom"/>
          </w:tcPr>
          <w:p>
            <w:pPr>
              <w:spacing w:after="0"/>
              <w:rPr>
                <w:sz w:val="8"/>
                <w:szCs w:val="8"/>
                <w:color w:val="auto"/>
              </w:rPr>
            </w:pPr>
          </w:p>
        </w:tc>
        <w:tc>
          <w:tcPr>
            <w:tcW w:w="2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5460" w:type="dxa"/>
            <w:vAlign w:val="bottom"/>
            <w:gridSpan w:val="6"/>
          </w:tcPr>
          <w:p>
            <w:pPr>
              <w:jc w:val="center"/>
              <w:ind w:left="4"/>
              <w:spacing w:after="0"/>
              <w:rPr>
                <w:sz w:val="20"/>
                <w:szCs w:val="20"/>
                <w:color w:val="auto"/>
              </w:rPr>
            </w:pPr>
            <w:r>
              <w:rPr>
                <w:rFonts w:ascii="Courier New" w:cs="Courier New" w:eastAsia="Courier New" w:hAnsi="Courier New"/>
                <w:sz w:val="15"/>
                <w:szCs w:val="15"/>
                <w:color w:val="auto"/>
              </w:rPr>
              <w:t>ALLOCATION OF NET ASSETS TO INVESTMENT FUNDS</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December 30, 1995</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900" w:type="dxa"/>
            <w:vAlign w:val="bottom"/>
            <w:gridSpan w:val="3"/>
          </w:tcPr>
          <w:p>
            <w:pPr>
              <w:jc w:val="center"/>
              <w:ind w:left="284"/>
              <w:spacing w:after="0"/>
              <w:rPr>
                <w:sz w:val="20"/>
                <w:szCs w:val="20"/>
                <w:color w:val="auto"/>
              </w:rPr>
            </w:pPr>
            <w:r>
              <w:rPr>
                <w:rFonts w:ascii="Courier New" w:cs="Courier New" w:eastAsia="Courier New" w:hAnsi="Courier New"/>
                <w:sz w:val="15"/>
                <w:szCs w:val="15"/>
                <w:color w:val="auto"/>
                <w:w w:val="99"/>
              </w:rPr>
              <w:t>(in thousands)</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140" w:type="dxa"/>
            <w:vAlign w:val="bottom"/>
            <w:vMerge w:val="restart"/>
          </w:tcPr>
          <w:p>
            <w:pPr>
              <w:jc w:val="center"/>
              <w:ind w:right="64"/>
              <w:spacing w:after="0"/>
              <w:rPr>
                <w:sz w:val="20"/>
                <w:szCs w:val="20"/>
                <w:color w:val="auto"/>
              </w:rPr>
            </w:pPr>
            <w:r>
              <w:rPr>
                <w:rFonts w:ascii="Courier New" w:cs="Courier New" w:eastAsia="Courier New" w:hAnsi="Courier New"/>
                <w:sz w:val="15"/>
                <w:szCs w:val="15"/>
                <w:color w:val="auto"/>
                <w:w w:val="99"/>
              </w:rPr>
              <w:t>Loan</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Subtotal</w:t>
            </w:r>
          </w:p>
        </w:tc>
        <w:tc>
          <w:tcPr>
            <w:tcW w:w="1460" w:type="dxa"/>
            <w:vAlign w:val="bottom"/>
            <w:gridSpan w:val="2"/>
            <w:vMerge w:val="restart"/>
          </w:tcPr>
          <w:p>
            <w:pPr>
              <w:jc w:val="right"/>
              <w:ind w:right="464"/>
              <w:spacing w:after="0"/>
              <w:rPr>
                <w:sz w:val="20"/>
                <w:szCs w:val="20"/>
                <w:color w:val="auto"/>
              </w:rPr>
            </w:pPr>
            <w:r>
              <w:rPr>
                <w:rFonts w:ascii="Courier New" w:cs="Courier New" w:eastAsia="Courier New" w:hAnsi="Courier New"/>
                <w:sz w:val="15"/>
                <w:szCs w:val="15"/>
                <w:color w:val="auto"/>
              </w:rPr>
              <w:t>Kodak</w:t>
            </w:r>
          </w:p>
        </w:tc>
        <w:tc>
          <w:tcPr>
            <w:tcW w:w="142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Eastman</w:t>
            </w:r>
          </w:p>
        </w:tc>
        <w:tc>
          <w:tcPr>
            <w:tcW w:w="194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rPr>
              <w:t>Fidelity Managed</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Fidelity</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rPr>
              <w:t>Boston</w:t>
            </w:r>
          </w:p>
        </w:tc>
        <w:tc>
          <w:tcPr>
            <w:tcW w:w="14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Fund</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rPr>
              <w:t>Safe Funds</w:t>
            </w: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Stock Fund</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Income Portfolio</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Kodak Company</w:t>
            </w:r>
          </w:p>
        </w:tc>
        <w:tc>
          <w:tcPr>
            <w:tcW w:w="1140" w:type="dxa"/>
            <w:vAlign w:val="bottom"/>
          </w:tcPr>
          <w:p>
            <w:pPr>
              <w:spacing w:after="0"/>
              <w:rPr>
                <w:sz w:val="15"/>
                <w:szCs w:val="15"/>
                <w:color w:val="auto"/>
              </w:rPr>
            </w:pP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  480,795</w:t>
            </w:r>
          </w:p>
        </w:tc>
        <w:tc>
          <w:tcPr>
            <w:tcW w:w="146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$20,807</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Chemical Company</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2"/>
            <w:vMerge w:val="restart"/>
          </w:tcPr>
          <w:p>
            <w:pPr>
              <w:jc w:val="right"/>
              <w:ind w:right="344"/>
              <w:spacing w:after="0"/>
              <w:rPr>
                <w:sz w:val="20"/>
                <w:szCs w:val="20"/>
                <w:color w:val="auto"/>
              </w:rPr>
            </w:pPr>
            <w:r>
              <w:rPr>
                <w:rFonts w:ascii="Courier New" w:cs="Courier New" w:eastAsia="Courier New" w:hAnsi="Courier New"/>
                <w:sz w:val="15"/>
                <w:szCs w:val="15"/>
                <w:color w:val="auto"/>
              </w:rPr>
              <w:t>$40,174</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spacing w:after="0"/>
              <w:rPr>
                <w:sz w:val="15"/>
                <w:szCs w:val="15"/>
                <w:color w:val="auto"/>
              </w:rPr>
            </w:pP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156,596</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Other common stocks</w:t>
            </w:r>
          </w:p>
        </w:tc>
        <w:tc>
          <w:tcPr>
            <w:tcW w:w="1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$10,827</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Mutual funds</w:t>
            </w:r>
          </w:p>
        </w:tc>
        <w:tc>
          <w:tcPr>
            <w:tcW w:w="114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385,236</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in common/collective</w:t>
            </w:r>
          </w:p>
        </w:tc>
        <w:tc>
          <w:tcPr>
            <w:tcW w:w="1140" w:type="dxa"/>
            <w:vAlign w:val="bottom"/>
          </w:tcPr>
          <w:p>
            <w:pPr>
              <w:spacing w:after="0"/>
              <w:rPr>
                <w:sz w:val="15"/>
                <w:szCs w:val="15"/>
                <w:color w:val="auto"/>
              </w:rPr>
            </w:pP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132,721</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trusts (pooled) funds</w:t>
            </w:r>
          </w:p>
        </w:tc>
        <w:tc>
          <w:tcPr>
            <w:tcW w:w="1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361</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4,437</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Short-term interest funds</w:t>
            </w: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1140" w:type="dxa"/>
            <w:vAlign w:val="bottom"/>
          </w:tcPr>
          <w:p>
            <w:pPr>
              <w:spacing w:after="0"/>
              <w:rPr>
                <w:sz w:val="15"/>
                <w:szCs w:val="15"/>
                <w:color w:val="auto"/>
              </w:rPr>
            </w:pP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3,007,907</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w w:val="95"/>
              </w:rPr>
              <w:t>297,608</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Group annuity contracts</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$49,596</w:t>
            </w: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140" w:type="dxa"/>
            <w:vAlign w:val="bottom"/>
            <w:vMerge w:val="continue"/>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55,003</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140" w:type="dxa"/>
            <w:vAlign w:val="bottom"/>
          </w:tcPr>
          <w:p>
            <w:pPr>
              <w:spacing w:after="0"/>
              <w:rPr>
                <w:sz w:val="15"/>
                <w:szCs w:val="15"/>
                <w:color w:val="auto"/>
              </w:rPr>
            </w:pP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3,600</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11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123</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211</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Dividends/Interest receivable</w:t>
            </w:r>
          </w:p>
        </w:tc>
        <w:tc>
          <w:tcPr>
            <w:tcW w:w="114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3,242</w:t>
            </w:r>
          </w:p>
        </w:tc>
        <w:tc>
          <w:tcPr>
            <w:tcW w:w="5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Receivables for securities sold</w:t>
            </w:r>
          </w:p>
        </w:tc>
        <w:tc>
          <w:tcPr>
            <w:tcW w:w="114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526</w:t>
            </w:r>
          </w:p>
        </w:tc>
        <w:tc>
          <w:tcPr>
            <w:tcW w:w="560" w:type="dxa"/>
            <w:vAlign w:val="bottom"/>
          </w:tcPr>
          <w:p>
            <w:pPr>
              <w:spacing w:after="0"/>
              <w:rPr>
                <w:sz w:val="15"/>
                <w:szCs w:val="15"/>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58</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811</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Miscellaneous receivable</w:t>
            </w:r>
          </w:p>
        </w:tc>
        <w:tc>
          <w:tcPr>
            <w:tcW w:w="1140" w:type="dxa"/>
            <w:vAlign w:val="bottom"/>
          </w:tcPr>
          <w:p>
            <w:pPr>
              <w:spacing w:after="0"/>
              <w:rPr>
                <w:sz w:val="15"/>
                <w:szCs w:val="15"/>
                <w:color w:val="auto"/>
              </w:rPr>
            </w:pP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36</w:t>
            </w:r>
          </w:p>
        </w:tc>
        <w:tc>
          <w:tcPr>
            <w:tcW w:w="5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81</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continue"/>
          </w:tcPr>
          <w:p>
            <w:pPr>
              <w:spacing w:after="0"/>
              <w:rPr>
                <w:sz w:val="15"/>
                <w:szCs w:val="15"/>
                <w:color w:val="auto"/>
              </w:rPr>
            </w:pPr>
          </w:p>
        </w:tc>
        <w:tc>
          <w:tcPr>
            <w:tcW w:w="146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vMerge w:val="restart"/>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vMerge w:val="continue"/>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49,596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4,225,662</w:t>
            </w:r>
          </w:p>
        </w:tc>
        <w:tc>
          <w:tcPr>
            <w:tcW w:w="56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21,349</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41,277</w:t>
            </w:r>
          </w:p>
        </w:tc>
        <w:tc>
          <w:tcPr>
            <w:tcW w:w="68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5"/>
              </w:rPr>
              <w:t>302,045</w:t>
            </w:r>
          </w:p>
        </w:tc>
        <w:tc>
          <w:tcPr>
            <w:tcW w:w="3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10,827</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1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(845)</w:t>
            </w: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Pending loans to participants</w:t>
            </w:r>
          </w:p>
        </w:tc>
        <w:tc>
          <w:tcPr>
            <w:tcW w:w="11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260</w:t>
            </w: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15,275</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1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995</w:t>
            </w:r>
          </w:p>
        </w:tc>
        <w:tc>
          <w:tcPr>
            <w:tcW w:w="14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62,185</w:t>
            </w:r>
          </w:p>
        </w:tc>
        <w:tc>
          <w:tcPr>
            <w:tcW w:w="560" w:type="dxa"/>
            <w:vAlign w:val="bottom"/>
          </w:tcPr>
          <w:p>
            <w:pPr>
              <w:spacing w:after="0"/>
              <w:rPr>
                <w:sz w:val="15"/>
                <w:szCs w:val="15"/>
                <w:color w:val="auto"/>
              </w:rPr>
            </w:pPr>
          </w:p>
        </w:tc>
        <w:tc>
          <w:tcPr>
            <w:tcW w:w="9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6"/>
              </w:rPr>
              <w:t>20,978</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6"/>
              </w:rPr>
              <w:t>40,661</w:t>
            </w:r>
          </w:p>
        </w:tc>
        <w:tc>
          <w:tcPr>
            <w:tcW w:w="680" w:type="dxa"/>
            <w:vAlign w:val="bottom"/>
          </w:tcPr>
          <w:p>
            <w:pPr>
              <w:spacing w:after="0"/>
              <w:rPr>
                <w:sz w:val="15"/>
                <w:szCs w:val="15"/>
                <w:color w:val="auto"/>
              </w:rPr>
            </w:pP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w w:val="95"/>
              </w:rPr>
              <w:t>302,030</w:t>
            </w:r>
          </w:p>
        </w:tc>
        <w:tc>
          <w:tcPr>
            <w:tcW w:w="360" w:type="dxa"/>
            <w:vAlign w:val="bottom"/>
          </w:tcPr>
          <w:p>
            <w:pPr>
              <w:spacing w:after="0"/>
              <w:rPr>
                <w:sz w:val="15"/>
                <w:szCs w:val="15"/>
                <w:color w:val="auto"/>
              </w:rPr>
            </w:pP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w w:val="99"/>
              </w:rPr>
              <w:t>10,827</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successor plans</w:t>
            </w:r>
          </w:p>
        </w:tc>
        <w:tc>
          <w:tcPr>
            <w:tcW w:w="11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Payable for securities purchased</w:t>
            </w:r>
          </w:p>
        </w:tc>
        <w:tc>
          <w:tcPr>
            <w:tcW w:w="114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520</w:t>
            </w:r>
          </w:p>
        </w:tc>
        <w:tc>
          <w:tcPr>
            <w:tcW w:w="56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93</w:t>
            </w:r>
          </w:p>
        </w:tc>
        <w:tc>
          <w:tcPr>
            <w:tcW w:w="680" w:type="dxa"/>
            <w:vAlign w:val="bottom"/>
          </w:tcPr>
          <w:p>
            <w:pPr>
              <w:spacing w:after="0"/>
              <w:rPr>
                <w:sz w:val="15"/>
                <w:szCs w:val="15"/>
                <w:color w:val="auto"/>
              </w:rPr>
            </w:pP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140" w:type="dxa"/>
            <w:vAlign w:val="bottom"/>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2,379</w:t>
            </w:r>
          </w:p>
        </w:tc>
        <w:tc>
          <w:tcPr>
            <w:tcW w:w="56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284</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523</w:t>
            </w:r>
          </w:p>
        </w:tc>
        <w:tc>
          <w:tcPr>
            <w:tcW w:w="6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146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vMerge w:val="restart"/>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liabilities/transfers</w:t>
            </w:r>
          </w:p>
        </w:tc>
        <w:tc>
          <w:tcPr>
            <w:tcW w:w="1140" w:type="dxa"/>
            <w:vAlign w:val="bottom"/>
            <w:vMerge w:val="continue"/>
          </w:tcPr>
          <w:p>
            <w:pPr>
              <w:spacing w:after="0"/>
              <w:rPr>
                <w:sz w:val="15"/>
                <w:szCs w:val="15"/>
                <w:color w:val="auto"/>
              </w:rPr>
            </w:pP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80,359</w:t>
            </w:r>
          </w:p>
        </w:tc>
        <w:tc>
          <w:tcPr>
            <w:tcW w:w="56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6"/>
              </w:rPr>
              <w:t>21,349</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41,277</w:t>
            </w:r>
          </w:p>
        </w:tc>
        <w:tc>
          <w:tcPr>
            <w:tcW w:w="68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5"/>
              </w:rPr>
              <w:t>302,045</w:t>
            </w:r>
          </w:p>
        </w:tc>
        <w:tc>
          <w:tcPr>
            <w:tcW w:w="3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10,827</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assets</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$49,186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$4,145,303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56"/>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7"/>
          </w:tcPr>
          <w:p>
            <w:pPr>
              <w:jc w:val="center"/>
              <w:ind w:right="14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50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Schedule II (Cont'd)</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20" w:type="dxa"/>
            <w:vAlign w:val="bottom"/>
            <w:gridSpan w:val="7"/>
          </w:tcPr>
          <w:p>
            <w:pPr>
              <w:jc w:val="center"/>
              <w:ind w:right="144"/>
              <w:spacing w:after="0"/>
              <w:rPr>
                <w:sz w:val="20"/>
                <w:szCs w:val="20"/>
                <w:color w:val="auto"/>
              </w:rPr>
            </w:pPr>
            <w:r>
              <w:rPr>
                <w:rFonts w:ascii="Courier New" w:cs="Courier New" w:eastAsia="Courier New" w:hAnsi="Courier New"/>
                <w:sz w:val="15"/>
                <w:szCs w:val="15"/>
                <w:color w:val="auto"/>
              </w:rPr>
              <w:t>ALLOCATION OF NET ASSETS TO INVESTMENT FUNDS</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6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December 30, 1995</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60" w:type="dxa"/>
            <w:vAlign w:val="bottom"/>
            <w:gridSpan w:val="3"/>
          </w:tcPr>
          <w:p>
            <w:pPr>
              <w:jc w:val="center"/>
              <w:ind w:right="104"/>
              <w:spacing w:after="0"/>
              <w:rPr>
                <w:sz w:val="20"/>
                <w:szCs w:val="20"/>
                <w:color w:val="auto"/>
              </w:rPr>
            </w:pPr>
            <w:r>
              <w:rPr>
                <w:rFonts w:ascii="Courier New" w:cs="Courier New" w:eastAsia="Courier New" w:hAnsi="Courier New"/>
                <w:sz w:val="15"/>
                <w:szCs w:val="15"/>
                <w:color w:val="auto"/>
                <w:w w:val="99"/>
              </w:rPr>
              <w:t>(in thousands)</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04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Fidelity</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Fidelity</w:t>
            </w:r>
          </w:p>
        </w:tc>
        <w:tc>
          <w:tcPr>
            <w:tcW w:w="1600" w:type="dxa"/>
            <w:vAlign w:val="bottom"/>
            <w:gridSpan w:val="2"/>
            <w:vMerge w:val="restart"/>
          </w:tcPr>
          <w:p>
            <w:pPr>
              <w:ind w:left="420"/>
              <w:spacing w:after="0"/>
              <w:rPr>
                <w:sz w:val="20"/>
                <w:szCs w:val="20"/>
                <w:color w:val="auto"/>
              </w:rPr>
            </w:pPr>
            <w:r>
              <w:rPr>
                <w:rFonts w:ascii="Courier New" w:cs="Courier New" w:eastAsia="Courier New" w:hAnsi="Courier New"/>
                <w:sz w:val="15"/>
                <w:szCs w:val="15"/>
                <w:color w:val="auto"/>
              </w:rPr>
              <w:t>Fidelity</w:t>
            </w:r>
          </w:p>
        </w:tc>
        <w:tc>
          <w:tcPr>
            <w:tcW w:w="540" w:type="dxa"/>
            <w:vAlign w:val="bottom"/>
          </w:tcPr>
          <w:p>
            <w:pPr>
              <w:spacing w:after="0"/>
              <w:rPr>
                <w:sz w:val="24"/>
                <w:szCs w:val="24"/>
                <w:color w:val="auto"/>
              </w:rPr>
            </w:pPr>
          </w:p>
        </w:tc>
        <w:tc>
          <w:tcPr>
            <w:tcW w:w="860" w:type="dxa"/>
            <w:vAlign w:val="bottom"/>
            <w:vMerge w:val="restart"/>
          </w:tcPr>
          <w:p>
            <w:pPr>
              <w:jc w:val="center"/>
              <w:ind w:right="424"/>
              <w:spacing w:after="0"/>
              <w:rPr>
                <w:sz w:val="20"/>
                <w:szCs w:val="20"/>
                <w:color w:val="auto"/>
              </w:rPr>
            </w:pPr>
            <w:r>
              <w:rPr>
                <w:rFonts w:ascii="Courier New" w:cs="Courier New" w:eastAsia="Courier New" w:hAnsi="Courier New"/>
                <w:sz w:val="15"/>
                <w:szCs w:val="15"/>
                <w:color w:val="auto"/>
                <w:w w:val="99"/>
              </w:rPr>
              <w:t>Loan</w:t>
            </w: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Subtotal</w:t>
            </w:r>
          </w:p>
        </w:tc>
        <w:tc>
          <w:tcPr>
            <w:tcW w:w="1260" w:type="dxa"/>
            <w:vAlign w:val="bottom"/>
            <w:vMerge w:val="restart"/>
          </w:tcPr>
          <w:p>
            <w:pPr>
              <w:jc w:val="center"/>
              <w:ind w:left="20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Puritan</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Magellan</w:t>
            </w:r>
          </w:p>
        </w:tc>
        <w:tc>
          <w:tcPr>
            <w:tcW w:w="1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Fidelity</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Fund</w:t>
            </w:r>
          </w:p>
        </w:tc>
        <w:tc>
          <w:tcPr>
            <w:tcW w:w="400" w:type="dxa"/>
            <w:vAlign w:val="bottom"/>
          </w:tcPr>
          <w:p>
            <w:pPr>
              <w:spacing w:after="0"/>
              <w:rPr>
                <w:sz w:val="15"/>
                <w:szCs w:val="15"/>
                <w:color w:val="auto"/>
              </w:rPr>
            </w:pPr>
          </w:p>
        </w:tc>
        <w:tc>
          <w:tcPr>
            <w:tcW w:w="960" w:type="dxa"/>
            <w:vAlign w:val="bottom"/>
          </w:tcPr>
          <w:p>
            <w:pPr>
              <w:jc w:val="center"/>
              <w:ind w:right="324"/>
              <w:spacing w:after="0"/>
              <w:rPr>
                <w:sz w:val="20"/>
                <w:szCs w:val="20"/>
                <w:color w:val="auto"/>
              </w:rPr>
            </w:pPr>
            <w:r>
              <w:rPr>
                <w:rFonts w:ascii="Courier New" w:cs="Courier New" w:eastAsia="Courier New" w:hAnsi="Courier New"/>
                <w:sz w:val="15"/>
                <w:szCs w:val="15"/>
                <w:color w:val="auto"/>
                <w:w w:val="99"/>
              </w:rPr>
              <w:t>Fund</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Contrafund</w:t>
            </w:r>
          </w:p>
        </w:tc>
        <w:tc>
          <w:tcPr>
            <w:tcW w:w="540" w:type="dxa"/>
            <w:vAlign w:val="bottom"/>
          </w:tcPr>
          <w:p>
            <w:pPr>
              <w:spacing w:after="0"/>
              <w:rPr>
                <w:sz w:val="15"/>
                <w:szCs w:val="15"/>
                <w:color w:val="auto"/>
              </w:rPr>
            </w:pPr>
          </w:p>
        </w:tc>
        <w:tc>
          <w:tcPr>
            <w:tcW w:w="860" w:type="dxa"/>
            <w:vAlign w:val="bottom"/>
          </w:tcPr>
          <w:p>
            <w:pPr>
              <w:jc w:val="center"/>
              <w:ind w:right="424"/>
              <w:spacing w:after="0"/>
              <w:rPr>
                <w:sz w:val="20"/>
                <w:szCs w:val="20"/>
                <w:color w:val="auto"/>
              </w:rPr>
            </w:pPr>
            <w:r>
              <w:rPr>
                <w:rFonts w:ascii="Courier New" w:cs="Courier New" w:eastAsia="Courier New" w:hAnsi="Courier New"/>
                <w:sz w:val="15"/>
                <w:szCs w:val="15"/>
                <w:color w:val="auto"/>
                <w:w w:val="99"/>
              </w:rPr>
              <w:t>Fund</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ALL FUNDS</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Kodak Company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$ 20,807</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501,602</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Chemical Company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40,174</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40,174</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Other common stocks</w:t>
            </w:r>
          </w:p>
        </w:tc>
        <w:tc>
          <w:tcPr>
            <w:tcW w:w="11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$17,901</w:t>
            </w:r>
          </w:p>
        </w:tc>
        <w:tc>
          <w:tcPr>
            <w:tcW w:w="136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$41,958</w:t>
            </w:r>
          </w:p>
        </w:tc>
        <w:tc>
          <w:tcPr>
            <w:tcW w:w="1600" w:type="dxa"/>
            <w:vAlign w:val="bottom"/>
            <w:gridSpan w:val="2"/>
            <w:vMerge w:val="restart"/>
          </w:tcPr>
          <w:p>
            <w:pPr>
              <w:jc w:val="right"/>
              <w:ind w:right="484"/>
              <w:spacing w:after="0"/>
              <w:rPr>
                <w:sz w:val="20"/>
                <w:szCs w:val="20"/>
                <w:color w:val="auto"/>
              </w:rPr>
            </w:pPr>
            <w:r>
              <w:rPr>
                <w:rFonts w:ascii="Courier New" w:cs="Courier New" w:eastAsia="Courier New" w:hAnsi="Courier New"/>
                <w:sz w:val="15"/>
                <w:szCs w:val="15"/>
                <w:color w:val="auto"/>
              </w:rPr>
              <w:t>$18,481</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156,596</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Mutual funds</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89,167</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474,403</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in common/collective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132,721</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trusts (pooled) funds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4,798</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Short-term interest funds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4,798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8"/>
              </w:rPr>
              <w:t>297,608</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3,305,515</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Group annuity contracts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$7,606</w:t>
            </w: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7,606</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62,609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3,600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334</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Dividends/Interest receivable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3,576</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Receivables for securities sold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811</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1,337</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Miscellaneous receivable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1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17,901</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41,958</w:t>
            </w:r>
          </w:p>
        </w:tc>
        <w:tc>
          <w:tcPr>
            <w:tcW w:w="5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18,481</w:t>
            </w:r>
          </w:p>
        </w:tc>
        <w:tc>
          <w:tcPr>
            <w:tcW w:w="5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7,606</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461,444</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4,687,106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Pending loans to participants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15,275</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22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9"/>
              </w:rPr>
              <w:t>17,901</w:t>
            </w:r>
          </w:p>
        </w:tc>
        <w:tc>
          <w:tcPr>
            <w:tcW w:w="40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9"/>
              </w:rPr>
              <w:t>41,958</w:t>
            </w:r>
          </w:p>
        </w:tc>
        <w:tc>
          <w:tcPr>
            <w:tcW w:w="500" w:type="dxa"/>
            <w:vAlign w:val="bottom"/>
          </w:tcPr>
          <w:p>
            <w:pPr>
              <w:spacing w:after="0"/>
              <w:rPr>
                <w:sz w:val="15"/>
                <w:szCs w:val="15"/>
                <w:color w:val="auto"/>
              </w:rPr>
            </w:pP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18,481</w:t>
            </w:r>
          </w:p>
        </w:tc>
        <w:tc>
          <w:tcPr>
            <w:tcW w:w="540" w:type="dxa"/>
            <w:vAlign w:val="bottom"/>
          </w:tcPr>
          <w:p>
            <w:pPr>
              <w:spacing w:after="0"/>
              <w:rPr>
                <w:sz w:val="15"/>
                <w:szCs w:val="15"/>
                <w:color w:val="auto"/>
              </w:rPr>
            </w:pPr>
          </w:p>
        </w:tc>
        <w:tc>
          <w:tcPr>
            <w:tcW w:w="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7"/>
              </w:rPr>
              <w:t>7,606</w:t>
            </w: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8"/>
              </w:rPr>
              <w:t>460,442</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522,627</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successor plans</w:t>
            </w: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Payable for securities purchased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3,201</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1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liabilities/transfers</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17,901</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41,958</w:t>
            </w:r>
          </w:p>
        </w:tc>
        <w:tc>
          <w:tcPr>
            <w:tcW w:w="5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18,481</w:t>
            </w:r>
          </w:p>
        </w:tc>
        <w:tc>
          <w:tcPr>
            <w:tcW w:w="5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7,606</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461,444</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541,803</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assets</w:t>
            </w:r>
          </w:p>
        </w:tc>
        <w:tc>
          <w:tcPr>
            <w:tcW w:w="11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$4,145,303</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6"/>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1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55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1460" w:type="dxa"/>
            <w:vAlign w:val="bottom"/>
          </w:tcPr>
          <w:p>
            <w:pPr>
              <w:spacing w:after="0"/>
              <w:rPr>
                <w:sz w:val="23"/>
                <w:szCs w:val="23"/>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Schedule II</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55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ALLOCATION OF NET ASSETS TO INVESTMENT FUNDS</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December 30, 1994</w:t>
            </w:r>
          </w:p>
        </w:tc>
        <w:tc>
          <w:tcPr>
            <w:tcW w:w="1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28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Kodak</w:t>
            </w:r>
          </w:p>
        </w:tc>
        <w:tc>
          <w:tcPr>
            <w:tcW w:w="2800" w:type="dxa"/>
            <w:vAlign w:val="bottom"/>
            <w:gridSpan w:val="2"/>
          </w:tcPr>
          <w:p>
            <w:pPr>
              <w:jc w:val="center"/>
              <w:ind w:left="104"/>
              <w:spacing w:after="0"/>
              <w:rPr>
                <w:sz w:val="20"/>
                <w:szCs w:val="20"/>
                <w:color w:val="auto"/>
              </w:rPr>
            </w:pPr>
            <w:r>
              <w:rPr>
                <w:rFonts w:ascii="Courier New" w:cs="Courier New" w:eastAsia="Courier New" w:hAnsi="Courier New"/>
                <w:sz w:val="15"/>
                <w:szCs w:val="15"/>
                <w:color w:val="auto"/>
                <w:w w:val="99"/>
              </w:rPr>
              <w:t>(in thousands)</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Balanced</w:t>
            </w:r>
          </w:p>
        </w:tc>
        <w:tc>
          <w:tcPr>
            <w:tcW w:w="14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Large Stock</w:t>
            </w:r>
          </w:p>
        </w:tc>
        <w:tc>
          <w:tcPr>
            <w:tcW w:w="1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Smaller</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Fixed</w:t>
            </w: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Income Fund</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Mutual Fund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Index Fund</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Stock 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Kodak Company</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$383,491</w:t>
            </w: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vMerge w:val="continue"/>
          </w:tcPr>
          <w:p>
            <w:pPr>
              <w:spacing w:after="0"/>
              <w:rPr>
                <w:sz w:val="15"/>
                <w:szCs w:val="15"/>
                <w:color w:val="auto"/>
              </w:rPr>
            </w:pP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$126,020</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Other common stocks</w:t>
            </w:r>
          </w:p>
        </w:tc>
        <w:tc>
          <w:tcPr>
            <w:tcW w:w="1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$60,270</w:t>
            </w: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Mutual funds</w:t>
            </w:r>
          </w:p>
        </w:tc>
        <w:tc>
          <w:tcPr>
            <w:tcW w:w="128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232,021</w:t>
            </w:r>
          </w:p>
        </w:tc>
        <w:tc>
          <w:tcPr>
            <w:tcW w:w="14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in common/collective</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497</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20,921</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$25,997</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$46,131</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trusts (pooled) funds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Short-term interest funds</w:t>
            </w:r>
          </w:p>
        </w:tc>
        <w:tc>
          <w:tcPr>
            <w:tcW w:w="128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Corporate debt instruments</w:t>
            </w:r>
          </w:p>
        </w:tc>
        <w:tc>
          <w:tcPr>
            <w:tcW w:w="128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$2,749,416</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Group annuity contracts</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6,215</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10,019</w:t>
            </w:r>
          </w:p>
        </w:tc>
        <w:tc>
          <w:tcPr>
            <w:tcW w:w="1440" w:type="dxa"/>
            <w:vAlign w:val="bottom"/>
            <w:vMerge w:val="continue"/>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12</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293</w:t>
            </w: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248</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671</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2,304</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144</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76</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105</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Dividends/Interest receivable</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3,024</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245</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Receivables for securities sold</w:t>
            </w:r>
          </w:p>
        </w:tc>
        <w:tc>
          <w:tcPr>
            <w:tcW w:w="1280" w:type="dxa"/>
            <w:vAlign w:val="bottom"/>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866</w:t>
            </w: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280" w:type="dxa"/>
            <w:vAlign w:val="bottom"/>
            <w:vMerge w:val="continue"/>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393,475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390,844</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2,752,013</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60,426</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26,081</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46,256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207</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224</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311</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15</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Pending loans to participants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1,771</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667</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9,260</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84</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4,920</w:t>
            </w: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10,412</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34,877</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1,910</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933</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successor plans</w:t>
            </w:r>
          </w:p>
        </w:tc>
        <w:tc>
          <w:tcPr>
            <w:tcW w:w="12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Payable for securities purchased</w:t>
            </w:r>
          </w:p>
        </w:tc>
        <w:tc>
          <w:tcPr>
            <w:tcW w:w="12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26</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634</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1,338</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w:t>
            </w:r>
          </w:p>
        </w:tc>
        <w:tc>
          <w:tcPr>
            <w:tcW w:w="14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w:t>
            </w:r>
          </w:p>
        </w:tc>
        <w:tc>
          <w:tcPr>
            <w:tcW w:w="14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280" w:type="dxa"/>
            <w:vAlign w:val="bottom"/>
            <w:vMerge w:val="continue"/>
          </w:tcPr>
          <w:p>
            <w:pPr>
              <w:spacing w:after="0"/>
              <w:rPr>
                <w:sz w:val="15"/>
                <w:szCs w:val="15"/>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358</w:t>
            </w: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3,545</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3,277</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(7,670)</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1,185</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(245)</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liabilities/transfers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10,469</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15,572</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38,116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3,199</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701</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1,016</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assets</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$383,006</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$375,272</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$2,713,897</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$57,227</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$25,380</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$45,240</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tbl>
      <w:tblPr>
        <w:tblLayout w:type="fixed"/>
        <w:tblInd w:w="3100" w:type="dxa"/>
        <w:tblCellMar>
          <w:top w:w="0" w:type="dxa"/>
          <w:left w:w="0" w:type="dxa"/>
          <w:bottom w:w="0" w:type="dxa"/>
          <w:right w:w="0" w:type="dxa"/>
        </w:tblCellMar>
      </w:tblPr>
      <w:tr>
        <w:trPr>
          <w:trHeight w:val="175"/>
        </w:trPr>
        <w:tc>
          <w:tcPr>
            <w:tcW w:w="532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2940" w:type="dxa"/>
            <w:vAlign w:val="bottom"/>
            <w:gridSpan w:val="2"/>
          </w:tcPr>
          <w:p>
            <w:pPr>
              <w:ind w:left="1040"/>
              <w:spacing w:after="0"/>
              <w:rPr>
                <w:sz w:val="20"/>
                <w:szCs w:val="20"/>
                <w:color w:val="auto"/>
              </w:rPr>
            </w:pPr>
            <w:r>
              <w:rPr>
                <w:rFonts w:ascii="Courier New" w:cs="Courier New" w:eastAsia="Courier New" w:hAnsi="Courier New"/>
                <w:sz w:val="15"/>
                <w:szCs w:val="15"/>
                <w:color w:val="auto"/>
              </w:rPr>
              <w:t>Schedule II (Cont'd)</w:t>
            </w:r>
          </w:p>
        </w:tc>
        <w:tc>
          <w:tcPr>
            <w:tcW w:w="0" w:type="dxa"/>
            <w:vAlign w:val="bottom"/>
          </w:tcPr>
          <w:p>
            <w:pPr>
              <w:spacing w:after="0"/>
              <w:rPr>
                <w:sz w:val="1"/>
                <w:szCs w:val="1"/>
                <w:color w:val="auto"/>
              </w:rPr>
            </w:pPr>
          </w:p>
        </w:tc>
      </w:tr>
      <w:tr>
        <w:trPr>
          <w:trHeight w:val="175"/>
        </w:trPr>
        <w:tc>
          <w:tcPr>
            <w:tcW w:w="4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ALLOCATION OF NET ASSETS TO INVESTMENT</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FUNDS</w:t>
            </w:r>
          </w:p>
        </w:tc>
        <w:tc>
          <w:tcPr>
            <w:tcW w:w="1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3120" w:type="dxa"/>
            <w:vAlign w:val="bottom"/>
            <w:gridSpan w:val="2"/>
          </w:tcPr>
          <w:p>
            <w:pPr>
              <w:jc w:val="right"/>
              <w:ind w:right="684"/>
              <w:spacing w:after="0"/>
              <w:rPr>
                <w:sz w:val="20"/>
                <w:szCs w:val="20"/>
                <w:color w:val="auto"/>
              </w:rPr>
            </w:pPr>
            <w:r>
              <w:rPr>
                <w:rFonts w:ascii="Courier New" w:cs="Courier New" w:eastAsia="Courier New" w:hAnsi="Courier New"/>
                <w:sz w:val="15"/>
                <w:szCs w:val="15"/>
                <w:color w:val="auto"/>
              </w:rPr>
              <w:t>December 30, 1994</w:t>
            </w:r>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312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00" w:type="dxa"/>
            <w:vAlign w:val="bottom"/>
            <w:vMerge w:val="restart"/>
          </w:tcPr>
          <w:p>
            <w:pPr>
              <w:jc w:val="center"/>
              <w:ind w:right="204"/>
              <w:spacing w:after="0"/>
              <w:rPr>
                <w:sz w:val="20"/>
                <w:szCs w:val="20"/>
                <w:color w:val="auto"/>
              </w:rPr>
            </w:pPr>
            <w:r>
              <w:rPr>
                <w:rFonts w:ascii="Courier New" w:cs="Courier New" w:eastAsia="Courier New" w:hAnsi="Courier New"/>
                <w:sz w:val="15"/>
                <w:szCs w:val="15"/>
                <w:color w:val="auto"/>
                <w:w w:val="99"/>
              </w:rPr>
              <w:t>Loan</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Subtotal</w:t>
            </w:r>
          </w:p>
        </w:tc>
        <w:tc>
          <w:tcPr>
            <w:tcW w:w="1680" w:type="dxa"/>
            <w:vAlign w:val="bottom"/>
            <w:vMerge w:val="restart"/>
          </w:tcPr>
          <w:p>
            <w:pPr>
              <w:jc w:val="right"/>
              <w:ind w:right="684"/>
              <w:spacing w:after="0"/>
              <w:rPr>
                <w:sz w:val="20"/>
                <w:szCs w:val="20"/>
                <w:color w:val="auto"/>
              </w:rPr>
            </w:pPr>
            <w:r>
              <w:rPr>
                <w:rFonts w:ascii="Courier New" w:cs="Courier New" w:eastAsia="Courier New" w:hAnsi="Courier New"/>
                <w:sz w:val="15"/>
                <w:szCs w:val="15"/>
                <w:color w:val="auto"/>
              </w:rPr>
              <w:t>Kodak</w:t>
            </w:r>
          </w:p>
        </w:tc>
        <w:tc>
          <w:tcPr>
            <w:tcW w:w="12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Eastman</w:t>
            </w:r>
          </w:p>
        </w:tc>
        <w:tc>
          <w:tcPr>
            <w:tcW w:w="19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Fidelity Managed</w:t>
            </w:r>
          </w:p>
        </w:tc>
        <w:tc>
          <w:tcPr>
            <w:tcW w:w="1000" w:type="dxa"/>
            <w:vAlign w:val="bottom"/>
            <w:vMerge w:val="restart"/>
          </w:tcPr>
          <w:p>
            <w:pPr>
              <w:jc w:val="center"/>
              <w:ind w:left="204"/>
              <w:spacing w:after="0"/>
              <w:rPr>
                <w:sz w:val="20"/>
                <w:szCs w:val="20"/>
                <w:color w:val="auto"/>
              </w:rPr>
            </w:pPr>
            <w:r>
              <w:rPr>
                <w:rFonts w:ascii="Courier New" w:cs="Courier New" w:eastAsia="Courier New" w:hAnsi="Courier New"/>
                <w:sz w:val="15"/>
                <w:szCs w:val="15"/>
                <w:color w:val="auto"/>
                <w:w w:val="99"/>
              </w:rPr>
              <w:t>Fidelity</w:t>
            </w:r>
          </w:p>
        </w:tc>
        <w:tc>
          <w:tcPr>
            <w:tcW w:w="0" w:type="dxa"/>
            <w:vAlign w:val="bottom"/>
          </w:tcPr>
          <w:p>
            <w:pPr>
              <w:spacing w:after="0"/>
              <w:rPr>
                <w:sz w:val="1"/>
                <w:szCs w:val="1"/>
                <w:color w:val="auto"/>
              </w:rPr>
            </w:pPr>
          </w:p>
        </w:tc>
      </w:tr>
      <w:tr>
        <w:trPr>
          <w:trHeight w:val="175"/>
        </w:trPr>
        <w:tc>
          <w:tcPr>
            <w:tcW w:w="1000" w:type="dxa"/>
            <w:vAlign w:val="bottom"/>
            <w:vMerge w:val="continue"/>
          </w:tcPr>
          <w:p>
            <w:pPr>
              <w:spacing w:after="0"/>
              <w:rPr>
                <w:sz w:val="15"/>
                <w:szCs w:val="15"/>
                <w:color w:val="auto"/>
              </w:rPr>
            </w:pP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Boston</w:t>
            </w:r>
          </w:p>
        </w:tc>
        <w:tc>
          <w:tcPr>
            <w:tcW w:w="16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Fund</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rPr>
              <w:t>Safe Funds</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 Fund</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Stock Fund</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Income Portfolio</w:t>
            </w:r>
          </w:p>
        </w:tc>
        <w:tc>
          <w:tcPr>
            <w:tcW w:w="10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Fund</w:t>
            </w:r>
          </w:p>
        </w:tc>
        <w:tc>
          <w:tcPr>
            <w:tcW w:w="0" w:type="dxa"/>
            <w:vAlign w:val="bottom"/>
          </w:tcPr>
          <w:p>
            <w:pPr>
              <w:spacing w:after="0"/>
              <w:rPr>
                <w:sz w:val="1"/>
                <w:szCs w:val="1"/>
                <w:color w:val="auto"/>
              </w:rPr>
            </w:pPr>
          </w:p>
        </w:tc>
      </w:tr>
      <w:tr>
        <w:trPr>
          <w:trHeight w:val="256"/>
        </w:trPr>
        <w:tc>
          <w:tcPr>
            <w:tcW w:w="100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ectPr>
          <w:pgSz w:w="11900" w:h="16838" w:orient="portrait"/>
          <w:cols w:equalWidth="0" w:num="1">
            <w:col w:w="11360"/>
          </w:cols>
          <w:pgMar w:left="320" w:top="265" w:right="2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320" w:type="dxa"/>
            <w:vAlign w:val="bottom"/>
            <w:gridSpan w:val="7"/>
          </w:tcPr>
          <w:p>
            <w:pPr>
              <w:jc w:val="center"/>
              <w:ind w:right="14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500" w:type="dxa"/>
            <w:vAlign w:val="bottom"/>
          </w:tcPr>
          <w:p>
            <w:pPr>
              <w:spacing w:after="0"/>
              <w:rPr>
                <w:sz w:val="23"/>
                <w:szCs w:val="23"/>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Schedule II (Cont'd)</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20" w:type="dxa"/>
            <w:vAlign w:val="bottom"/>
            <w:gridSpan w:val="7"/>
          </w:tcPr>
          <w:p>
            <w:pPr>
              <w:jc w:val="center"/>
              <w:ind w:right="144"/>
              <w:spacing w:after="0"/>
              <w:rPr>
                <w:sz w:val="20"/>
                <w:szCs w:val="20"/>
                <w:color w:val="auto"/>
              </w:rPr>
            </w:pPr>
            <w:r>
              <w:rPr>
                <w:rFonts w:ascii="Courier New" w:cs="Courier New" w:eastAsia="Courier New" w:hAnsi="Courier New"/>
                <w:sz w:val="15"/>
                <w:szCs w:val="15"/>
                <w:color w:val="auto"/>
              </w:rPr>
              <w:t>ALLOCATION OF NET ASSETS TO INVESTMENT FUNDS</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6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December 30, 1994</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60" w:type="dxa"/>
            <w:vAlign w:val="bottom"/>
            <w:gridSpan w:val="3"/>
          </w:tcPr>
          <w:p>
            <w:pPr>
              <w:jc w:val="center"/>
              <w:ind w:right="104"/>
              <w:spacing w:after="0"/>
              <w:rPr>
                <w:sz w:val="20"/>
                <w:szCs w:val="20"/>
                <w:color w:val="auto"/>
              </w:rPr>
            </w:pPr>
            <w:r>
              <w:rPr>
                <w:rFonts w:ascii="Courier New" w:cs="Courier New" w:eastAsia="Courier New" w:hAnsi="Courier New"/>
                <w:sz w:val="15"/>
                <w:szCs w:val="15"/>
                <w:color w:val="auto"/>
                <w:w w:val="99"/>
              </w:rPr>
              <w:t>(in thousands)</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Fidelity</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Fidelity</w:t>
            </w:r>
          </w:p>
        </w:tc>
        <w:tc>
          <w:tcPr>
            <w:tcW w:w="1600" w:type="dxa"/>
            <w:vAlign w:val="bottom"/>
            <w:gridSpan w:val="2"/>
            <w:vMerge w:val="restart"/>
          </w:tcPr>
          <w:p>
            <w:pPr>
              <w:ind w:left="420"/>
              <w:spacing w:after="0"/>
              <w:rPr>
                <w:sz w:val="20"/>
                <w:szCs w:val="20"/>
                <w:color w:val="auto"/>
              </w:rPr>
            </w:pPr>
            <w:r>
              <w:rPr>
                <w:rFonts w:ascii="Courier New" w:cs="Courier New" w:eastAsia="Courier New" w:hAnsi="Courier New"/>
                <w:sz w:val="15"/>
                <w:szCs w:val="15"/>
                <w:color w:val="auto"/>
              </w:rPr>
              <w:t>Fidelity</w:t>
            </w:r>
          </w:p>
        </w:tc>
        <w:tc>
          <w:tcPr>
            <w:tcW w:w="540" w:type="dxa"/>
            <w:vAlign w:val="bottom"/>
          </w:tcPr>
          <w:p>
            <w:pPr>
              <w:spacing w:after="0"/>
              <w:rPr>
                <w:sz w:val="23"/>
                <w:szCs w:val="23"/>
                <w:color w:val="auto"/>
              </w:rPr>
            </w:pPr>
          </w:p>
        </w:tc>
        <w:tc>
          <w:tcPr>
            <w:tcW w:w="860" w:type="dxa"/>
            <w:vAlign w:val="bottom"/>
            <w:vMerge w:val="restart"/>
          </w:tcPr>
          <w:p>
            <w:pPr>
              <w:jc w:val="center"/>
              <w:ind w:right="424"/>
              <w:spacing w:after="0"/>
              <w:rPr>
                <w:sz w:val="20"/>
                <w:szCs w:val="20"/>
                <w:color w:val="auto"/>
              </w:rPr>
            </w:pPr>
            <w:r>
              <w:rPr>
                <w:rFonts w:ascii="Courier New" w:cs="Courier New" w:eastAsia="Courier New" w:hAnsi="Courier New"/>
                <w:sz w:val="15"/>
                <w:szCs w:val="15"/>
                <w:color w:val="auto"/>
                <w:w w:val="99"/>
              </w:rPr>
              <w:t>Loan</w:t>
            </w: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Subtotal</w:t>
            </w:r>
          </w:p>
        </w:tc>
        <w:tc>
          <w:tcPr>
            <w:tcW w:w="1260" w:type="dxa"/>
            <w:vAlign w:val="bottom"/>
            <w:vMerge w:val="restart"/>
          </w:tcPr>
          <w:p>
            <w:pPr>
              <w:jc w:val="center"/>
              <w:ind w:left="20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Puritan</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Magellan</w:t>
            </w:r>
          </w:p>
        </w:tc>
        <w:tc>
          <w:tcPr>
            <w:tcW w:w="1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Fidelity</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Fund</w:t>
            </w:r>
          </w:p>
        </w:tc>
        <w:tc>
          <w:tcPr>
            <w:tcW w:w="400" w:type="dxa"/>
            <w:vAlign w:val="bottom"/>
          </w:tcPr>
          <w:p>
            <w:pPr>
              <w:spacing w:after="0"/>
              <w:rPr>
                <w:sz w:val="15"/>
                <w:szCs w:val="15"/>
                <w:color w:val="auto"/>
              </w:rPr>
            </w:pPr>
          </w:p>
        </w:tc>
        <w:tc>
          <w:tcPr>
            <w:tcW w:w="960" w:type="dxa"/>
            <w:vAlign w:val="bottom"/>
          </w:tcPr>
          <w:p>
            <w:pPr>
              <w:jc w:val="center"/>
              <w:ind w:right="324"/>
              <w:spacing w:after="0"/>
              <w:rPr>
                <w:sz w:val="20"/>
                <w:szCs w:val="20"/>
                <w:color w:val="auto"/>
              </w:rPr>
            </w:pPr>
            <w:r>
              <w:rPr>
                <w:rFonts w:ascii="Courier New" w:cs="Courier New" w:eastAsia="Courier New" w:hAnsi="Courier New"/>
                <w:sz w:val="15"/>
                <w:szCs w:val="15"/>
                <w:color w:val="auto"/>
                <w:w w:val="99"/>
              </w:rPr>
              <w:t>Fund</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Contrafund</w:t>
            </w:r>
          </w:p>
        </w:tc>
        <w:tc>
          <w:tcPr>
            <w:tcW w:w="540" w:type="dxa"/>
            <w:vAlign w:val="bottom"/>
          </w:tcPr>
          <w:p>
            <w:pPr>
              <w:spacing w:after="0"/>
              <w:rPr>
                <w:sz w:val="15"/>
                <w:szCs w:val="15"/>
                <w:color w:val="auto"/>
              </w:rPr>
            </w:pPr>
          </w:p>
        </w:tc>
        <w:tc>
          <w:tcPr>
            <w:tcW w:w="860" w:type="dxa"/>
            <w:vAlign w:val="bottom"/>
          </w:tcPr>
          <w:p>
            <w:pPr>
              <w:jc w:val="center"/>
              <w:ind w:right="424"/>
              <w:spacing w:after="0"/>
              <w:rPr>
                <w:sz w:val="20"/>
                <w:szCs w:val="20"/>
                <w:color w:val="auto"/>
              </w:rPr>
            </w:pPr>
            <w:r>
              <w:rPr>
                <w:rFonts w:ascii="Courier New" w:cs="Courier New" w:eastAsia="Courier New" w:hAnsi="Courier New"/>
                <w:sz w:val="15"/>
                <w:szCs w:val="15"/>
                <w:color w:val="auto"/>
                <w:w w:val="99"/>
              </w:rPr>
              <w:t>Fund</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ALL FUNDS</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Kodak Company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$ 19,289</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402,780</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Eastman Chemical Company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24,319</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24,319</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Other common stocks</w:t>
            </w:r>
          </w:p>
        </w:tc>
        <w:tc>
          <w:tcPr>
            <w:tcW w:w="11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$16,968</w:t>
            </w:r>
          </w:p>
        </w:tc>
        <w:tc>
          <w:tcPr>
            <w:tcW w:w="136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$34,493</w:t>
            </w:r>
          </w:p>
        </w:tc>
        <w:tc>
          <w:tcPr>
            <w:tcW w:w="1600" w:type="dxa"/>
            <w:vAlign w:val="bottom"/>
            <w:gridSpan w:val="2"/>
            <w:vMerge w:val="restart"/>
          </w:tcPr>
          <w:p>
            <w:pPr>
              <w:jc w:val="right"/>
              <w:ind w:right="484"/>
              <w:spacing w:after="0"/>
              <w:rPr>
                <w:sz w:val="20"/>
                <w:szCs w:val="20"/>
                <w:color w:val="auto"/>
              </w:rPr>
            </w:pPr>
            <w:r>
              <w:rPr>
                <w:rFonts w:ascii="Courier New" w:cs="Courier New" w:eastAsia="Courier New" w:hAnsi="Courier New"/>
                <w:sz w:val="15"/>
                <w:szCs w:val="15"/>
                <w:color w:val="auto"/>
              </w:rPr>
              <w:t>$14,123</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74,261</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126,020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Mutual funds</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366,552</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Interest in common/collective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93,546</w:t>
            </w:r>
          </w:p>
        </w:tc>
        <w:tc>
          <w:tcPr>
            <w:tcW w:w="0" w:type="dxa"/>
            <w:vAlign w:val="bottom"/>
          </w:tcPr>
          <w:p>
            <w:pPr>
              <w:spacing w:after="0"/>
              <w:rPr>
                <w:sz w:val="1"/>
                <w:szCs w:val="1"/>
                <w:color w:val="auto"/>
              </w:rPr>
            </w:pPr>
          </w:p>
        </w:tc>
      </w:tr>
      <w:tr>
        <w:trPr>
          <w:trHeight w:val="175"/>
        </w:trPr>
        <w:tc>
          <w:tcPr>
            <w:tcW w:w="3040" w:type="dxa"/>
            <w:vAlign w:val="bottom"/>
          </w:tcPr>
          <w:p>
            <w:pPr>
              <w:ind w:left="360"/>
              <w:spacing w:after="0"/>
              <w:rPr>
                <w:sz w:val="20"/>
                <w:szCs w:val="20"/>
                <w:color w:val="auto"/>
              </w:rPr>
            </w:pPr>
            <w:r>
              <w:rPr>
                <w:rFonts w:ascii="Courier New" w:cs="Courier New" w:eastAsia="Courier New" w:hAnsi="Courier New"/>
                <w:sz w:val="15"/>
                <w:szCs w:val="15"/>
                <w:color w:val="auto"/>
              </w:rPr>
              <w:t>trusts (pooled) funds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7,953</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Short-term interest funds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7,956</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Corporate debt instruments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Investments at Contract Value: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8"/>
              </w:rPr>
              <w:t>272,443</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3,021,859</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Group annuity contracts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$6,216</w:t>
            </w: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6,216</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50,921</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3,548</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622</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Dividends/Interest receivable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3,893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Receivables for securities sold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1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16,968</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34,493</w:t>
            </w:r>
          </w:p>
        </w:tc>
        <w:tc>
          <w:tcPr>
            <w:tcW w:w="5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14,123</w:t>
            </w:r>
          </w:p>
        </w:tc>
        <w:tc>
          <w:tcPr>
            <w:tcW w:w="5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6,216</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405,335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4,102,570</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Pending loans to participants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11,906</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participants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payable to</w:t>
            </w:r>
          </w:p>
        </w:tc>
        <w:tc>
          <w:tcPr>
            <w:tcW w:w="22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9"/>
              </w:rPr>
              <w:t>16,968</w:t>
            </w:r>
          </w:p>
        </w:tc>
        <w:tc>
          <w:tcPr>
            <w:tcW w:w="40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9"/>
              </w:rPr>
              <w:t>34,493</w:t>
            </w:r>
          </w:p>
        </w:tc>
        <w:tc>
          <w:tcPr>
            <w:tcW w:w="500" w:type="dxa"/>
            <w:vAlign w:val="bottom"/>
          </w:tcPr>
          <w:p>
            <w:pPr>
              <w:spacing w:after="0"/>
              <w:rPr>
                <w:sz w:val="15"/>
                <w:szCs w:val="15"/>
                <w:color w:val="auto"/>
              </w:rPr>
            </w:pPr>
          </w:p>
        </w:tc>
        <w:tc>
          <w:tcPr>
            <w:tcW w:w="110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6"/>
              </w:rPr>
              <w:t>14,123</w:t>
            </w:r>
          </w:p>
        </w:tc>
        <w:tc>
          <w:tcPr>
            <w:tcW w:w="540" w:type="dxa"/>
            <w:vAlign w:val="bottom"/>
          </w:tcPr>
          <w:p>
            <w:pPr>
              <w:spacing w:after="0"/>
              <w:rPr>
                <w:sz w:val="15"/>
                <w:szCs w:val="15"/>
                <w:color w:val="auto"/>
              </w:rPr>
            </w:pPr>
          </w:p>
        </w:tc>
        <w:tc>
          <w:tcPr>
            <w:tcW w:w="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7"/>
              </w:rPr>
              <w:t>6,216</w:t>
            </w: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8"/>
              </w:rPr>
              <w:t>405,251</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459,973</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successor plans</w:t>
            </w: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Payable for securities purchased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696</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1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liabilities/transfers</w:t>
            </w:r>
          </w:p>
        </w:tc>
        <w:tc>
          <w:tcPr>
            <w:tcW w:w="11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16,968</w:t>
            </w:r>
          </w:p>
        </w:tc>
        <w:tc>
          <w:tcPr>
            <w:tcW w:w="40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34,493</w:t>
            </w:r>
          </w:p>
        </w:tc>
        <w:tc>
          <w:tcPr>
            <w:tcW w:w="5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14,123</w:t>
            </w:r>
          </w:p>
        </w:tc>
        <w:tc>
          <w:tcPr>
            <w:tcW w:w="5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6,216</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405,335</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474,448</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assets</w:t>
            </w:r>
          </w:p>
        </w:tc>
        <w:tc>
          <w:tcPr>
            <w:tcW w:w="11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$3,628,122</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1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10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55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500" w:type="dxa"/>
            <w:vAlign w:val="bottom"/>
          </w:tcPr>
          <w:p>
            <w:pPr>
              <w:spacing w:after="0"/>
              <w:rPr>
                <w:sz w:val="23"/>
                <w:szCs w:val="23"/>
                <w:color w:val="auto"/>
              </w:rPr>
            </w:pPr>
          </w:p>
        </w:tc>
        <w:tc>
          <w:tcPr>
            <w:tcW w:w="23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Schedule III</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554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ALLOCATION OF CHANGES IN NET ASSETS TO INVESTMENT FUNDS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60" w:type="dxa"/>
            <w:vAlign w:val="bottom"/>
            <w:gridSpan w:val="3"/>
          </w:tcPr>
          <w:p>
            <w:pPr>
              <w:jc w:val="center"/>
              <w:ind w:right="1004"/>
              <w:spacing w:after="0"/>
              <w:rPr>
                <w:sz w:val="20"/>
                <w:szCs w:val="20"/>
                <w:color w:val="auto"/>
              </w:rPr>
            </w:pPr>
            <w:r>
              <w:rPr>
                <w:rFonts w:ascii="Courier New" w:cs="Courier New" w:eastAsia="Courier New" w:hAnsi="Courier New"/>
                <w:sz w:val="15"/>
                <w:szCs w:val="15"/>
                <w:color w:val="auto"/>
              </w:rPr>
              <w:t>For the year ended December 30, 1995</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0" w:type="dxa"/>
            <w:vAlign w:val="bottom"/>
            <w:gridSpan w:val="2"/>
          </w:tcPr>
          <w:p>
            <w:pPr>
              <w:jc w:val="center"/>
              <w:ind w:left="304"/>
              <w:spacing w:after="0"/>
              <w:rPr>
                <w:sz w:val="20"/>
                <w:szCs w:val="20"/>
                <w:color w:val="auto"/>
              </w:rPr>
            </w:pPr>
            <w:r>
              <w:rPr>
                <w:rFonts w:ascii="Courier New" w:cs="Courier New" w:eastAsia="Courier New" w:hAnsi="Courier New"/>
                <w:sz w:val="15"/>
                <w:szCs w:val="15"/>
                <w:color w:val="auto"/>
                <w:w w:val="99"/>
              </w:rPr>
              <w:t>(in thousands)</w:t>
            </w: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0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Kodak</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Smaller</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Fixed</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Balanced</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Large Stock</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Stock Fund</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Income Fund</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Mutual Fund</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Index Fund</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Stock 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0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$ 12,127</w:t>
            </w: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080" w:type="dxa"/>
            <w:vAlign w:val="bottom"/>
            <w:vMerge w:val="continue"/>
          </w:tcPr>
          <w:p>
            <w:pPr>
              <w:spacing w:after="0"/>
              <w:rPr>
                <w:sz w:val="15"/>
                <w:szCs w:val="15"/>
                <w:color w:val="auto"/>
              </w:rPr>
            </w:pP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5,908</w:t>
            </w: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$ 2,168</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563</w:t>
            </w:r>
          </w:p>
        </w:tc>
        <w:tc>
          <w:tcPr>
            <w:tcW w:w="1560" w:type="dxa"/>
            <w:vAlign w:val="bottom"/>
            <w:vMerge w:val="continue"/>
          </w:tcPr>
          <w:p>
            <w:pPr>
              <w:spacing w:after="0"/>
              <w:rPr>
                <w:sz w:val="15"/>
                <w:szCs w:val="15"/>
                <w:color w:val="auto"/>
              </w:rPr>
            </w:pP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246,209</w:t>
            </w:r>
          </w:p>
        </w:tc>
        <w:tc>
          <w:tcPr>
            <w:tcW w:w="1460" w:type="dxa"/>
            <w:vAlign w:val="bottom"/>
            <w:vMerge w:val="continue"/>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51</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80" w:type="dxa"/>
            <w:vAlign w:val="bottom"/>
            <w:vMerge w:val="continue"/>
          </w:tcPr>
          <w:p>
            <w:pPr>
              <w:spacing w:after="0"/>
              <w:rPr>
                <w:sz w:val="15"/>
                <w:szCs w:val="15"/>
                <w:color w:val="auto"/>
              </w:rPr>
            </w:pP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823</w:t>
            </w:r>
          </w:p>
        </w:tc>
        <w:tc>
          <w:tcPr>
            <w:tcW w:w="1440" w:type="dxa"/>
            <w:vAlign w:val="bottom"/>
            <w:vMerge w:val="continue"/>
          </w:tcPr>
          <w:p>
            <w:pPr>
              <w:spacing w:after="0"/>
              <w:rPr>
                <w:sz w:val="15"/>
                <w:szCs w:val="15"/>
                <w:color w:val="auto"/>
              </w:rPr>
            </w:pP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72</w:t>
            </w:r>
          </w:p>
        </w:tc>
        <w:tc>
          <w:tcPr>
            <w:tcW w:w="5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54</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619</w:t>
            </w: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spacing w:after="0"/>
              <w:rPr>
                <w:sz w:val="15"/>
                <w:szCs w:val="15"/>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Miscellaneous income</w:t>
            </w:r>
          </w:p>
        </w:tc>
        <w:tc>
          <w:tcPr>
            <w:tcW w:w="1080" w:type="dxa"/>
            <w:vAlign w:val="bottom"/>
          </w:tcPr>
          <w:p>
            <w:pPr>
              <w:spacing w:after="0"/>
              <w:rPr>
                <w:sz w:val="22"/>
                <w:szCs w:val="22"/>
                <w:color w:val="auto"/>
              </w:rPr>
            </w:pP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10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144,690</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87,661</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11,474</w:t>
            </w:r>
          </w:p>
        </w:tc>
        <w:tc>
          <w:tcPr>
            <w:tcW w:w="50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6"/>
              </w:rPr>
              <w:t>13,288</w:t>
            </w:r>
          </w:p>
        </w:tc>
        <w:tc>
          <w:tcPr>
            <w:tcW w:w="580" w:type="dxa"/>
            <w:vAlign w:val="bottom"/>
          </w:tcPr>
          <w:p>
            <w:pPr>
              <w:spacing w:after="0"/>
              <w:rPr>
                <w:sz w:val="15"/>
                <w:szCs w:val="15"/>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4,423</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08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11,255</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26,697</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96,413</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6,769</w:t>
            </w:r>
          </w:p>
        </w:tc>
        <w:tc>
          <w:tcPr>
            <w:tcW w:w="500" w:type="dxa"/>
            <w:vAlign w:val="bottom"/>
          </w:tcPr>
          <w:p>
            <w:pPr>
              <w:spacing w:after="0"/>
              <w:rPr>
                <w:sz w:val="23"/>
                <w:szCs w:val="23"/>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4,704</w:t>
            </w:r>
          </w:p>
        </w:tc>
        <w:tc>
          <w:tcPr>
            <w:tcW w:w="580" w:type="dxa"/>
            <w:vAlign w:val="bottom"/>
          </w:tcPr>
          <w:p>
            <w:pPr>
              <w:spacing w:after="0"/>
              <w:rPr>
                <w:sz w:val="23"/>
                <w:szCs w:val="23"/>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4,695</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(31,011)</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(17,688)</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7,316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5,556</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30,815</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5,012</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137,678</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104,024</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349,942</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26,040</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48,864</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14,176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DEDUCTIONS FROM NET ASSETS: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(16,636)</w:t>
            </w:r>
          </w:p>
        </w:tc>
        <w:tc>
          <w:tcPr>
            <w:tcW w:w="15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(13,377)</w:t>
            </w:r>
          </w:p>
        </w:tc>
        <w:tc>
          <w:tcPr>
            <w:tcW w:w="14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(114,932)</w:t>
            </w:r>
          </w:p>
        </w:tc>
        <w:tc>
          <w:tcPr>
            <w:tcW w:w="14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(1,744)</w:t>
            </w:r>
          </w:p>
        </w:tc>
        <w:tc>
          <w:tcPr>
            <w:tcW w:w="500" w:type="dxa"/>
            <w:vAlign w:val="bottom"/>
          </w:tcPr>
          <w:p>
            <w:pPr>
              <w:spacing w:after="0"/>
              <w:rPr>
                <w:sz w:val="8"/>
                <w:szCs w:val="8"/>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(703)</w:t>
            </w:r>
          </w:p>
        </w:tc>
        <w:tc>
          <w:tcPr>
            <w:tcW w:w="580" w:type="dxa"/>
            <w:vAlign w:val="bottom"/>
          </w:tcPr>
          <w:p>
            <w:pPr>
              <w:spacing w:after="0"/>
              <w:rPr>
                <w:sz w:val="8"/>
                <w:szCs w:val="8"/>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(1,089)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(1,655)</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(1,878)</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(1,785)</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(845)</w:t>
            </w:r>
          </w:p>
        </w:tc>
        <w:tc>
          <w:tcPr>
            <w:tcW w:w="5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(947)</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transfers, net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(7,488)</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(7,001)</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(7,540)</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w:t>
            </w:r>
          </w:p>
        </w:tc>
        <w:tc>
          <w:tcPr>
            <w:tcW w:w="5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(2,059)</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(3,396)</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5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(503)</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26,141</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24,315</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127,653</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2,859</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1,891</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1,770</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111,537</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79,709</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222,289</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23,181</w:t>
            </w:r>
          </w:p>
        </w:tc>
        <w:tc>
          <w:tcPr>
            <w:tcW w:w="500" w:type="dxa"/>
            <w:vAlign w:val="bottom"/>
          </w:tcPr>
          <w:p>
            <w:pPr>
              <w:spacing w:after="0"/>
              <w:rPr>
                <w:sz w:val="8"/>
                <w:szCs w:val="8"/>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6"/>
              </w:rPr>
              <w:t>46,973</w:t>
            </w:r>
          </w:p>
        </w:tc>
        <w:tc>
          <w:tcPr>
            <w:tcW w:w="580" w:type="dxa"/>
            <w:vAlign w:val="bottom"/>
          </w:tcPr>
          <w:p>
            <w:pPr>
              <w:spacing w:after="0"/>
              <w:rPr>
                <w:sz w:val="8"/>
                <w:szCs w:val="8"/>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9"/>
              </w:rPr>
              <w:t>12,406</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383,006</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375,272</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2,713,897</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57,227</w:t>
            </w:r>
          </w:p>
        </w:tc>
        <w:tc>
          <w:tcPr>
            <w:tcW w:w="50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6"/>
              </w:rPr>
              <w:t>25,380</w:t>
            </w:r>
          </w:p>
        </w:tc>
        <w:tc>
          <w:tcPr>
            <w:tcW w:w="580" w:type="dxa"/>
            <w:vAlign w:val="bottom"/>
          </w:tcPr>
          <w:p>
            <w:pPr>
              <w:spacing w:after="0"/>
              <w:rPr>
                <w:sz w:val="15"/>
                <w:szCs w:val="15"/>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9"/>
              </w:rPr>
              <w:t>45,240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at end of year</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$494,543</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$454,981</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$2,936,186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$80,408</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$72,353</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$57,646</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40" w:type="dxa"/>
            <w:vAlign w:val="bottom"/>
            <w:gridSpan w:val="6"/>
          </w:tcPr>
          <w:p>
            <w:pPr>
              <w:jc w:val="center"/>
              <w:ind w:right="6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760" w:type="dxa"/>
            <w:vAlign w:val="bottom"/>
          </w:tcPr>
          <w:p>
            <w:pPr>
              <w:spacing w:after="0"/>
              <w:rPr>
                <w:sz w:val="23"/>
                <w:szCs w:val="23"/>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Schedule III (Cont'd)</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40" w:type="dxa"/>
            <w:vAlign w:val="bottom"/>
            <w:gridSpan w:val="6"/>
          </w:tcPr>
          <w:p>
            <w:pPr>
              <w:jc w:val="right"/>
              <w:ind w:right="164"/>
              <w:spacing w:after="0"/>
              <w:rPr>
                <w:sz w:val="20"/>
                <w:szCs w:val="20"/>
                <w:color w:val="auto"/>
              </w:rPr>
            </w:pPr>
            <w:r>
              <w:rPr>
                <w:rFonts w:ascii="Courier New" w:cs="Courier New" w:eastAsia="Courier New" w:hAnsi="Courier New"/>
                <w:sz w:val="15"/>
                <w:szCs w:val="15"/>
                <w:color w:val="auto"/>
              </w:rPr>
              <w:t>ALLOCATION OF CHANGES IN NET ASSETS TO INVESTMENT FUNDS</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0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For the year ended December 30, 1995</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40" w:type="dxa"/>
            <w:vAlign w:val="bottom"/>
            <w:gridSpan w:val="3"/>
          </w:tcPr>
          <w:p>
            <w:pPr>
              <w:jc w:val="center"/>
              <w:ind w:left="424"/>
              <w:spacing w:after="0"/>
              <w:rPr>
                <w:sz w:val="20"/>
                <w:szCs w:val="20"/>
                <w:color w:val="auto"/>
              </w:rPr>
            </w:pPr>
            <w:r>
              <w:rPr>
                <w:rFonts w:ascii="Courier New" w:cs="Courier New" w:eastAsia="Courier New" w:hAnsi="Courier New"/>
                <w:sz w:val="15"/>
                <w:szCs w:val="15"/>
                <w:color w:val="auto"/>
                <w:w w:val="99"/>
              </w:rPr>
              <w:t>(in thousands)</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Loan</w:t>
            </w: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Subtotal</w:t>
            </w:r>
          </w:p>
        </w:tc>
        <w:tc>
          <w:tcPr>
            <w:tcW w:w="400" w:type="dxa"/>
            <w:vAlign w:val="bottom"/>
          </w:tcPr>
          <w:p>
            <w:pPr>
              <w:spacing w:after="0"/>
              <w:rPr>
                <w:sz w:val="23"/>
                <w:szCs w:val="23"/>
                <w:color w:val="auto"/>
              </w:rPr>
            </w:pPr>
          </w:p>
        </w:tc>
        <w:tc>
          <w:tcPr>
            <w:tcW w:w="10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7"/>
              </w:rPr>
              <w:t>Kodak</w:t>
            </w:r>
          </w:p>
        </w:tc>
        <w:tc>
          <w:tcPr>
            <w:tcW w:w="142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Eastman</w:t>
            </w:r>
          </w:p>
        </w:tc>
        <w:tc>
          <w:tcPr>
            <w:tcW w:w="194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rPr>
              <w:t>Fidelity Managed</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Fidelity</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Boston</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Fund</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Safe Funds</w:t>
            </w:r>
          </w:p>
        </w:tc>
        <w:tc>
          <w:tcPr>
            <w:tcW w:w="14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Stock Fund</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Income Portfolio</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12,127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286</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Chemical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499</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8,076</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810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27</w:t>
            </w:r>
          </w:p>
        </w:tc>
        <w:tc>
          <w:tcPr>
            <w:tcW w:w="1940" w:type="dxa"/>
            <w:vAlign w:val="bottom"/>
            <w:gridSpan w:val="2"/>
            <w:vMerge w:val="restart"/>
          </w:tcPr>
          <w:p>
            <w:pPr>
              <w:jc w:val="right"/>
              <w:ind w:right="564"/>
              <w:spacing w:after="0"/>
              <w:rPr>
                <w:sz w:val="20"/>
                <w:szCs w:val="20"/>
                <w:color w:val="auto"/>
              </w:rPr>
            </w:pPr>
            <w:r>
              <w:rPr>
                <w:rFonts w:ascii="Courier New" w:cs="Courier New" w:eastAsia="Courier New" w:hAnsi="Courier New"/>
                <w:sz w:val="15"/>
                <w:szCs w:val="15"/>
                <w:color w:val="auto"/>
              </w:rPr>
              <w:t>$24,697</w:t>
            </w: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247,760</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684</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Miscellaneous income</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261,540</w:t>
            </w:r>
          </w:p>
        </w:tc>
        <w:tc>
          <w:tcPr>
            <w:tcW w:w="4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7,232</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6,655</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7"/>
              </w:rPr>
              <w:t>1,797</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150,533</w:t>
            </w:r>
          </w:p>
        </w:tc>
        <w:tc>
          <w:tcPr>
            <w:tcW w:w="400" w:type="dxa"/>
            <w:vAlign w:val="bottom"/>
          </w:tcPr>
          <w:p>
            <w:pPr>
              <w:spacing w:after="0"/>
              <w:rPr>
                <w:sz w:val="23"/>
                <w:szCs w:val="23"/>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(5,541)</w:t>
            </w:r>
          </w:p>
        </w:tc>
        <w:tc>
          <w:tcPr>
            <w:tcW w:w="460" w:type="dxa"/>
            <w:vAlign w:val="bottom"/>
          </w:tcPr>
          <w:p>
            <w:pPr>
              <w:spacing w:after="0"/>
              <w:rPr>
                <w:sz w:val="23"/>
                <w:szCs w:val="23"/>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8,962</w:t>
            </w:r>
          </w:p>
        </w:tc>
        <w:tc>
          <w:tcPr>
            <w:tcW w:w="760" w:type="dxa"/>
            <w:vAlign w:val="bottom"/>
          </w:tcPr>
          <w:p>
            <w:pPr>
              <w:spacing w:after="0"/>
              <w:rPr>
                <w:sz w:val="23"/>
                <w:szCs w:val="23"/>
                <w:color w:val="auto"/>
              </w:rPr>
            </w:pPr>
          </w:p>
        </w:tc>
        <w:tc>
          <w:tcPr>
            <w:tcW w:w="118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2,371</w:t>
            </w:r>
          </w:p>
        </w:tc>
        <w:tc>
          <w:tcPr>
            <w:tcW w:w="360" w:type="dxa"/>
            <w:vAlign w:val="bottom"/>
          </w:tcPr>
          <w:p>
            <w:pPr>
              <w:spacing w:after="0"/>
              <w:rPr>
                <w:sz w:val="23"/>
                <w:szCs w:val="23"/>
                <w:color w:val="auto"/>
              </w:rPr>
            </w:pP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(285)</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000" w:type="dxa"/>
            <w:vAlign w:val="bottom"/>
            <w:gridSpan w:val="2"/>
            <w:vMerge w:val="continue"/>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680,724</w:t>
            </w:r>
          </w:p>
        </w:tc>
        <w:tc>
          <w:tcPr>
            <w:tcW w:w="4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1,986</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16,143</w:t>
            </w:r>
          </w:p>
        </w:tc>
        <w:tc>
          <w:tcPr>
            <w:tcW w:w="76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27,068</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2,336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DEDUCTIONS FROM NET ASSETS: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(1,148)</w:t>
            </w:r>
          </w:p>
        </w:tc>
        <w:tc>
          <w:tcPr>
            <w:tcW w:w="16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(149,629)</w:t>
            </w:r>
          </w:p>
        </w:tc>
        <w:tc>
          <w:tcPr>
            <w:tcW w:w="400" w:type="dxa"/>
            <w:vAlign w:val="bottom"/>
          </w:tcPr>
          <w:p>
            <w:pPr>
              <w:spacing w:after="0"/>
              <w:rPr>
                <w:sz w:val="8"/>
                <w:szCs w:val="8"/>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(388)</w:t>
            </w:r>
          </w:p>
        </w:tc>
        <w:tc>
          <w:tcPr>
            <w:tcW w:w="460" w:type="dxa"/>
            <w:vAlign w:val="bottom"/>
          </w:tcPr>
          <w:p>
            <w:pPr>
              <w:spacing w:after="0"/>
              <w:rPr>
                <w:sz w:val="8"/>
                <w:szCs w:val="8"/>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(168)</w:t>
            </w:r>
          </w:p>
        </w:tc>
        <w:tc>
          <w:tcPr>
            <w:tcW w:w="760" w:type="dxa"/>
            <w:vAlign w:val="bottom"/>
          </w:tcPr>
          <w:p>
            <w:pPr>
              <w:spacing w:after="0"/>
              <w:rPr>
                <w:sz w:val="8"/>
                <w:szCs w:val="8"/>
                <w:color w:val="auto"/>
              </w:rPr>
            </w:pPr>
          </w:p>
        </w:tc>
        <w:tc>
          <w:tcPr>
            <w:tcW w:w="118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8"/>
              </w:rPr>
              <w:t>(4,420)</w:t>
            </w:r>
          </w:p>
        </w:tc>
        <w:tc>
          <w:tcPr>
            <w:tcW w:w="360" w:type="dxa"/>
            <w:vAlign w:val="bottom"/>
          </w:tcPr>
          <w:p>
            <w:pPr>
              <w:spacing w:after="0"/>
              <w:rPr>
                <w:sz w:val="8"/>
                <w:szCs w:val="8"/>
                <w:color w:val="auto"/>
              </w:rPr>
            </w:pP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(273)</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(7,463)</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(1,349)</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(15,719)</w:t>
            </w:r>
          </w:p>
        </w:tc>
        <w:tc>
          <w:tcPr>
            <w:tcW w:w="19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(21,827)</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(2,150)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transfers, net</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22,507</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(238)</w:t>
            </w:r>
          </w:p>
        </w:tc>
        <w:tc>
          <w:tcPr>
            <w:tcW w:w="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(251)</w:t>
            </w:r>
          </w:p>
        </w:tc>
        <w:tc>
          <w:tcPr>
            <w:tcW w:w="76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(807)</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(6,451)</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000" w:type="dxa"/>
            <w:vAlign w:val="bottom"/>
            <w:gridSpan w:val="2"/>
            <w:vMerge w:val="continue"/>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(21,086)</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163,543</w:t>
            </w:r>
          </w:p>
        </w:tc>
        <w:tc>
          <w:tcPr>
            <w:tcW w:w="4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1,986</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16,143</w:t>
            </w:r>
          </w:p>
        </w:tc>
        <w:tc>
          <w:tcPr>
            <w:tcW w:w="760" w:type="dxa"/>
            <w:vAlign w:val="bottom"/>
          </w:tcPr>
          <w:p>
            <w:pPr>
              <w:spacing w:after="0"/>
              <w:rPr>
                <w:sz w:val="15"/>
                <w:szCs w:val="15"/>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6"/>
              </w:rPr>
              <w:t>27,068</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2,336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21,086</w:t>
            </w: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517,181</w:t>
            </w:r>
          </w:p>
        </w:tc>
        <w:tc>
          <w:tcPr>
            <w:tcW w:w="400" w:type="dxa"/>
            <w:vAlign w:val="bottom"/>
          </w:tcPr>
          <w:p>
            <w:pPr>
              <w:spacing w:after="0"/>
              <w:rPr>
                <w:sz w:val="8"/>
                <w:szCs w:val="8"/>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8"/>
                <w:szCs w:val="8"/>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spacing w:after="0"/>
              <w:rPr>
                <w:sz w:val="8"/>
                <w:szCs w:val="8"/>
                <w:color w:val="auto"/>
              </w:rPr>
            </w:pPr>
          </w:p>
        </w:tc>
        <w:tc>
          <w:tcPr>
            <w:tcW w:w="118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8"/>
                <w:szCs w:val="8"/>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220" w:type="dxa"/>
            <w:vAlign w:val="bottom"/>
          </w:tcPr>
          <w:p>
            <w:pPr>
              <w:spacing w:after="0"/>
              <w:rPr>
                <w:sz w:val="15"/>
                <w:szCs w:val="15"/>
                <w:color w:val="auto"/>
              </w:rPr>
            </w:pP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28,100</w:t>
            </w: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3,628,122</w:t>
            </w:r>
          </w:p>
        </w:tc>
        <w:tc>
          <w:tcPr>
            <w:tcW w:w="4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spacing w:after="0"/>
              <w:rPr>
                <w:sz w:val="15"/>
                <w:szCs w:val="15"/>
                <w:color w:val="auto"/>
              </w:rPr>
            </w:pPr>
          </w:p>
        </w:tc>
        <w:tc>
          <w:tcPr>
            <w:tcW w:w="118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at end of year</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$49,186</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$4,145,303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85" w:name="page86"/>
    <w:bookmarkEnd w:id="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6"/>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20" w:type="dxa"/>
            <w:vAlign w:val="bottom"/>
            <w:gridSpan w:val="7"/>
          </w:tcPr>
          <w:p>
            <w:pPr>
              <w:jc w:val="center"/>
              <w:ind w:right="24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600" w:type="dxa"/>
            <w:vAlign w:val="bottom"/>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Schedule III (Cont'd)</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5540" w:type="dxa"/>
            <w:vAlign w:val="bottom"/>
            <w:gridSpan w:val="8"/>
          </w:tcPr>
          <w:p>
            <w:pPr>
              <w:ind w:left="220"/>
              <w:spacing w:after="0"/>
              <w:rPr>
                <w:sz w:val="20"/>
                <w:szCs w:val="20"/>
                <w:color w:val="auto"/>
              </w:rPr>
            </w:pPr>
            <w:r>
              <w:rPr>
                <w:rFonts w:ascii="Courier New" w:cs="Courier New" w:eastAsia="Courier New" w:hAnsi="Courier New"/>
                <w:sz w:val="15"/>
                <w:szCs w:val="15"/>
                <w:color w:val="auto"/>
              </w:rPr>
              <w:t>ALLOCATION OF CHANGES IN NET ASSETS TO INVESTMENT FUNDS</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60" w:type="dxa"/>
            <w:vAlign w:val="bottom"/>
            <w:gridSpan w:val="4"/>
          </w:tcPr>
          <w:p>
            <w:pPr>
              <w:jc w:val="center"/>
              <w:ind w:left="5"/>
              <w:spacing w:after="0"/>
              <w:rPr>
                <w:sz w:val="20"/>
                <w:szCs w:val="20"/>
                <w:color w:val="auto"/>
              </w:rPr>
            </w:pPr>
            <w:r>
              <w:rPr>
                <w:rFonts w:ascii="Courier New" w:cs="Courier New" w:eastAsia="Courier New" w:hAnsi="Courier New"/>
                <w:sz w:val="15"/>
                <w:szCs w:val="15"/>
                <w:color w:val="auto"/>
              </w:rPr>
              <w:t>For the year ended December 30, 1995</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80" w:type="dxa"/>
            <w:vAlign w:val="bottom"/>
            <w:gridSpan w:val="3"/>
          </w:tcPr>
          <w:p>
            <w:pPr>
              <w:jc w:val="center"/>
              <w:ind w:right="424"/>
              <w:spacing w:after="0"/>
              <w:rPr>
                <w:sz w:val="20"/>
                <w:szCs w:val="20"/>
                <w:color w:val="auto"/>
              </w:rPr>
            </w:pPr>
            <w:r>
              <w:rPr>
                <w:rFonts w:ascii="Courier New" w:cs="Courier New" w:eastAsia="Courier New" w:hAnsi="Courier New"/>
                <w:sz w:val="15"/>
                <w:szCs w:val="15"/>
                <w:color w:val="auto"/>
                <w:w w:val="99"/>
              </w:rPr>
              <w:t>(in thousands)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Fidelity</w:t>
            </w:r>
          </w:p>
        </w:tc>
        <w:tc>
          <w:tcPr>
            <w:tcW w:w="154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9"/>
              </w:rPr>
              <w:t>Fidelity</w:t>
            </w:r>
          </w:p>
        </w:tc>
        <w:tc>
          <w:tcPr>
            <w:tcW w:w="1920" w:type="dxa"/>
            <w:vAlign w:val="bottom"/>
            <w:gridSpan w:val="2"/>
            <w:vMerge w:val="restart"/>
          </w:tcPr>
          <w:p>
            <w:pPr>
              <w:ind w:left="420"/>
              <w:spacing w:after="0"/>
              <w:rPr>
                <w:sz w:val="20"/>
                <w:szCs w:val="20"/>
                <w:color w:val="auto"/>
              </w:rPr>
            </w:pPr>
            <w:r>
              <w:rPr>
                <w:rFonts w:ascii="Courier New" w:cs="Courier New" w:eastAsia="Courier New" w:hAnsi="Courier New"/>
                <w:sz w:val="15"/>
                <w:szCs w:val="15"/>
                <w:color w:val="auto"/>
              </w:rPr>
              <w:t>Fidelity</w:t>
            </w:r>
          </w:p>
        </w:tc>
        <w:tc>
          <w:tcPr>
            <w:tcW w:w="220" w:type="dxa"/>
            <w:vAlign w:val="bottom"/>
          </w:tcPr>
          <w:p>
            <w:pPr>
              <w:spacing w:after="0"/>
              <w:rPr>
                <w:sz w:val="23"/>
                <w:szCs w:val="23"/>
                <w:color w:val="auto"/>
              </w:rPr>
            </w:pPr>
          </w:p>
        </w:tc>
        <w:tc>
          <w:tcPr>
            <w:tcW w:w="860" w:type="dxa"/>
            <w:vAlign w:val="bottom"/>
            <w:vMerge w:val="restart"/>
          </w:tcPr>
          <w:p>
            <w:pPr>
              <w:jc w:val="center"/>
              <w:ind w:right="424"/>
              <w:spacing w:after="0"/>
              <w:rPr>
                <w:sz w:val="20"/>
                <w:szCs w:val="20"/>
                <w:color w:val="auto"/>
              </w:rPr>
            </w:pPr>
            <w:r>
              <w:rPr>
                <w:rFonts w:ascii="Courier New" w:cs="Courier New" w:eastAsia="Courier New" w:hAnsi="Courier New"/>
                <w:sz w:val="15"/>
                <w:szCs w:val="15"/>
                <w:color w:val="auto"/>
                <w:w w:val="99"/>
              </w:rPr>
              <w:t>Loan</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Subtotal</w:t>
            </w:r>
          </w:p>
        </w:tc>
        <w:tc>
          <w:tcPr>
            <w:tcW w:w="1340" w:type="dxa"/>
            <w:vAlign w:val="bottom"/>
            <w:vMerge w:val="restart"/>
          </w:tcPr>
          <w:p>
            <w:pPr>
              <w:jc w:val="center"/>
              <w:ind w:left="12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Puritan</w:t>
            </w:r>
          </w:p>
        </w:tc>
        <w:tc>
          <w:tcPr>
            <w:tcW w:w="154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9"/>
              </w:rPr>
              <w:t>Magellan</w:t>
            </w:r>
          </w:p>
        </w:tc>
        <w:tc>
          <w:tcPr>
            <w:tcW w:w="1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Fidelity</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Fund</w:t>
            </w:r>
          </w:p>
        </w:tc>
        <w:tc>
          <w:tcPr>
            <w:tcW w:w="580" w:type="dxa"/>
            <w:vAlign w:val="bottom"/>
          </w:tcPr>
          <w:p>
            <w:pPr>
              <w:spacing w:after="0"/>
              <w:rPr>
                <w:sz w:val="15"/>
                <w:szCs w:val="15"/>
                <w:color w:val="auto"/>
              </w:rPr>
            </w:pPr>
          </w:p>
        </w:tc>
        <w:tc>
          <w:tcPr>
            <w:tcW w:w="960" w:type="dxa"/>
            <w:vAlign w:val="bottom"/>
          </w:tcPr>
          <w:p>
            <w:pPr>
              <w:jc w:val="center"/>
              <w:ind w:right="324"/>
              <w:spacing w:after="0"/>
              <w:rPr>
                <w:sz w:val="20"/>
                <w:szCs w:val="20"/>
                <w:color w:val="auto"/>
              </w:rPr>
            </w:pPr>
            <w:r>
              <w:rPr>
                <w:rFonts w:ascii="Courier New" w:cs="Courier New" w:eastAsia="Courier New" w:hAnsi="Courier New"/>
                <w:sz w:val="15"/>
                <w:szCs w:val="15"/>
                <w:color w:val="auto"/>
                <w:w w:val="99"/>
              </w:rPr>
              <w:t>Fund</w:t>
            </w:r>
          </w:p>
        </w:tc>
        <w:tc>
          <w:tcPr>
            <w:tcW w:w="19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Contrafund</w:t>
            </w:r>
          </w:p>
        </w:tc>
        <w:tc>
          <w:tcPr>
            <w:tcW w:w="220" w:type="dxa"/>
            <w:vAlign w:val="bottom"/>
          </w:tcPr>
          <w:p>
            <w:pPr>
              <w:spacing w:after="0"/>
              <w:rPr>
                <w:sz w:val="15"/>
                <w:szCs w:val="15"/>
                <w:color w:val="auto"/>
              </w:rPr>
            </w:pPr>
          </w:p>
        </w:tc>
        <w:tc>
          <w:tcPr>
            <w:tcW w:w="860" w:type="dxa"/>
            <w:vAlign w:val="bottom"/>
          </w:tcPr>
          <w:p>
            <w:pPr>
              <w:jc w:val="center"/>
              <w:ind w:right="424"/>
              <w:spacing w:after="0"/>
              <w:rPr>
                <w:sz w:val="20"/>
                <w:szCs w:val="20"/>
                <w:color w:val="auto"/>
              </w:rPr>
            </w:pPr>
            <w:r>
              <w:rPr>
                <w:rFonts w:ascii="Courier New" w:cs="Courier New" w:eastAsia="Courier New" w:hAnsi="Courier New"/>
                <w:sz w:val="15"/>
                <w:szCs w:val="15"/>
                <w:color w:val="auto"/>
                <w:w w:val="99"/>
              </w:rPr>
              <w:t>Fund</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Investments</w:t>
            </w:r>
          </w:p>
        </w:tc>
        <w:tc>
          <w:tcPr>
            <w:tcW w:w="134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ALL FUNDS</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286</w:t>
            </w:r>
          </w:p>
        </w:tc>
        <w:tc>
          <w:tcPr>
            <w:tcW w:w="134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   12,413</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Chemical</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499</w:t>
            </w:r>
          </w:p>
        </w:tc>
        <w:tc>
          <w:tcPr>
            <w:tcW w:w="134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499</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956</w:t>
            </w:r>
          </w:p>
        </w:tc>
        <w:tc>
          <w:tcPr>
            <w:tcW w:w="58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w w:val="99"/>
              </w:rPr>
              <w:t>$2,390</w:t>
            </w:r>
          </w:p>
        </w:tc>
        <w:tc>
          <w:tcPr>
            <w:tcW w:w="500" w:type="dxa"/>
            <w:vAlign w:val="bottom"/>
          </w:tcPr>
          <w:p>
            <w:pPr>
              <w:spacing w:after="0"/>
              <w:rPr>
                <w:sz w:val="15"/>
                <w:szCs w:val="15"/>
                <w:color w:val="auto"/>
              </w:rPr>
            </w:pP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w w:val="96"/>
              </w:rPr>
              <w:t>$1,409</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3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5,565</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13,641</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32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61</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24,858</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272,618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684</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Miscellaneous income</w:t>
            </w: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320" w:type="dxa"/>
            <w:vAlign w:val="bottom"/>
          </w:tcPr>
          <w:p>
            <w:pPr>
              <w:spacing w:after="0"/>
              <w:rPr>
                <w:sz w:val="15"/>
                <w:szCs w:val="15"/>
                <w:color w:val="auto"/>
              </w:rPr>
            </w:pPr>
          </w:p>
        </w:tc>
        <w:tc>
          <w:tcPr>
            <w:tcW w:w="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7"/>
              </w:rPr>
              <w:t>2,325</w:t>
            </w:r>
          </w:p>
        </w:tc>
        <w:tc>
          <w:tcPr>
            <w:tcW w:w="58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8,985</w:t>
            </w:r>
          </w:p>
        </w:tc>
        <w:tc>
          <w:tcPr>
            <w:tcW w:w="500" w:type="dxa"/>
            <w:vAlign w:val="bottom"/>
          </w:tcPr>
          <w:p>
            <w:pPr>
              <w:spacing w:after="0"/>
              <w:rPr>
                <w:sz w:val="15"/>
                <w:szCs w:val="15"/>
                <w:color w:val="auto"/>
              </w:rPr>
            </w:pP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3,283</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w w:val="96"/>
              </w:rPr>
              <w:t>30,277</w:t>
            </w:r>
          </w:p>
        </w:tc>
        <w:tc>
          <w:tcPr>
            <w:tcW w:w="134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291,817</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3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00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23"/>
                <w:szCs w:val="23"/>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8"/>
              </w:rPr>
              <w:t>(3,358)</w:t>
            </w:r>
          </w:p>
        </w:tc>
        <w:tc>
          <w:tcPr>
            <w:tcW w:w="500" w:type="dxa"/>
            <w:vAlign w:val="bottom"/>
          </w:tcPr>
          <w:p>
            <w:pPr>
              <w:spacing w:after="0"/>
              <w:rPr>
                <w:sz w:val="23"/>
                <w:szCs w:val="23"/>
                <w:color w:val="auto"/>
              </w:rPr>
            </w:pPr>
          </w:p>
        </w:tc>
        <w:tc>
          <w:tcPr>
            <w:tcW w:w="142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150,533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0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gridSpan w:val="2"/>
            <w:vMerge w:val="continue"/>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1,310</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8,078</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4,564</w:t>
            </w: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61,485</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742,209</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DEDUCTIONS FROM NET ASSETS: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(375)</w:t>
            </w:r>
          </w:p>
        </w:tc>
        <w:tc>
          <w:tcPr>
            <w:tcW w:w="580" w:type="dxa"/>
            <w:vAlign w:val="bottom"/>
          </w:tcPr>
          <w:p>
            <w:pPr>
              <w:spacing w:after="0"/>
              <w:rPr>
                <w:sz w:val="8"/>
                <w:szCs w:val="8"/>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(397)</w:t>
            </w:r>
          </w:p>
        </w:tc>
        <w:tc>
          <w:tcPr>
            <w:tcW w:w="500" w:type="dxa"/>
            <w:vAlign w:val="bottom"/>
          </w:tcPr>
          <w:p>
            <w:pPr>
              <w:spacing w:after="0"/>
              <w:rPr>
                <w:sz w:val="8"/>
                <w:szCs w:val="8"/>
                <w:color w:val="auto"/>
              </w:rPr>
            </w:pPr>
          </w:p>
        </w:tc>
        <w:tc>
          <w:tcPr>
            <w:tcW w:w="142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8"/>
                <w:szCs w:val="8"/>
                <w:color w:val="auto"/>
              </w:rPr>
            </w:pP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(163)</w:t>
            </w:r>
          </w:p>
        </w:tc>
        <w:tc>
          <w:tcPr>
            <w:tcW w:w="600" w:type="dxa"/>
            <w:vAlign w:val="bottom"/>
          </w:tcPr>
          <w:p>
            <w:pPr>
              <w:spacing w:after="0"/>
              <w:rPr>
                <w:sz w:val="8"/>
                <w:szCs w:val="8"/>
                <w:color w:val="auto"/>
              </w:rPr>
            </w:pPr>
          </w:p>
        </w:tc>
        <w:tc>
          <w:tcPr>
            <w:tcW w:w="10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5"/>
              </w:rPr>
              <w:t>(6,250)</w:t>
            </w:r>
          </w:p>
        </w:tc>
        <w:tc>
          <w:tcPr>
            <w:tcW w:w="13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(155,879)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(933)</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(7,465)</w:t>
            </w:r>
          </w:p>
        </w:tc>
        <w:tc>
          <w:tcPr>
            <w:tcW w:w="5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8"/>
              </w:rPr>
              <w:t>(4,359)</w:t>
            </w:r>
          </w:p>
        </w:tc>
        <w:tc>
          <w:tcPr>
            <w:tcW w:w="10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(1,390)</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(55,192)</w:t>
            </w:r>
          </w:p>
        </w:tc>
        <w:tc>
          <w:tcPr>
            <w:tcW w:w="1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(62,655)</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transfers, net</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w:t>
            </w:r>
          </w:p>
        </w:tc>
        <w:tc>
          <w:tcPr>
            <w:tcW w:w="5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1,553</w:t>
            </w:r>
          </w:p>
        </w:tc>
        <w:tc>
          <w:tcPr>
            <w:tcW w:w="6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32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w:t>
            </w:r>
          </w:p>
        </w:tc>
        <w:tc>
          <w:tcPr>
            <w:tcW w:w="10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(6,494)</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gridSpan w:val="2"/>
            <w:vMerge w:val="continue"/>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1,310</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8,078</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4,564</w:t>
            </w: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61,485</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225,028</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8"/>
                <w:szCs w:val="8"/>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8"/>
                <w:szCs w:val="8"/>
                <w:color w:val="auto"/>
              </w:rPr>
            </w:pP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8"/>
                <w:szCs w:val="8"/>
                <w:color w:val="auto"/>
              </w:rPr>
            </w:pPr>
          </w:p>
        </w:tc>
        <w:tc>
          <w:tcPr>
            <w:tcW w:w="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spacing w:after="0"/>
              <w:rPr>
                <w:sz w:val="8"/>
                <w:szCs w:val="8"/>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4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517,181</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320" w:type="dxa"/>
            <w:vAlign w:val="bottom"/>
          </w:tcPr>
          <w:p>
            <w:pPr>
              <w:spacing w:after="0"/>
              <w:rPr>
                <w:sz w:val="15"/>
                <w:szCs w:val="15"/>
                <w:color w:val="auto"/>
              </w:rPr>
            </w:pPr>
          </w:p>
        </w:tc>
        <w:tc>
          <w:tcPr>
            <w:tcW w:w="6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5"/>
                <w:szCs w:val="15"/>
                <w:color w:val="auto"/>
              </w:rPr>
            </w:pPr>
          </w:p>
        </w:tc>
        <w:tc>
          <w:tcPr>
            <w:tcW w:w="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4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3,628,122</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at end of year</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$4,145,303</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520"/>
          </w:cols>
          <w:pgMar w:left="240" w:top="265" w:right="139" w:bottom="1440" w:gutter="0" w:footer="0" w:header="0"/>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46</w:t>
            </w:r>
          </w:p>
        </w:tc>
        <w:tc>
          <w:tcPr>
            <w:tcW w:w="10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554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500" w:type="dxa"/>
            <w:vAlign w:val="bottom"/>
          </w:tcPr>
          <w:p>
            <w:pPr>
              <w:spacing w:after="0"/>
              <w:rPr>
                <w:sz w:val="23"/>
                <w:szCs w:val="23"/>
                <w:color w:val="auto"/>
              </w:rPr>
            </w:pPr>
          </w:p>
        </w:tc>
        <w:tc>
          <w:tcPr>
            <w:tcW w:w="23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Schedule III</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554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ALLOCATION OF CHANGES IN NET ASSETS TO INVESTMENT FUNDS</w:t>
            </w: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60" w:type="dxa"/>
            <w:vAlign w:val="bottom"/>
            <w:gridSpan w:val="3"/>
          </w:tcPr>
          <w:p>
            <w:pPr>
              <w:jc w:val="center"/>
              <w:ind w:right="1004"/>
              <w:spacing w:after="0"/>
              <w:rPr>
                <w:sz w:val="20"/>
                <w:szCs w:val="20"/>
                <w:color w:val="auto"/>
              </w:rPr>
            </w:pPr>
            <w:r>
              <w:rPr>
                <w:rFonts w:ascii="Courier New" w:cs="Courier New" w:eastAsia="Courier New" w:hAnsi="Courier New"/>
                <w:sz w:val="15"/>
                <w:szCs w:val="15"/>
                <w:color w:val="auto"/>
              </w:rPr>
              <w:t>For the year ended December 30, 1994</w:t>
            </w: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0" w:type="dxa"/>
            <w:vAlign w:val="bottom"/>
            <w:gridSpan w:val="2"/>
          </w:tcPr>
          <w:p>
            <w:pPr>
              <w:jc w:val="center"/>
              <w:ind w:left="304"/>
              <w:spacing w:after="0"/>
              <w:rPr>
                <w:sz w:val="20"/>
                <w:szCs w:val="20"/>
                <w:color w:val="auto"/>
              </w:rPr>
            </w:pPr>
            <w:r>
              <w:rPr>
                <w:rFonts w:ascii="Courier New" w:cs="Courier New" w:eastAsia="Courier New" w:hAnsi="Courier New"/>
                <w:sz w:val="15"/>
                <w:szCs w:val="15"/>
                <w:color w:val="auto"/>
                <w:w w:val="99"/>
              </w:rPr>
              <w:t>(in thousands)</w:t>
            </w:r>
          </w:p>
        </w:tc>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0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Kodak</w:t>
            </w:r>
          </w:p>
        </w:tc>
        <w:tc>
          <w:tcPr>
            <w:tcW w:w="15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Smaller</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Fixed</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Balanced</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Large Stock</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Stock Fund</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Income Fund</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Mutual Fund</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Index Fund</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Stock 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0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$ 11,392</w:t>
            </w: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080" w:type="dxa"/>
            <w:vAlign w:val="bottom"/>
            <w:vMerge w:val="continue"/>
          </w:tcPr>
          <w:p>
            <w:pPr>
              <w:spacing w:after="0"/>
              <w:rPr>
                <w:sz w:val="15"/>
                <w:szCs w:val="15"/>
                <w:color w:val="auto"/>
              </w:rPr>
            </w:pP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8,059</w:t>
            </w: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$ 1,795</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666</w:t>
            </w:r>
          </w:p>
        </w:tc>
        <w:tc>
          <w:tcPr>
            <w:tcW w:w="1560" w:type="dxa"/>
            <w:vAlign w:val="bottom"/>
            <w:vMerge w:val="continue"/>
          </w:tcPr>
          <w:p>
            <w:pPr>
              <w:spacing w:after="0"/>
              <w:rPr>
                <w:sz w:val="15"/>
                <w:szCs w:val="15"/>
                <w:color w:val="auto"/>
              </w:rPr>
            </w:pP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236,349</w:t>
            </w:r>
          </w:p>
        </w:tc>
        <w:tc>
          <w:tcPr>
            <w:tcW w:w="14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080" w:type="dxa"/>
            <w:vAlign w:val="bottom"/>
            <w:vMerge w:val="continue"/>
          </w:tcPr>
          <w:p>
            <w:pPr>
              <w:spacing w:after="0"/>
              <w:rPr>
                <w:sz w:val="15"/>
                <w:szCs w:val="15"/>
                <w:color w:val="auto"/>
              </w:rPr>
            </w:pP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1,080</w:t>
            </w:r>
          </w:p>
        </w:tc>
        <w:tc>
          <w:tcPr>
            <w:tcW w:w="1440" w:type="dxa"/>
            <w:vAlign w:val="bottom"/>
            <w:vMerge w:val="continue"/>
          </w:tcPr>
          <w:p>
            <w:pPr>
              <w:spacing w:after="0"/>
              <w:rPr>
                <w:sz w:val="15"/>
                <w:szCs w:val="15"/>
                <w:color w:val="auto"/>
              </w:rPr>
            </w:pP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115</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656</w:t>
            </w:r>
          </w:p>
        </w:tc>
        <w:tc>
          <w:tcPr>
            <w:tcW w:w="1440" w:type="dxa"/>
            <w:vAlign w:val="bottom"/>
          </w:tcPr>
          <w:p>
            <w:pPr>
              <w:spacing w:after="0"/>
              <w:rPr>
                <w:sz w:val="15"/>
                <w:szCs w:val="15"/>
                <w:color w:val="auto"/>
              </w:rPr>
            </w:pP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spacing w:after="0"/>
              <w:rPr>
                <w:sz w:val="15"/>
                <w:szCs w:val="15"/>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108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10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22,691</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21,966</w:t>
            </w:r>
          </w:p>
        </w:tc>
        <w:tc>
          <w:tcPr>
            <w:tcW w:w="14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(8,910)</w:t>
            </w:r>
          </w:p>
        </w:tc>
        <w:tc>
          <w:tcPr>
            <w:tcW w:w="14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(2,301)</w:t>
            </w:r>
          </w:p>
        </w:tc>
        <w:tc>
          <w:tcPr>
            <w:tcW w:w="50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398</w:t>
            </w:r>
          </w:p>
        </w:tc>
        <w:tc>
          <w:tcPr>
            <w:tcW w:w="58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8"/>
              </w:rPr>
              <w:t>(1,025)</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08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9,039</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30,844</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99,184</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4,426</w:t>
            </w:r>
          </w:p>
        </w:tc>
        <w:tc>
          <w:tcPr>
            <w:tcW w:w="500" w:type="dxa"/>
            <w:vAlign w:val="bottom"/>
          </w:tcPr>
          <w:p>
            <w:pPr>
              <w:spacing w:after="0"/>
              <w:rPr>
                <w:sz w:val="23"/>
                <w:szCs w:val="23"/>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1,885</w:t>
            </w:r>
          </w:p>
        </w:tc>
        <w:tc>
          <w:tcPr>
            <w:tcW w:w="580" w:type="dxa"/>
            <w:vAlign w:val="bottom"/>
          </w:tcPr>
          <w:p>
            <w:pPr>
              <w:spacing w:after="0"/>
              <w:rPr>
                <w:sz w:val="23"/>
                <w:szCs w:val="23"/>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2,956</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51,115</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(50,820)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(126,481)</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56,597</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24,419</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45,170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between plan trusts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(35,183)</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(38,561)</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(305,007)</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59,835</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(26,776)</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(104,865)</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60,542</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26,732</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47,196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DEDUCTIONS FROM NET ASSETS: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(14,919)</w:t>
            </w:r>
          </w:p>
        </w:tc>
        <w:tc>
          <w:tcPr>
            <w:tcW w:w="15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(13,172)</w:t>
            </w:r>
          </w:p>
        </w:tc>
        <w:tc>
          <w:tcPr>
            <w:tcW w:w="14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(115,659)</w:t>
            </w:r>
          </w:p>
        </w:tc>
        <w:tc>
          <w:tcPr>
            <w:tcW w:w="14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(1,018)</w:t>
            </w:r>
          </w:p>
        </w:tc>
        <w:tc>
          <w:tcPr>
            <w:tcW w:w="500" w:type="dxa"/>
            <w:vAlign w:val="bottom"/>
          </w:tcPr>
          <w:p>
            <w:pPr>
              <w:spacing w:after="0"/>
              <w:rPr>
                <w:sz w:val="8"/>
                <w:szCs w:val="8"/>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(227)</w:t>
            </w:r>
          </w:p>
        </w:tc>
        <w:tc>
          <w:tcPr>
            <w:tcW w:w="580" w:type="dxa"/>
            <w:vAlign w:val="bottom"/>
          </w:tcPr>
          <w:p>
            <w:pPr>
              <w:spacing w:after="0"/>
              <w:rPr>
                <w:sz w:val="8"/>
                <w:szCs w:val="8"/>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(456)</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(4,920)</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(10,412)</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(34,877)</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(1,910)</w:t>
            </w:r>
          </w:p>
        </w:tc>
        <w:tc>
          <w:tcPr>
            <w:tcW w:w="5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(933)</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transfers, net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(7,038)</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(8,850)</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(12,463)</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(347)</w:t>
            </w:r>
          </w:p>
        </w:tc>
        <w:tc>
          <w:tcPr>
            <w:tcW w:w="5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(164)</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1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(1,736)</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(3,457)</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w:t>
            </w:r>
          </w:p>
        </w:tc>
        <w:tc>
          <w:tcPr>
            <w:tcW w:w="5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27,164</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34,170</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166,456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3,315</w:t>
            </w:r>
          </w:p>
        </w:tc>
        <w:tc>
          <w:tcPr>
            <w:tcW w:w="50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1,352</w:t>
            </w:r>
          </w:p>
        </w:tc>
        <w:tc>
          <w:tcPr>
            <w:tcW w:w="58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1,956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32,671</w:t>
            </w:r>
          </w:p>
        </w:tc>
        <w:tc>
          <w:tcPr>
            <w:tcW w:w="15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(60,946)</w:t>
            </w:r>
          </w:p>
        </w:tc>
        <w:tc>
          <w:tcPr>
            <w:tcW w:w="14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(271,321)</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57,227</w:t>
            </w:r>
          </w:p>
        </w:tc>
        <w:tc>
          <w:tcPr>
            <w:tcW w:w="500" w:type="dxa"/>
            <w:vAlign w:val="bottom"/>
          </w:tcPr>
          <w:p>
            <w:pPr>
              <w:spacing w:after="0"/>
              <w:rPr>
                <w:sz w:val="8"/>
                <w:szCs w:val="8"/>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w w:val="96"/>
              </w:rPr>
              <w:t>25,380</w:t>
            </w:r>
          </w:p>
        </w:tc>
        <w:tc>
          <w:tcPr>
            <w:tcW w:w="580" w:type="dxa"/>
            <w:vAlign w:val="bottom"/>
          </w:tcPr>
          <w:p>
            <w:pPr>
              <w:spacing w:after="0"/>
              <w:rPr>
                <w:sz w:val="8"/>
                <w:szCs w:val="8"/>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9"/>
              </w:rPr>
              <w:t>45,240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10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350,335</w:t>
            </w:r>
          </w:p>
        </w:tc>
        <w:tc>
          <w:tcPr>
            <w:tcW w:w="15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436,218</w:t>
            </w:r>
          </w:p>
        </w:tc>
        <w:tc>
          <w:tcPr>
            <w:tcW w:w="14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2,985,218</w:t>
            </w:r>
          </w:p>
        </w:tc>
        <w:tc>
          <w:tcPr>
            <w:tcW w:w="14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5"/>
                <w:szCs w:val="15"/>
                <w:color w:val="auto"/>
              </w:rPr>
            </w:pPr>
          </w:p>
        </w:tc>
        <w:tc>
          <w:tcPr>
            <w:tcW w:w="8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0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at end of year</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$383,006</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$375,272</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$2,713,897</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$57,227</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$25,380</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$45,240</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89" w:name="page90"/>
    <w:bookmarkEnd w:id="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40" w:type="dxa"/>
            <w:vAlign w:val="bottom"/>
            <w:gridSpan w:val="6"/>
          </w:tcPr>
          <w:p>
            <w:pPr>
              <w:jc w:val="center"/>
              <w:ind w:right="6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680" w:type="dxa"/>
            <w:vAlign w:val="bottom"/>
          </w:tcPr>
          <w:p>
            <w:pPr>
              <w:spacing w:after="0"/>
              <w:rPr>
                <w:sz w:val="23"/>
                <w:szCs w:val="23"/>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Schedule III (Cont'd)</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40" w:type="dxa"/>
            <w:vAlign w:val="bottom"/>
            <w:gridSpan w:val="6"/>
          </w:tcPr>
          <w:p>
            <w:pPr>
              <w:jc w:val="right"/>
              <w:ind w:right="164"/>
              <w:spacing w:after="0"/>
              <w:rPr>
                <w:sz w:val="20"/>
                <w:szCs w:val="20"/>
                <w:color w:val="auto"/>
              </w:rPr>
            </w:pPr>
            <w:r>
              <w:rPr>
                <w:rFonts w:ascii="Courier New" w:cs="Courier New" w:eastAsia="Courier New" w:hAnsi="Courier New"/>
                <w:sz w:val="15"/>
                <w:szCs w:val="15"/>
                <w:color w:val="auto"/>
              </w:rPr>
              <w:t>ALLOCATION OF CHANGES IN NET ASSETS TO INVESTMENT FUNDS</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0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For the year ended December 30, 1994</w:t>
            </w: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40" w:type="dxa"/>
            <w:vAlign w:val="bottom"/>
            <w:gridSpan w:val="3"/>
          </w:tcPr>
          <w:p>
            <w:pPr>
              <w:jc w:val="center"/>
              <w:ind w:left="424"/>
              <w:spacing w:after="0"/>
              <w:rPr>
                <w:sz w:val="20"/>
                <w:szCs w:val="20"/>
                <w:color w:val="auto"/>
              </w:rPr>
            </w:pPr>
            <w:r>
              <w:rPr>
                <w:rFonts w:ascii="Courier New" w:cs="Courier New" w:eastAsia="Courier New" w:hAnsi="Courier New"/>
                <w:sz w:val="15"/>
                <w:szCs w:val="15"/>
                <w:color w:val="auto"/>
                <w:w w:val="99"/>
              </w:rPr>
              <w:t>(in thousands)</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Loan</w:t>
            </w: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Subtotal</w:t>
            </w:r>
          </w:p>
        </w:tc>
        <w:tc>
          <w:tcPr>
            <w:tcW w:w="400" w:type="dxa"/>
            <w:vAlign w:val="bottom"/>
          </w:tcPr>
          <w:p>
            <w:pPr>
              <w:spacing w:after="0"/>
              <w:rPr>
                <w:sz w:val="23"/>
                <w:szCs w:val="23"/>
                <w:color w:val="auto"/>
              </w:rPr>
            </w:pPr>
          </w:p>
        </w:tc>
        <w:tc>
          <w:tcPr>
            <w:tcW w:w="100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w w:val="97"/>
              </w:rPr>
              <w:t>Kodak</w:t>
            </w:r>
          </w:p>
        </w:tc>
        <w:tc>
          <w:tcPr>
            <w:tcW w:w="142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Eastman</w:t>
            </w:r>
          </w:p>
        </w:tc>
        <w:tc>
          <w:tcPr>
            <w:tcW w:w="1940" w:type="dxa"/>
            <w:vAlign w:val="bottom"/>
            <w:gridSpan w:val="2"/>
            <w:vMerge w:val="restart"/>
          </w:tcPr>
          <w:p>
            <w:pPr>
              <w:jc w:val="right"/>
              <w:ind w:right="184"/>
              <w:spacing w:after="0"/>
              <w:rPr>
                <w:sz w:val="20"/>
                <w:szCs w:val="20"/>
                <w:color w:val="auto"/>
              </w:rPr>
            </w:pPr>
            <w:r>
              <w:rPr>
                <w:rFonts w:ascii="Courier New" w:cs="Courier New" w:eastAsia="Courier New" w:hAnsi="Courier New"/>
                <w:sz w:val="15"/>
                <w:szCs w:val="15"/>
                <w:color w:val="auto"/>
              </w:rPr>
              <w:t>Fidelity Managed</w:t>
            </w:r>
          </w:p>
        </w:tc>
        <w:tc>
          <w:tcPr>
            <w:tcW w:w="1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Fidelity</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tcPr>
          <w:p>
            <w:pPr>
              <w:ind w:left="500"/>
              <w:spacing w:after="0"/>
              <w:rPr>
                <w:sz w:val="20"/>
                <w:szCs w:val="20"/>
                <w:color w:val="auto"/>
              </w:rPr>
            </w:pPr>
            <w:r>
              <w:rPr>
                <w:rFonts w:ascii="Courier New" w:cs="Courier New" w:eastAsia="Courier New" w:hAnsi="Courier New"/>
                <w:sz w:val="15"/>
                <w:szCs w:val="15"/>
                <w:color w:val="auto"/>
              </w:rPr>
              <w:t>Boston</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Fund</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Safe Funds</w:t>
            </w:r>
          </w:p>
        </w:tc>
        <w:tc>
          <w:tcPr>
            <w:tcW w:w="14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Stock Fund</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Stock Fund</w:t>
            </w: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Income Portfolio</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Fund</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11,392</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689</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Chemical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490</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9,927</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593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64</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30</w:t>
            </w:r>
          </w:p>
        </w:tc>
        <w:tc>
          <w:tcPr>
            <w:tcW w:w="1940" w:type="dxa"/>
            <w:vAlign w:val="bottom"/>
            <w:gridSpan w:val="2"/>
            <w:vMerge w:val="restart"/>
          </w:tcPr>
          <w:p>
            <w:pPr>
              <w:jc w:val="right"/>
              <w:ind w:right="564"/>
              <w:spacing w:after="0"/>
              <w:rPr>
                <w:sz w:val="20"/>
                <w:szCs w:val="20"/>
                <w:color w:val="auto"/>
              </w:rPr>
            </w:pPr>
            <w:r>
              <w:rPr>
                <w:rFonts w:ascii="Courier New" w:cs="Courier New" w:eastAsia="Courier New" w:hAnsi="Courier New"/>
                <w:sz w:val="15"/>
                <w:szCs w:val="15"/>
                <w:color w:val="auto"/>
              </w:rPr>
              <w:t>$ 23,561</w:t>
            </w:r>
          </w:p>
        </w:tc>
        <w:tc>
          <w:tcPr>
            <w:tcW w:w="3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238,139</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804</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32,819</w:t>
            </w:r>
          </w:p>
        </w:tc>
        <w:tc>
          <w:tcPr>
            <w:tcW w:w="4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4,531</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2,872</w:t>
            </w:r>
          </w:p>
        </w:tc>
        <w:tc>
          <w:tcPr>
            <w:tcW w:w="680" w:type="dxa"/>
            <w:vAlign w:val="bottom"/>
          </w:tcPr>
          <w:p>
            <w:pPr>
              <w:spacing w:after="0"/>
              <w:rPr>
                <w:sz w:val="15"/>
                <w:szCs w:val="15"/>
                <w:color w:val="auto"/>
              </w:rPr>
            </w:pP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(784)</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4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148,334</w:t>
            </w:r>
          </w:p>
        </w:tc>
        <w:tc>
          <w:tcPr>
            <w:tcW w:w="400" w:type="dxa"/>
            <w:vAlign w:val="bottom"/>
          </w:tcPr>
          <w:p>
            <w:pPr>
              <w:spacing w:after="0"/>
              <w:rPr>
                <w:sz w:val="23"/>
                <w:szCs w:val="23"/>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8"/>
              </w:rPr>
              <w:t>(8,744)</w:t>
            </w:r>
          </w:p>
        </w:tc>
        <w:tc>
          <w:tcPr>
            <w:tcW w:w="460" w:type="dxa"/>
            <w:vAlign w:val="bottom"/>
          </w:tcPr>
          <w:p>
            <w:pPr>
              <w:spacing w:after="0"/>
              <w:rPr>
                <w:sz w:val="23"/>
                <w:szCs w:val="23"/>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107</w:t>
            </w:r>
          </w:p>
        </w:tc>
        <w:tc>
          <w:tcPr>
            <w:tcW w:w="680" w:type="dxa"/>
            <w:vAlign w:val="bottom"/>
          </w:tcPr>
          <w:p>
            <w:pPr>
              <w:spacing w:after="0"/>
              <w:rPr>
                <w:sz w:val="23"/>
                <w:szCs w:val="23"/>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2,632</w:t>
            </w:r>
          </w:p>
        </w:tc>
        <w:tc>
          <w:tcPr>
            <w:tcW w:w="360" w:type="dxa"/>
            <w:vAlign w:val="bottom"/>
          </w:tcPr>
          <w:p>
            <w:pPr>
              <w:spacing w:after="0"/>
              <w:rPr>
                <w:sz w:val="23"/>
                <w:szCs w:val="23"/>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15,659</w:t>
            </w:r>
          </w:p>
        </w:tc>
        <w:tc>
          <w:tcPr>
            <w:tcW w:w="6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7"/>
              </w:rPr>
              <w:t>(46,217)</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8,687</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between plan trusts</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(378,751)</w:t>
            </w:r>
          </w:p>
        </w:tc>
        <w:tc>
          <w:tcPr>
            <w:tcW w:w="4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23,736</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5,993</w:t>
            </w:r>
          </w:p>
        </w:tc>
        <w:tc>
          <w:tcPr>
            <w:tcW w:w="68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5"/>
              </w:rPr>
              <w:t>309,161</w:t>
            </w:r>
          </w:p>
        </w:tc>
        <w:tc>
          <w:tcPr>
            <w:tcW w:w="100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000" w:type="dxa"/>
            <w:vAlign w:val="bottom"/>
            <w:gridSpan w:val="2"/>
            <w:vMerge w:val="continue"/>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62,664</w:t>
            </w:r>
          </w:p>
        </w:tc>
        <w:tc>
          <w:tcPr>
            <w:tcW w:w="4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20,276</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25,151</w:t>
            </w:r>
          </w:p>
        </w:tc>
        <w:tc>
          <w:tcPr>
            <w:tcW w:w="68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5"/>
              </w:rPr>
              <w:t>289,141</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8,729</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DEDUCTIONS FROM NET ASSETS: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(262)</w:t>
            </w:r>
          </w:p>
        </w:tc>
        <w:tc>
          <w:tcPr>
            <w:tcW w:w="16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(145,713)</w:t>
            </w:r>
          </w:p>
        </w:tc>
        <w:tc>
          <w:tcPr>
            <w:tcW w:w="400" w:type="dxa"/>
            <w:vAlign w:val="bottom"/>
          </w:tcPr>
          <w:p>
            <w:pPr>
              <w:spacing w:after="0"/>
              <w:rPr>
                <w:sz w:val="8"/>
                <w:szCs w:val="8"/>
                <w:color w:val="auto"/>
              </w:rPr>
            </w:pPr>
          </w:p>
        </w:tc>
        <w:tc>
          <w:tcPr>
            <w:tcW w:w="10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(242)</w:t>
            </w:r>
          </w:p>
        </w:tc>
        <w:tc>
          <w:tcPr>
            <w:tcW w:w="460" w:type="dxa"/>
            <w:vAlign w:val="bottom"/>
          </w:tcPr>
          <w:p>
            <w:pPr>
              <w:spacing w:after="0"/>
              <w:rPr>
                <w:sz w:val="8"/>
                <w:szCs w:val="8"/>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680" w:type="dxa"/>
            <w:vAlign w:val="bottom"/>
          </w:tcPr>
          <w:p>
            <w:pPr>
              <w:spacing w:after="0"/>
              <w:rPr>
                <w:sz w:val="8"/>
                <w:szCs w:val="8"/>
                <w:color w:val="auto"/>
              </w:rPr>
            </w:pPr>
          </w:p>
        </w:tc>
        <w:tc>
          <w:tcPr>
            <w:tcW w:w="126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(7,233)</w:t>
            </w:r>
          </w:p>
        </w:tc>
        <w:tc>
          <w:tcPr>
            <w:tcW w:w="360" w:type="dxa"/>
            <w:vAlign w:val="bottom"/>
          </w:tcPr>
          <w:p>
            <w:pPr>
              <w:spacing w:after="0"/>
              <w:rPr>
                <w:sz w:val="8"/>
                <w:szCs w:val="8"/>
                <w:color w:val="auto"/>
              </w:rPr>
            </w:pP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(722)</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(54,722)</w:t>
            </w:r>
          </w:p>
        </w:tc>
        <w:tc>
          <w:tcPr>
            <w:tcW w:w="14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(19,629)</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(24,943)</w:t>
            </w:r>
          </w:p>
        </w:tc>
        <w:tc>
          <w:tcPr>
            <w:tcW w:w="19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(280,202)</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(8,677)</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transfers, net</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29,084</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(397)</w:t>
            </w:r>
          </w:p>
        </w:tc>
        <w:tc>
          <w:tcPr>
            <w:tcW w:w="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w:t>
            </w:r>
          </w:p>
        </w:tc>
        <w:tc>
          <w:tcPr>
            <w:tcW w:w="6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(1,697)</w:t>
            </w:r>
          </w:p>
        </w:tc>
        <w:tc>
          <w:tcPr>
            <w:tcW w:w="3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(5,878)</w:t>
            </w:r>
          </w:p>
        </w:tc>
        <w:tc>
          <w:tcPr>
            <w:tcW w:w="40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w:t>
            </w:r>
          </w:p>
        </w:tc>
        <w:tc>
          <w:tcPr>
            <w:tcW w:w="4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spacing w:after="0"/>
              <w:rPr>
                <w:sz w:val="15"/>
                <w:szCs w:val="15"/>
                <w:color w:val="auto"/>
              </w:rPr>
            </w:pP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000" w:type="dxa"/>
            <w:vAlign w:val="bottom"/>
            <w:gridSpan w:val="2"/>
            <w:vMerge w:val="continue"/>
          </w:tcPr>
          <w:p>
            <w:pPr>
              <w:spacing w:after="0"/>
              <w:rPr>
                <w:sz w:val="15"/>
                <w:szCs w:val="15"/>
                <w:color w:val="auto"/>
              </w:rPr>
            </w:pP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(28,100)</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206,313</w:t>
            </w:r>
          </w:p>
        </w:tc>
        <w:tc>
          <w:tcPr>
            <w:tcW w:w="4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20,276</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25,151</w:t>
            </w:r>
          </w:p>
        </w:tc>
        <w:tc>
          <w:tcPr>
            <w:tcW w:w="680" w:type="dxa"/>
            <w:vAlign w:val="bottom"/>
          </w:tcPr>
          <w:p>
            <w:pPr>
              <w:spacing w:after="0"/>
              <w:rPr>
                <w:sz w:val="15"/>
                <w:szCs w:val="15"/>
                <w:color w:val="auto"/>
              </w:rPr>
            </w:pP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5"/>
              </w:rPr>
              <w:t>289,141</w:t>
            </w:r>
          </w:p>
        </w:tc>
        <w:tc>
          <w:tcPr>
            <w:tcW w:w="3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8,729</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28,100</w:t>
            </w:r>
          </w:p>
        </w:tc>
        <w:tc>
          <w:tcPr>
            <w:tcW w:w="16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(143,649)</w:t>
            </w:r>
          </w:p>
        </w:tc>
        <w:tc>
          <w:tcPr>
            <w:tcW w:w="400" w:type="dxa"/>
            <w:vAlign w:val="bottom"/>
          </w:tcPr>
          <w:p>
            <w:pPr>
              <w:spacing w:after="0"/>
              <w:rPr>
                <w:sz w:val="8"/>
                <w:szCs w:val="8"/>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8"/>
                <w:szCs w:val="8"/>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spacing w:after="0"/>
              <w:rPr>
                <w:sz w:val="8"/>
                <w:szCs w:val="8"/>
                <w:color w:val="auto"/>
              </w:rPr>
            </w:pP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8"/>
                <w:szCs w:val="8"/>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220" w:type="dxa"/>
            <w:vAlign w:val="bottom"/>
          </w:tcPr>
          <w:p>
            <w:pPr>
              <w:spacing w:after="0"/>
              <w:rPr>
                <w:sz w:val="15"/>
                <w:szCs w:val="15"/>
                <w:color w:val="auto"/>
              </w:rPr>
            </w:pP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16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3,771,771</w:t>
            </w:r>
          </w:p>
        </w:tc>
        <w:tc>
          <w:tcPr>
            <w:tcW w:w="400" w:type="dxa"/>
            <w:vAlign w:val="bottom"/>
          </w:tcPr>
          <w:p>
            <w:pPr>
              <w:spacing w:after="0"/>
              <w:rPr>
                <w:sz w:val="15"/>
                <w:szCs w:val="15"/>
                <w:color w:val="auto"/>
              </w:rPr>
            </w:pPr>
          </w:p>
        </w:tc>
        <w:tc>
          <w:tcPr>
            <w:tcW w:w="10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5"/>
                <w:szCs w:val="15"/>
                <w:color w:val="auto"/>
              </w:rPr>
            </w:pPr>
          </w:p>
        </w:tc>
        <w:tc>
          <w:tcPr>
            <w:tcW w:w="96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spacing w:after="0"/>
              <w:rPr>
                <w:sz w:val="15"/>
                <w:szCs w:val="15"/>
                <w:color w:val="auto"/>
              </w:rPr>
            </w:pPr>
          </w:p>
        </w:tc>
        <w:tc>
          <w:tcPr>
            <w:tcW w:w="126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spacing w:after="0"/>
              <w:rPr>
                <w:sz w:val="15"/>
                <w:szCs w:val="15"/>
                <w:color w:val="auto"/>
              </w:rPr>
            </w:pPr>
          </w:p>
        </w:tc>
        <w:tc>
          <w:tcPr>
            <w:tcW w:w="6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at end of year</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$28,100</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$3,628,122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320" w:type="dxa"/>
            <w:vAlign w:val="bottom"/>
            <w:gridSpan w:val="7"/>
          </w:tcPr>
          <w:p>
            <w:pPr>
              <w:jc w:val="center"/>
              <w:ind w:right="144"/>
              <w:spacing w:after="0"/>
              <w:rPr>
                <w:sz w:val="20"/>
                <w:szCs w:val="20"/>
                <w:color w:val="auto"/>
              </w:rPr>
            </w:pPr>
            <w:r>
              <w:rPr>
                <w:rFonts w:ascii="Courier New" w:cs="Courier New" w:eastAsia="Courier New" w:hAnsi="Courier New"/>
                <w:sz w:val="15"/>
                <w:szCs w:val="15"/>
                <w:color w:val="auto"/>
              </w:rPr>
              <w:t>EASTMAN KODAK EMPLOYEES' SAVINGS AND INVESTMENT PLAN</w:t>
            </w:r>
          </w:p>
        </w:tc>
        <w:tc>
          <w:tcPr>
            <w:tcW w:w="500" w:type="dxa"/>
            <w:vAlign w:val="bottom"/>
          </w:tcPr>
          <w:p>
            <w:pPr>
              <w:spacing w:after="0"/>
              <w:rPr>
                <w:sz w:val="23"/>
                <w:szCs w:val="23"/>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Schedule III (Cont'd)</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20" w:type="dxa"/>
            <w:vAlign w:val="bottom"/>
            <w:gridSpan w:val="7"/>
          </w:tcPr>
          <w:p>
            <w:pPr>
              <w:jc w:val="right"/>
              <w:ind w:right="244"/>
              <w:spacing w:after="0"/>
              <w:rPr>
                <w:sz w:val="20"/>
                <w:szCs w:val="20"/>
                <w:color w:val="auto"/>
              </w:rPr>
            </w:pPr>
            <w:r>
              <w:rPr>
                <w:rFonts w:ascii="Courier New" w:cs="Courier New" w:eastAsia="Courier New" w:hAnsi="Courier New"/>
                <w:sz w:val="15"/>
                <w:szCs w:val="15"/>
                <w:color w:val="auto"/>
              </w:rPr>
              <w:t>ALLOCATION OF CHANGES IN NET ASSETS TO INVESTMENT FUNDS</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60" w:type="dxa"/>
            <w:vAlign w:val="bottom"/>
            <w:gridSpan w:val="4"/>
          </w:tcPr>
          <w:p>
            <w:pPr>
              <w:jc w:val="center"/>
              <w:ind w:left="5"/>
              <w:spacing w:after="0"/>
              <w:rPr>
                <w:sz w:val="20"/>
                <w:szCs w:val="20"/>
                <w:color w:val="auto"/>
              </w:rPr>
            </w:pPr>
            <w:r>
              <w:rPr>
                <w:rFonts w:ascii="Courier New" w:cs="Courier New" w:eastAsia="Courier New" w:hAnsi="Courier New"/>
                <w:sz w:val="15"/>
                <w:szCs w:val="15"/>
                <w:color w:val="auto"/>
              </w:rPr>
              <w:t>For the year ended December 30, 1994</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80" w:type="dxa"/>
            <w:vAlign w:val="bottom"/>
            <w:gridSpan w:val="3"/>
          </w:tcPr>
          <w:p>
            <w:pPr>
              <w:jc w:val="center"/>
              <w:ind w:right="424"/>
              <w:spacing w:after="0"/>
              <w:rPr>
                <w:sz w:val="20"/>
                <w:szCs w:val="20"/>
                <w:color w:val="auto"/>
              </w:rPr>
            </w:pPr>
            <w:r>
              <w:rPr>
                <w:rFonts w:ascii="Courier New" w:cs="Courier New" w:eastAsia="Courier New" w:hAnsi="Courier New"/>
                <w:sz w:val="15"/>
                <w:szCs w:val="15"/>
                <w:color w:val="auto"/>
                <w:w w:val="99"/>
              </w:rPr>
              <w:t>(in thousands)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3"/>
                <w:szCs w:val="23"/>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Fidelity</w:t>
            </w:r>
          </w:p>
        </w:tc>
        <w:tc>
          <w:tcPr>
            <w:tcW w:w="154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9"/>
              </w:rPr>
              <w:t>Fidelity</w:t>
            </w:r>
          </w:p>
        </w:tc>
        <w:tc>
          <w:tcPr>
            <w:tcW w:w="1920" w:type="dxa"/>
            <w:vAlign w:val="bottom"/>
            <w:gridSpan w:val="2"/>
            <w:vMerge w:val="restart"/>
          </w:tcPr>
          <w:p>
            <w:pPr>
              <w:ind w:left="420"/>
              <w:spacing w:after="0"/>
              <w:rPr>
                <w:sz w:val="20"/>
                <w:szCs w:val="20"/>
                <w:color w:val="auto"/>
              </w:rPr>
            </w:pPr>
            <w:r>
              <w:rPr>
                <w:rFonts w:ascii="Courier New" w:cs="Courier New" w:eastAsia="Courier New" w:hAnsi="Courier New"/>
                <w:sz w:val="15"/>
                <w:szCs w:val="15"/>
                <w:color w:val="auto"/>
              </w:rPr>
              <w:t>Fidelity</w:t>
            </w:r>
          </w:p>
        </w:tc>
        <w:tc>
          <w:tcPr>
            <w:tcW w:w="220" w:type="dxa"/>
            <w:vAlign w:val="bottom"/>
          </w:tcPr>
          <w:p>
            <w:pPr>
              <w:spacing w:after="0"/>
              <w:rPr>
                <w:sz w:val="23"/>
                <w:szCs w:val="23"/>
                <w:color w:val="auto"/>
              </w:rPr>
            </w:pPr>
          </w:p>
        </w:tc>
        <w:tc>
          <w:tcPr>
            <w:tcW w:w="860" w:type="dxa"/>
            <w:vAlign w:val="bottom"/>
            <w:vMerge w:val="restart"/>
          </w:tcPr>
          <w:p>
            <w:pPr>
              <w:jc w:val="center"/>
              <w:ind w:right="424"/>
              <w:spacing w:after="0"/>
              <w:rPr>
                <w:sz w:val="20"/>
                <w:szCs w:val="20"/>
                <w:color w:val="auto"/>
              </w:rPr>
            </w:pPr>
            <w:r>
              <w:rPr>
                <w:rFonts w:ascii="Courier New" w:cs="Courier New" w:eastAsia="Courier New" w:hAnsi="Courier New"/>
                <w:sz w:val="15"/>
                <w:szCs w:val="15"/>
                <w:color w:val="auto"/>
                <w:w w:val="99"/>
              </w:rPr>
              <w:t>Loan</w:t>
            </w: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Subtotal</w:t>
            </w:r>
          </w:p>
        </w:tc>
        <w:tc>
          <w:tcPr>
            <w:tcW w:w="1260" w:type="dxa"/>
            <w:vAlign w:val="bottom"/>
            <w:vMerge w:val="restart"/>
          </w:tcPr>
          <w:p>
            <w:pPr>
              <w:jc w:val="center"/>
              <w:ind w:left="20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Puritan</w:t>
            </w:r>
          </w:p>
        </w:tc>
        <w:tc>
          <w:tcPr>
            <w:tcW w:w="1540" w:type="dxa"/>
            <w:vAlign w:val="bottom"/>
            <w:gridSpan w:val="2"/>
          </w:tcPr>
          <w:p>
            <w:pPr>
              <w:jc w:val="center"/>
              <w:ind w:left="105"/>
              <w:spacing w:after="0"/>
              <w:rPr>
                <w:sz w:val="20"/>
                <w:szCs w:val="20"/>
                <w:color w:val="auto"/>
              </w:rPr>
            </w:pPr>
            <w:r>
              <w:rPr>
                <w:rFonts w:ascii="Courier New" w:cs="Courier New" w:eastAsia="Courier New" w:hAnsi="Courier New"/>
                <w:sz w:val="15"/>
                <w:szCs w:val="15"/>
                <w:color w:val="auto"/>
                <w:w w:val="99"/>
              </w:rPr>
              <w:t>Magellan</w:t>
            </w:r>
          </w:p>
        </w:tc>
        <w:tc>
          <w:tcPr>
            <w:tcW w:w="1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Fidelity</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Fund</w:t>
            </w:r>
          </w:p>
        </w:tc>
        <w:tc>
          <w:tcPr>
            <w:tcW w:w="580" w:type="dxa"/>
            <w:vAlign w:val="bottom"/>
          </w:tcPr>
          <w:p>
            <w:pPr>
              <w:spacing w:after="0"/>
              <w:rPr>
                <w:sz w:val="15"/>
                <w:szCs w:val="15"/>
                <w:color w:val="auto"/>
              </w:rPr>
            </w:pPr>
          </w:p>
        </w:tc>
        <w:tc>
          <w:tcPr>
            <w:tcW w:w="960" w:type="dxa"/>
            <w:vAlign w:val="bottom"/>
          </w:tcPr>
          <w:p>
            <w:pPr>
              <w:jc w:val="center"/>
              <w:ind w:right="324"/>
              <w:spacing w:after="0"/>
              <w:rPr>
                <w:sz w:val="20"/>
                <w:szCs w:val="20"/>
                <w:color w:val="auto"/>
              </w:rPr>
            </w:pPr>
            <w:r>
              <w:rPr>
                <w:rFonts w:ascii="Courier New" w:cs="Courier New" w:eastAsia="Courier New" w:hAnsi="Courier New"/>
                <w:sz w:val="15"/>
                <w:szCs w:val="15"/>
                <w:color w:val="auto"/>
                <w:w w:val="99"/>
              </w:rPr>
              <w:t>Fund</w:t>
            </w:r>
          </w:p>
        </w:tc>
        <w:tc>
          <w:tcPr>
            <w:tcW w:w="19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Contrafund</w:t>
            </w:r>
          </w:p>
        </w:tc>
        <w:tc>
          <w:tcPr>
            <w:tcW w:w="220" w:type="dxa"/>
            <w:vAlign w:val="bottom"/>
          </w:tcPr>
          <w:p>
            <w:pPr>
              <w:spacing w:after="0"/>
              <w:rPr>
                <w:sz w:val="15"/>
                <w:szCs w:val="15"/>
                <w:color w:val="auto"/>
              </w:rPr>
            </w:pPr>
          </w:p>
        </w:tc>
        <w:tc>
          <w:tcPr>
            <w:tcW w:w="860" w:type="dxa"/>
            <w:vAlign w:val="bottom"/>
          </w:tcPr>
          <w:p>
            <w:pPr>
              <w:jc w:val="center"/>
              <w:ind w:right="424"/>
              <w:spacing w:after="0"/>
              <w:rPr>
                <w:sz w:val="20"/>
                <w:szCs w:val="20"/>
                <w:color w:val="auto"/>
              </w:rPr>
            </w:pPr>
            <w:r>
              <w:rPr>
                <w:rFonts w:ascii="Courier New" w:cs="Courier New" w:eastAsia="Courier New" w:hAnsi="Courier New"/>
                <w:sz w:val="15"/>
                <w:szCs w:val="15"/>
                <w:color w:val="auto"/>
                <w:w w:val="99"/>
              </w:rPr>
              <w:t>Fund</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Investments</w:t>
            </w:r>
          </w:p>
        </w:tc>
        <w:tc>
          <w:tcPr>
            <w:tcW w:w="126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ALL FUNDS</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vMerge w:val="restart"/>
          </w:tcPr>
          <w:p>
            <w:pPr>
              <w:ind w:left="4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689</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12,081</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Dividends on Eastman Chemical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490</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490</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$ 1,428</w:t>
            </w:r>
          </w:p>
        </w:tc>
        <w:tc>
          <w:tcPr>
            <w:tcW w:w="154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$ 1,621</w:t>
            </w:r>
          </w:p>
        </w:tc>
        <w:tc>
          <w:tcPr>
            <w:tcW w:w="500" w:type="dxa"/>
            <w:vAlign w:val="bottom"/>
            <w:vMerge w:val="restart"/>
          </w:tcPr>
          <w:p>
            <w:pPr>
              <w:ind w:left="4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97</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10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3,739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13,666</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23,749</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261,888</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804</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220" w:type="dxa"/>
            <w:vAlign w:val="bottom"/>
          </w:tcPr>
          <w:p>
            <w:pPr>
              <w:spacing w:after="0"/>
              <w:rPr>
                <w:sz w:val="15"/>
                <w:szCs w:val="15"/>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(1,958)</w:t>
            </w:r>
          </w:p>
        </w:tc>
        <w:tc>
          <w:tcPr>
            <w:tcW w:w="580" w:type="dxa"/>
            <w:vAlign w:val="bottom"/>
          </w:tcPr>
          <w:p>
            <w:pPr>
              <w:spacing w:after="0"/>
              <w:rPr>
                <w:sz w:val="15"/>
                <w:szCs w:val="15"/>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8"/>
              </w:rPr>
              <w:t>(2,346)</w:t>
            </w:r>
          </w:p>
        </w:tc>
        <w:tc>
          <w:tcPr>
            <w:tcW w:w="500" w:type="dxa"/>
            <w:vAlign w:val="bottom"/>
          </w:tcPr>
          <w:p>
            <w:pPr>
              <w:spacing w:after="0"/>
              <w:rPr>
                <w:sz w:val="15"/>
                <w:szCs w:val="15"/>
                <w:color w:val="auto"/>
              </w:rPr>
            </w:pPr>
          </w:p>
        </w:tc>
        <w:tc>
          <w:tcPr>
            <w:tcW w:w="142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(813)</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1,506</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34,325</w:t>
            </w:r>
          </w:p>
        </w:tc>
        <w:tc>
          <w:tcPr>
            <w:tcW w:w="0" w:type="dxa"/>
            <w:vAlign w:val="bottom"/>
          </w:tcPr>
          <w:p>
            <w:pPr>
              <w:spacing w:after="0"/>
              <w:rPr>
                <w:sz w:val="1"/>
                <w:szCs w:val="1"/>
                <w:color w:val="auto"/>
              </w:rPr>
            </w:pPr>
          </w:p>
        </w:tc>
      </w:tr>
      <w:tr>
        <w:trPr>
          <w:trHeight w:val="256"/>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20" w:type="dxa"/>
            <w:vAlign w:val="bottom"/>
          </w:tcPr>
          <w:p>
            <w:pPr>
              <w:spacing w:after="0"/>
              <w:rPr>
                <w:sz w:val="23"/>
                <w:szCs w:val="23"/>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416</w:t>
            </w:r>
          </w:p>
        </w:tc>
        <w:tc>
          <w:tcPr>
            <w:tcW w:w="580" w:type="dxa"/>
            <w:vAlign w:val="bottom"/>
          </w:tcPr>
          <w:p>
            <w:pPr>
              <w:spacing w:after="0"/>
              <w:rPr>
                <w:sz w:val="23"/>
                <w:szCs w:val="23"/>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691</w:t>
            </w:r>
          </w:p>
        </w:tc>
        <w:tc>
          <w:tcPr>
            <w:tcW w:w="500" w:type="dxa"/>
            <w:vAlign w:val="bottom"/>
          </w:tcPr>
          <w:p>
            <w:pPr>
              <w:spacing w:after="0"/>
              <w:rPr>
                <w:sz w:val="23"/>
                <w:szCs w:val="23"/>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398</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4,468</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152,802</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17,319</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(1,192)</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14,488</w:t>
            </w:r>
          </w:p>
        </w:tc>
        <w:tc>
          <w:tcPr>
            <w:tcW w:w="10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$3,510</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Transfers between plan trusts</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36,351</w:t>
            </w:r>
          </w:p>
        </w:tc>
        <w:tc>
          <w:tcPr>
            <w:tcW w:w="1920" w:type="dxa"/>
            <w:vAlign w:val="bottom"/>
            <w:gridSpan w:val="2"/>
            <w:vMerge w:val="restart"/>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378,751</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000" w:type="dxa"/>
            <w:vAlign w:val="bottom"/>
            <w:gridSpan w:val="2"/>
            <w:vMerge w:val="continue"/>
          </w:tcPr>
          <w:p>
            <w:pPr>
              <w:spacing w:after="0"/>
              <w:rPr>
                <w:sz w:val="15"/>
                <w:szCs w:val="15"/>
                <w:color w:val="auto"/>
              </w:rPr>
            </w:pP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vMerge w:val="continue"/>
          </w:tcPr>
          <w:p>
            <w:pPr>
              <w:spacing w:after="0"/>
              <w:rPr>
                <w:sz w:val="15"/>
                <w:szCs w:val="15"/>
                <w:color w:val="auto"/>
              </w:rPr>
            </w:pP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17,221</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35,176</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14,188</w:t>
            </w: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3,510</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413,392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476,056</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DEDUCTIONS FROM NET ASSETS: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(165)</w:t>
            </w:r>
          </w:p>
        </w:tc>
        <w:tc>
          <w:tcPr>
            <w:tcW w:w="580" w:type="dxa"/>
            <w:vAlign w:val="bottom"/>
          </w:tcPr>
          <w:p>
            <w:pPr>
              <w:spacing w:after="0"/>
              <w:rPr>
                <w:sz w:val="8"/>
                <w:szCs w:val="8"/>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(321)</w:t>
            </w:r>
          </w:p>
        </w:tc>
        <w:tc>
          <w:tcPr>
            <w:tcW w:w="500" w:type="dxa"/>
            <w:vAlign w:val="bottom"/>
          </w:tcPr>
          <w:p>
            <w:pPr>
              <w:spacing w:after="0"/>
              <w:rPr>
                <w:sz w:val="8"/>
                <w:szCs w:val="8"/>
                <w:color w:val="auto"/>
              </w:rPr>
            </w:pPr>
          </w:p>
        </w:tc>
        <w:tc>
          <w:tcPr>
            <w:tcW w:w="1420" w:type="dxa"/>
            <w:vAlign w:val="bottom"/>
            <w:vMerge w:val="restart"/>
          </w:tcPr>
          <w:p>
            <w:pPr>
              <w:jc w:val="right"/>
              <w:ind w:right="704"/>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8"/>
                <w:szCs w:val="8"/>
                <w:color w:val="auto"/>
              </w:rPr>
            </w:pPr>
          </w:p>
        </w:tc>
        <w:tc>
          <w:tcPr>
            <w:tcW w:w="8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8"/>
                <w:szCs w:val="8"/>
                <w:color w:val="auto"/>
              </w:rPr>
            </w:pPr>
          </w:p>
        </w:tc>
        <w:tc>
          <w:tcPr>
            <w:tcW w:w="110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(8,112)</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(153,825)</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Distributions to successor plans</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(16,968)</w:t>
            </w:r>
          </w:p>
        </w:tc>
        <w:tc>
          <w:tcPr>
            <w:tcW w:w="15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(34,493)</w:t>
            </w:r>
          </w:p>
        </w:tc>
        <w:tc>
          <w:tcPr>
            <w:tcW w:w="19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(14,123)</w:t>
            </w:r>
          </w:p>
        </w:tc>
        <w:tc>
          <w:tcPr>
            <w:tcW w:w="10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(6,216)</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(405,251)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(459,973)</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Loans transfers, net</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(356)</w:t>
            </w:r>
          </w:p>
        </w:tc>
        <w:tc>
          <w:tcPr>
            <w:tcW w:w="5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2,739</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0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w:t>
            </w:r>
          </w:p>
        </w:tc>
        <w:tc>
          <w:tcPr>
            <w:tcW w:w="500" w:type="dxa"/>
            <w:vAlign w:val="bottom"/>
          </w:tcPr>
          <w:p>
            <w:pPr>
              <w:spacing w:after="0"/>
              <w:rPr>
                <w:sz w:val="15"/>
                <w:szCs w:val="15"/>
                <w:color w:val="auto"/>
              </w:rPr>
            </w:pPr>
          </w:p>
        </w:tc>
        <w:tc>
          <w:tcPr>
            <w:tcW w:w="14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w:t>
            </w:r>
          </w:p>
        </w:tc>
        <w:tc>
          <w:tcPr>
            <w:tcW w:w="1080" w:type="dxa"/>
            <w:vAlign w:val="bottom"/>
            <w:gridSpan w:val="2"/>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(5,907)</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000" w:type="dxa"/>
            <w:vAlign w:val="bottom"/>
            <w:gridSpan w:val="2"/>
            <w:vMerge w:val="continue"/>
          </w:tcPr>
          <w:p>
            <w:pPr>
              <w:spacing w:after="0"/>
              <w:rPr>
                <w:sz w:val="15"/>
                <w:szCs w:val="15"/>
                <w:color w:val="auto"/>
              </w:rPr>
            </w:pP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vMerge w:val="continue"/>
          </w:tcPr>
          <w:p>
            <w:pPr>
              <w:spacing w:after="0"/>
              <w:rPr>
                <w:sz w:val="15"/>
                <w:szCs w:val="15"/>
                <w:color w:val="auto"/>
              </w:rPr>
            </w:pP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17,221</w:t>
            </w:r>
          </w:p>
        </w:tc>
        <w:tc>
          <w:tcPr>
            <w:tcW w:w="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35,176</w:t>
            </w:r>
          </w:p>
        </w:tc>
        <w:tc>
          <w:tcPr>
            <w:tcW w:w="500" w:type="dxa"/>
            <w:vAlign w:val="bottom"/>
          </w:tcPr>
          <w:p>
            <w:pPr>
              <w:spacing w:after="0"/>
              <w:rPr>
                <w:sz w:val="15"/>
                <w:szCs w:val="15"/>
                <w:color w:val="auto"/>
              </w:rPr>
            </w:pP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6"/>
              </w:rPr>
              <w:t>14,188</w:t>
            </w:r>
          </w:p>
        </w:tc>
        <w:tc>
          <w:tcPr>
            <w:tcW w:w="2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3,510</w:t>
            </w:r>
          </w:p>
        </w:tc>
        <w:tc>
          <w:tcPr>
            <w:tcW w:w="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413,392</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619,705</w:t>
            </w:r>
          </w:p>
        </w:tc>
        <w:tc>
          <w:tcPr>
            <w:tcW w:w="0" w:type="dxa"/>
            <w:vAlign w:val="bottom"/>
          </w:tcPr>
          <w:p>
            <w:pPr>
              <w:spacing w:after="0"/>
              <w:rPr>
                <w:sz w:val="1"/>
                <w:szCs w:val="1"/>
                <w:color w:val="auto"/>
              </w:rPr>
            </w:pPr>
          </w:p>
        </w:tc>
      </w:tr>
      <w:tr>
        <w:trPr>
          <w:trHeight w:val="256"/>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Increase (Decrease)</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8"/>
                <w:szCs w:val="8"/>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8"/>
                <w:szCs w:val="8"/>
                <w:color w:val="auto"/>
              </w:rPr>
            </w:pP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8"/>
                <w:szCs w:val="8"/>
                <w:color w:val="auto"/>
              </w:rPr>
            </w:pPr>
          </w:p>
        </w:tc>
        <w:tc>
          <w:tcPr>
            <w:tcW w:w="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8"/>
                <w:szCs w:val="8"/>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(143,649)</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220" w:type="dxa"/>
            <w:vAlign w:val="bottom"/>
          </w:tcPr>
          <w:p>
            <w:pPr>
              <w:spacing w:after="0"/>
              <w:rPr>
                <w:sz w:val="15"/>
                <w:szCs w:val="15"/>
                <w:color w:val="auto"/>
              </w:rPr>
            </w:pP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5"/>
                <w:szCs w:val="15"/>
                <w:color w:val="auto"/>
              </w:rPr>
            </w:pPr>
          </w:p>
        </w:tc>
        <w:tc>
          <w:tcPr>
            <w:tcW w:w="9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42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5"/>
                <w:szCs w:val="15"/>
                <w:color w:val="auto"/>
              </w:rPr>
            </w:pPr>
          </w:p>
        </w:tc>
        <w:tc>
          <w:tcPr>
            <w:tcW w:w="86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spacing w:after="0"/>
              <w:rPr>
                <w:sz w:val="15"/>
                <w:szCs w:val="15"/>
                <w:color w:val="auto"/>
              </w:rPr>
            </w:pPr>
          </w:p>
        </w:tc>
        <w:tc>
          <w:tcPr>
            <w:tcW w:w="110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3,771,771</w:t>
            </w:r>
          </w:p>
        </w:tc>
        <w:tc>
          <w:tcPr>
            <w:tcW w:w="0" w:type="dxa"/>
            <w:vAlign w:val="bottom"/>
          </w:tcPr>
          <w:p>
            <w:pPr>
              <w:spacing w:after="0"/>
              <w:rPr>
                <w:sz w:val="1"/>
                <w:szCs w:val="1"/>
                <w:color w:val="auto"/>
              </w:rPr>
            </w:pPr>
          </w:p>
        </w:tc>
      </w:tr>
      <w:tr>
        <w:trPr>
          <w:trHeight w:val="175"/>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at end of year</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$3,628,122</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5" w:right="219" w:bottom="1440" w:gutter="0" w:footer="0" w:header="0"/>
        </w:sectPr>
      </w:pPr>
    </w:p>
    <w:bookmarkStart w:id="93" w:name="page94"/>
    <w:bookmarkEnd w:id="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ind w:left="8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Schedule III (Cont'd)</w:t>
      </w:r>
    </w:p>
    <w:p>
      <w:pPr>
        <w:spacing w:after="0" w:line="180"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5"/>
          <w:szCs w:val="15"/>
          <w:color w:val="auto"/>
        </w:rPr>
        <w:t>EASTMAN KODAK EMPLOYEES' SAVINGS AND INVESTMENT PLAN</w:t>
      </w:r>
    </w:p>
    <w:p>
      <w:pPr>
        <w:spacing w:after="0" w:line="33"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5"/>
          <w:szCs w:val="15"/>
          <w:color w:val="auto"/>
        </w:rPr>
        <w:t>ALLOCATION OF CHANGES IN NET ASSETS TO INVESTMENT FUNDS</w:t>
      </w:r>
    </w:p>
    <w:p>
      <w:pPr>
        <w:spacing w:after="0" w:line="5"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5"/>
          <w:szCs w:val="15"/>
          <w:color w:val="auto"/>
        </w:rPr>
        <w:t>For the year ended December 30, 1993</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22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Kodak</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Diversified</w:t>
            </w:r>
          </w:p>
        </w:tc>
        <w:tc>
          <w:tcPr>
            <w:tcW w:w="1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U.S.</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Fixed</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Government</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Income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Fund</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Securities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Fund</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(Fund A)</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(Fund B)</w:t>
            </w:r>
          </w:p>
        </w:tc>
        <w:tc>
          <w:tcPr>
            <w:tcW w:w="10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(Fund C)</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(Fund D)</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Dividends on Eastman Kodak</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$ 11,415</w:t>
            </w: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Company common stock</w:t>
            </w:r>
          </w:p>
        </w:tc>
        <w:tc>
          <w:tcPr>
            <w:tcW w:w="1220" w:type="dxa"/>
            <w:vAlign w:val="bottom"/>
            <w:vMerge w:val="continue"/>
          </w:tcPr>
          <w:p>
            <w:pPr>
              <w:spacing w:after="0"/>
              <w:rPr>
                <w:sz w:val="15"/>
                <w:szCs w:val="15"/>
                <w:color w:val="auto"/>
              </w:rPr>
            </w:pP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  5,833</w:t>
            </w: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dividends</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793</w:t>
            </w:r>
          </w:p>
        </w:tc>
        <w:tc>
          <w:tcPr>
            <w:tcW w:w="1280" w:type="dxa"/>
            <w:vAlign w:val="bottom"/>
            <w:vMerge w:val="continue"/>
          </w:tcPr>
          <w:p>
            <w:pPr>
              <w:spacing w:after="0"/>
              <w:rPr>
                <w:sz w:val="15"/>
                <w:szCs w:val="15"/>
                <w:color w:val="auto"/>
              </w:rPr>
            </w:pPr>
          </w:p>
        </w:tc>
        <w:tc>
          <w:tcPr>
            <w:tcW w:w="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  256,697</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220" w:type="dxa"/>
            <w:vAlign w:val="bottom"/>
            <w:vMerge w:val="continue"/>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1,114</w:t>
            </w:r>
          </w:p>
        </w:tc>
        <w:tc>
          <w:tcPr>
            <w:tcW w:w="5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Income from common/collective</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45</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110</w:t>
            </w: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1,408</w:t>
            </w:r>
          </w:p>
        </w:tc>
        <w:tc>
          <w:tcPr>
            <w:tcW w:w="0" w:type="dxa"/>
            <w:vAlign w:val="bottom"/>
          </w:tcPr>
          <w:p>
            <w:pPr>
              <w:spacing w:after="0"/>
              <w:rPr>
                <w:sz w:val="1"/>
                <w:szCs w:val="1"/>
                <w:color w:val="auto"/>
              </w:rPr>
            </w:pPr>
          </w:p>
        </w:tc>
      </w:tr>
      <w:tr>
        <w:trPr>
          <w:trHeight w:val="256"/>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trusts (pooled) funds</w:t>
            </w:r>
          </w:p>
        </w:tc>
        <w:tc>
          <w:tcPr>
            <w:tcW w:w="12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realized and unrealized</w:t>
            </w: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gains (losses) from</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101,164</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21,788</w:t>
            </w:r>
          </w:p>
        </w:tc>
        <w:tc>
          <w:tcPr>
            <w:tcW w:w="540" w:type="dxa"/>
            <w:vAlign w:val="bottom"/>
          </w:tcPr>
          <w:p>
            <w:pPr>
              <w:spacing w:after="0"/>
              <w:rPr>
                <w:sz w:val="15"/>
                <w:szCs w:val="15"/>
                <w:color w:val="auto"/>
              </w:rPr>
            </w:pPr>
          </w:p>
        </w:tc>
        <w:tc>
          <w:tcPr>
            <w:tcW w:w="5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56"/>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2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9,218</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32,106</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133,818</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Transfers among funds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(43,783)</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54,409</w:t>
            </w: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(162)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(10,464)</w:t>
            </w:r>
          </w:p>
        </w:tc>
        <w:tc>
          <w:tcPr>
            <w:tcW w:w="0" w:type="dxa"/>
            <w:vAlign w:val="bottom"/>
          </w:tcPr>
          <w:p>
            <w:pPr>
              <w:spacing w:after="0"/>
              <w:rPr>
                <w:sz w:val="1"/>
                <w:szCs w:val="1"/>
                <w:color w:val="auto"/>
              </w:rPr>
            </w:pPr>
          </w:p>
        </w:tc>
      </w:tr>
      <w:tr>
        <w:trPr>
          <w:trHeight w:val="175"/>
        </w:trPr>
        <w:tc>
          <w:tcPr>
            <w:tcW w:w="28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78,852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115,360</w:t>
            </w: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(157)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381,452</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DEDUCTIONS FROM NET ASSETS:</w:t>
            </w:r>
          </w:p>
        </w:tc>
        <w:tc>
          <w:tcPr>
            <w:tcW w:w="12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(10,900)</w:t>
            </w: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(9,837)</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(97,583)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Distributions to participants</w:t>
            </w:r>
          </w:p>
        </w:tc>
        <w:tc>
          <w:tcPr>
            <w:tcW w:w="12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Administrative expenses</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(431)</w:t>
            </w:r>
          </w:p>
        </w:tc>
        <w:tc>
          <w:tcPr>
            <w:tcW w:w="540" w:type="dxa"/>
            <w:vAlign w:val="bottom"/>
          </w:tcPr>
          <w:p>
            <w:pPr>
              <w:spacing w:after="0"/>
              <w:rPr>
                <w:sz w:val="23"/>
                <w:szCs w:val="23"/>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(1,627)</w:t>
            </w:r>
          </w:p>
        </w:tc>
        <w:tc>
          <w:tcPr>
            <w:tcW w:w="0" w:type="dxa"/>
            <w:vAlign w:val="bottom"/>
          </w:tcPr>
          <w:p>
            <w:pPr>
              <w:spacing w:after="0"/>
              <w:rPr>
                <w:sz w:val="1"/>
                <w:szCs w:val="1"/>
                <w:color w:val="auto"/>
              </w:rPr>
            </w:pPr>
          </w:p>
        </w:tc>
      </w:tr>
      <w:tr>
        <w:trPr>
          <w:trHeight w:val="175"/>
        </w:trPr>
        <w:tc>
          <w:tcPr>
            <w:tcW w:w="28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10,956</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10,268</w:t>
            </w:r>
          </w:p>
        </w:tc>
        <w:tc>
          <w:tcPr>
            <w:tcW w:w="540" w:type="dxa"/>
            <w:vAlign w:val="bottom"/>
          </w:tcPr>
          <w:p>
            <w:pPr>
              <w:spacing w:after="0"/>
              <w:rPr>
                <w:sz w:val="15"/>
                <w:szCs w:val="15"/>
                <w:color w:val="auto"/>
              </w:rPr>
            </w:pPr>
          </w:p>
        </w:tc>
        <w:tc>
          <w:tcPr>
            <w:tcW w:w="5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99,210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Increase (Decrease)</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67,896</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105,092</w:t>
            </w:r>
          </w:p>
        </w:tc>
        <w:tc>
          <w:tcPr>
            <w:tcW w:w="108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(158)</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282,242</w:t>
            </w:r>
          </w:p>
        </w:tc>
        <w:tc>
          <w:tcPr>
            <w:tcW w:w="0" w:type="dxa"/>
            <w:vAlign w:val="bottom"/>
          </w:tcPr>
          <w:p>
            <w:pPr>
              <w:spacing w:after="0"/>
              <w:rPr>
                <w:sz w:val="1"/>
                <w:szCs w:val="1"/>
                <w:color w:val="auto"/>
              </w:rPr>
            </w:pPr>
          </w:p>
        </w:tc>
      </w:tr>
      <w:tr>
        <w:trPr>
          <w:trHeight w:val="256"/>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in net assets</w:t>
            </w:r>
          </w:p>
        </w:tc>
        <w:tc>
          <w:tcPr>
            <w:tcW w:w="12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assets at beginning</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282,439</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331,126</w:t>
            </w:r>
          </w:p>
        </w:tc>
        <w:tc>
          <w:tcPr>
            <w:tcW w:w="540" w:type="dxa"/>
            <w:vAlign w:val="bottom"/>
          </w:tcPr>
          <w:p>
            <w:pPr>
              <w:spacing w:after="0"/>
              <w:rPr>
                <w:sz w:val="23"/>
                <w:szCs w:val="23"/>
                <w:color w:val="auto"/>
              </w:rPr>
            </w:pPr>
          </w:p>
        </w:tc>
        <w:tc>
          <w:tcPr>
            <w:tcW w:w="5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w w:val="96"/>
              </w:rPr>
              <w:t>158</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2,702,976</w:t>
            </w: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assets at end</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$350,335</w:t>
            </w:r>
          </w:p>
        </w:tc>
        <w:tc>
          <w:tcPr>
            <w:tcW w:w="12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$436,218</w:t>
            </w:r>
          </w:p>
        </w:tc>
        <w:tc>
          <w:tcPr>
            <w:tcW w:w="5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0</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$2,985,218</w:t>
            </w: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2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ind w:left="80"/>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29" w:lineRule="exact"/>
        <w:rPr>
          <w:sz w:val="20"/>
          <w:szCs w:val="20"/>
          <w:color w:val="auto"/>
        </w:rPr>
      </w:pPr>
    </w:p>
    <w:p>
      <w:pPr>
        <w:ind w:right="3419"/>
        <w:spacing w:after="0" w:line="524"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 33-65035) of Eastman Kodak Company of our report dated April 26, 1996 relating to the Eastman Kodak Employees' Savings and Investment Plan financial statements appearing on page 3 of this Annual Report on Form 11-K.</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Rochester,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26, 1996</w:t>
      </w:r>
    </w:p>
    <w:sectPr>
      <w:pgSz w:w="11900" w:h="16838" w:orient="portrait"/>
      <w:cols w:equalWidth="0" w:num="1">
        <w:col w:w="10219"/>
      </w:cols>
      <w:pgMar w:left="2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99"/>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2019-12-13T00:32:15Z</dcterms:created>
  <dcterms:modified xsi:type="dcterms:W3CDTF">2019-12-13T00:32:15Z</dcterms:modified>
</cp:coreProperties>
</file>