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99060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127000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2060" w:hanging="1469"/>
        <w:spacing w:after="0"/>
        <w:tabs>
          <w:tab w:leader="none" w:pos="20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5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2040" w:hanging="1449"/>
        <w:spacing w:after="0"/>
        <w:tabs>
          <w:tab w:leader="none" w:pos="204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73" w:lineRule="exact"/>
        <w:rPr>
          <w:sz w:val="24"/>
          <w:szCs w:val="24"/>
          <w:color w:val="auto"/>
        </w:rPr>
      </w:pPr>
    </w:p>
    <w:p>
      <w:pPr>
        <w:ind w:left="3740"/>
        <w:spacing w:after="0"/>
        <w:tabs>
          <w:tab w:leader="none" w:pos="6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3849370</wp:posOffset>
            </wp:positionH>
            <wp:positionV relativeFrom="paragraph">
              <wp:posOffset>-7620</wp:posOffset>
            </wp:positionV>
            <wp:extent cx="781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138"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107950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5540" w:type="dxa"/>
            <w:vAlign w:val="bottom"/>
          </w:tcPr>
          <w:p>
            <w:pPr>
              <w:jc w:val="center"/>
              <w:ind w:right="1539"/>
              <w:spacing w:after="0"/>
              <w:rPr>
                <w:sz w:val="20"/>
                <w:szCs w:val="20"/>
                <w:color w:val="auto"/>
              </w:rPr>
            </w:pPr>
            <w:r>
              <w:rPr>
                <w:rFonts w:ascii="Arial" w:cs="Arial" w:eastAsia="Arial" w:hAnsi="Arial"/>
                <w:sz w:val="18"/>
                <w:szCs w:val="18"/>
                <w:b w:val="1"/>
                <w:bCs w:val="1"/>
                <w:color w:val="auto"/>
                <w:w w:val="98"/>
              </w:rPr>
              <w:t>NEW JERSEY</w:t>
            </w:r>
          </w:p>
        </w:tc>
        <w:tc>
          <w:tcPr>
            <w:tcW w:w="2740" w:type="dxa"/>
            <w:vAlign w:val="bottom"/>
          </w:tcPr>
          <w:p>
            <w:pPr>
              <w:jc w:val="right"/>
              <w:ind w:right="41"/>
              <w:spacing w:after="0"/>
              <w:rPr>
                <w:sz w:val="20"/>
                <w:szCs w:val="20"/>
                <w:color w:val="auto"/>
              </w:rPr>
            </w:pPr>
            <w:r>
              <w:rPr>
                <w:rFonts w:ascii="Arial" w:cs="Arial" w:eastAsia="Arial" w:hAnsi="Arial"/>
                <w:sz w:val="18"/>
                <w:szCs w:val="18"/>
                <w:b w:val="1"/>
                <w:bCs w:val="1"/>
                <w:color w:val="auto"/>
              </w:rPr>
              <w:t>16-0417150</w:t>
            </w:r>
          </w:p>
        </w:tc>
      </w:tr>
      <w:tr>
        <w:trPr>
          <w:trHeight w:val="153"/>
        </w:trPr>
        <w:tc>
          <w:tcPr>
            <w:tcW w:w="5540" w:type="dxa"/>
            <w:vAlign w:val="bottom"/>
          </w:tcPr>
          <w:p>
            <w:pPr>
              <w:jc w:val="center"/>
              <w:ind w:right="1539"/>
              <w:spacing w:after="0" w:line="153" w:lineRule="exact"/>
              <w:rPr>
                <w:sz w:val="20"/>
                <w:szCs w:val="20"/>
                <w:color w:val="auto"/>
              </w:rPr>
            </w:pPr>
            <w:r>
              <w:rPr>
                <w:rFonts w:ascii="Arial" w:cs="Arial" w:eastAsia="Arial" w:hAnsi="Arial"/>
                <w:sz w:val="14"/>
                <w:szCs w:val="14"/>
                <w:b w:val="1"/>
                <w:bCs w:val="1"/>
                <w:color w:val="auto"/>
                <w:w w:val="93"/>
              </w:rPr>
              <w:t>(State of incorporation)</w:t>
            </w:r>
          </w:p>
        </w:tc>
        <w:tc>
          <w:tcPr>
            <w:tcW w:w="2740" w:type="dxa"/>
            <w:vAlign w:val="bottom"/>
          </w:tcPr>
          <w:p>
            <w:pPr>
              <w:jc w:val="center"/>
              <w:ind w:left="1561"/>
              <w:spacing w:after="0" w:line="153"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40" w:type="dxa"/>
            <w:vAlign w:val="bottom"/>
          </w:tcPr>
          <w:p>
            <w:pPr>
              <w:spacing w:after="0"/>
              <w:rPr>
                <w:sz w:val="16"/>
                <w:szCs w:val="16"/>
                <w:color w:val="auto"/>
              </w:rPr>
            </w:pPr>
          </w:p>
        </w:tc>
        <w:tc>
          <w:tcPr>
            <w:tcW w:w="2740" w:type="dxa"/>
            <w:vAlign w:val="bottom"/>
          </w:tcPr>
          <w:p>
            <w:pPr>
              <w:jc w:val="center"/>
              <w:ind w:left="1541"/>
              <w:spacing w:after="0"/>
              <w:rPr>
                <w:sz w:val="20"/>
                <w:szCs w:val="20"/>
                <w:color w:val="auto"/>
              </w:rPr>
            </w:pPr>
            <w:r>
              <w:rPr>
                <w:rFonts w:ascii="Arial" w:cs="Arial" w:eastAsia="Arial" w:hAnsi="Arial"/>
                <w:sz w:val="14"/>
                <w:szCs w:val="14"/>
                <w:b w:val="1"/>
                <w:bCs w:val="1"/>
                <w:color w:val="auto"/>
                <w:w w:val="94"/>
              </w:rPr>
              <w:t>Identification No.)</w:t>
            </w:r>
          </w:p>
        </w:tc>
      </w:tr>
      <w:tr>
        <w:trPr>
          <w:trHeight w:val="323"/>
        </w:trPr>
        <w:tc>
          <w:tcPr>
            <w:tcW w:w="5540" w:type="dxa"/>
            <w:vAlign w:val="bottom"/>
          </w:tcPr>
          <w:p>
            <w:pPr>
              <w:jc w:val="center"/>
              <w:ind w:right="1519"/>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91"/>
        </w:trPr>
        <w:tc>
          <w:tcPr>
            <w:tcW w:w="554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61"/>
              <w:spacing w:after="0"/>
              <w:rPr>
                <w:sz w:val="20"/>
                <w:szCs w:val="20"/>
                <w:color w:val="auto"/>
              </w:rPr>
            </w:pPr>
            <w:r>
              <w:rPr>
                <w:rFonts w:ascii="Arial" w:cs="Arial" w:eastAsia="Arial" w:hAnsi="Arial"/>
                <w:sz w:val="14"/>
                <w:szCs w:val="14"/>
                <w:b w:val="1"/>
                <w:bCs w:val="1"/>
                <w:color w:val="auto"/>
                <w:w w:val="95"/>
              </w:rPr>
              <w:t>(Zip Code)</w:t>
            </w:r>
          </w:p>
        </w:tc>
      </w:tr>
    </w:tbl>
    <w:p>
      <w:pPr>
        <w:spacing w:after="0" w:line="11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2776855</wp:posOffset>
            </wp:positionH>
            <wp:positionV relativeFrom="paragraph">
              <wp:posOffset>120650</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7" w:lineRule="exact"/>
        <w:rPr>
          <w:sz w:val="24"/>
          <w:szCs w:val="24"/>
          <w:color w:val="auto"/>
        </w:rPr>
      </w:pPr>
    </w:p>
    <w:p>
      <w:pPr>
        <w:ind w:right="1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See definition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56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gridSpan w:val="2"/>
          </w:tcPr>
          <w:p>
            <w:pPr>
              <w:ind w:left="17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34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700"/>
        <w:spacing w:after="0" w:line="30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 2018, the registrant had 42,726,652 shares of common stock, $0.01 par value per share, outstanding.</w:t>
      </w: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440" w:top="652"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0" w:type="dxa"/>
            <w:vAlign w:val="bottom"/>
            <w:gridSpan w:val="5"/>
            <w:vMerge w:val="restart"/>
          </w:tcPr>
          <w:p>
            <w:pPr>
              <w:jc w:val="center"/>
              <w:ind w:right="2220"/>
              <w:spacing w:after="0"/>
              <w:rPr>
                <w:sz w:val="20"/>
                <w:szCs w:val="20"/>
                <w:color w:val="auto"/>
              </w:rPr>
            </w:pPr>
            <w:r>
              <w:rPr>
                <w:rFonts w:ascii="Arial" w:cs="Arial" w:eastAsia="Arial" w:hAnsi="Arial"/>
                <w:sz w:val="18"/>
                <w:szCs w:val="18"/>
                <w:b w:val="1"/>
                <w:bCs w:val="1"/>
                <w:color w:val="auto"/>
                <w:w w:val="95"/>
              </w:rPr>
              <w:t>Part I.—Financial Information</w:t>
            </w:r>
          </w:p>
        </w:tc>
        <w:tc>
          <w:tcPr>
            <w:tcW w:w="232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0" w:type="dxa"/>
            <w:vAlign w:val="bottom"/>
            <w:gridSpan w:val="5"/>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5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Comprehensive (Loss) Income (Unaudited)</w:t>
              </w:r>
            </w:hyperlink>
          </w:p>
        </w:tc>
        <w:tc>
          <w:tcPr>
            <w:tcW w:w="3220" w:type="dxa"/>
            <w:vAlign w:val="bottom"/>
            <w:gridSpan w:val="2"/>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1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Financial Position (Unaudited)</w:t>
              </w:r>
            </w:hyperlink>
          </w:p>
        </w:tc>
        <w:tc>
          <w:tcPr>
            <w:tcW w:w="4140" w:type="dxa"/>
            <w:vAlign w:val="bottom"/>
            <w:gridSpan w:val="3"/>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Cash Flows (Unaudited)</w:t>
              </w:r>
            </w:hyperlink>
          </w:p>
        </w:tc>
        <w:tc>
          <w:tcPr>
            <w:tcW w:w="4600" w:type="dxa"/>
            <w:vAlign w:val="bottom"/>
            <w:gridSpan w:val="5"/>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30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Financial Statements (Unaudited)</w:t>
              </w:r>
            </w:hyperlink>
          </w:p>
        </w:tc>
        <w:tc>
          <w:tcPr>
            <w:tcW w:w="5240" w:type="dxa"/>
            <w:vAlign w:val="bottom"/>
            <w:gridSpan w:val="7"/>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4.</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Liquidity and Capital Resources</w:t>
              </w:r>
            </w:hyperlink>
          </w:p>
        </w:tc>
        <w:tc>
          <w:tcPr>
            <w:tcW w:w="1860" w:type="dxa"/>
            <w:vAlign w:val="bottom"/>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00" w:type="dxa"/>
            <w:vAlign w:val="bottom"/>
            <w:vMerge w:val="continue"/>
          </w:tcPr>
          <w:p>
            <w:pPr>
              <w:spacing w:after="0"/>
              <w:rPr>
                <w:sz w:val="19"/>
                <w:szCs w:val="19"/>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000" w:type="dxa"/>
            <w:vAlign w:val="bottom"/>
            <w:gridSpan w:val="8"/>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w w:val="97"/>
              </w:rPr>
              <w:t>Part II. —Other Information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ind w:left="8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6980" w:type="dxa"/>
            <w:vAlign w:val="bottom"/>
            <w:gridSpan w:val="11"/>
          </w:tcPr>
          <w:p>
            <w:pPr>
              <w:spacing w:after="0"/>
              <w:rPr>
                <w:sz w:val="24"/>
                <w:szCs w:val="24"/>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1A.</w:t>
            </w:r>
          </w:p>
        </w:tc>
        <w:tc>
          <w:tcPr>
            <w:tcW w:w="832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80"/>
              <w:spacing w:after="0"/>
              <w:rPr>
                <w:sz w:val="20"/>
                <w:szCs w:val="20"/>
                <w:color w:val="auto"/>
              </w:rPr>
            </w:pPr>
            <w:r>
              <w:rPr>
                <w:rFonts w:ascii="Arial" w:cs="Arial" w:eastAsia="Arial" w:hAnsi="Arial"/>
                <w:sz w:val="18"/>
                <w:szCs w:val="18"/>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continue"/>
          </w:tcPr>
          <w:p>
            <w:pPr>
              <w:spacing w:after="0"/>
              <w:rPr>
                <w:sz w:val="19"/>
                <w:szCs w:val="19"/>
                <w:color w:val="auto"/>
              </w:rPr>
            </w:pPr>
          </w:p>
        </w:tc>
        <w:tc>
          <w:tcPr>
            <w:tcW w:w="8320" w:type="dxa"/>
            <w:vAlign w:val="bottom"/>
            <w:gridSpan w:val="1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Securities and Use of Proceeds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Other Information</w:t>
              </w:r>
            </w:hyperlink>
          </w:p>
        </w:tc>
        <w:tc>
          <w:tcPr>
            <w:tcW w:w="2500" w:type="dxa"/>
            <w:vAlign w:val="bottom"/>
            <w:tcBorders>
              <w:top w:val="single" w:sz="8" w:color="0000EE"/>
            </w:tcBorders>
            <w:gridSpan w:val="8"/>
          </w:tcPr>
          <w:p>
            <w:pPr>
              <w:spacing w:after="0"/>
              <w:rPr>
                <w:sz w:val="19"/>
                <w:szCs w:val="19"/>
                <w:color w:val="auto"/>
              </w:rPr>
            </w:pPr>
          </w:p>
        </w:tc>
        <w:tc>
          <w:tcPr>
            <w:tcW w:w="4500" w:type="dxa"/>
            <w:vAlign w:val="bottom"/>
            <w:gridSpan w:val="4"/>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800" w:type="dxa"/>
            <w:vAlign w:val="bottom"/>
          </w:tcPr>
          <w:p>
            <w:pPr>
              <w:ind w:left="80"/>
              <w:spacing w:after="0"/>
              <w:rPr>
                <w:sz w:val="20"/>
                <w:szCs w:val="20"/>
                <w:color w:val="auto"/>
              </w:rPr>
            </w:pPr>
            <w:r>
              <w:rPr>
                <w:rFonts w:ascii="Arial" w:cs="Arial" w:eastAsia="Arial" w:hAnsi="Arial"/>
                <w:sz w:val="18"/>
                <w:szCs w:val="18"/>
                <w:color w:val="auto"/>
              </w:rPr>
              <w:t>Item 6.</w:t>
            </w:r>
          </w:p>
        </w:tc>
        <w:tc>
          <w:tcPr>
            <w:tcW w:w="832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tcPr>
          <w:p>
            <w:pPr>
              <w:spacing w:after="0"/>
              <w:rPr>
                <w:sz w:val="24"/>
                <w:szCs w:val="24"/>
                <w:color w:val="auto"/>
              </w:rPr>
            </w:pPr>
          </w:p>
        </w:tc>
        <w:tc>
          <w:tcPr>
            <w:tcW w:w="8320" w:type="dxa"/>
            <w:vAlign w:val="bottom"/>
            <w:gridSpan w:val="1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Index to Exhibits</w:t>
              </w:r>
            </w:hyperlink>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40" w:type="dxa"/>
            <w:vAlign w:val="bottom"/>
            <w:tcBorders>
              <w:top w:val="single" w:sz="8" w:color="0000EE"/>
            </w:tcBorders>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7080" w:type="dxa"/>
            <w:vAlign w:val="bottom"/>
            <w:gridSpan w:val="13"/>
          </w:tcPr>
          <w:p>
            <w:pPr>
              <w:spacing w:after="0"/>
              <w:rPr>
                <w:sz w:val="19"/>
                <w:szCs w:val="19"/>
                <w:color w:val="auto"/>
              </w:rPr>
            </w:pPr>
          </w:p>
        </w:tc>
        <w:tc>
          <w:tcPr>
            <w:tcW w:w="23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939"/>
        </w:trPr>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340" w:type="dxa"/>
            <w:vAlign w:val="bottom"/>
            <w:gridSpan w:val="13"/>
          </w:tcPr>
          <w:p>
            <w:pPr>
              <w:jc w:val="center"/>
              <w:ind w:left="387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300" w:type="dxa"/>
            <w:vAlign w:val="bottom"/>
          </w:tcPr>
          <w:p>
            <w:pPr>
              <w:spacing w:after="0"/>
              <w:rPr>
                <w:sz w:val="20"/>
                <w:szCs w:val="20"/>
                <w:color w:val="auto"/>
              </w:rPr>
            </w:pPr>
          </w:p>
        </w:tc>
        <w:tc>
          <w:tcPr>
            <w:tcW w:w="296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vMerge w:val="restart"/>
          </w:tcPr>
          <w:p>
            <w:pPr>
              <w:jc w:val="right"/>
              <w:ind w:right="9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9"/>
                <w:szCs w:val="19"/>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48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before interest expense,</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charges, net and income taxes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Pension income excluding service cost component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 income</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taxes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5"/>
              </w:rPr>
              <w:t>Equity in loss of equity method investment, net of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20" w:type="dxa"/>
            <w:vAlign w:val="bottom"/>
            <w:gridSpan w:val="2"/>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net earnings (loss) per share attributable to</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(0.40)</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earnings (loss) per share attributable to</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w:t>
            </w:r>
          </w:p>
        </w:tc>
        <w:tc>
          <w:tcPr>
            <w:tcW w:w="4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(0.40)</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 net earnings (loss) per share attributable to</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9"/>
        </w:trPr>
        <w:tc>
          <w:tcPr>
            <w:tcW w:w="4820" w:type="dxa"/>
            <w:vAlign w:val="bottom"/>
            <w:gridSpan w:val="2"/>
          </w:tcPr>
          <w:p>
            <w:pPr>
              <w:spacing w:after="0"/>
              <w:rPr>
                <w:sz w:val="20"/>
                <w:szCs w:val="20"/>
                <w:color w:val="auto"/>
              </w:rPr>
            </w:pPr>
            <w:r>
              <w:rPr>
                <w:rFonts w:ascii="Arial" w:cs="Arial" w:eastAsia="Arial" w:hAnsi="Arial"/>
                <w:sz w:val="18"/>
                <w:szCs w:val="18"/>
                <w:color w:val="auto"/>
              </w:rPr>
              <w:t>Diluted net earnings (loss) per share attributable to</w:t>
            </w: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Eastman Kodak Company common shareholders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3"/>
                <w:szCs w:val="23"/>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Number of common shares used in basic and diluted net</w:t>
            </w: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earnings (loss) per share</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 activity,</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$9 in each period</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 of accumulated depreciation of $426 and $394,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REDEEMABLE CONVERTIBLE PREFERRED STOCK AND EQUITY</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w w:val="94"/>
              </w:rPr>
              <w:t>Redeemable, convertible Series A preferred stock, no par value, $100 per share liquidation preference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(Deficit)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REDEEMABLE CONVERTIBLE PREFERRED STOCK AND EQUITY</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embedded conversion features derivative liability</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Non-cash restructuring costs and asset impairments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Prosper asset remeasurement</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Net gain on sales of assets/businesses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Non-cash changes in workers' compensation and legal reserves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(benefit) for deferred income taxes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Decrease in trade payables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of assets/businesses, net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Proceeds from sales of marketable securities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emergence credit facilities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Repayment of capital leases</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 payments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Payment of contingent consideration related to the sale of a business</w:t>
            </w:r>
          </w:p>
        </w:tc>
        <w:tc>
          <w:tcPr>
            <w:tcW w:w="38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purchases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Effect of exchange rate changes on restricted cash</w:t>
            </w:r>
          </w:p>
        </w:tc>
        <w:tc>
          <w:tcPr>
            <w:tcW w:w="3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FF0FC"/>
            </w:tcBorders>
          </w:tcPr>
          <w:p>
            <w:pPr>
              <w:spacing w:after="0"/>
              <w:rPr>
                <w:sz w:val="19"/>
                <w:szCs w:val="19"/>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consolidated interim financial statements have been prepared on the going concern basis of accounting, which assumes Kodak will continue to operate as a going concern and which contemplates the realization of assets and the satisfaction of liabilities and commitments in the normal course of business.</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$395 million of outstanding indebtedness under the Senior Secured First Lien Term Credit Agreement (the “First Lien Term Credit Agreement”). The loans made under the First Lien Term Credit Agreement become due on the earlier to occur of (i) the maturity date of September 3, 2019 or (ii) the acceleration of such loans following the occurrence of an event of default (as defined in the First Lien Term Credit Agreement). The Company also has issued approximately $85 million and $96 million of letters of credit under the Amended and Restated Credit Agreement (the “Amended Credit Agreement”) as of September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amended in the interim. Upon the occurrence of the termination date under the Amended Credit Agreement, the obligations thereunder will become due and the Company will need to provide alternate collateral in place of the letters of credit issued under the Amended Credit Agreement.</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September 30, 2018 and December 31, 2017, Kodak had approximately $238 million and $344 million, respectively, of cash and cash equivalents. $122 million and $172 million was held in the U.S. as of September 30, 2018 and December 31, 2017, respectively, and $116 million and $172 million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Outstanding inter-company loans to the U.S. as of September 30, 2018 and December 31, 2017 were $379 million and $358 million, respectively, which includes short-term intercompany loans from Kodak’s international finance center of $81 million and $59 million as of September 30, 2018 and December 31, 2017, respectively. In China, where approximately $60 million and $108 million of cash and cash equivalents was held as of September 30, 2018 and December 31, 2017, respectively, there are limitations related to net asset balances that may impact the ability to make cash available to other jurisdictions in the world. Kodak had a net decrease in cash, cash equivalents, and restricted cash of $109 million, $122 million, and $158 million for the years ended December 31, 2017, 2016, and 2015, respectively, and a decrease in cash, cash equivalents, and restricted cash of $113 million for the nine months ended September 30, 2018.</w:t>
      </w:r>
    </w:p>
    <w:p>
      <w:pPr>
        <w:spacing w:after="0" w:line="1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 GAAP requires an evaluation of whether there are conditions or events, considered in the aggregate, that raise substantial doubt about an entity’s ability to continue as a going concern within one year after the date the financial statements are issued. Initially, this evaluation does not consider the potential mitigating effect of management’s plans that have not been fully implemented. When substantial doubt exists, management evaluates the mitigating effect of its plans if it is probable that (1) the plans will be effectively implemented within one year after the date the financial statements are issued, and (2) when implemented, the plans will mitigate the relevant conditions or events that raise substantial doubt about the entity’s ability to continue as a going concern within one year after the date the financial statements are issued or prior to the conditions or events that create the going concern risk.</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of the date of issuance of these financial statements, Kodak has debt coming due within twelve months and does not have committed financing or available liquidity to meet such debt obligations if they were to become due in accordance with their current terms. In October 2018, Kodak entered into a non-binding work letter with an existing lender under the First Lien Term Credit Agreement and another potential financing source, which outlines the terms and conditions of a proposed new term loan facility. The proceeds from the proposed new facility, if consummated, would be used to refinance the loans under the First Lien Term Credit Agreement in full. The non-binding work letter replaces the non-binding letter of intent entered into during the third quarter of 2018. Under the non-binding work letter, Kodak has agreed to work exclusively with the potential financing sources to reach a binding commitment letter setting out the key terms of the proposed new facility. Kodak is currently in negotiations with the potential financing sources regarding the terms of the proposed new facility, however, there can be no assurance that Kodak and the potential financing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sources will reach a binding commitment letter on such terms. Exclusive negotiations between Kodak and the potential financing sources expire on November 12, 2018 in accordance with the terms of the non-binding work letter.</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Kodak has retained an investment banker in connection with a sale of its Flexographic Packaging segment and is in negotiations on an exclusive basis to sell this segment. Net proceeds from any sale of Kodak’s Flexographic Packaging segment will be used to reduce outstanding term loan debt. Under the terms of the First Lien Term Credit Agreement, Kodak is required to maintain a Secured Leverage Ratio. The Secured Leverage Ratio is generally determined by dividing secured debt, net of U.S. cash and cash equivalents, by consolidated EBITDA, as calculated under the First Lien Term Credit Agreement. The consolidated EBITDA, as calculated under the First Lien Term Credit Agreement, could be adversely affected by the sale process or the sale of the Flexographic Packaging segment, which could result in non-compliance with a debt covenant.</w:t>
      </w:r>
    </w:p>
    <w:p>
      <w:pPr>
        <w:spacing w:after="0" w:line="20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Additionally, Kodak is facing liquidity challenges due to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sale of the Flexographic Packaging segment; further restructuring Kodak’s cost structure; and paring investment in new technology by eliminating, slowing, and partnering with investors in product development programs.</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sale of the Flexographic Packaging segment and/or refinancing of the loans under the First Lien Term Credit Agreement are not solely within Kodak’s control. Executing agreements for the sale or a refinancing of the First Lien Term Credit Agreement and the timing for a closing of the sale or a refinancing of the First Lien Term Credit Agreement are dependent upon several external factors outside Kodak’s control, including but not limited to, the ability of the Company to reach acceptable agreements with different counterparties and the time required to meet conditions to closing under a sale agreement or credit facility.</w:t>
      </w:r>
    </w:p>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Kodak makes no assurances regarding the likelihood, certainty or timing of consummating any asset sales, including of the Flexographic Packaging segment, refinancing of the Company’s existing debt, or regarding the sufficiency of any such actions to meet Kodak’s debt obligations, including compliance with debt covenants, or other commitments in the U.S. as they come due.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raise substantial doubt about Kodak’s ability to continue as a going concern</w:t>
      </w:r>
      <w:r>
        <w:rPr>
          <w:rFonts w:ascii="Arial" w:cs="Arial" w:eastAsia="Arial" w:hAnsi="Arial"/>
          <w:sz w:val="18"/>
          <w:szCs w:val="18"/>
          <w:b w:val="1"/>
          <w:bCs w:val="1"/>
          <w:color w:val="auto"/>
        </w:rPr>
        <w:t>.</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more information regarding the First Lien Term Credit Agreement, the Amended Credit Agreement and debt covenants see Note 6, “Debt and Capital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March 2017, the Financial Accounting Standards Board (“FASB”) issued Accounting Standards Update (“ASU”) ASU 2017-07, Compensation— Retirements Benefits (Topic 715): Improving the Presentation of Net Periodic Pension Cost and Net Periodic Postretirement Benefit Cost. ASU 2017-07 requires entities to report the service cost component of net periodic pension and postretirement benefit cost in the same line item(s) as other compensation costs arising from services rendered during the period and to report all other components of net benefit costs outside a subtotal of income from operations. In addition, the ASU allows only the service cost component to be eligible for capitalization when applicable. Kodak adopted ASU 2017-07 effective January 1, 2018, retrospectively for the presentation of the service cost and other cost components and prospectively for the application of the capitalization eligibility. The components of net benefit cost are shown in Note 14, “Retirement Plans and Other Postretirement Benefits”. The guidance impacted presentation in Kodak’s consolidated financial statements and the capitalization of costs to inventory. The presentation of the service cost component was consistent with the requirements of the new standard. The other components (which were presented within Cost of revenues, Selling and general administrative expenses and Research and development costs) are being presented separately on the face of the Consolidated Statement of Operations. The segment measure of profit and loss previously included only the service cost and amortization of prior service credits components of net periodic pension and postretirement benefit costs (refer to Note 20, “Segment Information”). Effective January 1, 2018, the segment measure of profit and loss only includes the service cost component of net periodic pension and postretirement benefit costs and prior periods have been reclassified to conform to this presentation.</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2017, the FASB issued ASU 2017-05, Other Income—Gains and Losses from the Derecognition of Nonfinancial Assets (Subtopic 610-20): Clarifying the Scope of Asset Derecognition Guidance and Accounting for Partial Sales of Nonfinancial Assets. ASU 2017-05 defines in-substance nonfinancial assets, provides guidance with respect to accounting for partial sales of nonfinancial assets and conforms the derecognition guidance on nonfinancial assets with the model for transactions in the new revenue standard (Topic 606 as described below). Kodak adopted ASU 2017-05 effective January 1, 2018 using the modified retrospective adoption approach. The application of this standard did not have a material impact on Kodak’s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420"/>
        <w:spacing w:after="0" w:line="255" w:lineRule="auto"/>
        <w:rPr>
          <w:sz w:val="20"/>
          <w:szCs w:val="20"/>
          <w:color w:val="auto"/>
        </w:rPr>
      </w:pPr>
      <w:r>
        <w:rPr>
          <w:rFonts w:ascii="Arial" w:cs="Arial" w:eastAsia="Arial" w:hAnsi="Arial"/>
          <w:sz w:val="18"/>
          <w:szCs w:val="18"/>
          <w:color w:val="auto"/>
        </w:rPr>
        <w:t>In January 2016, the FASB issued ASU 2016-01, Financial Instruments—Overall (Topic 825):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Kodak adopted ASU 2016-01 effective January 1, 2018. The adoption of this guidance did not have a material impact on Kodak’s consolidated financial statements.</w:t>
      </w:r>
    </w:p>
    <w:p>
      <w:pPr>
        <w:spacing w:after="0" w:line="2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addition, the standard requires disclosure of the nature, amount, timing, and uncertainty of revenue and cash flows arising from contracts with customers. Kodak adopted the provisions of the new standard effective January 1, 2018 using the modified retrospective method which allows companies to record a one-time adjustment to opening retained earnings for the cumulative effect of the standard on open contracts at the time of adoption. Kodak derives revenue from various brand licensing arrangements, which may include upfront payments and/or sales-based royalties subject to minimum annual guaranteed amounts. Kodak recorded a cumulative effect adjustment of approximately $10 million as a decrease to the opening balance of retained earnings related to these arrangements. With the exception of brand license revenue, Kodak did not identify any changes in the timing of revenue recognition that resulted in a material transition adjustment.</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cumulative effect of the changes made to the Consolidated Statement of Financial Position for January 1, 2018 for the adoption of ASU 2014-09 were as follows. The net reduction in opening retained earnings primarily reflected the impact related to brand licensing revenues.</w:t>
      </w:r>
    </w:p>
    <w:p>
      <w:pPr>
        <w:spacing w:after="0" w:line="31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Adjustments Due to</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w:t>
            </w:r>
          </w:p>
        </w:tc>
        <w:tc>
          <w:tcPr>
            <w:tcW w:w="0" w:type="dxa"/>
            <w:vAlign w:val="bottom"/>
          </w:tcPr>
          <w:p>
            <w:pPr>
              <w:spacing w:after="0"/>
              <w:rPr>
                <w:sz w:val="1"/>
                <w:szCs w:val="1"/>
                <w:color w:val="auto"/>
              </w:rPr>
            </w:pPr>
          </w:p>
        </w:tc>
      </w:tr>
      <w:tr>
        <w:trPr>
          <w:trHeight w:val="234"/>
        </w:trPr>
        <w:tc>
          <w:tcPr>
            <w:tcW w:w="21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ASU 2014-09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on the Consolidated Statement of Operations and Consolidated Statement of Financial Position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0" w:type="dxa"/>
            <w:vAlign w:val="bottom"/>
            <w:gridSpan w:val="7"/>
          </w:tcPr>
          <w:p>
            <w:pPr>
              <w:jc w:val="right"/>
              <w:ind w:right="1150"/>
              <w:spacing w:after="0"/>
              <w:rPr>
                <w:sz w:val="20"/>
                <w:szCs w:val="20"/>
                <w:color w:val="auto"/>
              </w:rPr>
            </w:pPr>
            <w:r>
              <w:rPr>
                <w:rFonts w:ascii="Arial" w:cs="Arial" w:eastAsia="Arial" w:hAnsi="Arial"/>
                <w:sz w:val="18"/>
                <w:szCs w:val="18"/>
                <w:b w:val="1"/>
                <w:bCs w:val="1"/>
                <w:color w:val="auto"/>
              </w:rPr>
              <w:t>Three Months Ended September 30, 2018</w:t>
            </w:r>
          </w:p>
        </w:tc>
        <w:tc>
          <w:tcPr>
            <w:tcW w:w="174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Amounts without</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Adoption of</w:t>
            </w:r>
          </w:p>
        </w:tc>
        <w:tc>
          <w:tcPr>
            <w:tcW w:w="14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Effect of Change</w:t>
            </w:r>
          </w:p>
        </w:tc>
        <w:tc>
          <w:tcPr>
            <w:tcW w:w="1740" w:type="dxa"/>
            <w:vAlign w:val="bottom"/>
          </w:tcPr>
          <w:p>
            <w:pPr>
              <w:spacing w:after="0"/>
              <w:rPr>
                <w:sz w:val="18"/>
                <w:szCs w:val="18"/>
                <w:color w:val="auto"/>
              </w:rPr>
            </w:pPr>
          </w:p>
        </w:tc>
      </w:tr>
      <w:tr>
        <w:trPr>
          <w:trHeight w:val="234"/>
        </w:trPr>
        <w:tc>
          <w:tcPr>
            <w:tcW w:w="4120" w:type="dxa"/>
            <w:vAlign w:val="bottom"/>
            <w:gridSpan w:val="2"/>
          </w:tcPr>
          <w:p>
            <w:pPr>
              <w:ind w:left="17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As Reported</w:t>
            </w:r>
          </w:p>
        </w:tc>
        <w:tc>
          <w:tcPr>
            <w:tcW w:w="200" w:type="dxa"/>
            <w:vAlign w:val="bottom"/>
          </w:tcPr>
          <w:p>
            <w:pPr>
              <w:spacing w:after="0"/>
              <w:rPr>
                <w:sz w:val="20"/>
                <w:szCs w:val="20"/>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ASU 2014-09</w:t>
            </w:r>
          </w:p>
        </w:tc>
        <w:tc>
          <w:tcPr>
            <w:tcW w:w="140" w:type="dxa"/>
            <w:vAlign w:val="bottom"/>
          </w:tcPr>
          <w:p>
            <w:pPr>
              <w:spacing w:after="0"/>
              <w:rPr>
                <w:sz w:val="20"/>
                <w:szCs w:val="20"/>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Higher (Lower)</w:t>
            </w:r>
          </w:p>
        </w:tc>
        <w:tc>
          <w:tcPr>
            <w:tcW w:w="174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3"/>
        </w:trPr>
        <w:tc>
          <w:tcPr>
            <w:tcW w:w="4120" w:type="dxa"/>
            <w:vAlign w:val="bottom"/>
            <w:gridSpan w:val="2"/>
          </w:tcPr>
          <w:p>
            <w:pPr>
              <w:ind w:left="1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4120" w:type="dxa"/>
            <w:vAlign w:val="bottom"/>
            <w:gridSpan w:val="2"/>
          </w:tcPr>
          <w:p>
            <w:pPr>
              <w:ind w:left="17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35"/>
        </w:trPr>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0" w:type="dxa"/>
            <w:vAlign w:val="bottom"/>
            <w:gridSpan w:val="7"/>
          </w:tcPr>
          <w:p>
            <w:pPr>
              <w:jc w:val="right"/>
              <w:ind w:right="1190"/>
              <w:spacing w:after="0"/>
              <w:rPr>
                <w:sz w:val="20"/>
                <w:szCs w:val="20"/>
                <w:color w:val="auto"/>
              </w:rPr>
            </w:pPr>
            <w:r>
              <w:rPr>
                <w:rFonts w:ascii="Arial" w:cs="Arial" w:eastAsia="Arial" w:hAnsi="Arial"/>
                <w:sz w:val="18"/>
                <w:szCs w:val="18"/>
                <w:b w:val="1"/>
                <w:bCs w:val="1"/>
                <w:color w:val="auto"/>
              </w:rPr>
              <w:t>Nine Months Ended September 30, 2018</w:t>
            </w:r>
          </w:p>
        </w:tc>
        <w:tc>
          <w:tcPr>
            <w:tcW w:w="174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Amounts without</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Adoption of</w:t>
            </w:r>
          </w:p>
        </w:tc>
        <w:tc>
          <w:tcPr>
            <w:tcW w:w="14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Effect of Change</w:t>
            </w:r>
          </w:p>
        </w:tc>
        <w:tc>
          <w:tcPr>
            <w:tcW w:w="1740" w:type="dxa"/>
            <w:vAlign w:val="bottom"/>
          </w:tcPr>
          <w:p>
            <w:pPr>
              <w:spacing w:after="0"/>
              <w:rPr>
                <w:sz w:val="18"/>
                <w:szCs w:val="18"/>
                <w:color w:val="auto"/>
              </w:rPr>
            </w:pPr>
          </w:p>
        </w:tc>
      </w:tr>
      <w:tr>
        <w:trPr>
          <w:trHeight w:val="234"/>
        </w:trPr>
        <w:tc>
          <w:tcPr>
            <w:tcW w:w="4120" w:type="dxa"/>
            <w:vAlign w:val="bottom"/>
            <w:gridSpan w:val="2"/>
          </w:tcPr>
          <w:p>
            <w:pPr>
              <w:ind w:left="17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As Reported</w:t>
            </w:r>
          </w:p>
        </w:tc>
        <w:tc>
          <w:tcPr>
            <w:tcW w:w="200" w:type="dxa"/>
            <w:vAlign w:val="bottom"/>
          </w:tcPr>
          <w:p>
            <w:pPr>
              <w:spacing w:after="0"/>
              <w:rPr>
                <w:sz w:val="20"/>
                <w:szCs w:val="20"/>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ASU 2014-09</w:t>
            </w:r>
          </w:p>
        </w:tc>
        <w:tc>
          <w:tcPr>
            <w:tcW w:w="140" w:type="dxa"/>
            <w:vAlign w:val="bottom"/>
          </w:tcPr>
          <w:p>
            <w:pPr>
              <w:spacing w:after="0"/>
              <w:rPr>
                <w:sz w:val="20"/>
                <w:szCs w:val="20"/>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Higher (Lower)</w:t>
            </w:r>
          </w:p>
        </w:tc>
        <w:tc>
          <w:tcPr>
            <w:tcW w:w="1740" w:type="dxa"/>
            <w:vAlign w:val="bottom"/>
          </w:tcPr>
          <w:p>
            <w:pPr>
              <w:spacing w:after="0"/>
              <w:rPr>
                <w:sz w:val="20"/>
                <w:szCs w:val="20"/>
                <w:color w:val="auto"/>
              </w:rPr>
            </w:pPr>
          </w:p>
        </w:tc>
      </w:tr>
      <w:tr>
        <w:trPr>
          <w:trHeight w:val="223"/>
        </w:trPr>
        <w:tc>
          <w:tcPr>
            <w:tcW w:w="4120" w:type="dxa"/>
            <w:vAlign w:val="bottom"/>
            <w:gridSpan w:val="2"/>
          </w:tcPr>
          <w:p>
            <w:pPr>
              <w:ind w:left="17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5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5"/>
              </w:rPr>
              <w:t>September 30, 2018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7"/>
              </w:rPr>
              <w:t>Balances without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Adoption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Effect of Change</w:t>
            </w:r>
          </w:p>
        </w:tc>
        <w:tc>
          <w:tcPr>
            <w:tcW w:w="0" w:type="dxa"/>
            <w:vAlign w:val="bottom"/>
          </w:tcPr>
          <w:p>
            <w:pPr>
              <w:spacing w:after="0"/>
              <w:rPr>
                <w:sz w:val="1"/>
                <w:szCs w:val="1"/>
                <w:color w:val="auto"/>
              </w:rPr>
            </w:pP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As Reported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ASU 2014-09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Higher (Lower)</w:t>
            </w:r>
          </w:p>
        </w:tc>
        <w:tc>
          <w:tcPr>
            <w:tcW w:w="0" w:type="dxa"/>
            <w:vAlign w:val="bottom"/>
          </w:tcPr>
          <w:p>
            <w:pPr>
              <w:spacing w:after="0"/>
              <w:rPr>
                <w:sz w:val="1"/>
                <w:szCs w:val="1"/>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September 2018, the FASB issued ASU 2018-14, Compensation—Retirement Benefits—Defined Benefit Plans—General (Subtopic 715-20): Disclosure Framework—Changes to the Disclosure Requirements for Defined Benefit Plans, which amends the disclosure requirements in ASC 715-20 by adding, clarifying, or removing certain disclosures. ASU 2018-14 requires all entities to disclose (1) the weighted average interest crediting rates for cash balance plans and other plans with promised interest crediting rates, and (2) an explanation of the reasons for significant gains and losses related to changes in the benefit obligation for the period. The ASU also clarifies certain disclosure requirements for entities with two or more defined benefit pension plans when aggregate disclosures are presented. The ASU removes other disclosures from the existing guidance, such as the requirement to disclose the effects of a one-percentage-point change in the assumed health care cost trend rates. The ASU is effective retrospectively for fiscal years ending after December 15, 2020 (January 1, 2021 for Kodak). Early adoption is permitted. The standard addresses disclosures only and will not have an impact on Kodak’s consolidated financial statements. Kodak is currently assessing its expected adoption date.</w:t>
      </w:r>
    </w:p>
    <w:p>
      <w:pPr>
        <w:spacing w:after="0" w:line="20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September 2018 the FASB issued ASU 2018-13, Fair Value Measurement (Topic 820): Disclosure Framework—Changes to the Disclosure Requirements for Fair Value Measurement, which amends the disclosure requirements in ASC 820 by adding, changing, or removing certain disclosures. The ASU applies to disclosures about recurring or nonrecurring fair value measurements. The additional and/or modified disclosures relate primarily to Level 3 fair value measurements while removing certain disclosures related to transfers between Level 1 and Level 2 of the fair value hierarchy. The ASU is effective retrospectively, for fiscal years beginning after December 15, 2019 (January 1, 2020 for Kodak) and interim periods within those fiscal years. Entities are permitted to early adopt any removed or modified disclosures but can delay adoption of the new disclosures until their effective date. The standard addresses disclosures only and will not have an impact on Kodak’s consolidated financial statements. Kodak is currently assessing its expected adoption date.</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August 2018, the FASB issued ASU 2018-15, Intangibles—Goodwill and Other—Internal-Use Software (Subtopic 350-40): Customer’s Accounting for Implementation Costs Incurred in a Cloud Computing Arrangement That Is a Service Contract, which addresses how a customer should account for the costs of implementing a cloud computing service arrangement (also referred to as a “hosting arrangement”). Under ASU 2018-15, entities should account for costs associated with implementing a cloud computing arrangement that is considered a service contract in the same way as implementation costs associated with a software license; implementation costs incurred in the application development stage, such as costs for the cloud computing arrangement’s integration with on-premise software, coding, and configuration or customization, should be capitalized and amortized over the term of the cloud computing arrangement, including periods covered by certain renewal options. The ASU is effective in fiscal years beginning after December 15, 2019 (January 1, 2020 for Kodak) including interim periods within those fiscal years. Early adoption is permitted. </w:t>
      </w:r>
      <w:r>
        <w:rPr>
          <w:rFonts w:ascii="Arial" w:cs="Arial" w:eastAsia="Arial" w:hAnsi="Arial"/>
          <w:sz w:val="14"/>
          <w:szCs w:val="14"/>
          <w:color w:val="auto"/>
        </w:rPr>
        <w:t>The ASU should be applied either retrospectively or prospectively to all</w:t>
      </w:r>
      <w:r>
        <w:rPr>
          <w:rFonts w:ascii="Arial" w:cs="Arial" w:eastAsia="Arial" w:hAnsi="Arial"/>
          <w:sz w:val="16"/>
          <w:szCs w:val="16"/>
          <w:color w:val="auto"/>
        </w:rPr>
        <w:t xml:space="preserve"> </w:t>
      </w:r>
      <w:r>
        <w:rPr>
          <w:rFonts w:ascii="Arial" w:cs="Arial" w:eastAsia="Arial" w:hAnsi="Arial"/>
          <w:sz w:val="14"/>
          <w:szCs w:val="14"/>
          <w:color w:val="auto"/>
        </w:rPr>
        <w:t xml:space="preserve">implementation costs incurred after the date of adoption. </w:t>
      </w:r>
      <w:r>
        <w:rPr>
          <w:rFonts w:ascii="Arial" w:cs="Arial" w:eastAsia="Arial" w:hAnsi="Arial"/>
          <w:sz w:val="16"/>
          <w:szCs w:val="16"/>
          <w:color w:val="auto"/>
        </w:rPr>
        <w:t>Kodak is currently evaluating the impact and adoption date of this standard.</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2018, the FASB issued ASU 2018-02, “Income Statement—Reporting Comprehensive Income (Topic 220): Reclassification of Certain Tax Effects from Accumulated Other Comprehensive Income”. The ASU addresses certain stranded income tax effects in accumulated other comprehensive income (AOCI) resulting from the Tax Cuts and Jobs Act (the “2017 Tax Act”). The ASU provides an option to reclassify stranded tax effects within AOCI to retained earnings in each period in which the effect of the change in the U.S. federal corporate income tax rate in the 2017 Tax Act (or portion thereof) is recorded and requires additional disclosures. The ASU is effective for fiscal years beginning after December 15, 2018 (January 1, 2019 for Kodak) and interim periods within those fiscal years. Early adoption is permitted and may be applied either in the period of adoption or retrospectively to each period (or periods) in which the effect of the change in the U.S. federal corporate income tax rate in the 2017 Tax Act is recognized. Kodak plans to adopt the new standard on the effective date. The adoption of this ASU will not have an impact on the Consolidated Financial Statements as a result of Kodak’s U.S. valuation allowance.</w:t>
      </w:r>
    </w:p>
    <w:p>
      <w:pPr>
        <w:spacing w:after="0" w:line="22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requires a financial asset (or a group of financial assets) measured at amortized cost basis to be presented at the net amount expected to be collected. In addition, the ASU requires credit losses relating to available-for-sale debt securities to be recorded through an allowance for credit losses. The amendments in this ASU broaden the information that an entity must consider in developing its expected credit loss estimate for assets measured either collectively or individually. The new standard is effective for fiscal years, and for interim periods within those fiscal years, beginning after December 15, 2019 (January 1, 2020 for Kodak).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10" w:name="page11"/>
    <w:bookmarkEnd w:id="10"/>
    <w:p>
      <w:pPr>
        <w:ind w:right="140"/>
        <w:spacing w:after="0" w:line="277" w:lineRule="auto"/>
        <w:rPr>
          <w:sz w:val="20"/>
          <w:szCs w:val="20"/>
          <w:color w:val="auto"/>
        </w:rPr>
      </w:pPr>
      <w:r>
        <w:rPr>
          <w:rFonts w:ascii="Arial" w:cs="Arial" w:eastAsia="Arial" w:hAnsi="Arial"/>
          <w:sz w:val="18"/>
          <w:szCs w:val="18"/>
          <w:color w:val="auto"/>
        </w:rPr>
        <w:t>Early adoption is permitted for fiscal years, and interim periods within those years, beginning after December 15, 2018 (January 1, 2019 for Kodak). Kodak plans to adopt the new standard on the effective date. Kodak is currently evaluating the impact of this ASU.</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The original guidance required application on a modified retrospective basis to the earliest period presented. In July 2018, the FASB issued ASU 2018-11, Targeted improvements to ASC 842, which includes an option to not restate comparative periods in transition and elect to use the effective date of ASC 842, as the date of initial application of transition. Kodak plans to adopt the new standard on the effective date applying the new transition method allowed under ASU 2018-11 and is currently evaluating the impact of adoption on its financial statements. Kodak is currently evaluating its existing lease portfolio, including accumulating all the necessary information required to properly account for the leases under the new standard. Additionally, a new lease accounting system is being implemented to support the accounting and disclosure requirements of the new standard. Kodak anticipates that the adoption of the amended lease guidance will materially increase the assets and liabilities recorded in its Consolidated Statement of Financial Position and may require certain changes to its systems and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0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09"/>
        </w:trPr>
        <w:tc>
          <w:tcPr>
            <w:tcW w:w="6000" w:type="dxa"/>
            <w:vAlign w:val="bottom"/>
            <w:gridSpan w:val="2"/>
          </w:tcPr>
          <w:p>
            <w:pPr>
              <w:spacing w:after="0"/>
              <w:rPr>
                <w:sz w:val="20"/>
                <w:szCs w:val="20"/>
                <w:color w:val="auto"/>
              </w:rPr>
            </w:pPr>
            <w:r>
              <w:rPr>
                <w:rFonts w:ascii="Arial" w:cs="Arial" w:eastAsia="Arial" w:hAnsi="Arial"/>
                <w:sz w:val="18"/>
                <w:szCs w:val="18"/>
                <w:color w:val="auto"/>
                <w:w w:val="92"/>
              </w:rPr>
              <w:t>Total cash, cash equivalents and restricted cash shown in the Statement of Cash</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Flows</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Restricted cash included in Other current assets on the Statement of Financial Position primarily represents amounts which support hedging activities.</w:t>
      </w:r>
    </w:p>
    <w:p>
      <w:pPr>
        <w:spacing w:after="0" w:line="26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Long-term restricted cash includes $5 million and $6 million of security posted related to Brazilian legal contingencies as of September 30, 2018 and December 31, 2017, respectively. Long-term restricted cash also includes $0 million and $6 million as of September 30, 2018 and December 31, 2017, respectively, supporting compliance with the Excess Availability threshold under the Amended and Restated Credit Agreement (the “Amended Credit Agreement”).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1"/>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16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4: OTHER CURRENT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related liabilities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Customer rebates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Restructuring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customer rebate amounts will potentially be settled through customer deductions applied to outstanding trade receivables in lieu of cash payments.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NOTE 5: OTHER LONG-TERM LIABILITIES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Workers compensation</w:t>
            </w:r>
          </w:p>
        </w:tc>
        <w:tc>
          <w:tcPr>
            <w:tcW w:w="23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consideration on disposed businesses</w:t>
            </w:r>
          </w:p>
        </w:tc>
        <w:tc>
          <w:tcPr>
            <w:tcW w:w="2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60" w:type="dxa"/>
            <w:vAlign w:val="bottom"/>
            <w:vMerge w:val="restart"/>
          </w:tcPr>
          <w:p>
            <w:pPr>
              <w:jc w:val="right"/>
              <w:ind w:right="145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DEBT AND CAPITAL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capital leases and related maturities and interest rates were as follows at September 30, 2018 and December 31, 2017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8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Type</w:t>
            </w:r>
          </w:p>
        </w:tc>
        <w:tc>
          <w:tcPr>
            <w:tcW w:w="15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17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Interest Rate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7.35%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4"/>
          </w:tcPr>
          <w:p>
            <w:pPr>
              <w:spacing w:after="0"/>
              <w:rPr>
                <w:sz w:val="20"/>
                <w:szCs w:val="20"/>
                <w:color w:val="auto"/>
              </w:rPr>
            </w:pPr>
            <w:r>
              <w:rPr>
                <w:rFonts w:ascii="Arial" w:cs="Arial" w:eastAsia="Arial" w:hAnsi="Arial"/>
                <w:sz w:val="18"/>
                <w:szCs w:val="18"/>
                <w:color w:val="auto"/>
              </w:rPr>
              <w:t>Non-current portion:</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Term note</w:t>
            </w:r>
          </w:p>
        </w:tc>
        <w:tc>
          <w:tcPr>
            <w:tcW w:w="1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Capital leases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Other debt</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Various</w:t>
            </w:r>
          </w:p>
        </w:tc>
        <w:tc>
          <w:tcPr>
            <w:tcW w:w="1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Various</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3, 2013, the Company entered into (i)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w:t>
      </w:r>
    </w:p>
    <w:p>
      <w:pPr>
        <w:spacing w:after="0" w:line="20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loans made under the First Lien Term Credit Agreement become due on the earlier to occur of</w:t>
      </w:r>
    </w:p>
    <w:p>
      <w:pPr>
        <w:spacing w:after="0" w:line="1" w:lineRule="exact"/>
        <w:rPr>
          <w:sz w:val="20"/>
          <w:szCs w:val="20"/>
          <w:color w:val="auto"/>
        </w:rPr>
      </w:pPr>
    </w:p>
    <w:p>
      <w:pPr>
        <w:ind w:right="28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maturity date of September 3, 2019 or (ii) the acceleration of such loans following the occurrence of an event of default (as defined in the First Lien Term Credit Agreement). The Second Lien Term Credit Agreement was prepaid and terminated on November 15, 2016.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right="80" w:firstLine="8"/>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dispose of assets, (iv) make restricted payments (including dividend payments, et al.) and (v) make investments. In addition to other customary affirmative covenants, the Credit Agreements provide for a periodic delivery by the Company of its various financial statements as set forth in the Credit Agreements.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First Lien Term Credit Agreement) plus 5.25%.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are secured by: (i) a first lien on all assets of the Company and the Subsidiary Guarantors, other than the ABL Collateral (as defined below), including a first lien on 100% of the stock of material domestic subsidiaries and 65% of the stock of material first-tier foreign subsidiaries (collectively the “Term Collateral”) and (ii) a second lien on the ABL Collateral. Obligations under the Asset Based Revolving Credit Agreement are secured by: (i) a first lien on cash, accounts receivable, inventory, machinery and equipment (the “ABL Collateral”) and (ii) a second lien on the Term Collateral. The Company may voluntarily prepay the First Lien Loan.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60"/>
        <w:spacing w:after="0" w:line="255" w:lineRule="auto"/>
        <w:rPr>
          <w:sz w:val="20"/>
          <w:szCs w:val="20"/>
          <w:color w:val="auto"/>
        </w:rPr>
      </w:pPr>
      <w:r>
        <w:rPr>
          <w:rFonts w:ascii="Arial" w:cs="Arial" w:eastAsia="Arial" w:hAnsi="Arial"/>
          <w:sz w:val="18"/>
          <w:szCs w:val="18"/>
          <w:color w:val="auto"/>
        </w:rPr>
        <w:t>As defined in the First Lien Term Credit Agreement,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During 2016 and 2017, Kodak prepaid $11 million of principal under the First Lien Term Credit Agreement. Under the terms of the First Lien Term Credit Agreement, the prepayments were applied first to the installment principal payments of $4 million due over the next twelve months, then ratably to the remaining scheduled payments. With the prepayments, Kodak does not owe any future scheduled principal payments until the maturity date of the loan.</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an annual basis, the Company will prepay on June 30 of the following fiscal year loans in an amount equal to a percentage of Excess Cash Flow (“ECF”) as defined in the First Lien Term Credit Agreement, provided no such prepayment is required if such prepayment would cause U.S. liquidity (as defined in the First Lien Term Credit Agreement) to be less than $100 million or the Secured Leverage ratio is less than 2.25 to 1.00. For the year ended December 31,</w:t>
      </w:r>
    </w:p>
    <w:p>
      <w:pPr>
        <w:ind w:right="80"/>
        <w:spacing w:after="0" w:line="261" w:lineRule="auto"/>
        <w:rPr>
          <w:sz w:val="20"/>
          <w:szCs w:val="20"/>
          <w:color w:val="auto"/>
        </w:rPr>
      </w:pPr>
      <w:r>
        <w:rPr>
          <w:rFonts w:ascii="Arial" w:cs="Arial" w:eastAsia="Arial" w:hAnsi="Arial"/>
          <w:sz w:val="18"/>
          <w:szCs w:val="18"/>
          <w:color w:val="auto"/>
        </w:rPr>
        <w:t>2017 ECF was a negative amount. Therefore, no prepayment of First Lien term debt was required. Any mandatory prepayments as described above shall be reduced by any mandatory prepayments of the First Lien Loan.</w:t>
      </w:r>
    </w:p>
    <w:p>
      <w:pPr>
        <w:spacing w:after="0" w:line="211"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Under the First Lien Term Credit Agreement, the Company is required to maintain a Secured Leverage Ratio (as defined therein) not to exceed specified levels. The Secured Leverage Ratio under the First Lien Term Credit Agreement is tested at the end of each quarter based on the prior four quarters. The maximum Secured Leverage Ratio permitted under the First Lien Term Credit Agreement is 2.75:1. As of September 30, 2018 and December 31, 2017, Kodak was in compliance with all covenants under the First Lien Term Credit Agreement.</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0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$3 million and $8 million for the three and nine months ended September 30, 2018, respectively, which represents 1% of Kodak’s consolidated sales for both the three and nine months ended September 30, 2018. These subsidiaries had assets of $25 million as of September 30, 2018, which represents 2% of Kodak’s consolidated assets as of September 30, 2018. Each of the capitalized but undefined terms has the meaning ascribed to such term in the Credit Agreements. EBITDA of the Unrestricted Subsidiaries, as calculated under the First Lien Term Credit Agreement and the Amended Credit Agreement, is a loss and is excluded from the calculation of the Secured Leverage Ratio. Therefore, designating these Subsidiaries as Unrestricted had the impact of improving the Secured Leverage Ratio.</w:t>
      </w:r>
    </w:p>
    <w:p>
      <w:pPr>
        <w:spacing w:after="0" w:line="2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Credit Agreements;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the Credit Agreements which, among other remedies, would entitle the lenders or their agents to declare the outstanding obligations under the First Lien Term Credit Agreement to be immediately due and payable. There is no assurance Kodak will be able to complete any non-operational transaction it may undertake to maintain compliance with covenants under the Credit Agreements or to refinance, or otherwise pay, the First Lien Loans on or before the maturity date of September 3, 2019 or the obligations under the ABL Credit Agreement on June 6, 2019 if the First Lien Loans are not refinanced or paid on or before their maturity date.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also the Going Concern subsection of Note 1, “Basis of Presentation and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Credit Agreement</w:t>
      </w:r>
    </w:p>
    <w:p>
      <w:pPr>
        <w:spacing w:after="0" w:line="2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On May 26, 2016, the Company and certain of its domestic subsidiaries (the “Subsidiary Guarantors”) entered into an Amended and Restated Credit Agreement (the “Amended Credit Agreement” or “ABL Credit Agreement”) with the lenders party thereto (the “Lenders”), Bank of America, N.A., as administrative and collateral agent, and Bank of America, N.A. and JPMorgan Chase Bank, N.A., as joint lead arrangers and joint bookrunners, which amended and restated the existing Asset Based Revolving Credit Agreement, dated as of September 3, 2013 (the “Prior Credit Agreement”). Each of the capitalized but undefined terms used in the context of describing the Amended Credit Agreement has the meaning ascribed to such term in the Amended Credit Agreement.</w:t>
      </w:r>
    </w:p>
    <w:p>
      <w:pPr>
        <w:spacing w:after="0" w:line="2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Amended Credit Agreement decreased the aggregate amount of commitments from $200 million to $150 million and extended the maturity date to the earlier of May 26, 2021 or the date that is 90 days prior to the earliest scheduled maturity date of any of the Company’s outstanding term loans or refinancings thereof, of which the earliest maturity date is currently September 3, 2019. The Amended Credit Agreement, among other things, lowered reserve requirements by eliminating the Availability Block and removed the ability to use Qualified Cash to support Excess Availability.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140"/>
        <w:spacing w:after="0" w:line="264" w:lineRule="auto"/>
        <w:rPr>
          <w:sz w:val="20"/>
          <w:szCs w:val="20"/>
          <w:color w:val="auto"/>
        </w:rPr>
      </w:pPr>
      <w:r>
        <w:rPr>
          <w:rFonts w:ascii="Arial" w:cs="Arial" w:eastAsia="Arial" w:hAnsi="Arial"/>
          <w:sz w:val="18"/>
          <w:szCs w:val="18"/>
          <w:color w:val="auto"/>
        </w:rPr>
        <w:t>Each existing direct or indirect U.S. subsidiary of the Company (other than Immaterial Subsidiaries, Unrestricted Subsidiaries and certain other subsidiaries) has reaffirmed its unconditional guarantee (and any such future subsidiaries must provide an unconditional guarantee) of the obligations of the Company under the Amended Credit Agreement.</w:t>
      </w: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Lenders will make available asset-based revolving loans (the “ABL Loans”) and letters of credit in an aggregate amount of up to $150 million, subject to the Borrowing Base. The Company has issued approximately $85 million and $96 million of letters of credit under the Amended Credit Agreement as of September 30, 2018 and December 31, 2017, respectively. The Company had approximately $24 million and $20 million of Excess Availability under the Amended Credit Agreement as of September 30, 2018 and December 31, 2017, respectively. Availability is subject to the borrowing base calculation, reserves and other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ABL Loans bear interest at the rate of LIBOR plus 2.25% - 2.75% per annum or Base Rate plus 1.25% - 1.75% per annum based on Excess Availability.</w:t>
      </w:r>
    </w:p>
    <w:p>
      <w:pPr>
        <w:spacing w:after="0" w:line="27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Excess Availability is equal to the sum of (i) 85% of the amount of the Eligible Receivables less a Dilution Reserve, (ii) the lesser of 85% of Net Orderly Liquidation Value or 75% of the Eligible Inventory (iii) the lesser of 75% of Orderly Liquidation Value of Eligible Equipment or $12 million, as of September 30, 2018 (which $12 million decreases by $1 million per quarter) and (iv) Eligible Cash less (a) Rent and Charges Reserves, (b) Principal Outstanding and (c) Outstanding Letters of Credit.</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the Amended Credit Agreement, Kodak is required to maintain a minimum Fixed Charge Coverage Ratio of 1.00 to 1.00 when Excess Availability is less than 12.5% of lender commitments. As of September 30, 2018 and December 31, 2017, 12.5% of lender commitments were $18.75 million.</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September 30, 2018 and December 31, 2017, Kodak is not required to have a minimum Fixed Charges Coverage Ratio of 1.0 to 1.0. As of September 30, 2018 and December 31, 2017, Kodak was in compliance with all the covenants under the Amended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2018, the Company had outstanding letters of credit of $85 million issued under the Amended Credit Agreement, as well as bank guarantees and letters of credit of $3 million, surety bonds in the amount of $42 million, and restricted cash and deposits of $24 million, primarily to ensure the payment of possible casualty and workers’ compensation claims, environmental liabilities, legal contingencies and rental payments and to support various customs, tax and trade activities. The restricted cash and deposits are reflected in Restricted cash, Other current assets and Other long-term assets in the Consolidated Statement of Financial Position.</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2018, the unreserved portion of these contingencies, inclusive of any related interest and penalties, for which there was at least a reasonable possibility that a loss may be incurred, amounted to approximately $10 million.</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September 30, 2018, Kodak has posted security composed of $5 million of pledged cash reported within Restricted cash in the Consolidated Statement of Financial Position and liens on certain Brazilian assets with a net book value of approximately $58 million. Generally, any encumbrances on the Brazilian assets would be removed to the extent the matter is resolved in Kodak's favor.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GUARANTEES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$5 million and the outstanding amount for those guarantees is $2 million.</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in the event the historical liabilities exceed $99 million, the Company will become liable for 50% of the portion above $99 million with no limitation to the maximum potential future payments. There is no liability recorded for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2017 to September 30, 2018, which is reflected in Other current liabilities in the accompanying Consolidated Statement of Financial Position, was as follows:</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55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 2017</w:t>
            </w:r>
          </w:p>
        </w:tc>
        <w:tc>
          <w:tcPr>
            <w:tcW w:w="52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New extended warranty and maintenance arrangements in 2018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r>
      <w:tr>
        <w:trPr>
          <w:trHeight w:val="215"/>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w w:val="94"/>
              </w:rPr>
              <w:t>Recognition of extended warranty and maintenance arrangement revenue</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 2018</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Deferred revenue on extended warranties as of September 30, 2018</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film-based products); equipment; software; services; integrated solutions; and intellectual property and brand licensing. Revenue from services includes extended warranty, customer support and maintenance agreements, consulting, business process services, training and education.</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customers in an amount that reflects the consideration Kodak expects to be entitled to in exchange for those goods or services.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product sales (such as plates, film, inks, chemicals and other consumables) revenue is recognized when control has transferred from Kodak to the buyer, which may be upon shipment or upon delivery to the customer site, based on contract terms or legal requirements in certain jurisdictions. Service revenue is recognized using the time-based method ratably over the contractual period as it best depicts when the customer receives the benefit from the service. Service revenue for time and materials-based agreements is recognized as services are performed.</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Equipment is generally dependent on, and interrelated with, the underlying operating system (firm ware) and cannot function without the operating system. In these cases, the hardware and software license are accounted for as a single performance obligation. Contracts with customers may include multiple performance obligations including equipment, and optional software licenses and service agreements. Service agreements may be prepaid or paid over-time and range from three months to six years. For such arrangements, revenue is allocated to each performance obligation based on its relative standalone selling price. Standalone selling prices are based on the prices charged to customers or using expected cost-plus margin.</w:t>
      </w:r>
    </w:p>
    <w:p>
      <w:pPr>
        <w:spacing w:after="0" w:line="173"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For non-complex equipment installations and software sales (Prepress, Packaging and Prosper Components and Unified Workflow Solutions businesses) revenue is recognized when control of each distinct performance obligation has transferred from Kodak to the buyer, which is generally met when the equipment or software is delivered and installed at the customer site as delivery and installation generally occur within the same period. For complex equipment installations or integrated software solutions (Prosper Presses, Electrophotographic Printing Solutions Printers, Unified Workflow Solutions) revenue is deferred until receipt of customer acceptance and control has transferred to the buyer.</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Software licenses are sold both in bundled equipment arrangements as discussed above or on a stand-alone basis (Unified Workflow Solutions business). Software licenses are generally perpetual and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service arrangements such as consulting or business process services (Kodak Technology Solutions business) where final acceptance by the customer is required, revenue is deferred until all acceptance criteria have been met and Kodak has a legal right to payment.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ind w:right="100"/>
        <w:spacing w:after="0" w:line="272" w:lineRule="auto"/>
        <w:rPr>
          <w:sz w:val="20"/>
          <w:szCs w:val="20"/>
          <w:color w:val="auto"/>
        </w:rPr>
      </w:pPr>
      <w:r>
        <w:rPr>
          <w:rFonts w:ascii="Arial" w:cs="Arial" w:eastAsia="Arial" w:hAnsi="Arial"/>
          <w:sz w:val="17"/>
          <w:szCs w:val="17"/>
          <w:color w:val="auto"/>
        </w:rPr>
        <w:t>Kodak’s licensing revenue is comprised of software licenses as discussed above, licenses to use functional intellectual property (patents and technical know-how) and licenses to use symbolic intellectual property (brand names and trademarks) (Consumer and Film businesses). The timing and the amount of revenue recognized from the licensing of intellectual property depends upon a variety of factors, including the nature of the performance obligations (functional vs. symbolic licenses) specific terms of each agreement, and the payment terms. Aside from software licenses discussed above, Kodak’s functional licenses generally provide the right to use functional intellectual property; therefore, non-sales/usage-based revenue is recognized when the customer has the right to use the intellectual property while sales and usage-based royalties are recognized in the period the related sales and usage occurs. Revenue for symbolic licenses such as brand licenses are recognized over time.</w:t>
      </w:r>
    </w:p>
    <w:p>
      <w:pPr>
        <w:spacing w:after="0" w:line="17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Deferred revenue is recorded when cash payments are received in advance of satisfying performance obligations such as deposits required in advance on equipment orders, prepaid service contracts or prepaid royalties on intellectual property arrangements. Interest expense is imputed for payments received greater than one year in advance of performance.</w:t>
      </w:r>
    </w:p>
    <w:p>
      <w:pPr>
        <w:spacing w:after="0" w:line="181" w:lineRule="exact"/>
        <w:rPr>
          <w:sz w:val="20"/>
          <w:szCs w:val="20"/>
          <w:color w:val="auto"/>
        </w:rPr>
      </w:pPr>
    </w:p>
    <w:p>
      <w:pPr>
        <w:jc w:val="both"/>
        <w:ind w:right="360"/>
        <w:spacing w:after="0" w:line="30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within 30 to 60 days. Kodak applies the practical expedient with respect to implied financial components and only imputes interest for payment terms greater than one year.</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Sales and usage-based taxes are excluded from revenues. Certain customers may receive cash-based incentives or credits, which are accounted for as variable consideration. Kodak estimates these amounts based on the expected amount to be provided to customers.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Kodak expenses sales commissions when incurred if the amortization period would be one year or less. These costs are recorded in Selling, general and administrative expenses. Kodak accrues the estimated cost of post-sale obligations, including basic product warranties, at the time of revenue recognition. Shipping and handling costs are accounted for as fulfillment costs and are included in cost of sales.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September 30, 2018, there was approximately $70 million of unrecognized revenue from unsatisfied performance obligations. Approximately 10% of the revenue from unsatisfied performance obligations is expected to be recognized in 2018, 35% in 2019, 30% in 2020 and 25% thereafter.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 2018</w:t>
            </w: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Materials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Enterprise</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Flexographic</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3D</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Print</w:t>
            </w: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Inkjet</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Packaging</w:t>
            </w:r>
          </w:p>
        </w:tc>
        <w:tc>
          <w:tcPr>
            <w:tcW w:w="2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rPr>
              <w:t>&amp;</w:t>
            </w:r>
          </w:p>
        </w:tc>
        <w:tc>
          <w:tcPr>
            <w:tcW w:w="1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Consumer</w:t>
            </w:r>
          </w:p>
        </w:tc>
        <w:tc>
          <w:tcPr>
            <w:tcW w:w="2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Solutions</w:t>
            </w:r>
          </w:p>
        </w:tc>
        <w:tc>
          <w:tcPr>
            <w:tcW w:w="2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&amp; Film</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ind w:left="1400"/>
              <w:spacing w:after="0"/>
              <w:rPr>
                <w:sz w:val="20"/>
                <w:szCs w:val="20"/>
                <w:color w:val="auto"/>
              </w:rPr>
            </w:pPr>
            <w:r>
              <w:rPr>
                <w:rFonts w:ascii="Arial" w:cs="Arial" w:eastAsia="Arial" w:hAnsi="Arial"/>
                <w:sz w:val="18"/>
                <w:szCs w:val="18"/>
                <w:color w:val="auto"/>
              </w:rPr>
              <w:t>Total Annuities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 2018</w:t>
            </w:r>
          </w:p>
        </w:tc>
        <w:tc>
          <w:tcPr>
            <w:tcW w:w="108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8"/>
              </w:rPr>
              <w:t>Advanced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Materials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rPr>
              <w:t>Enterprise</w:t>
            </w:r>
          </w:p>
        </w:tc>
        <w:tc>
          <w:tcPr>
            <w:tcW w:w="122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Flexographic</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Software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3D</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Eastman</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Print</w:t>
            </w: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Inkjet</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Packaging</w:t>
            </w:r>
          </w:p>
        </w:tc>
        <w:tc>
          <w:tcPr>
            <w:tcW w:w="200" w:type="dxa"/>
            <w:vAlign w:val="bottom"/>
          </w:tcPr>
          <w:p>
            <w:pPr>
              <w:spacing w:after="0"/>
              <w:rPr>
                <w:sz w:val="18"/>
                <w:szCs w:val="18"/>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rPr>
              <w:t>&amp;</w:t>
            </w:r>
          </w:p>
        </w:tc>
        <w:tc>
          <w:tcPr>
            <w:tcW w:w="120" w:type="dxa"/>
            <w:vAlign w:val="bottom"/>
          </w:tcPr>
          <w:p>
            <w:pPr>
              <w:spacing w:after="0"/>
              <w:rPr>
                <w:sz w:val="18"/>
                <w:szCs w:val="18"/>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Consumer</w:t>
            </w:r>
          </w:p>
        </w:tc>
        <w:tc>
          <w:tcPr>
            <w:tcW w:w="2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Printing</w:t>
            </w:r>
          </w:p>
        </w:tc>
        <w:tc>
          <w:tcPr>
            <w:tcW w:w="20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Business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Printing</w:t>
            </w:r>
          </w:p>
        </w:tc>
        <w:tc>
          <w:tcPr>
            <w:tcW w:w="11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Solutions</w:t>
            </w:r>
          </w:p>
        </w:tc>
        <w:tc>
          <w:tcPr>
            <w:tcW w:w="2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&amp; Film</w:t>
            </w:r>
          </w:p>
        </w:tc>
        <w:tc>
          <w:tcPr>
            <w:tcW w:w="10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Technology</w:t>
            </w:r>
          </w:p>
        </w:tc>
        <w:tc>
          <w:tcPr>
            <w:tcW w:w="20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Park</w:t>
            </w:r>
          </w:p>
        </w:tc>
        <w:tc>
          <w:tcPr>
            <w:tcW w:w="2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w w:val="96"/>
              </w:rPr>
              <w:t xml:space="preserve">Ongoing service arrangements </w:t>
            </w:r>
            <w:r>
              <w:rPr>
                <w:rFonts w:ascii="Arial" w:cs="Arial" w:eastAsia="Arial" w:hAnsi="Arial"/>
                <w:sz w:val="15"/>
                <w:szCs w:val="15"/>
                <w:color w:val="auto"/>
                <w:w w:val="96"/>
              </w:rPr>
              <w:t>(1)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ind w:left="1400"/>
              <w:spacing w:after="0"/>
              <w:rPr>
                <w:sz w:val="20"/>
                <w:szCs w:val="20"/>
                <w:color w:val="auto"/>
              </w:rPr>
            </w:pPr>
            <w:r>
              <w:rPr>
                <w:rFonts w:ascii="Arial" w:cs="Arial" w:eastAsia="Arial" w:hAnsi="Arial"/>
                <w:sz w:val="18"/>
                <w:szCs w:val="18"/>
                <w:color w:val="auto"/>
              </w:rPr>
              <w:t>Total Annuities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8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197" w:lineRule="exact"/>
        <w:rPr>
          <w:rFonts w:ascii="Arial" w:cs="Arial" w:eastAsia="Arial" w:hAnsi="Arial"/>
          <w:sz w:val="15"/>
          <w:szCs w:val="15"/>
          <w:color w:val="auto"/>
        </w:rPr>
      </w:pPr>
    </w:p>
    <w:p>
      <w:pPr>
        <w:ind w:left="580" w:right="46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project-based document management and managed print services businesses, tenant rent and related property management services and licensing.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Arial" w:cs="Arial" w:eastAsia="Arial" w:hAnsi="Arial"/>
                <w:sz w:val="18"/>
                <w:szCs w:val="18"/>
                <w:b w:val="1"/>
                <w:bCs w:val="1"/>
                <w:color w:val="auto"/>
                <w:w w:val="96"/>
              </w:rPr>
              <w:t>Product Portfolio Summary: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September 30, 2018</w:t>
            </w:r>
          </w:p>
        </w:tc>
        <w:tc>
          <w:tcPr>
            <w:tcW w:w="18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9"/>
              </w:rPr>
              <w:t>Flexographic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Eastman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Print</w:t>
            </w: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Inkjet</w:t>
            </w: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Packaging</w:t>
            </w: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14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rPr>
              <w:t>&amp; Film</w:t>
            </w:r>
          </w:p>
        </w:tc>
        <w:tc>
          <w:tcPr>
            <w:tcW w:w="18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Park</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8"/>
              </w:rPr>
              <w:t xml:space="preserve">Strategic other businesses </w:t>
            </w:r>
            <w:r>
              <w:rPr>
                <w:rFonts w:ascii="Arial" w:cs="Arial" w:eastAsia="Arial" w:hAnsi="Arial"/>
                <w:sz w:val="15"/>
                <w:szCs w:val="15"/>
                <w:color w:val="auto"/>
                <w:w w:val="9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September 30, 2018</w:t>
            </w:r>
          </w:p>
        </w:tc>
        <w:tc>
          <w:tcPr>
            <w:tcW w:w="18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Advanced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Enterprise</w:t>
            </w: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89"/>
              </w:rPr>
              <w:t>Flexographic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Eastman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Print</w:t>
            </w: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Inkjet</w:t>
            </w:r>
          </w:p>
        </w:tc>
        <w:tc>
          <w:tcPr>
            <w:tcW w:w="10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Packaging</w:t>
            </w: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Business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2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14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rPr>
              <w:t>&amp; Film</w:t>
            </w:r>
          </w:p>
        </w:tc>
        <w:tc>
          <w:tcPr>
            <w:tcW w:w="18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Park</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w w:val="98"/>
              </w:rPr>
              <w:t xml:space="preserve">Strategic other businesses </w:t>
            </w:r>
            <w:r>
              <w:rPr>
                <w:rFonts w:ascii="Arial" w:cs="Arial" w:eastAsia="Arial" w:hAnsi="Arial"/>
                <w:sz w:val="15"/>
                <w:szCs w:val="15"/>
                <w:color w:val="auto"/>
                <w:w w:val="98"/>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10"/>
              <w:spacing w:after="0"/>
              <w:rPr>
                <w:sz w:val="20"/>
                <w:szCs w:val="20"/>
                <w:color w:val="auto"/>
              </w:rPr>
            </w:pPr>
            <w:r>
              <w:rPr>
                <w:rFonts w:ascii="Arial" w:cs="Arial" w:eastAsia="Arial" w:hAnsi="Arial"/>
                <w:sz w:val="18"/>
                <w:szCs w:val="18"/>
                <w:color w:val="auto"/>
              </w:rPr>
              <w:t>[19]</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ind w:left="580" w:right="320" w:hanging="572"/>
        <w:spacing w:after="0" w:line="190" w:lineRule="auto"/>
        <w:tabs>
          <w:tab w:leader="none" w:pos="580" w:val="left"/>
        </w:tabs>
        <w:numPr>
          <w:ilvl w:val="0"/>
          <w:numId w:val="6"/>
        </w:numPr>
        <w:rPr>
          <w:rFonts w:ascii="Arial" w:cs="Arial" w:eastAsia="Arial" w:hAnsi="Arial"/>
          <w:sz w:val="31"/>
          <w:szCs w:val="31"/>
          <w:color w:val="auto"/>
          <w:vertAlign w:val="superscript"/>
        </w:rPr>
      </w:pPr>
      <w:r>
        <w:rPr>
          <w:rFonts w:ascii="Arial" w:cs="Arial" w:eastAsia="Arial" w:hAnsi="Arial"/>
          <w:sz w:val="18"/>
          <w:szCs w:val="18"/>
          <w:color w:val="auto"/>
        </w:rPr>
        <w:t>Growth engines consist of Sonora, PROSPER, FLEXCEL NX, Software and Solutions, AM3D, excluding intellectual property (IP) licensing, and brand licensing.</w:t>
      </w:r>
    </w:p>
    <w:p>
      <w:pPr>
        <w:spacing w:after="0" w:line="229" w:lineRule="exact"/>
        <w:rPr>
          <w:rFonts w:ascii="Arial" w:cs="Arial" w:eastAsia="Arial" w:hAnsi="Arial"/>
          <w:sz w:val="31"/>
          <w:szCs w:val="31"/>
          <w:color w:val="auto"/>
          <w:vertAlign w:val="superscript"/>
        </w:rPr>
      </w:pPr>
    </w:p>
    <w:p>
      <w:pPr>
        <w:ind w:left="580" w:right="260" w:hanging="572"/>
        <w:spacing w:after="0" w:line="264"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Strategic Other Businesses include plates, Computer to Plate (“CTP”) and related service, and Nexpress and related toner business in the Print Systems segment, non-FLEXCEL NX in the Flexographic Packaging segment, Motion Picture and Industrial Film and Chemicals in the Consumer and Film segment, Eastman Business Park and IP licensing.</w:t>
      </w:r>
    </w:p>
    <w:p>
      <w:pPr>
        <w:spacing w:after="0" w:line="208" w:lineRule="exact"/>
        <w:rPr>
          <w:rFonts w:ascii="Arial" w:cs="Arial" w:eastAsia="Arial" w:hAnsi="Arial"/>
          <w:sz w:val="15"/>
          <w:szCs w:val="15"/>
          <w:color w:val="auto"/>
        </w:rPr>
      </w:pPr>
    </w:p>
    <w:p>
      <w:pPr>
        <w:ind w:left="580" w:right="20" w:hanging="572"/>
        <w:spacing w:after="0" w:line="264"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These product families consist of Consumer Inkjet in the Consumer and Film segment, Versamark in the Enterprise Inkjet Systems segment and Digimaster in the Print Systems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Geography: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Eastman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Print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Inkjet</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Packaging</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&amp; Film</w:t>
            </w:r>
          </w:p>
        </w:tc>
        <w:tc>
          <w:tcPr>
            <w:tcW w:w="2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Park</w:t>
            </w: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North America</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Europe, Middle East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Africa</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Advanced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Materials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Enterprise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Flexographic</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 3D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Eastman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Print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Inkjet</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Packaging</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Software &amp;</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Printing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Business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Systems</w:t>
            </w:r>
          </w:p>
        </w:tc>
        <w:tc>
          <w:tcPr>
            <w:tcW w:w="1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Printing</w:t>
            </w: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Solutions</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rPr>
              <w:t>&amp; Film</w:t>
            </w:r>
          </w:p>
        </w:tc>
        <w:tc>
          <w:tcPr>
            <w:tcW w:w="22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Technology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Park</w:t>
            </w:r>
          </w:p>
        </w:tc>
        <w:tc>
          <w:tcPr>
            <w:tcW w:w="14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Canada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North America</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Europe, Middle East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Africa</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Sales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at September 30, 2018 and December 31, 2017 were $4 million and $3 million, respectively, and are reported in Other current assets and Trade receivables, respectively,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September 30, 2018 and December 31, 2017 were $45 million and $37 million, respectively, of which $40 million and $37 million, respectively, are reported in Other current liabilities and $5 million and $0 million, respectively, are reported in Other long-term liabilities in the Consolidated Statement of Financial Position.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Revenue recognized for the three and nine months ended September 30, 2018 that was included in the contract liability balance at the beginning of the year was $2 million and $31 million, respectively, and primarily represented revenue from prepaid service contracts and equipment revenue recognition. Contract liabilities as of September 30, 2018 include $24 million and $32 million of cash payments received during the three and nine months ended September 30, 2018,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NOTE 10: OTHER OPERATING (INCOME) EXPENSE, NET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1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0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Legal reserve changes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 xml:space="preserve">Prosper asset remeasurement </w:t>
            </w:r>
            <w:r>
              <w:rPr>
                <w:rFonts w:ascii="Arial" w:cs="Arial" w:eastAsia="Arial" w:hAnsi="Arial"/>
                <w:sz w:val="15"/>
                <w:szCs w:val="15"/>
                <w:color w:val="auto"/>
              </w:rPr>
              <w:t>(1)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9"/>
              </w:rPr>
              <w:t>20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16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hanging="572"/>
        <w:spacing w:after="0" w:line="307" w:lineRule="auto"/>
        <w:tabs>
          <w:tab w:leader="none" w:pos="580" w:val="left"/>
        </w:tabs>
        <w:numPr>
          <w:ilvl w:val="0"/>
          <w:numId w:val="7"/>
        </w:numPr>
        <w:rPr>
          <w:rFonts w:ascii="Arial" w:cs="Arial" w:eastAsia="Arial" w:hAnsi="Arial"/>
          <w:sz w:val="12"/>
          <w:szCs w:val="12"/>
          <w:color w:val="auto"/>
        </w:rPr>
      </w:pPr>
      <w:r>
        <w:rPr>
          <w:rFonts w:ascii="Arial" w:cs="Arial" w:eastAsia="Arial" w:hAnsi="Arial"/>
          <w:sz w:val="16"/>
          <w:szCs w:val="16"/>
          <w:color w:val="auto"/>
        </w:rPr>
        <w:t>In the first quarter of 2017, Kodak reduced the carrying value of Prosper fixed assets ($8 million) and intangible assets ($4 million) to the amount that would have been recorded if the Prosper assets, which were previously presented as held for sale, had been continuously classified as held and used.</w:t>
      </w:r>
    </w:p>
    <w:p>
      <w:pPr>
        <w:spacing w:after="0" w:line="96" w:lineRule="exact"/>
        <w:rPr>
          <w:rFonts w:ascii="Arial" w:cs="Arial" w:eastAsia="Arial" w:hAnsi="Arial"/>
          <w:sz w:val="12"/>
          <w:szCs w:val="12"/>
          <w:color w:val="auto"/>
        </w:rPr>
      </w:pPr>
    </w:p>
    <w:p>
      <w:pPr>
        <w:ind w:left="580" w:hanging="572"/>
        <w:spacing w:after="0" w:line="253" w:lineRule="auto"/>
        <w:tabs>
          <w:tab w:leader="none" w:pos="580" w:val="left"/>
        </w:tabs>
        <w:numPr>
          <w:ilvl w:val="0"/>
          <w:numId w:val="7"/>
        </w:numPr>
        <w:rPr>
          <w:rFonts w:ascii="Arial" w:cs="Arial" w:eastAsia="Arial" w:hAnsi="Arial"/>
          <w:sz w:val="13"/>
          <w:szCs w:val="13"/>
          <w:color w:val="auto"/>
        </w:rPr>
      </w:pPr>
      <w:r>
        <w:rPr>
          <w:rFonts w:ascii="Arial" w:cs="Arial" w:eastAsia="Arial" w:hAnsi="Arial"/>
          <w:sz w:val="17"/>
          <w:szCs w:val="17"/>
          <w:color w:val="auto"/>
        </w:rPr>
        <w:t>In the third quarter of 2017, due to canceling its copper mesh touch screen program, Kodak concluded that the carrying value of property, plant and equipment (PP&amp;E) and intangible assets associated with those operations exceeded their fair value. Kodak recorded pre-tax impairment charges in the three months ended September 30, 2017 of $8 million related to the PP&amp;E and $12 million for the intangible assets.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11: OTHER (INCOME) CHARGES,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gridSpan w:val="2"/>
          </w:tcPr>
          <w:p>
            <w:pPr>
              <w:ind w:left="780"/>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Change in fair value of embedded conversion features</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derivative liability </w:t>
            </w:r>
            <w:r>
              <w:rPr>
                <w:rFonts w:ascii="Arial" w:cs="Arial" w:eastAsia="Arial" w:hAnsi="Arial"/>
                <w:sz w:val="15"/>
                <w:szCs w:val="15"/>
                <w:color w:val="auto"/>
              </w:rPr>
              <w:t>(1)</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03"/>
              <w:spacing w:after="0"/>
              <w:rPr>
                <w:sz w:val="20"/>
                <w:szCs w:val="20"/>
                <w:color w:val="auto"/>
              </w:rPr>
            </w:pPr>
            <w:r>
              <w:rPr>
                <w:rFonts w:ascii="Arial" w:cs="Arial" w:eastAsia="Arial" w:hAnsi="Arial"/>
                <w:sz w:val="15"/>
                <w:szCs w:val="15"/>
                <w:color w:val="auto"/>
                <w:w w:val="87"/>
              </w:rPr>
              <w:t>(1)</w:t>
            </w:r>
          </w:p>
        </w:tc>
        <w:tc>
          <w:tcPr>
            <w:tcW w:w="49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Refer to Note 21, “Financial Instruments”.</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Tax Act</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22, 2017, President Trump signed into law tax legislation known as the 2017 Tax Act. The 2017 Tax Act changed many aspects of U.S. corporate income taxation and included a reduction of the corporate income tax rate from 35% to 21%, the implementation of a territorial tax system and the imposition of a tax on deemed repatriated earnings of foreign subsidiaries.</w:t>
      </w:r>
    </w:p>
    <w:p>
      <w:pPr>
        <w:spacing w:after="0" w:line="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Effective January 1, 2018, the 2017 Tax Act also includes a provision to tax global intangible low-taxed income (“GILTI”) of foreign subsidiaries, a base erosion anti-abuse tax (“BEAT”) measure that taxes certain payments between a U.S. corporation and its subsidiaries and a foreign derived intangible income (“FDII”) deduction which would reduce U.S. taxable income. Kodak provided the applicable provisional tax impacts in its consolidated financial statements for the nine months ended September 30, 2018 which were fully offset by Kodak’s U.S. valuation allowance resulting in no net tax provision.</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 complexity of the GILTI provisions, Kodak is still evaluating the effects and has not yet determined its accounting policy. For the nine months ended September 30, 2018, Kodak is still evaluating the GILTI provisions and the analysis of future taxable income that is subject to GILTI. Therefore, Kodak has included GILTI related to current year operations only in its estimated annual effective tax rate and has not provided additional GILTI on deferred items. The impact was fully offset by Kodak’s U.S. valuation allowance, resulting in no net tax provision.</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ind w:right="80"/>
        <w:spacing w:after="0" w:line="255" w:lineRule="auto"/>
        <w:rPr>
          <w:sz w:val="20"/>
          <w:szCs w:val="20"/>
          <w:color w:val="auto"/>
        </w:rPr>
      </w:pPr>
      <w:r>
        <w:rPr>
          <w:rFonts w:ascii="Arial" w:cs="Arial" w:eastAsia="Arial" w:hAnsi="Arial"/>
          <w:sz w:val="18"/>
          <w:szCs w:val="18"/>
          <w:color w:val="auto"/>
        </w:rPr>
        <w:t>Staff Accounting Bulletin No. 118, Income Tax Accounting Implications of the Tax Cuts and Jobs Act, (“SAB 118”) addresses the application of U.S. GAAP in situations when a registrant does not have the necessary information available, prepared, or analyzed (including computations) in reasonable detail to complete the accounting for certain income tax effects of the 2017 Tax Act. Kodak has recognized the provisional tax impacts to the extent needed and included these amounts in its consolidated financial statements for the nine months ended September 30, 2018. The ultimate impact may materially differ from these provisional amounts as a result of additional analysis, changes in interpretations and assumptions Kodak has made, additional regulatory guidance that may be issued, actions Kodak may take as a result of the 2017 Tax Act and other factors. The accounting is expected to be complete when the 2017 U.S. corporate income tax return is filed in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and Korean National Tax Service Agreement</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June 2012, Kodak filed a Request for Competent Authority Assistance with the United States Internal Revenue Service (IRS). The request related to a potential double taxation issue with respect to patent licensing royalty payments received by Kodak in 2010. In October 2018, an agreement was reached by the IRS and Korean National Tax Service, resulting in a partial refund of Korean withholding taxes in the amount of $32 million. Kodak had previously agreed with the licensee that made the royalty payments that any refunds of the related Korean withholding taxes would be shared equally between Kodak and the licensee. Kodak received the $16 million net payment in the fourth quarter of 2018. The full $32 million refund will be reflected as an income tax benefit in the fourth quarter of 2018. The $16 million payment to the licensee will reduce net income, resulting in a net benefit to net income of $16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(benefit) and effective tax rate were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Three Months Ended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 before</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Provision (benefit) for income taxes at U.S. statutory tax</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 statutory rate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September 30, 2018,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1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nine months ended September 30, 2018,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changes in audit reserves, including a settlement with a taxing authority in a location outside the U.S.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and nine months ended September 30, 2017, the difference between Kodak’s effective tax rate and the U.S. statutory rate of 35.0% is primarily attributable to: (1) the impact related to existing valuation allowances associated with changes in net deferred tax assets from current earnings and losses, (2) the results from operations in jurisdictions outside the U.S., (3) a benefit associated with the tax impact of a goodwill impairment, and (4) changes in audit reserves, including settlements with taxing authorities in locations outside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LIABILITIES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nine months of 2018 were initiated to reduce Kodak’s cost structure as part of its commitment to drive sustainable profitability and included various targeted reductions in manufacturing, service, sales, research and development, and other administrative functions.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Restructuring Reserve Activity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Long-lived 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Exit</w:t>
            </w:r>
          </w:p>
        </w:tc>
        <w:tc>
          <w:tcPr>
            <w:tcW w:w="1660" w:type="dxa"/>
            <w:vAlign w:val="bottom"/>
            <w:gridSpan w:val="4"/>
          </w:tcPr>
          <w:p>
            <w:pPr>
              <w:ind w:left="80"/>
              <w:spacing w:after="0"/>
              <w:rPr>
                <w:sz w:val="20"/>
                <w:szCs w:val="20"/>
                <w:color w:val="auto"/>
              </w:rPr>
            </w:pPr>
            <w:r>
              <w:rPr>
                <w:rFonts w:ascii="Arial" w:cs="Arial" w:eastAsia="Arial" w:hAnsi="Arial"/>
                <w:sz w:val="18"/>
                <w:szCs w:val="18"/>
                <w:b w:val="1"/>
                <w:bCs w:val="1"/>
                <w:color w:val="auto"/>
              </w:rPr>
              <w:t>Impairments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Inventory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Reserve </w:t>
            </w:r>
            <w:r>
              <w:rPr>
                <w:rFonts w:ascii="Arial" w:cs="Arial" w:eastAsia="Arial" w:hAnsi="Arial"/>
                <w:sz w:val="15"/>
                <w:szCs w:val="15"/>
                <w:b w:val="1"/>
                <w:bCs w:val="1"/>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 xml:space="preserve">Reserve </w:t>
            </w:r>
            <w:r>
              <w:rPr>
                <w:rFonts w:ascii="Arial" w:cs="Arial" w:eastAsia="Arial" w:hAnsi="Arial"/>
                <w:sz w:val="15"/>
                <w:szCs w:val="15"/>
                <w:b w:val="1"/>
                <w:bCs w:val="1"/>
                <w:color w:val="auto"/>
                <w:w w:val="89"/>
              </w:rPr>
              <w:t>(1)</w:t>
            </w:r>
          </w:p>
        </w:tc>
        <w:tc>
          <w:tcPr>
            <w:tcW w:w="8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 xml:space="preserve">Write-downs </w:t>
            </w:r>
            <w:r>
              <w:rPr>
                <w:rFonts w:ascii="Arial" w:cs="Arial" w:eastAsia="Arial" w:hAnsi="Arial"/>
                <w:sz w:val="15"/>
                <w:szCs w:val="15"/>
                <w:b w:val="1"/>
                <w:bCs w:val="1"/>
                <w:color w:val="auto"/>
                <w:w w:val="92"/>
              </w:rPr>
              <w:t>(1)</w:t>
            </w: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Q1 charges</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Q1 utilization/cash payments</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March 31,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22"/>
                <w:szCs w:val="22"/>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Q2 charges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Q2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Q2 other adjustments and reclasses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6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as of June 30,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22"/>
                <w:szCs w:val="22"/>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Q3 charges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Q3 utilization/cash payments</w:t>
            </w:r>
          </w:p>
        </w:tc>
        <w:tc>
          <w:tcPr>
            <w:tcW w:w="9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Q3 other adjustments and reclasses </w:t>
            </w:r>
            <w:r>
              <w:rPr>
                <w:rFonts w:ascii="Arial" w:cs="Arial" w:eastAsia="Arial" w:hAnsi="Arial"/>
                <w:sz w:val="15"/>
                <w:szCs w:val="15"/>
                <w:color w:val="auto"/>
              </w:rPr>
              <w:t>(2)</w:t>
            </w:r>
          </w:p>
        </w:tc>
        <w:tc>
          <w:tcPr>
            <w:tcW w:w="9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Balance as of September 30, 2018</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480" w:right="380" w:hanging="472"/>
        <w:spacing w:after="0" w:line="277" w:lineRule="auto"/>
        <w:tabs>
          <w:tab w:leader="none" w:pos="48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and inventory write-downs represent non-cash items.</w:t>
      </w:r>
    </w:p>
    <w:p>
      <w:pPr>
        <w:spacing w:after="0" w:line="197" w:lineRule="exact"/>
        <w:rPr>
          <w:rFonts w:ascii="Arial" w:cs="Arial" w:eastAsia="Arial" w:hAnsi="Arial"/>
          <w:sz w:val="15"/>
          <w:szCs w:val="15"/>
          <w:color w:val="auto"/>
        </w:rPr>
      </w:pPr>
    </w:p>
    <w:p>
      <w:pPr>
        <w:ind w:left="580" w:hanging="572"/>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Represents severance charges funded from pension plan assets, which were reclassified to Pension and other postretirement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2018 the $9 million of charges were reported as Restructuring costs and other.</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severance costs for the three months ended September 30, 2018 related to the elimination of approximately 100 positions including approximately 15 manufacturing/service positions, 20 research and development positions, and 65 administrative and sales positions. The geographic composition of these positions includes approximately 75 in the United States and Canada and 25 throughout the rest of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2018 the $13 million of charges were reported as Restructuring costs and other.</w:t>
      </w:r>
    </w:p>
    <w:p>
      <w:pPr>
        <w:spacing w:after="0" w:line="11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severance costs for the nine months ended September 30, 2018 related to the elimination of approximately 175 positions including approximately 55 manufacturing/service positions, 25 research and development positions, and 95 administrative and sales positions. The geographic composition of these positions includes approximately 110 in the United States and Canada and 65 throughout the rest of the world.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these initiatives, approximately $2 million of the severance will be paid during periods through the end of 2019. The rest of the severance will be paid during periods through the end of the first quarter of 2019.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800" w:type="dxa"/>
            <w:vAlign w:val="bottom"/>
            <w:gridSpan w:val="11"/>
          </w:tcPr>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gridSpan w:val="18"/>
          </w:tcPr>
          <w:p>
            <w:pPr>
              <w:spacing w:after="0"/>
              <w:rPr>
                <w:sz w:val="20"/>
                <w:szCs w:val="20"/>
                <w:color w:val="auto"/>
              </w:rPr>
            </w:pPr>
            <w:r>
              <w:rPr>
                <w:rFonts w:ascii="Arial" w:cs="Arial" w:eastAsia="Arial" w:hAnsi="Arial"/>
                <w:sz w:val="18"/>
                <w:szCs w:val="18"/>
                <w:color w:val="auto"/>
                <w:w w:val="96"/>
              </w:rPr>
              <w:t>Components of the net periodic benefit cost for all major U.S. and Non-U.S. defined benefit plans are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5"/>
              </w:rPr>
              <w:t>Nine Months Ended</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5"/>
              </w:rPr>
              <w:t>September 30,</w:t>
            </w: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w w:val="95"/>
              </w:rPr>
              <w:t>September 30,</w:t>
            </w:r>
          </w:p>
        </w:tc>
        <w:tc>
          <w:tcPr>
            <w:tcW w:w="3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Non-U.S.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Non-U.S.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Major defined benefit plans:</w:t>
            </w:r>
          </w:p>
        </w:tc>
        <w:tc>
          <w:tcPr>
            <w:tcW w:w="1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Net pension income before special</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termination benefits</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pension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net pension income</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For both the three and nine months ended September 30, 2018 and 2017 the special termination benefits charges were incurred as a result of Kodak’s restructuring actions and have been included in Restructuring costs and other in the Consolidated Statement of Operations for those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REDEEMABLE, CONVERTIBLE SERIES A PREFERRED STOCK</w:t>
      </w:r>
    </w:p>
    <w:p>
      <w:pPr>
        <w:spacing w:after="0" w:line="2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On November 15, 2016, the Company issued 2,000,000 shares of 5.50% Series A Convertible Preferred Stock, no par value per share (the “Series A Preferred Stock”), for an aggregate purchase price of $200 million, or $100 per share. The Company has classified the Series A Preferred Stock as temporary equity in the Consolidated Statement of Financial Position. Kodak allocated $43 million of the net proceeds received to a derivative liability based on the aggregate fair value of the embedded conversion features on the date of issuance which reduced the net carrying value of the Series A Preferred Stock (see Note 21, “Financial Instruments”). The carrying value of the Series A Preferred Stock at the time of issuance, $155 million ($200 million aggregate gross proceeds less $43 million allocated to the derivative liability and $2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 November 15, 2021. The holders of Series A Preferred Stock are entitled to cumulative dividends payable quarterly in cash at a rate of 5.50% per annum. Until the third quarter of 2018 all dividends owed on the Series A Preferred Stock were declared and paid when</w:t>
      </w:r>
    </w:p>
    <w:p>
      <w:pPr>
        <w:spacing w:after="0" w:line="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due. No quarterly dividend was declared in the third quarter of 2018. If dividends on any Series A Preferred Stock are in arrears for six or more consecutive or non-consecutive dividend periods, the holders of Series A Preferred Stock, voting with holders of all other preferred stock of the Company whose voting rights are then exercisable, will be entitled to vote for the election of two additional directors in the next annual meeting and all subsequent meetings until all accumulated dividends on such Series A Preferred Stock and other voting preferred stock have been paid or set aside. The nomination right of Southeastern Asset Management, Inc. (“Southeastern”) and Longleaf Partners Small-Cap Fund, C2W Partners Master Fund Limited and Deseret Mutual Pension Trust, which are investment funds managed by Southeastern (such investment funds, collectively, the “Purchasers”), will be reduced by two nominees at any time the holders of Series A Preferred Stock have the right to elect, or participate in the election of, two additional directors. Two of the directors on the Company’s current board of directors were nominated by the Purchasers. As of September 30, 2018, the Series A Preferred Stock has not been converted and none of the antidilution provisions have been triggered. Any shares of Series A Preferred Stock not converted prior to the fifth anniversary of the initial issuance of the Series A Preferred Stock are required to be redeemed at $100 per share plus the amount of accrued and unpaid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available to common shareholders, diluted earnings per share are calculated using weighted-average basic shares for that period, as utilizing diluted shares would be anti-dilutive to loss per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120"/>
        <w:spacing w:after="0" w:line="258" w:lineRule="auto"/>
        <w:rPr>
          <w:sz w:val="20"/>
          <w:szCs w:val="20"/>
          <w:color w:val="auto"/>
        </w:rPr>
      </w:pPr>
      <w:r>
        <w:rPr>
          <w:rFonts w:ascii="Arial" w:cs="Arial" w:eastAsia="Arial" w:hAnsi="Arial"/>
          <w:sz w:val="18"/>
          <w:szCs w:val="18"/>
          <w:color w:val="auto"/>
        </w:rPr>
        <w:t>A reconciliation of the amounts used to calculate basic and diluted earnings per share for three and nine months ended September 30, 2018 and 2017 follows (in millions):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1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 operations</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94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 available to</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common shareholders - basic and diluted</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2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right w:val="single" w:sz="8" w:color="CFF0FC"/>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earnings (loss)</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Series A convertible preferred stock cash dividend</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Series A convertible preferred stock deemed dividend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Net earnings (loss) available to common shareholders - basic and</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5"/>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6"/>
                <w:szCs w:val="16"/>
                <w:color w:val="auto"/>
              </w:rPr>
              <w:t>(in millions of shares)</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Unvested restricted stock units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shares - diluted EPS calculation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result of the net loss from continuing operations available to common shareholders for the nine months ended September 30, 2018 and three and nine months ended September 30, 2017, Kodak calculated diluted earnings per share using weighted-average basic shares outstanding for those periods. If Kodak reported earnings from continuing operations available to common shareholders for the nine months ended September 30, 2018 and for both the three and nine months ended September 30, 2017, the calculation of diluted earnings per share would have included the assumed conversion of 0.3 million and 0.2 million of unvested restricted stock units,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diluted earnings per share for the three and nine months ended September 30, 2018 and 2017 excluded the impact of (1) the assumed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conversion of 2.0 million shares of Series A convertible preferred shares and (2) the assumed conversion of outstanding employee stock options of 5.2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5.0 million for the three and nine months ended September 30, 2018, respectively, and 4.6 million for both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because the effects would have been anti-dilutive. In addition, the computation of diluted earnings per share for both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excluded the impact of (1) the assumed conversion of net share settled warrants to purchase 1.8 million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at an exercise price of $14.93 and (2) the assumed conversion of net share settled warrants to purchase 1.8 million shares of common stock at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exercise price of $16.12 because the effects would have been anti-dilutive. The net share settled warrants terminated at the close of business on September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Kodak has 560 million shares of authorized stock, consisting of: (i) 500 million shares of common stock, par value $0.01 per share and (ii) 60 million shares of preferred stock, no par value, issuable in one or more series. As of September 30, 2018 and December 31, 2017, there were 42.7 million and 42.6 million shares of common stock outstanding, respectively, and 2.0 million shares of Series A preferred stock issued and outstanding. Treasury stock consisted of approximately 0.6 million shares at both September 30, 2018 and December 31, 2017.</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NOTE 18: OTHER COMPREHENSIVE LOSS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540" w:type="dxa"/>
            <w:vAlign w:val="bottom"/>
            <w:gridSpan w:val="2"/>
          </w:tcPr>
          <w:p>
            <w:pPr>
              <w:spacing w:after="0"/>
              <w:rPr>
                <w:sz w:val="20"/>
                <w:szCs w:val="20"/>
                <w:color w:val="auto"/>
              </w:rPr>
            </w:pPr>
            <w:r>
              <w:rPr>
                <w:rFonts w:ascii="Arial" w:cs="Arial" w:eastAsia="Arial" w:hAnsi="Arial"/>
                <w:sz w:val="18"/>
                <w:szCs w:val="18"/>
                <w:color w:val="auto"/>
                <w:w w:val="92"/>
              </w:rPr>
              <w:t>The changes in Other comprehensive loss, by component, were as follows:</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5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540" w:type="dxa"/>
            <w:vAlign w:val="bottom"/>
            <w:gridSpan w:val="2"/>
          </w:tcPr>
          <w:p>
            <w:pPr>
              <w:ind w:left="580"/>
              <w:spacing w:after="0"/>
              <w:rPr>
                <w:sz w:val="20"/>
                <w:szCs w:val="20"/>
                <w:color w:val="auto"/>
              </w:rPr>
            </w:pPr>
            <w:r>
              <w:rPr>
                <w:rFonts w:ascii="Arial" w:cs="Arial" w:eastAsia="Arial" w:hAnsi="Arial"/>
                <w:sz w:val="18"/>
                <w:szCs w:val="18"/>
                <w:color w:val="auto"/>
              </w:rPr>
              <w:t>Pension and other postretirement benefit plan changes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(loss)</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Tax benefit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gain (loss), net of tax</w:t>
            </w: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prior service credit</w:t>
            </w: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5"/>
                <w:szCs w:val="15"/>
                <w:color w:val="auto"/>
              </w:rPr>
              <w:t>(a)</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580" w:type="dxa"/>
            <w:vAlign w:val="bottom"/>
          </w:tcPr>
          <w:p>
            <w:pPr>
              <w:spacing w:after="0"/>
              <w:rPr>
                <w:sz w:val="19"/>
                <w:szCs w:val="19"/>
                <w:color w:val="auto"/>
              </w:rPr>
            </w:pPr>
          </w:p>
        </w:tc>
        <w:tc>
          <w:tcPr>
            <w:tcW w:w="4960" w:type="dxa"/>
            <w:vAlign w:val="bottom"/>
          </w:tcPr>
          <w:p>
            <w:pPr>
              <w:ind w:left="500"/>
              <w:spacing w:after="0"/>
              <w:rPr>
                <w:sz w:val="20"/>
                <w:szCs w:val="20"/>
                <w:color w:val="auto"/>
              </w:rPr>
            </w:pPr>
            <w:r>
              <w:rPr>
                <w:rFonts w:ascii="Arial" w:cs="Arial" w:eastAsia="Arial" w:hAnsi="Arial"/>
                <w:sz w:val="18"/>
                <w:szCs w:val="18"/>
                <w:color w:val="auto"/>
              </w:rPr>
              <w:t>Amortization of actuarial (gains) losses</w:t>
            </w:r>
          </w:p>
        </w:tc>
        <w:tc>
          <w:tcPr>
            <w:tcW w:w="540" w:type="dxa"/>
            <w:vAlign w:val="bottom"/>
            <w:gridSpan w:val="2"/>
          </w:tcPr>
          <w:p>
            <w:pPr>
              <w:jc w:val="right"/>
              <w:ind w:right="125"/>
              <w:spacing w:after="0"/>
              <w:rPr>
                <w:sz w:val="20"/>
                <w:szCs w:val="20"/>
                <w:color w:val="auto"/>
              </w:rPr>
            </w:pPr>
            <w:r>
              <w:rPr>
                <w:rFonts w:ascii="Arial" w:cs="Arial" w:eastAsia="Arial" w:hAnsi="Arial"/>
                <w:sz w:val="15"/>
                <w:szCs w:val="15"/>
                <w:color w:val="auto"/>
              </w:rPr>
              <w:t>(a)</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Recognition of losses due to settlement</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tax</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5540" w:type="dxa"/>
            <w:vAlign w:val="bottom"/>
            <w:gridSpan w:val="2"/>
          </w:tcPr>
          <w:p>
            <w:pPr>
              <w:ind w:left="58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is composed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December 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ind w:left="1720"/>
              <w:spacing w:after="0"/>
              <w:rPr>
                <w:sz w:val="20"/>
                <w:szCs w:val="20"/>
                <w:color w:val="auto"/>
              </w:rPr>
            </w:pPr>
            <w:r>
              <w:rPr>
                <w:rFonts w:ascii="Arial" w:cs="Arial" w:eastAsia="Arial" w:hAnsi="Arial"/>
                <w:sz w:val="16"/>
                <w:szCs w:val="16"/>
                <w:color w:val="auto"/>
              </w:rPr>
              <w:t>(in millions)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76"/>
              </w:rPr>
              <w:t>(104)</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76"/>
              </w:rPr>
              <w:t>(407)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65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20: SEGMENT INFORMATION</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Kodak has seven reportable segments: Print Systems, Enterprise Inkjet Systems, Flexographic Packaging, Software and Solutions, Consumer and Film, Advanced Materials and 3D Printing Technology and Eastman Business Park. A description of the reportable segments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Inkjet Systems</w:t>
      </w:r>
      <w:r>
        <w:rPr>
          <w:rFonts w:ascii="Arial" w:cs="Arial" w:eastAsia="Arial" w:hAnsi="Arial"/>
          <w:sz w:val="16"/>
          <w:szCs w:val="16"/>
          <w:color w:val="auto"/>
        </w:rPr>
        <w:t>: The Enterprise Inkjet Systems segment is comprised of two lines of business: the Prosper business and the Versamark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r>
        <w:rPr>
          <w:rFonts w:ascii="Arial" w:cs="Arial" w:eastAsia="Arial" w:hAnsi="Arial"/>
          <w:sz w:val="18"/>
          <w:szCs w:val="18"/>
          <w:color w:val="auto"/>
        </w:rPr>
        <w:t>: The Flexographic Packaging segment is comprised of the Packaging line of business.</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Unified Workflow Solutions and Kodak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8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Industrial Film and Chemicals, Motion Picture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Products (which includes Consumer Inkjet Solutions).</w:t>
      </w:r>
    </w:p>
    <w:p>
      <w:pPr>
        <w:spacing w:after="0" w:line="189" w:lineRule="exact"/>
        <w:rPr>
          <w:sz w:val="20"/>
          <w:szCs w:val="20"/>
          <w:color w:val="auto"/>
        </w:rPr>
      </w:pPr>
    </w:p>
    <w:p>
      <w:pPr>
        <w:ind w:right="920"/>
        <w:spacing w:after="0" w:line="347" w:lineRule="auto"/>
        <w:rPr>
          <w:sz w:val="20"/>
          <w:szCs w:val="20"/>
          <w:color w:val="auto"/>
        </w:rPr>
      </w:pPr>
      <w:r>
        <w:rPr>
          <w:rFonts w:ascii="Arial" w:cs="Arial" w:eastAsia="Arial" w:hAnsi="Arial"/>
          <w:sz w:val="16"/>
          <w:szCs w:val="16"/>
          <w:b w:val="1"/>
          <w:bCs w:val="1"/>
          <w:color w:val="auto"/>
        </w:rPr>
        <w:t>Advanced Materials and 3D Printing Technology</w:t>
      </w:r>
      <w:r>
        <w:rPr>
          <w:rFonts w:ascii="Arial" w:cs="Arial" w:eastAsia="Arial" w:hAnsi="Arial"/>
          <w:sz w:val="16"/>
          <w:szCs w:val="16"/>
          <w:color w:val="auto"/>
        </w:rPr>
        <w:t>: The Advanced Materials and 3D Printing Technology segment includes the Kodak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Laboratories and associated new business opportunities and intellectual property licensing not directly related to other business segments.</w:t>
      </w:r>
    </w:p>
    <w:p>
      <w:pPr>
        <w:spacing w:after="0" w:line="14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10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Consolidated total</w:t>
            </w:r>
          </w:p>
        </w:tc>
        <w:tc>
          <w:tcPr>
            <w:tcW w:w="10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Segment Operational EBITDA and Consolidated Earnings (Loss) from Continuing Operations Before Income Taxes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of reportable segments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Manufacturing capacity non-recurring costs </w:t>
            </w:r>
            <w:r>
              <w:rPr>
                <w:rFonts w:ascii="Arial" w:cs="Arial" w:eastAsia="Arial" w:hAnsi="Arial"/>
                <w:sz w:val="15"/>
                <w:szCs w:val="15"/>
                <w:color w:val="auto"/>
              </w:rPr>
              <w:t>(3)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Goodwill impairment loss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w w:val="98"/>
              </w:rPr>
              <w:t>Consolidated earnings (loss) from continuing operations before</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400" w:hanging="512"/>
        <w:spacing w:after="0" w:line="277" w:lineRule="auto"/>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62" w:lineRule="exact"/>
        <w:rPr>
          <w:rFonts w:ascii="Arial" w:cs="Arial" w:eastAsia="Arial" w:hAnsi="Arial"/>
          <w:sz w:val="15"/>
          <w:szCs w:val="15"/>
          <w:color w:val="auto"/>
        </w:rPr>
      </w:pPr>
    </w:p>
    <w:p>
      <w:pPr>
        <w:ind w:left="520" w:hanging="512"/>
        <w:spacing w:after="0" w:line="277" w:lineRule="auto"/>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Consists of noncapitalizable costs incurred as a result of the Flexographic Packaging segment’s expansion at the manufacturing facility in Weatherford, Oklahoma.</w:t>
      </w:r>
    </w:p>
    <w:p>
      <w:pPr>
        <w:spacing w:after="0" w:line="62" w:lineRule="exact"/>
        <w:rPr>
          <w:rFonts w:ascii="Arial" w:cs="Arial" w:eastAsia="Arial" w:hAnsi="Arial"/>
          <w:sz w:val="15"/>
          <w:szCs w:val="15"/>
          <w:color w:val="auto"/>
        </w:rPr>
      </w:pPr>
    </w:p>
    <w:p>
      <w:pPr>
        <w:ind w:left="520" w:hanging="512"/>
        <w:spacing w:after="0"/>
        <w:tabs>
          <w:tab w:leader="none" w:pos="5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3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Kodak reduced workers’ compensation reserves by approximately $6 million in the third quarter of 2018 due to changes in discount rates and reduction in estimated ultimate losses. The reduction in reserves impacted gross profit by approximately $3 million, SG&amp;A by approximately $2 million and R&amp;D by approximately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manufacturing capacity expansion non-recurring costs; other operating income (expense), net (unless otherwise indicated); goodwill impairment losses; interest expense; and other (charges) income, net.</w:t>
      </w:r>
    </w:p>
    <w:p>
      <w:pPr>
        <w:spacing w:after="0" w:line="179"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 in Segment Measure of Profitability</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 as other compensation costs arising from services rendered during the period. Refer to the Recently Adopted Accounting Pronouncements section of Note 1, “Basis of Presentation and Recent Accounting Pronouncements.”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second quarter of 2018 the segment measure was changed to exclude manufacturing capacity expansion non-recurring costs for the expansion at the Flexographic Packaging segment’s Weatherford, Oklahoma manufacturing facility. These costs in the prior periods were de minimis and therefore no prior period reclassification is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FINANCIAL INSTRUMENTS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Kodak’s foreign currency forward contracts are not designated as hedges and are marked to market through net (loss) earnings at the same time that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exposed assets and liabilities are remeasured through net (loss) earnings (both in Other (income) charges, net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notional amount of such contracts open at September 30, 2018 and December 31, 2017 was approximately $622 million and $534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majority of the contracts of this type held by Kodak as of September 30, 2018 and December 31, 2017 are denominated in Swiss francs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80" w:type="dxa"/>
            <w:vAlign w:val="bottom"/>
            <w:gridSpan w:val="4"/>
          </w:tcPr>
          <w:p>
            <w:pPr>
              <w:ind w:left="320"/>
              <w:spacing w:after="0"/>
              <w:rPr>
                <w:sz w:val="20"/>
                <w:szCs w:val="20"/>
                <w:color w:val="auto"/>
              </w:rPr>
            </w:pPr>
            <w:r>
              <w:rPr>
                <w:rFonts w:ascii="Arial" w:cs="Arial" w:eastAsia="Arial" w:hAnsi="Arial"/>
                <w:sz w:val="18"/>
                <w:szCs w:val="18"/>
                <w:b w:val="1"/>
                <w:bCs w:val="1"/>
                <w:color w:val="auto"/>
                <w:w w:val="97"/>
              </w:rPr>
              <w:t>Three Months Ended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80" w:type="dxa"/>
            <w:vAlign w:val="bottom"/>
            <w:gridSpan w:val="4"/>
          </w:tcPr>
          <w:p>
            <w:pPr>
              <w:ind w:left="58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5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19"/>
                <w:szCs w:val="19"/>
                <w:color w:val="auto"/>
              </w:rPr>
            </w:pPr>
          </w:p>
        </w:tc>
        <w:tc>
          <w:tcPr>
            <w:tcW w:w="82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from derivatives not designated as hedging</w:t>
            </w:r>
          </w:p>
        </w:tc>
        <w:tc>
          <w:tcPr>
            <w:tcW w:w="8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instruments</w:t>
            </w:r>
          </w:p>
        </w:tc>
        <w:tc>
          <w:tcPr>
            <w:tcW w:w="16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nine months ended September 30, 2018 and 2017.</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a default under the Company’s Senior Secured First Lien Term Credit Agreement, the Amended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in Note 15, “Redeemable, Convertible, Series A Preferred Stock”, the Company concluded that the Series A Preferred Stock is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derivative is in an asset position at both September 30, 2018 and December 31, 2017, and is reported in Other long-term assets in the Consolidated Statement of Financial Position. The derivative is being accounted for at fair value with changes in fair value being reported in Other (income) charges, net in the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Receivables, net and the gross fair value of foreign currency forward contracts in a liability position are reported in Other current liabilities in the Consolidated Statement of Financial Position. The gross fair value of forward contracts in an asset position as of September 31, 2018 and in a liability position as of September 30, 2018 and December 31, 2017 was not material. The gross fair value of forward contracts in an asset position as of December 31, 2017 was $7 million.</w:t>
      </w:r>
    </w:p>
    <w:p>
      <w:pPr>
        <w:spacing w:after="0" w:line="19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2018.</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 w:name="page30"/>
    <w:bookmarkEnd w:id="29"/>
    <w:p>
      <w:pPr>
        <w:spacing w:after="0" w:line="264" w:lineRule="auto"/>
        <w:rPr>
          <w:sz w:val="20"/>
          <w:szCs w:val="20"/>
          <w:color w:val="auto"/>
        </w:rPr>
      </w:pPr>
      <w:r>
        <w:rPr>
          <w:rFonts w:ascii="Arial" w:cs="Arial" w:eastAsia="Arial" w:hAnsi="Arial"/>
          <w:sz w:val="18"/>
          <w:szCs w:val="18"/>
          <w:color w:val="auto"/>
        </w:rPr>
        <w:t>The fair value of the embedded conversion features derivative is calculated using unobservable inputs (Level 3 fair measurements). The value of the Optional Conversion and Mandatory Conversion is calculated using a binomial lattice model. The following table presents the key inputs in the determination of the fair value of the Optional Conversion and Mandatory Conversion at September 30, 2018 and December 31, 2017:</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Valuation Date</w:t>
            </w:r>
          </w:p>
        </w:tc>
      </w:tr>
      <w:tr>
        <w:trPr>
          <w:trHeight w:val="230"/>
        </w:trPr>
        <w:tc>
          <w:tcPr>
            <w:tcW w:w="6080" w:type="dxa"/>
            <w:vAlign w:val="bottom"/>
          </w:tcPr>
          <w:p>
            <w:pPr>
              <w:spacing w:after="0"/>
              <w:rPr>
                <w:sz w:val="19"/>
                <w:szCs w:val="19"/>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2"/>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0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asset ($ millions)</w:t>
            </w:r>
          </w:p>
        </w:tc>
        <w:tc>
          <w:tcPr>
            <w:tcW w:w="260" w:type="dxa"/>
            <w:vAlign w:val="bottom"/>
            <w:shd w:val="clear" w:color="auto" w:fill="CFF0FC"/>
          </w:tcPr>
          <w:p>
            <w:pPr>
              <w:jc w:val="right"/>
              <w:ind w:right="9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260" w:type="dxa"/>
            <w:vAlign w:val="bottom"/>
          </w:tcPr>
          <w:p>
            <w:pPr>
              <w:spacing w:after="0"/>
              <w:rPr>
                <w:sz w:val="19"/>
                <w:szCs w:val="19"/>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58.22%</w:t>
            </w:r>
          </w:p>
        </w:tc>
      </w:tr>
      <w:tr>
        <w:trPr>
          <w:trHeight w:val="230"/>
        </w:trPr>
        <w:tc>
          <w:tcPr>
            <w:tcW w:w="608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r>
      <w:tr>
        <w:trPr>
          <w:trHeight w:val="230"/>
        </w:trPr>
        <w:tc>
          <w:tcPr>
            <w:tcW w:w="6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Yield on the preferred stock</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22.31%</w:t>
            </w: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Fundamental Change and Reorganization Conversion value at issuance was calculated as the difference between the total value of the Series A Preferred Stock and the sum of the net present value of the cash flows if the Series A Preferred Stock is redeemed on its fifth anniversary and the values of the other embedded derivatives. The Fundamental Change and Reorganization Conversion value reduces the value of the embedded conversion features derivative liability. Other than events which alter the likelihood of a fundamental change or reorganization event, the value of the Fundamental Change and Reorganization Conversion reflects the value as of the issuance date, amortized for the passage of time. The Fundamental Change and Reorganization Conversion value exceeded the value of the Optional Conversion and Mandatory Conversion values at both September 30, 2018 and December 31, 2017 resulting in the derivative being reported as an asset.</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$5 million and $348 million at September 30, 2018 and December 31, 2017, respectively. At September 30, 2018, the fair value of current portion of long-term debt was also determined by reference to quoted market prices of similar instruments, if available, or by pricing models based on the value of related cash flows discounted at current market interest rates. The fair value of current portion of long-term debt was $384 million at September 30, 2018.</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carrying values of cash and cash equivalents, restricted cash and short-term borrowings approximate their fair values. In addition, the carrying value of current portion of long-term debt approximated its fair value at December 31,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2017 under the headings “Business,” “Risk Factors,” “Legal Proceedings,” and/or “Management’s Discussion and Analysis of Financial Condition and Results of Operations–Liquidity and Capital Resources,” in the corresponding sections of this report on Form 10-Q and in the Company’s quarterly reports on Form 10-Q for the quarters ended March 31, 2018 and June 30, 2018, and in other filings the Company makes with the SEC from time to time, as well as the following:</w:t>
      </w:r>
    </w:p>
    <w:p>
      <w:pPr>
        <w:spacing w:after="0" w:line="72"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40" w:right="460" w:hanging="519"/>
        <w:spacing w:after="0" w:line="28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Kodak’s ability to repay, refinance or extend the maturity of the loans under the existing First Lien Term Credit Agreement prior to their maturity date of September 3, 2019 or prior to June 5, 2019, the date on which the Amended Credit Agreement will terminate unless such repayment, refinancing or extension has occurred, or the Amended Credit Agreement has been amended;</w:t>
      </w:r>
    </w:p>
    <w:p>
      <w:pPr>
        <w:spacing w:after="0" w:line="57"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discontinue, sell or spin-off certain businesses or operations, including its Flexographic Packaging segment, or otherwise monetize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Kodak’s ability to fund continued investments, capital needs and restructuring payments and service its debt and Series A Preferred Stock;</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and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Credit Agreement, Kodak’s ability to obtain additional financing if and as needed and Kodak’s ability to provide or facilitate financing for its customers;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global economic environment on Kodak.</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developing products for the functional printing markets</w:t>
      </w:r>
      <w:r>
        <w:rPr>
          <w:rFonts w:ascii="Arial" w:cs="Arial" w:eastAsia="Arial" w:hAnsi="Arial"/>
          <w:sz w:val="18"/>
          <w:szCs w:val="18"/>
          <w:b w:val="1"/>
          <w:bCs w:val="1"/>
          <w:color w:val="auto"/>
        </w:rPr>
        <w:t>.</w:t>
      </w:r>
      <w:r>
        <w:rPr>
          <w:rFonts w:ascii="Arial" w:cs="Arial" w:eastAsia="Arial" w:hAnsi="Arial"/>
          <w:sz w:val="18"/>
          <w:szCs w:val="18"/>
          <w:color w:val="auto"/>
        </w:rPr>
        <w:t xml:space="preserve">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both"/>
        <w:ind w:right="840"/>
        <w:spacing w:after="0" w:line="342" w:lineRule="auto"/>
        <w:rPr>
          <w:sz w:val="20"/>
          <w:szCs w:val="20"/>
          <w:color w:val="auto"/>
        </w:rPr>
      </w:pPr>
      <w:r>
        <w:rPr>
          <w:rFonts w:ascii="Arial" w:cs="Arial" w:eastAsia="Arial" w:hAnsi="Arial"/>
          <w:sz w:val="16"/>
          <w:szCs w:val="16"/>
          <w:color w:val="auto"/>
        </w:rPr>
        <w:t>Revenue decreased $13 million and $22 million compared to the prior year quarter and first nine months (3% and 2%, respectively), including the unfavorable impact of currency ($5 million) in the current year quarter and the favorable impact of currency ($26 million) in the first nine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Kodak’s strategy is to:</w:t>
      </w:r>
    </w:p>
    <w:p>
      <w:pPr>
        <w:spacing w:after="0" w:line="104"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Kodak’s divisional structure to drive accountability, transparency and speed of decision making;</w:t>
      </w:r>
    </w:p>
    <w:p>
      <w:pPr>
        <w:spacing w:after="0" w:line="90" w:lineRule="exact"/>
        <w:rPr>
          <w:rFonts w:ascii="Arial" w:cs="Arial" w:eastAsia="Arial" w:hAnsi="Arial"/>
          <w:sz w:val="18"/>
          <w:szCs w:val="18"/>
          <w:color w:val="auto"/>
        </w:rPr>
      </w:pPr>
    </w:p>
    <w:p>
      <w:pPr>
        <w:ind w:left="1040" w:right="100" w:hanging="519"/>
        <w:spacing w:after="0" w:line="246"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product investment in the following growth engines - Sonora, Ultrastream, FLEXCEL NX Systems and Plates, Advanced Materials and 3D Printing and Software and Services;</w:t>
      </w:r>
    </w:p>
    <w:p>
      <w:pPr>
        <w:spacing w:after="0" w:line="61"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market leadership position and cash flows associated with Print Systems;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 the expected decline in and maximize cash generated by mature businesses;</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 and</w:t>
      </w:r>
    </w:p>
    <w:p>
      <w:pPr>
        <w:spacing w:after="0" w:line="90"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explore opportunities to monetize the asset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90" w:lineRule="exact"/>
        <w:rPr>
          <w:sz w:val="20"/>
          <w:szCs w:val="20"/>
          <w:color w:val="auto"/>
        </w:rPr>
      </w:pPr>
    </w:p>
    <w:p>
      <w:pPr>
        <w:jc w:val="both"/>
        <w:ind w:left="1040" w:right="60" w:hanging="519"/>
        <w:spacing w:after="0" w:line="242"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$395 million of outstanding indebtedness under the First Lien Term Credit Agreement. The loans made under the First Lien Term Credit Agreement become due on the earlier of (i) the maturity date of September 3, 2019 or (ii) the acceleration of such loans following the occurrence of an event of default (as defined in the First Lien Term Credit Agreement). Kodak does not have committed refinancing or the liquidity to meet the debt obligation as it becomes due. Kodak is working to both reduce the overall debt balance by using proceeds from asset sales to pay down debt and to renew or replace the First Lien Term Credit Agreement.</w:t>
      </w:r>
    </w:p>
    <w:p>
      <w:pPr>
        <w:spacing w:after="0" w:line="67" w:lineRule="exact"/>
        <w:rPr>
          <w:rFonts w:ascii="Arial" w:cs="Arial" w:eastAsia="Arial" w:hAnsi="Arial"/>
          <w:sz w:val="17"/>
          <w:szCs w:val="17"/>
          <w:color w:val="auto"/>
        </w:rPr>
      </w:pPr>
    </w:p>
    <w:p>
      <w:pPr>
        <w:ind w:left="1040" w:hanging="519"/>
        <w:spacing w:after="0" w:line="253"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Print Systems’ revenues accounted for approximately 60% of Kodak’s revenues for both the quarter and first nine months ended September 30, 2018. Print Systems’ revenues decreased $15 million (6%) and $21 million (3%) compared with the prior year quarter and first nine months, respectively, including the unfavorable impact of currency ($2 million) in the current year quarter and the favorable impact of currency ($19 million) in the first nine months. Segment earnings were flat compared with the prior year quarter and declined $15 million (38%) compared to the prior year first nine months, driven by declining revenues and increased materials cost (aluminum). While digital plate offerings are experiencing market driven volume and pricing pressure, innovations in Kodak product lines which command premium prices, such as SONORA Process Free Plates, are expected to offset some of the long-term erosion in the market and manufacturing efficiencies are expected to mitigate the impact on earnings from revenue declines. Prices for aluminum have risen over the past year, in part due to strong global demand and more recently due to the imposition of U.S. tariffs. Kodak seeks to mitigate the impact of historically high aluminum prices through a combination of price increases, commodity contracts, improved production efficiency and cost reduction initiatives.</w:t>
      </w:r>
    </w:p>
    <w:p>
      <w:pPr>
        <w:spacing w:after="0" w:line="140" w:lineRule="exact"/>
        <w:rPr>
          <w:rFonts w:ascii="Arial" w:cs="Arial" w:eastAsia="Arial" w:hAnsi="Arial"/>
          <w:sz w:val="16"/>
          <w:szCs w:val="16"/>
          <w:color w:val="auto"/>
        </w:rPr>
      </w:pPr>
    </w:p>
    <w:p>
      <w:pPr>
        <w:ind w:left="1040" w:right="20" w:hanging="519"/>
        <w:spacing w:after="0" w:line="22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Enterprise Inkjet Systems, the legacy Versamark business is expected to continue to decline as a percentage of the segment’s total revenue as the Prosper business continues to grow. The Prosper Inkjet Systems business is expected to continue to build profitability. Investment in the next generation technology, Ultrastream, is focused on the ability to place Ultrastream writing systems in original equipment manufacturers and hybrid applications. Enterprise Inkjet Systems’ revenues improved $6 million (18%) compared with the prior year quarter and declined $2 million (2%) compared with the prior year first nine months. Segment earnings improved $2 million compared with both the prior year quarter and first nine months, driven by cost controls.</w:t>
      </w:r>
    </w:p>
    <w:p>
      <w:pPr>
        <w:spacing w:after="0" w:line="148" w:lineRule="exact"/>
        <w:rPr>
          <w:rFonts w:ascii="Arial" w:cs="Arial" w:eastAsia="Arial" w:hAnsi="Arial"/>
          <w:sz w:val="18"/>
          <w:szCs w:val="18"/>
          <w:color w:val="auto"/>
        </w:rPr>
      </w:pPr>
    </w:p>
    <w:p>
      <w:pPr>
        <w:ind w:left="1040" w:right="220" w:hanging="519"/>
        <w:spacing w:after="0" w:line="242"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Within the Flexographic Packaging segment, growth in the installed base of FLEXCEL NX System computer-to-plate (CtP) imaging and related equipment is expected to drive continued growth of FLEXCEL NX printing consumables. The Other Packaging Business includes packaging printing products and services that are in mature stages in their product life cycles. Compared with the prior year quarter and first nine months, Flexographic Packaging revenues increased $2 million (6%) and $7 million (7%), respectively. Segment earnings increased $1 million (14%) and $3 million (14%) compared to the prior year quarter and first nine months, respectively.</w:t>
      </w:r>
    </w:p>
    <w:p>
      <w:pPr>
        <w:spacing w:after="0" w:line="148" w:lineRule="exact"/>
        <w:rPr>
          <w:rFonts w:ascii="Arial" w:cs="Arial" w:eastAsia="Arial" w:hAnsi="Arial"/>
          <w:sz w:val="17"/>
          <w:szCs w:val="17"/>
          <w:color w:val="auto"/>
        </w:rPr>
      </w:pPr>
    </w:p>
    <w:p>
      <w:pPr>
        <w:ind w:left="1040" w:hanging="519"/>
        <w:spacing w:after="0" w:line="258"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and Kodakit. The contributions these business initiatives make to earnings are expected to grow with a modest amount of additional investment. Software and Solutions’ revenues were flat compared to the prior year quarter and declined $3 million (5%) compared to the prior year first nine months, primarily reflecting Unified Workflow Solutions volume declines. Sales in Kodak Technology Solutions are project-based and can vary from year to year depending on the nature and number of projects in existence that year.</w:t>
      </w:r>
    </w:p>
    <w:p>
      <w:pPr>
        <w:spacing w:after="0" w:line="136" w:lineRule="exact"/>
        <w:rPr>
          <w:rFonts w:ascii="Arial" w:cs="Arial" w:eastAsia="Arial" w:hAnsi="Arial"/>
          <w:sz w:val="16"/>
          <w:szCs w:val="16"/>
          <w:color w:val="auto"/>
        </w:rPr>
      </w:pPr>
    </w:p>
    <w:p>
      <w:pPr>
        <w:ind w:left="1040" w:right="20" w:hanging="519"/>
        <w:spacing w:after="0" w:line="242"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Consumer and Film’s revenues declined $7 million compared with the prior year quarter and first nine months (13% and 5%, respectively), driven by a brand licensing arrangement in the prior year period. The segment loss was flat compared with the prior year quarter and decreased $1 million (9%) compared with the prior year first nine months. Chinese tariffs on U.S. made film are increasing material costs in China for printed circuit board film. Prolonged trade disputes with increasing tariffs could have incremental negative impacts on material costs. Kodak plans to continue to promote the use of film to utilize as much film manufacturing capacity as possible.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ind w:left="1040" w:right="38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EBP.</w:t>
      </w:r>
    </w:p>
    <w:p>
      <w:pPr>
        <w:spacing w:after="0" w:line="62" w:lineRule="exact"/>
        <w:rPr>
          <w:rFonts w:ascii="Arial" w:cs="Arial" w:eastAsia="Arial" w:hAnsi="Arial"/>
          <w:sz w:val="18"/>
          <w:szCs w:val="18"/>
          <w:color w:val="auto"/>
        </w:rPr>
      </w:pPr>
    </w:p>
    <w:p>
      <w:pPr>
        <w:ind w:left="1040" w:right="20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61" w:lineRule="exact"/>
        <w:rPr>
          <w:rFonts w:ascii="Arial" w:cs="Arial" w:eastAsia="Arial" w:hAnsi="Arial"/>
          <w:sz w:val="18"/>
          <w:szCs w:val="18"/>
          <w:color w:val="auto"/>
        </w:rPr>
      </w:pPr>
    </w:p>
    <w:p>
      <w:pPr>
        <w:ind w:left="1040" w:right="8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Kodak plans to continue to pursue monetization of its asset base, selling and licensing intellectual property, selling and leasing excess capacity in its properties, and pursuing rights to an earn-out from a previous divestiture.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Kodak has seven reportable segments: Print Systems, Enterprise Inkjet Systems, Flexographic Packaging, Software and Solutions, Consumer and Film, Advanced Materials and 3D Printing Technology and Eastman Business Park.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Print Systems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Prepress Solutions capitalizes on a contract-based, stable and recurring cash flow-generative business model. The average duration of customer contracts is two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products and services are sold globally to customers through both a direct sales team as well as indirectly through dealers.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Prepress Solutions:</w:t>
      </w:r>
    </w:p>
    <w:p>
      <w:pPr>
        <w:spacing w:after="0" w:line="117" w:lineRule="exact"/>
        <w:rPr>
          <w:sz w:val="20"/>
          <w:szCs w:val="20"/>
          <w:color w:val="auto"/>
        </w:rPr>
      </w:pPr>
    </w:p>
    <w:p>
      <w:pPr>
        <w:ind w:left="1040" w:right="80" w:hanging="519"/>
        <w:spacing w:after="0" w:line="286"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Digital offset plates include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57" w:lineRule="exact"/>
        <w:rPr>
          <w:rFonts w:ascii="Arial" w:cs="Arial" w:eastAsia="Arial" w:hAnsi="Arial"/>
          <w:sz w:val="17"/>
          <w:szCs w:val="17"/>
          <w:color w:val="auto"/>
        </w:rPr>
      </w:pPr>
    </w:p>
    <w:p>
      <w:pPr>
        <w:ind w:left="1040" w:right="1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CTP output devices are used by customers to transfer images onto aluminum offset printing plates and provide consistent and high-quality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Electrophotographic Printing Solutions:</w:t>
      </w:r>
    </w:p>
    <w:p>
      <w:pPr>
        <w:spacing w:after="0" w:line="117" w:lineRule="exact"/>
        <w:rPr>
          <w:sz w:val="20"/>
          <w:szCs w:val="20"/>
          <w:color w:val="auto"/>
        </w:rPr>
      </w:pPr>
    </w:p>
    <w:p>
      <w:pPr>
        <w:ind w:left="1040" w:right="4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NEXPRESS printers produce high-quality, differentiated printing of short-run, personalized print applications, such as direct mail, books, marketing collateral and photo products.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DIGIMASTER printers use monochrome electrophotographic printing technology for transactional printing, short-run books, corporate documentation, manuals and direct mail.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Print Systems segment also provides service and support related to these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Inkjet Systems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Enterprise Inkjet Systems segment contains the Prosper business and the Versamark business. The Enterprise Inkjet Systems products include production press systems, consumables (primarily ink), inkjet components and services.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Prosper:</w:t>
      </w:r>
    </w:p>
    <w:p>
      <w:pPr>
        <w:spacing w:after="0" w:line="225" w:lineRule="exact"/>
        <w:rPr>
          <w:sz w:val="20"/>
          <w:szCs w:val="20"/>
          <w:color w:val="auto"/>
        </w:rPr>
      </w:pPr>
    </w:p>
    <w:p>
      <w:pPr>
        <w:ind w:left="1140" w:right="40" w:hanging="376"/>
        <w:spacing w:after="0" w:line="272"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Prosper business product offerings, including the PROSPER Press systems and PROSPER Components, feature ultrafast inkjet droplet generation. This includes the PROSPER 6000 Press, which delivers a continuous flow of ink that enables constant and consistent operation, with uniform ink droplet size and accurate placement, even at very high print speeds. Applications of the PROSPER Press include publishing, commercial print, direct mail and packaging. PROSPER System Components are integrated into original equipment manufacturer partner products and systems.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therefore, the amount of ink usage.</w:t>
      </w:r>
    </w:p>
    <w:p>
      <w:pPr>
        <w:spacing w:after="0" w:line="204" w:lineRule="exact"/>
        <w:rPr>
          <w:rFonts w:ascii="Arial" w:cs="Arial" w:eastAsia="Arial" w:hAnsi="Arial"/>
          <w:sz w:val="17"/>
          <w:szCs w:val="17"/>
          <w:color w:val="auto"/>
        </w:rPr>
      </w:pPr>
    </w:p>
    <w:p>
      <w:pPr>
        <w:ind w:left="1140" w:right="140" w:hanging="376"/>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focus of the Prosper business is on developing the next generation platform, Ultrastream, with solutions that place writing systems in original equipment manufacturers as well as direct sale press products that widens its reach into applications for packaging and décor and expands the substrate range to include plastics. Product development is currently in the stage of shipping evaluation kits to potential partners with commercialization expected in 2019.</w:t>
      </w:r>
    </w:p>
    <w:p>
      <w:pPr>
        <w:spacing w:after="0" w:line="186" w:lineRule="exact"/>
        <w:rPr>
          <w:rFonts w:ascii="Arial" w:cs="Arial" w:eastAsia="Arial" w:hAnsi="Arial"/>
          <w:sz w:val="18"/>
          <w:szCs w:val="18"/>
          <w:color w:val="auto"/>
        </w:rPr>
      </w:pPr>
    </w:p>
    <w:p>
      <w:pPr>
        <w:ind w:left="1140" w:right="80" w:hanging="376"/>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Prosper business includes Kodak Print Services. Kodak Print Services prints the Jersey Evening Post as well as the majority of U.K. national newspapers for distribution in both Jersey and Guernsey islands. The business is used to demonstrate the value of the Kodak Prosper presses to customers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Versamark:</w:t>
      </w:r>
    </w:p>
    <w:p>
      <w:pPr>
        <w:spacing w:after="0" w:line="252" w:lineRule="exact"/>
        <w:rPr>
          <w:sz w:val="20"/>
          <w:szCs w:val="20"/>
          <w:color w:val="auto"/>
        </w:rPr>
      </w:pPr>
    </w:p>
    <w:p>
      <w:pPr>
        <w:ind w:left="1140" w:right="520" w:hanging="376"/>
        <w:spacing w:after="0" w:line="31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KODAK VERSAMARK Products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Flexographic Packaging</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Flexographic Packaging segment consists of flexographic imaging equipment, printing plates, consumables and related services, which enable graphic customization of a wide variety of packaging materials.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FLEXCEL NX</w:t>
      </w:r>
      <w:r>
        <w:rPr>
          <w:rFonts w:ascii="Arial" w:cs="Arial" w:eastAsia="Arial" w:hAnsi="Arial"/>
          <w:sz w:val="18"/>
          <w:szCs w:val="18"/>
          <w:color w:val="auto"/>
        </w:rPr>
        <w:t>:</w:t>
      </w:r>
    </w:p>
    <w:p>
      <w:pPr>
        <w:spacing w:after="0" w:line="117" w:lineRule="exact"/>
        <w:rPr>
          <w:sz w:val="20"/>
          <w:szCs w:val="20"/>
          <w:color w:val="auto"/>
        </w:rPr>
      </w:pPr>
    </w:p>
    <w:p>
      <w:pPr>
        <w:ind w:left="1140" w:right="180" w:hanging="376"/>
        <w:spacing w:after="0" w:line="34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FLEXCEL NX System, a fully-integrated digital flexographic plate imaging solution, enables prepress service providers and printers to create printing plates that provide high quality flexographic printing and enhance the efficiency of customers’ printing processes.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Packaging Business:</w:t>
      </w:r>
    </w:p>
    <w:p>
      <w:pPr>
        <w:spacing w:after="0" w:line="252" w:lineRule="exact"/>
        <w:rPr>
          <w:sz w:val="20"/>
          <w:szCs w:val="20"/>
          <w:color w:val="auto"/>
        </w:rPr>
      </w:pPr>
    </w:p>
    <w:p>
      <w:pPr>
        <w:ind w:left="1140" w:right="160" w:hanging="376"/>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FLEXCEL SR Plates portfolio comprises a full range of analog flexographic plates designed for trade shops and packaging printers that have not yet transitioned to digital technology. Kodak also manufactures and sells DITR Film, a no-process alternative to conventional graphic arts film and a wide range of analog and digital letterpress plates. Also included under this category are equipment service and the legacy APPROVAL proofing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Solutions</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Software and Solutions segment is comprised of Unified Workflow Solutions and Kodak Technology Solutions, which includes enterprise services and solutions. Unified Workflow Solutions is an established product line whereas Kodak Technology Solutions includes Kodak Services for Business (“KSB”) and Kodakit.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Unified Workflow Solutions:</w:t>
      </w:r>
    </w:p>
    <w:p>
      <w:pPr>
        <w:spacing w:after="0" w:line="225" w:lineRule="exact"/>
        <w:rPr>
          <w:sz w:val="20"/>
          <w:szCs w:val="20"/>
          <w:color w:val="auto"/>
        </w:rPr>
      </w:pPr>
    </w:p>
    <w:p>
      <w:pPr>
        <w:ind w:left="1140" w:hanging="376"/>
        <w:spacing w:after="0" w:line="254"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Unified Workflow Solutions offers a leading suite of solutions for print production workflow, including the PRINERGY workflow production software, by providing customer value through automation, web integration and integration with other Kodak systems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with over 15,000 systems installed in some of the largest printing and packaging establishments around the world. The Unified Workflow Solutions business includes digital front-end controllers which manage the delivery of personalized content to digital presses while controlling color and print 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Kodak Technology Solutions:</w:t>
      </w:r>
    </w:p>
    <w:p>
      <w:pPr>
        <w:spacing w:after="0" w:line="252" w:lineRule="exact"/>
        <w:rPr>
          <w:sz w:val="20"/>
          <w:szCs w:val="20"/>
          <w:color w:val="auto"/>
        </w:rPr>
      </w:pPr>
    </w:p>
    <w:p>
      <w:pPr>
        <w:ind w:left="1140" w:right="240" w:hanging="376"/>
        <w:spacing w:after="0" w:line="25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KSB assists organizations with challenges and opportunities created by the worldwide digital transformation. It provides business process outsourcing services, scan and capture solutions, records conversion services, workflow solutions, content management, print and managed media services that assist customers with solutions that meet their business requirements. KSB has expertise in the capture, archiving, retrieval and delivery of documents including in depth knowledge of handling legacy media. KSB serves enterprise customers primarily in the banking, insurance and government sectors.</w:t>
      </w:r>
    </w:p>
    <w:p>
      <w:pPr>
        <w:spacing w:after="0" w:line="215" w:lineRule="exact"/>
        <w:rPr>
          <w:rFonts w:ascii="Arial" w:cs="Arial" w:eastAsia="Arial" w:hAnsi="Arial"/>
          <w:sz w:val="18"/>
          <w:szCs w:val="18"/>
          <w:color w:val="auto"/>
        </w:rPr>
      </w:pPr>
    </w:p>
    <w:p>
      <w:pPr>
        <w:ind w:left="1140" w:right="100" w:hanging="376"/>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Kodakit is a platform that connects businesses with professional photographers to cater to their photography needs. Customers include global hotels and online travel agencies, real estate companies, marketplaces, advertising agencies and global brands.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and Film</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Consumer and Film segment is comprised of three lines of business: Consumer Products, Industrial Film and Chemicals, and Motion Picture.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w:t>
      </w:r>
    </w:p>
    <w:p>
      <w:pPr>
        <w:spacing w:after="0" w:line="117" w:lineRule="exact"/>
        <w:rPr>
          <w:sz w:val="20"/>
          <w:szCs w:val="20"/>
          <w:color w:val="auto"/>
        </w:rPr>
      </w:pPr>
    </w:p>
    <w:p>
      <w:pPr>
        <w:jc w:val="both"/>
        <w:ind w:left="1140" w:right="80" w:hanging="376"/>
        <w:spacing w:after="0" w:line="256"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licensing of the Kodak brand to third parties. Kodak currently licenses its brand for use with a range of products including batteries, digital and instant print cameras and camera accessories, printers and LED lighting. Kodak intends to continue efforts to grow its portfolio of brand licenses to generate both ongoing royalty streams and upfront payments.</w:t>
      </w: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Inkjet Solutions, which involves the sale of ink to an existing installed base of consumer inkjet printers.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party sales of Specialty Inks and Dispersions.</w:t>
      </w:r>
    </w:p>
    <w:p>
      <w:pPr>
        <w:spacing w:after="0" w:line="9"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Kodak developed consumer products, including the Super 8 camera.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Film and Chemicals:</w:t>
      </w:r>
    </w:p>
    <w:p>
      <w:pPr>
        <w:spacing w:after="0" w:line="117" w:lineRule="exact"/>
        <w:rPr>
          <w:sz w:val="20"/>
          <w:szCs w:val="20"/>
          <w:color w:val="auto"/>
        </w:rPr>
      </w:pPr>
    </w:p>
    <w:p>
      <w:pPr>
        <w:ind w:left="1140" w:right="80" w:hanging="376"/>
        <w:spacing w:after="0" w:line="258"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Offers industrial film, including films used by the electronics industry to produce printed circuit boards, as well as professional and consumer still photographic film.</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related component businesses: Polyester Film; Solvent Recovery; and Specialty Chemicals.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Motion Picture:</w:t>
      </w:r>
    </w:p>
    <w:p>
      <w:pPr>
        <w:spacing w:after="0" w:line="117" w:lineRule="exact"/>
        <w:rPr>
          <w:sz w:val="20"/>
          <w:szCs w:val="20"/>
          <w:color w:val="auto"/>
        </w:rPr>
      </w:pPr>
    </w:p>
    <w:p>
      <w:pPr>
        <w:ind w:left="1140" w:right="360" w:hanging="376"/>
        <w:spacing w:after="0" w:line="258"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motion picture film business serving the entertainment industry. Motion picture products are sold directly to studios, external laboratories and independent filmmakers.</w:t>
      </w:r>
    </w:p>
    <w:p>
      <w:pPr>
        <w:spacing w:after="0" w:line="1" w:lineRule="exact"/>
        <w:rPr>
          <w:rFonts w:ascii="Arial" w:cs="Arial" w:eastAsia="Arial" w:hAnsi="Arial"/>
          <w:sz w:val="18"/>
          <w:szCs w:val="18"/>
          <w:color w:val="auto"/>
        </w:rPr>
      </w:pPr>
    </w:p>
    <w:p>
      <w:pPr>
        <w:ind w:left="1140" w:hanging="376"/>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Kodak motion picture film processing laboratories offering onsite processing services at strategic locations in the U.S.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Advanced Materials and 3D Printing Technology segment contains the Kodak Research Laboratories and associated new business opportunities and intellectual property licensing not directly related to other business divisions. Kodak conducts research and files patent applications with fundamental inventions from the Kodak Research Laboratories. Additionally, Kodak continues to file new patent applications in areas aligned with its core businesses. Via these core business patent applications along with the research inventions, Kodak maintains a large worldwide portfolio of pending applications and issued patents. Because product solutions in Advanced Materials and 3D Printing are in the process of being commercialized or are new business opportunities, a higher level of investment has been required. Advanced Materials and 3D Printing Technology significantly reduced the level of this investment in the fourth quarter of 2017, concentrating on opportunities that are commercialized or nearly commercialized with identified markets and customers.</w:t>
      </w:r>
    </w:p>
    <w:p>
      <w:pPr>
        <w:spacing w:after="0" w:line="8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Advanced Materials and 3D Printing Technology segment will also pursue partnership opportunities to commercialize materials and printed electronics technologies. These partnerships may include non-recurring engineering payments for Kodak efforts to further develop such technologies into products. Further, Advanced Materials and 3D Printing Technology segment provides a wide range of analytical services and non-recurring engineering services to external clients at market rates for such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Materials:</w:t>
      </w:r>
    </w:p>
    <w:p>
      <w:pPr>
        <w:spacing w:after="0" w:line="225" w:lineRule="exact"/>
        <w:rPr>
          <w:sz w:val="20"/>
          <w:szCs w:val="20"/>
          <w:color w:val="auto"/>
        </w:rPr>
      </w:pPr>
    </w:p>
    <w:p>
      <w:pPr>
        <w:ind w:left="1140" w:hanging="376"/>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Materials is developing solutions for component smart materials based on the materials science inventions and innovations from the research laboratories. There are multiple applications that Kodak contemplates addressing in this category, but the singular focus now is light blocking particles for the textile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3D Printing:</w:t>
      </w:r>
    </w:p>
    <w:p>
      <w:pPr>
        <w:spacing w:after="0" w:line="117" w:lineRule="exact"/>
        <w:rPr>
          <w:sz w:val="20"/>
          <w:szCs w:val="20"/>
          <w:color w:val="auto"/>
        </w:rPr>
      </w:pPr>
    </w:p>
    <w:p>
      <w:pPr>
        <w:ind w:left="1140" w:right="20" w:hanging="376"/>
        <w:spacing w:after="0" w:line="277"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3D Printing concentrates on partnerships and/or licensing opportunities in printed electronics (micro 3D printing) and materials production for macro 3D printing companies.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IP Licensing:</w:t>
      </w:r>
    </w:p>
    <w:p>
      <w:pPr>
        <w:spacing w:after="0" w:line="117" w:lineRule="exact"/>
        <w:rPr>
          <w:sz w:val="20"/>
          <w:szCs w:val="20"/>
          <w:color w:val="auto"/>
        </w:rPr>
      </w:pPr>
    </w:p>
    <w:p>
      <w:pPr>
        <w:ind w:left="1140" w:hanging="376"/>
        <w:spacing w:after="0" w:line="286"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Business Park</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Eastman Business Park segment includes the operations of Eastman Business Park, a more than 1,200-acre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4"/>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5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r>
      <w:tr>
        <w:trPr>
          <w:trHeight w:val="20"/>
        </w:trPr>
        <w:tc>
          <w:tcPr>
            <w:tcW w:w="592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9620" w:type="dxa"/>
            <w:vAlign w:val="bottom"/>
            <w:gridSpan w:val="14"/>
          </w:tcPr>
          <w:p>
            <w:pPr>
              <w:spacing w:after="0"/>
              <w:rPr>
                <w:sz w:val="20"/>
                <w:szCs w:val="20"/>
                <w:color w:val="auto"/>
              </w:rPr>
            </w:pPr>
            <w:r>
              <w:rPr>
                <w:rFonts w:ascii="Arial" w:cs="Arial" w:eastAsia="Arial" w:hAnsi="Arial"/>
                <w:sz w:val="18"/>
                <w:szCs w:val="18"/>
                <w:b w:val="1"/>
                <w:bCs w:val="1"/>
                <w:color w:val="auto"/>
                <w:w w:val="97"/>
              </w:rPr>
              <w:t>Segment Operational EBITDA and Consolidated (Loss) Earnings from Continuing Operations Before Income Taxes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4"/>
          </w:tcPr>
          <w:p>
            <w:pPr>
              <w:ind w:left="120"/>
              <w:spacing w:after="0"/>
              <w:rPr>
                <w:sz w:val="20"/>
                <w:szCs w:val="20"/>
                <w:color w:val="auto"/>
              </w:rPr>
            </w:pPr>
            <w:r>
              <w:rPr>
                <w:rFonts w:ascii="Arial" w:cs="Arial" w:eastAsia="Arial" w:hAnsi="Arial"/>
                <w:sz w:val="18"/>
                <w:szCs w:val="18"/>
                <w:b w:val="1"/>
                <w:bCs w:val="1"/>
                <w:color w:val="auto"/>
                <w:w w:val="92"/>
              </w:rPr>
              <w:t>Three Months Ended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4"/>
          </w:tcPr>
          <w:p>
            <w:pPr>
              <w:jc w:val="right"/>
              <w:ind w:right="225"/>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520" w:type="dxa"/>
            <w:vAlign w:val="bottom"/>
            <w:gridSpan w:val="2"/>
          </w:tcPr>
          <w:p>
            <w:pPr>
              <w:ind w:left="580"/>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Print Systems</w:t>
            </w:r>
          </w:p>
        </w:tc>
        <w:tc>
          <w:tcPr>
            <w:tcW w:w="4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Flexographic Packaging</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Software and Solutions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Consumer and Film</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Advanced Materials and 3D Printing Technology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Eastman Business Park</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Manufacturing capacity non-recurring costs </w:t>
            </w:r>
            <w:r>
              <w:rPr>
                <w:rFonts w:ascii="Arial" w:cs="Arial" w:eastAsia="Arial" w:hAnsi="Arial"/>
                <w:sz w:val="15"/>
                <w:szCs w:val="15"/>
                <w:color w:val="auto"/>
              </w:rPr>
              <w:t>(3)</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Other operating income (expense), net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 xml:space="preserve">Other (charges) income, net </w:t>
            </w:r>
            <w:r>
              <w:rPr>
                <w:rFonts w:ascii="Arial" w:cs="Arial" w:eastAsia="Arial" w:hAnsi="Arial"/>
                <w:sz w:val="15"/>
                <w:szCs w:val="15"/>
                <w:color w:val="auto"/>
              </w:rPr>
              <w:t>(4)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Consolidated earnings (loss) from continuing operations before</w:t>
            </w:r>
          </w:p>
        </w:tc>
        <w:tc>
          <w:tcPr>
            <w:tcW w:w="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580" w:type="dxa"/>
            <w:vAlign w:val="bottom"/>
          </w:tcPr>
          <w:p>
            <w:pPr>
              <w:spacing w:after="0" w:line="20" w:lineRule="exact"/>
              <w:rPr>
                <w:sz w:val="1"/>
                <w:szCs w:val="1"/>
                <w:color w:val="auto"/>
              </w:rPr>
            </w:pPr>
          </w:p>
        </w:tc>
        <w:tc>
          <w:tcPr>
            <w:tcW w:w="49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w:t>
      </w:r>
    </w:p>
    <w:p>
      <w:pPr>
        <w:spacing w:after="0" w:line="117" w:lineRule="exact"/>
        <w:rPr>
          <w:rFonts w:ascii="Arial" w:cs="Arial" w:eastAsia="Arial" w:hAnsi="Arial"/>
          <w:sz w:val="15"/>
          <w:szCs w:val="15"/>
          <w:color w:val="auto"/>
        </w:rPr>
      </w:pPr>
    </w:p>
    <w:p>
      <w:pPr>
        <w:ind w:left="520" w:right="260" w:hanging="512"/>
        <w:spacing w:after="0" w:line="277"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36" w:name="page37"/>
    <w:bookmarkEnd w:id="36"/>
    <w:p>
      <w:pPr>
        <w:ind w:left="520" w:hanging="512"/>
        <w:spacing w:after="0" w:line="190" w:lineRule="auto"/>
        <w:tabs>
          <w:tab w:leader="none" w:pos="520" w:val="left"/>
        </w:tabs>
        <w:numPr>
          <w:ilvl w:val="0"/>
          <w:numId w:val="30"/>
        </w:numPr>
        <w:rPr>
          <w:rFonts w:ascii="Arial" w:cs="Arial" w:eastAsia="Arial" w:hAnsi="Arial"/>
          <w:sz w:val="31"/>
          <w:szCs w:val="31"/>
          <w:color w:val="auto"/>
          <w:vertAlign w:val="superscript"/>
        </w:rPr>
      </w:pPr>
      <w:r>
        <w:rPr>
          <w:rFonts w:ascii="Arial" w:cs="Arial" w:eastAsia="Arial" w:hAnsi="Arial"/>
          <w:sz w:val="18"/>
          <w:szCs w:val="18"/>
          <w:color w:val="auto"/>
        </w:rPr>
        <w:t>Consists of noncapitalizable costs incurred as a result of the Flexographic Packaging segment’s expansion at the manufacturing facility in Weatherford, Oklahoma.</w:t>
      </w:r>
    </w:p>
    <w:p>
      <w:pPr>
        <w:spacing w:after="0" w:line="94" w:lineRule="exact"/>
        <w:rPr>
          <w:rFonts w:ascii="Arial" w:cs="Arial" w:eastAsia="Arial" w:hAnsi="Arial"/>
          <w:sz w:val="31"/>
          <w:szCs w:val="31"/>
          <w:color w:val="auto"/>
          <w:vertAlign w:val="superscript"/>
        </w:rPr>
      </w:pPr>
    </w:p>
    <w:p>
      <w:pPr>
        <w:ind w:left="520" w:hanging="512"/>
        <w:spacing w:after="0"/>
        <w:tabs>
          <w:tab w:leader="none" w:pos="520" w:val="left"/>
        </w:tabs>
        <w:numPr>
          <w:ilvl w:val="0"/>
          <w:numId w:val="30"/>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3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Kodak reduced workers’ compensation reserves by approximately $6 million in the third quarter of 2018 due to changes in discount rates and reduction in estimated ultimate losses. The reduction in reserves impacted gross profit by approximately $3 million, SG&amp;A by approximately $2 million and R&amp;D by approximately $1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EBITDA”). Operational EBITDA represents the earnings (loss) from continuing operations excluding the provision for income taxes; non-service cost components of pension and OPEB income; depreciation and amortization expense; restructuring costs; stock-based compensation expense; consulting and other costs; idle costs; manufacturing capacity expansion non-recurring costs; other operating income (expense), net (unless otherwise indicated); goodwill impairment losses; interest expense; and other (charges) income, net.</w:t>
      </w:r>
    </w:p>
    <w:p>
      <w:pPr>
        <w:spacing w:after="0" w:line="19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The segment earnings measure reported is after allocation of corporate SG&amp;A as this most closely aligns with U.S. GAAP. Research and development activities not directly related to the other segments are reported within the Advanced Materials and 3D Printing Technology segment.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Change in Segment Measure of Profitability</w:t>
      </w:r>
    </w:p>
    <w:p>
      <w:pPr>
        <w:spacing w:after="0" w:line="25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first quarter of 2018 the segment measure was changed to exclude amortization of prior service costs and credits, which, due to the adoption of ASU 2017-17 are no longer reported in the same line items as other compensation costs arising from services rendered during the period. Refer to the Recently Adopted Accounting Pronouncements section of Note 1, “Basis of Presentation and Recent Accounting Pronouncements.”</w:t>
      </w:r>
    </w:p>
    <w:p>
      <w:pPr>
        <w:spacing w:after="0" w:line="1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second quarter of 2018 the segment measure was changed to exclude manufacturing capacity expansion non-recurring costs for the Flexographic Packaging segment’s expansion at the Weatherford, Oklahoma manufacturing facility. These costs in the prior periods were de minimis and therefore no prior period reclassification is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WITH 2017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5"/>
              </w:rPr>
              <w:t>September 30,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40" w:type="dxa"/>
            <w:vAlign w:val="bottom"/>
            <w:gridSpan w:val="11"/>
          </w:tcPr>
          <w:p>
            <w:pPr>
              <w:jc w:val="right"/>
              <w:ind w:right="320"/>
              <w:spacing w:after="0"/>
              <w:rPr>
                <w:sz w:val="20"/>
                <w:szCs w:val="20"/>
                <w:color w:val="auto"/>
              </w:rPr>
            </w:pPr>
            <w:r>
              <w:rPr>
                <w:rFonts w:ascii="Arial" w:cs="Arial" w:eastAsia="Arial" w:hAnsi="Arial"/>
                <w:sz w:val="18"/>
                <w:szCs w:val="18"/>
                <w:b w:val="1"/>
                <w:bCs w:val="1"/>
                <w:color w:val="auto"/>
                <w:w w:val="91"/>
              </w:rPr>
              <w:t>Nine Months Ended September 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3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rPr>
              <w:t>% of</w:t>
            </w: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 of</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6"/>
                <w:szCs w:val="16"/>
                <w:color w:val="auto"/>
              </w:rPr>
              <w:t>(in millions)</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Sales</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Sales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Sales</w:t>
            </w: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Sales</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Change</w:t>
            </w:r>
          </w:p>
        </w:tc>
        <w:tc>
          <w:tcPr>
            <w:tcW w:w="20" w:type="dxa"/>
            <w:vAlign w:val="bottom"/>
          </w:tcPr>
          <w:p>
            <w:pPr>
              <w:spacing w:after="0"/>
              <w:rPr>
                <w:sz w:val="20"/>
                <w:szCs w:val="20"/>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1,095</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1,117</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3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5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19"/>
                <w:szCs w:val="19"/>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09"/>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earnings from continuing</w:t>
            </w:r>
          </w:p>
        </w:tc>
        <w:tc>
          <w:tcPr>
            <w:tcW w:w="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 before interest expense,</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charges, net and</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Pension income excluding service cost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component</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160" w:type="dxa"/>
            <w:vAlign w:val="bottom"/>
          </w:tcPr>
          <w:p>
            <w:pPr>
              <w:spacing w:after="0"/>
              <w:rPr>
                <w:sz w:val="19"/>
                <w:szCs w:val="19"/>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continuing</w:t>
            </w:r>
          </w:p>
        </w:tc>
        <w:tc>
          <w:tcPr>
            <w:tcW w:w="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 before income taxes</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w w:val="94"/>
              </w:rPr>
              <w:t>Equity in loss of equity method investment, net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of tax</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Earnings (loss) from continuing</w:t>
            </w: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right"/>
              <w:ind w:right="33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three months ended September 30, 2018 revenues declined $13 million compared with the same period in 2017. Volume declines within Print Systems ($13 million), a royalty payment from the modification of a brand licensing agreement in the prior year quarter ($6 million) and unfavorable foreign currency ($5 million) were offset by improved volume in Enterprise Inkjet Systems ($7 million) and Flexographic Packaging ($2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For the nine months ended September 30, 2018 revenues declined $22 million compared with the same period in 2017. Volume and pricing declines within Print Systems ($39 million) and Consumer and Film ($9 million) and volume declines in Software and Solutions ($4 million) were offset by volume improvements in Flexographic Packaging ($5 million) and favorable foreign currency ($26 million). See segment discussions for additional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gross profit for the three months ended September 30, 2018 of approximately $1 million compared with the same period in 2017 reflected favorable costs in Consumer and Film ($8 million) partially offset by a royalty payment from the modification of a brand licensing agreement in the prior year quarter ($6 million) and unfavorable foreign currency ($2 million). See segment discussions for additional details.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decrease in gross profit for the nine months ended September 30, 2018 of approximately $17 million compared with the same period in 2017 reflected volume and pricing declines within Print Systems ($10 million) and Enterprise Inkjet Systems ($7 million), volume declines within Consumer and Film ($8 million) and higher aluminum costs within Print Systems ($22 million), partially offset by reduced inventory write-offs due to restructuring ($7 million), favorable costs in Consumer and Film ($6 million) and, excluding aluminum costs, Print Systems ($9 million) and favorable foreign currency ($2 million). See segment discussions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Consolidated SG&amp;A decreased $2 million and $7 million for the quarter and nine months ended September 30, 2018 primarily due to lower investment in segment selling and marketing activities ($4 million and $10 million, respectively), driven by a lower investment in Print Systems during the quarter and Print Systems and Enterprise Inkjet Systems in the nine month period, lower stock compensation expense in the nine-month period ($2 million) and a reduction in workers’ compensation reserves (both periods $2 million) partially offset by higher costs associated with strategic initiatives such as asset sales and debt restructuring ($3 million and $8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Consolidated R&amp;D expenses decreased $3 million and $12 million for the quarter and first nine months ended September 30, 2018 primarily due to the reduced level of investment in Advanced Materials and 3D Printing ($3 million and $10 million,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PRINT SYSTEMS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74"/>
              </w:rPr>
              <w:t>(21)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decrease in Print Systems revenues for the three months ended September 30, 2018 of approximately $15 million primarily reflected volume declines ($9 million) in Prepress Solutions and ($2 million) in Electrophotographic Printing Solutions consumables and service as well as unfavorable foreign currency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decrease in Print Systems revenues for the nine months ended September 30, 2018 of approximately $21 million reflected lower pricing ($7 million) driven by competitive pressures in the industry combined with volume declines ($24 million) in Prepress Solutions and ($7 million) in Electrophotographic Printing Solutions consumables and service. Partially offsetting the declines was favorable foreign currency ($19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Print Systems Operational EBITDA for the three months ended September 30, 2018 was flat compared to the prior year reflecting volume declines ($1 million) in Prepress Solutions, higher aluminum costs ($6 million) and unfavorable manufacturing costs in Electrophotographic Printing Solutions ($1 million) offset by manufacturing cost improvements in Prepress consumables ($5 million), lower level of investment in sales activities ($2 million) and a reduction in workers’ compensation reserves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decrease in Print Systems Operational EBITDA for the nine months ended September 30, 2018 of approximately $15 million reflected lower pricing ($7 million) and volume declines ($3 million) in Prepress Solutions, higher aluminum costs ($22 million), unfavorable costs in Electrophotographic Printing Solutions ($3 million) and the unfavorable impact of currency ($4 million) partially offset by manufacturing cost improvements in Prepress consumables ($13 million), a lower level of investment in product development, advertising and sales activities ($11 million) and a reduction in workers’ compensation reserves ($2 million).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ENTERPRISE INKJET SYSTEMS SEGMENT</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8"/>
          </w:tcPr>
          <w:p>
            <w:pPr>
              <w:jc w:val="right"/>
              <w:ind w:right="36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 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5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The increase in Enterprise Inkjet Systems revenues for the three months ended September 30, 2018 of approximately $6 million primarily reflected higher volume of PROSPER systems ($7 million) and components ($1 million) and PROSPER service and consumables ($1 million) partially offset by lower volume of VERSAMARK service and consumables ($3 million) due to declines in the installed base of VERSAMARK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decrease in Enterprise Inkjet Systems revenues for the nine months ended September 30, 2018 of approximately $2 million primarily reflected lower volume of VERSAMARK service and consumables ($9 million) due to declines in the installed base of VERSAMARK systems, lower volume of VERSAMARK system placements ($4 million) primarily due to the placement of used equipment in the prior year and unfavorable product mix and pricing for Prosper components ($2 million). The unfavorable impacts were partially offset by volume improvements in PROSPER systems ($7 million) and components ($1 million) and PROSPER services and consumables ($2 million) as well as the favorable impact of currency ($3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improvement in Enterprise Inkjet Systems Operational EBITDA for the three months ended September 30, 2018 of approximately $2 million primarily reflected a lower level of investment in marketing, advertising and sales activities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improvement in Enterprise Inkjet Systems Operational EBITDA for the nine months ended September 30, 2018 of approximately $2 million was primarily due to a lower level of investment in marketing, advertising and sales activities ($4 million) and R&amp;D activities ($2 million) as well as service and manufacturing cost improvements ($2 million) partially offset by the lower volume of VERSAMARK service, consumables and equipment ($5 million) and unfavorable product mix and pricing for Prosper components ($2 million).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FLEXOGRAPHIC PACKAGING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6"/>
          </w:tcPr>
          <w:p>
            <w:pPr>
              <w:jc w:val="right"/>
              <w:ind w:right="16"/>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righ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increase in Flexographic Packaging revenues for the three months ended September 30, 2018 of approximately $2 million primarily reflected volume improvements in FLEXCEL NX consumables ($4 million) due to a larger installed base of FLEXCEL NX systems partially offset by the unfavorable impact of currency ($2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increase in Flexographic Packaging revenues for the nine months ended September 30, 2018 of approximately $7 million primarily reflected volume improvements in FLEXCEL NX consumables ($9 million) due to a larger installed base of FLEXCEL NX systems and the favorable impact of currency ($1 million) partially offset by declining revenues from other packaging products ($4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Flexographic Packaging Operational EBITDA improved $1 million for the quarter ended September 30, 2018 primarily reflecting volume improvements in FLEXCEL NX consumables ($3 million) partially offset by increased investment in marketing and sales activities ($1 million) and the unfavorable impact of currency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improvement in Flexographic Packaging Operational EBITDA of approximately $3 million in the nine months ended September 30, 2018 was primarily driven by volume improvements in FLEXCEL NX consumables ($6 million) partially offset by increased investment in product development, marketing and sales activities ($3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SOFTWARE AND SOLUTIONS SEGMENT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7"/>
          </w:tcPr>
          <w:p>
            <w:pPr>
              <w:ind w:left="60"/>
              <w:spacing w:after="0"/>
              <w:rPr>
                <w:sz w:val="20"/>
                <w:szCs w:val="20"/>
                <w:color w:val="auto"/>
              </w:rPr>
            </w:pPr>
            <w:r>
              <w:rPr>
                <w:rFonts w:ascii="Arial" w:cs="Arial" w:eastAsia="Arial" w:hAnsi="Arial"/>
                <w:sz w:val="18"/>
                <w:szCs w:val="18"/>
                <w:b w:val="1"/>
                <w:bCs w:val="1"/>
                <w:color w:val="auto"/>
                <w:w w:val="97"/>
              </w:rPr>
              <w:t>Three Months Ended September 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Software and Solutions revenues for the three months ended September 30, 2018 was flat primarily due to increased volume for Kodakit ($1 million) offsetting lower volume in United Workflow Solutions ($2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The decline in Software and Solutions revenues for the nine months ended September 30, 2018 of approximately $3 million was primarily due to lower volume in United Workflow Solutions ($6 million) partially offset by increased volume for Kodakit ($2 million) and the favorable impact of currency ($1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Software and Solutions Operational EBITDA for the three months ended September 30, 2018 was flat compared to the prior year quarter.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Software and Solutions Operational EBITDA for the nine months ended September 30, 2018 was flat compared to the prior year primarily reflecting volume declines in United Workflow Solutions ($4 million) offset by improved cost of sales ($2 million), volume improvements in Kodakit ($1 million) and a lower level of investment in marketing, advertising and sales activities ($1 million).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CONSUMER AND FILM SEGMENT</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4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326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Revenues</w:t>
            </w:r>
          </w:p>
        </w:tc>
        <w:tc>
          <w:tcPr>
            <w:tcW w:w="7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vMerge w:val="continue"/>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 decrease in Consumer and Film revenues for the three months ended September 30, 2018 of approximately $7 million was primarily due to lower brand licensing revenue ($5 million) driven by a royalty payment from the modification of a brand licensing agreement in the prior year quarter ($6 million) and volume declines in Consumer Inkjet Systems ($2 million) driven by lower sales of ink to the existing installed base of printers.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Consumer and Film revenues for the nine months ended September 30, 2018 declined approximately $7 million primarily reflecting volume declines in Consumer Inkjet Systems ($8 million) driven by lower sales of ink to the existing installed base of printers and lower brand licensing revenue driven by the prior year impact described above ($3 million) offset by higher volume in Industrial Film and Chemicals ($2 million) primarily due to timing of customer orders and the favorable impact of currency ($2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Consumer and Film Operational EBITDA for the three months ended September 30, 2018 was flat compared with the prior year quarter primarily reflecting lower brand licensing revenue as described above ($5 million) and volume declines in Consumer Inkjet Systems ($1 million) driven by lower sales of ink to the existing installed base of printers. The unfavorable drivers were partially offset by cost improvements in both Motion Picture ($3 million) (the prior year period had higher costs associated with a vendor transition) and in Industrial Film and Chemicals ($3 million) as well as a reduction in workers’ compensation reserves ($1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w:t>
      </w:r>
    </w:p>
    <w:p>
      <w:pPr>
        <w:spacing w:after="0" w:line="27"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The decrease in Consumer and Film Operational EBITDA for the nine months ended September 30, 2018 of approximately $1 million primarily reflected volume declines in Consumer Inkjet Systems ($5 million) driven by lower sales of ink to the existing installed base of printers and lower brand licensing revenue as described above ($3 million) partially offset by costs improvements in Motion Picture ($2 million) (the prior year period had higher costs associated with a vendor transition), a reduction in workers’ compensation reserves ($1 million) and the favorable impact of currency ($2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3D PRINTING TECHNOLOGY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8"/>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160" w:type="dxa"/>
            <w:vAlign w:val="bottom"/>
            <w:gridSpan w:val="8"/>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Operational EBITDA as a % of revenues</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Advanced Materials and 3D Printing Technology Operational EBITDA for the quarter and nine months ended September 30, 2018 improved by approximately $4 million and $10 million, respectively, primarily due to the reduced level of investment as well as improved revenues primarily reflecting increased IP licensing and 3D Printing revenues.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EASTMAN BUSINESS PARK SEGMENT</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Eastman Business Park revenue and Operational EBITDA for the three and nine months ended September 30, 2018 did not change significantly compared to the prior year periods.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tenant that represented approximately twenty-five percent and thirty percent of segment revenues for the nine months ended September 30, 2018 and the year ended December 31, 2017, respectively, did not renew its lease upon expiration in the third quarter of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Kodak recorded $9 million and $13 million of charges for the quarter and nine months ended September 30, 2018, which were reported as Restructuring costs and other in the Consolidated Statement of Operations.</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Kodak made cash payments related to restructuring of approximately $2 million and $11 million during the quarter and nine months ended September 30, 2018.</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restructuring actions implemented in the first nine months of 2018 are expected to generate future annual cash savings of approximately $17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savings are expected to reduce future annual Cost of revenues, SG&amp;A, and R&amp;D expenses by $6 million, $8 million, and $3 million,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respectively. Kodak began realizing a portion of these savings in the first nine months and expects the majority of the annual savings to be in effect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 of the first quarter of 2019 as actions are completed.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gridSpan w:val="6"/>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24"/>
                <w:szCs w:val="24"/>
                <w:color w:val="auto"/>
              </w:rPr>
            </w:pPr>
          </w:p>
        </w:tc>
        <w:tc>
          <w:tcPr>
            <w:tcW w:w="17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4"/>
          </w:tcPr>
          <w:p>
            <w:pPr>
              <w:ind w:left="56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369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6"/>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920" w:type="dxa"/>
            <w:vAlign w:val="bottom"/>
            <w:gridSpan w:val="6"/>
            <w:vMerge w:val="continue"/>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gridSpan w:val="7"/>
          </w:tcPr>
          <w:p>
            <w:pPr>
              <w:jc w:val="center"/>
              <w:ind w:left="294"/>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Borders>
              <w:bottom w:val="single" w:sz="8" w:color="auto"/>
            </w:tcBorders>
            <w:gridSpan w:val="7"/>
          </w:tcPr>
          <w:p>
            <w:pPr>
              <w:jc w:val="center"/>
              <w:ind w:left="294"/>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6"/>
          </w:tcPr>
          <w:p>
            <w:pPr>
              <w:ind w:left="1140"/>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1"/>
              </w:rPr>
              <w:t>Cash flows from operating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gridSpan w:val="2"/>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4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investing activities:</w:t>
            </w:r>
          </w:p>
        </w:tc>
        <w:tc>
          <w:tcPr>
            <w:tcW w:w="21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top w:val="single" w:sz="8" w:color="CFF0FC"/>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2"/>
              </w:rPr>
              <w:t>Cash flows from financing activities:</w:t>
            </w:r>
          </w:p>
        </w:tc>
        <w:tc>
          <w:tcPr>
            <w:tcW w:w="210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CFF0FC"/>
              <w:right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Effect of exchange rate changes on restricted cash</w:t>
            </w: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5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(112)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increased $2 million for the nine months ended September 30, 2018 as compared with the corresponding period in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Net cash used in investing activities decreased $9 million for the nine months ended September 30, 2018 as compared with the corresponding period in 2017 due to an increase in proceeds received from sales of assets and a lower level of capital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Net cash used in financing activities decreased $9 million in the nine months ended September 30, 2018 as compared with the corresponding period in 2017 primarily due to the payment of contingent consideration related to the sale of a business in the third quarter of 2017 with no such payment yet in 2018.</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Available liquidity includes cash balances and the unused portion of the Amended Credit Agreement. The Amended Credit Agreement had $24 million of net availability (“Excess Availability”) as of September 30, 2018. The amount of available liquidity is subject to fluctuations and includes cash balances held by various entities worldwide. At September 30, 2018 and December 31, 2017 approximately $122 million and $172 million, respectively, of cash and cash equivalents were held within the U.S. and approximately $116 million and $172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September 30, 2018, outstanding inter-company loans to the U.S. were $379 million which includes short-term inter-company loans from Kodak’s international finance center of $81 million</w:t>
      </w:r>
      <w:r>
        <w:rPr>
          <w:rFonts w:ascii="Arial" w:cs="Arial" w:eastAsia="Arial" w:hAnsi="Arial"/>
          <w:sz w:val="16"/>
          <w:szCs w:val="16"/>
          <w:b w:val="1"/>
          <w:bCs w:val="1"/>
          <w:color w:val="auto"/>
        </w:rPr>
        <w:t>.</w:t>
      </w:r>
      <w:r>
        <w:rPr>
          <w:rFonts w:ascii="Arial" w:cs="Arial" w:eastAsia="Arial" w:hAnsi="Arial"/>
          <w:sz w:val="16"/>
          <w:szCs w:val="16"/>
          <w:color w:val="auto"/>
        </w:rPr>
        <w:t xml:space="preserve"> In China, where approximately $60 million of cash and cash equivalents was held as of September 30, 2018, there are limitations related to net asset balances that may impact the ability to make cash available to other jurisdictions in the world. Under the terms of the Senior Secured First Lien Term Credit Agreement (the “Term Credit Agreement”) and the Amended Credit Agreement, the Company is permitted to invest up to $100 million in subsidiaries and joint ventures that are not party to these loan agreements.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September 30, 2018 and December 31, 2017, Kodak had funded $0 million and $6 million, respectively, to the Eligible Cash account held with the Amended and Restated Credit Agreement Administrative Agent which was classified as Restricted cash in the Consolidated Statement of Financial Position, supporting the Excess Availability amount.</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2017, the Company reduced the amount of outstanding letters of credit issued under the Amended Credit Agreement by $20 million, which increased the amount of Excess Availability by a corresponding amount, enabling the Company to release Eligible Cash. The reduction of outstanding letters of credit was primarily attributable to the substitution of partially collateralized surety bonds in place of outstanding letters of credit. As a result of the Company’s current credit ratings, the Company was required to provide $6 million in letters of credit to the issuers of the surety bonds during the third quarter of 2018. The Company could be required to provide up to an additional $13 million of letters of credit to the issuers of the surety bonds in the future to fully collateralize the bonds.</w:t>
      </w:r>
    </w:p>
    <w:p>
      <w:pPr>
        <w:spacing w:after="0" w:line="2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Amended Credit Agreement, if Excess Availability ($24 million at September 30, 2018) falls below 12.5% of lender commitments ($18.75 million at September 30, 2018), Kodak would be required to be in compliance with the minimum Fixed Charge Coverage Ratio (the only financial covenant in the Amended Credit Agreement) and could become subject to cash dominion control. In addition to Eligible Cash, the borrowing base is supported by Eligible Receivables, Eligible Inventory and Eligible Equipment. To the extent the assets supporting the borrowing base decline and/or letters of credit issued under the Amended Credit Agreement increase, if the remaining assets included in the borrowing base are not sufficient to support the required Excess Availability amount, funding of Eligible Cash may be required. Kodak intends to maintain Excess Availability above the minimum threshold. Since Excess Availability was greater than 12.5% of lender commitments as of September 30, 2018, Kodak is not required to have a minimum Fixed Charge Coverage Ratio of 1.0 to 1.0. As of September 30, 2018, Kodak is in compliance with all covenants under the Amended Credit Agreement. As of September 30, 2018 Fixed Charges exceeded EBITDA (as defined in the Amended Credit agreement) by approximately $17 million.</w:t>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Term Credit Agreement, Kodak is required to maintain a Secured Leverage Ratio (the only financial covenant in the Term Credit Agreement) not to exceed 2.75 to 1. The Secured Leverage Ratio is tested at the end of each quarter based on the prior four quarters and is generally determined by dividing secured debt, net of U.S. cash and cash equivalents, by consolidated EBITDA, as calculated under the Term Credit Agreement. As of September 30, 2018, Kodak’s EBITDA, as calculated under the Term Credit Agreement, exceeded the EBITDA necessary to satisfy the covenant ratio by approximately $31 million.</w:t>
      </w: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Amended Credit and Term Credit Agreements (the “Credit Agreements”), the Company may designate Restricted Subsidiaries as Unrestricted Subsidiaries provided the aggregate sales of all Unrestricted Subsidiaries are less than 7.5% of the consolidated sales of Kodak and the aggregate assets of all Unrestricted Subsidiaries are less than 7.5% of Kodak’s consolidated assets. Further, under the Amended Credit Agreement, on a pro forma basis at the time of designation and immediately after giving effect thereto, Excess Availability must be at least $30 million and the pro forma Fixed Charge Coverage Ratio must be no less than 1.0 to 1.0. Upon designation of Unrestricted Subsidiaries, the Company will be required to provide to the Lenders reconciling statements to eliminate all financial information pertaining to Unrestricted Subsidiaries which is included in its annual and quarterly financial statements.</w:t>
      </w:r>
    </w:p>
    <w:p>
      <w:pPr>
        <w:spacing w:after="0" w:line="216"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March 2018, the Company designated five subsidiaries as Unrestricted Subsidiaries, Kodak PE Tech, LLC, Kodak LB Tech, LLC, Kodak Realty, Inc., Kodakit Singapore Pte. Limited and KP Services (Jersey) Ltd. This action allowed the Company to better position assets which may be monetized in the future and address costs related to underutilized properties. Collectively, these subsidiaries had sales of approximately $3 million and $8 million for the quarter and nine months ended September 30, 2018, respectively, which represents 1% of Kodak’s consolidated sales for both periods. Collectively, these subsidiaries had assets of $25 million as of September 30, 2018, which represents 2% of Kodak’s consolidated assets as of September 30, 2018.</w:t>
      </w:r>
    </w:p>
    <w:p>
      <w:pPr>
        <w:spacing w:after="0" w:line="18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designation of these subsidiaries as Unrestricted Subsidiaries increased the amount by which the Company’s EBITDA, as calculated under the Term Credit Agreement and the Amended Credit Agreement, exceeded the amount of EBITDA needed to satisfy the Net Secured Leverage Ratio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4" w:name="page45"/>
    <w:bookmarkEnd w:id="44"/>
    <w:p>
      <w:pPr>
        <w:ind w:right="380"/>
        <w:spacing w:after="0" w:line="277" w:lineRule="auto"/>
        <w:rPr>
          <w:sz w:val="20"/>
          <w:szCs w:val="20"/>
          <w:color w:val="auto"/>
        </w:rPr>
      </w:pPr>
      <w:r>
        <w:rPr>
          <w:rFonts w:ascii="Arial" w:cs="Arial" w:eastAsia="Arial" w:hAnsi="Arial"/>
          <w:sz w:val="18"/>
          <w:szCs w:val="18"/>
          <w:color w:val="auto"/>
        </w:rPr>
        <w:t>covenant of 2.75 to 1.0 by $20 million and the Fixed Charge Coverage Ratio of 1.0 to 1.0 by $22 million in September 2018. Each of the capitalized but undefined terms has the meaning ascribed to such term in the Credit Agreements.</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Kodak intends to conduct its operations in a manner that will result in continued compliance with the Secured Leverage Ratio covenant; however, compliance for future quarters may depend on Kodak undertaking one or more non-operational transactions, such as the repatriation of cash into the U.S., the management of operating cash outflows, the designation of additional subsidiaries as Unrestricted Subsidiaries,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 to be immediately due and payable.</w:t>
      </w:r>
    </w:p>
    <w:p>
      <w:pPr>
        <w:spacing w:after="0" w:line="20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Kodak made net contributions (funded plans) or paid benefits (unfunded plans) totaling approximately $11 million to its defined benefit pension and postretirement benefit plans in the first nine months of 2018. For the balance of 2018, the forecasted contribution (funded plans) and benefit payment (unfunded plans) requirements for its pension and postretirement plans are approximately $6 million.</w:t>
      </w:r>
    </w:p>
    <w:p>
      <w:pPr>
        <w:spacing w:after="0" w:line="208"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Cash flow from investing activities included $24 million of capital expenditures for the nine months ended September 30, 2018. Kodak expects approximately $27 million to $35 million of total capital expenditures for 2018.</w:t>
      </w:r>
    </w:p>
    <w:p>
      <w:pPr>
        <w:spacing w:after="0" w:line="19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Kodak is expanding its manufacturing facility in Weatherford, Oklahoma to provide additional production capacity for FLEXCEL NX Plates. The additional capacity will supplement Kodak’s existing plate manufacturing facility in Yamanashi, Japan and is designed to meet increasing demand. The new production line is expected to be in full production by mid-2019 and will initially focus on supplying FLEXCEL NX Plates to customers in the United States, Canada and Latin America. Kodak invested approximately $7 million in 2017 and approximately $6 million in the first nine months of 2018. The investment for the full year 2018 is expected to be approximately $8 million and the total investment for the project is expected to be approximately $15 million.</w:t>
      </w:r>
    </w:p>
    <w:p>
      <w:pPr>
        <w:spacing w:after="0" w:line="18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June 2012, Kodak filed a Request for Competent Authority Assistance with the United States Internal Revenue Service (IRS). The request related to a potential double taxation issue with respect to patent licensing royalty payments received by Kodak in 2010. In October 2018, an agreement was reached by the IRS and Korean National Tax Service, resulting in a partial refund of Korean withholding taxes in the amount of $32 million. Kodak had previously agreed with the licensee that made the royalty payments that any refunds of the related Korean withholding taxes would be shared equally between Kodak and the licensee. Kodak received the $16 million net payment in the fourth quarter of 2018.</w:t>
      </w:r>
    </w:p>
    <w:p>
      <w:pPr>
        <w:spacing w:after="0" w:line="20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loans made under the Term Credit Agreement become due on the earlier to occur of (i) the maturity date of September 3, 2019 or (ii) an acceleration of such loans following the occurrence of an event of default (as defined in the First Lien Term Credit Agreement). The Company also has issued approximately $85 million and $96 million of letters of credit under the Amended Credit Agreement as of September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amended in the</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interim. Upon the occurrence of the termination date under the Amended Credit Agreement, the obligations thereunder will become due and the Company will need to provide alternate collateral in place of the letters of credit issued under the Amended Credit Agreement. In October 2018, Kodak entered into a non-binding work letter with an existing lender under the Term Credit Agreement and another potential financing source, which outlines the terms and conditions of a proposed new term loan facility. The proceeds from the proposed new facility, if consummated, would be used to refinance the loans under the Term Credit Agreement in full. The non-binding work letter replaces the non-binding letter of intent entered into during the third quarter of 2018. Under the non-binding work letter, Kodak has agreed to work exclusively with the potential financing sources to reach a binding commitment letter setting out the key terms of the proposed new facility. Kodak is currently in negotiations with the potential financing sources regarding the terms of the proposed new facility, however, there can be no assurance that Kodak and the potential financing sources will reach a binding commitment letter on such terms. Exclusive negotiations between Kodak and the potential financing sources expire on November 12, 2018 in accordance with the terms of the non-binding work letter.</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Kodak has retained an investment banker in connection with a sale of its Flexographic Packaging segment and is in negotiations on an exclusive basis to sell this segment. Net proceeds from any sale of Kodak’s Flexographic Packaging segment will be used to reduce outstanding term loan debt. The Secured Leverage Ratio is generally determined by dividing secured debt, net of U.S. cash and cash equivalents, by consolidated EBITDA, as calculated under the Term Credit Agreement. The consolidated EBITDA, as calculated under the Term Credit Agreement, could be adversely affected by the sale process or the sale of the Flexographic Packaging segment, which could result in non-compliance with a debt covenant.</w:t>
      </w:r>
    </w:p>
    <w:p>
      <w:pPr>
        <w:spacing w:after="0" w:line="20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Additionally, Kodak is facing liquidity challenges due to negative cash flow. Based on forecasted cash flows, there are uncertainties regarding Kodak’s ability to meet commitments in the U.S. as they come due. Kodak’s plans to improve cash flow include reducing interest expense by decreasing the debt balance using proceeds from asset sales, including the sale of the Flexographic Packaging segment; further restructuring Kodak’s cost structure; and paring investment in new technology by eliminating, slowing, and partnering with investors in product development programs. Kodak is also exploring options regarding additional liquidity from other sources.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The sale of the Flexographic Packaging segment and/or refinancing of the loans under the Term Credit Agreement are not solely within Kodak’s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control. Executing agreements for the sale or a refinancing of the Term Credit Agreement and the timing for a closing of the sale or a refinancing of the Term Credit Agreement are dependent upon several external factors outside Kodak’s control, including but not limited to, the ability of the Company to reach acceptable agreements with different counterparties and the time required to meet conditions to closing under a sale agreement or credit facility.</w:t>
      </w:r>
    </w:p>
    <w:p>
      <w:pPr>
        <w:spacing w:after="0" w:line="20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Kodak makes no assurances regarding the likelihood, certainty or timing of consummating any asset sales, including of the Flexographic Packaging segment, or refinancing of the Company’s existing debt, or regarding the sufficiency of any such actions to meet Kodak’s debt obligations, including compliance with debt covenants, or other commitments in the U.S. as they come due.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2018, Kodak maintained accruals of approximately $4 million for claims aggregating approximately $151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operates in rapidly changing economic and technological environments which present numerous risks, many of which are driven by factors it cannot control or predict. Certain factors may have a material adverse effect on its business, financial condition, and results of operations. You should consider carefully the risks and uncertainties described below in addition to other information contained in this Quarterly Report on Form 10-Q, including the Management’s Discussion and Analysis of Financial Condition and Results of Operations (MD&amp;A) section and the consolidated financial statements and related notes, and the information in the Company’s Annual Report on Form 10–K for the year ended December 31, 2017 and the Company’s quarterly report on Form 10-Q for the quarters ended March 31, 2018 and June 30, 2018. The following discussion of “risk factors” identifies Kodak’s assessment of the most significant factors which may adversely affect its business, operations, financial position or future financial performance. Additional risks and uncertainties Kodak is unaware of, or currently believes are not material, may also become important factors which could adversely affect its business, operations, financial position or future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Kodak’s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Kodak is not able to successfully implement its business plans, or experiences implementation delays in cost structure reduction, Kodak’s consolidated results of operations, financial position and liquidity could be negatively affected.</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Kodak’s business plans are subject to a number of assumptions, projections, and analysis. If these assumptions prove to be incorrect, Kodak may be unsuccessful in executing its business plans or achieving the projected results, which could adversely impact its financial results and liquidity. In addition, Kodak continues to rationalize its workforce and streamline operations to a leaner and more focused organization aligned with its business initiatives. There are no assurances such measures will prove to be successful or the cost savings or other results it achieves through these plans will be consistent with its expectations. As a result, its results of operations, financial position and liquidity could be negatively impacted. If restructuring plans are not effectively managed, it may experience lost customer sales, product delays, additional costs and other unanticipated effects, causing harm to its business and customer relationships. Finally, the timing and implementation of these plans require compliance with numerous laws and regulations, including local labor laws, and the failure to comply with such requirements may result in damages, fines and penalties which could adversely affect Kodak’s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generate positive operating cash flows will be necessary for Kodak to continue to operate its business.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Kodak has not generated positive operating cash flows over the past four years and, based on forecasted cash flows, there are uncertainties regarding its ability to meet commitments in the U.S. as they come due. The Print Systems segment is its largest segment and has had declining revenues and segment earnings which are expected to continue to decline. Kodak’s stable and growth businesses may not grow or continue to generate the same or enough cash flow to offset businesses with declining cash flows. Kodak may be unable to generate positive cash flow from operations in the future, which would have a material adverse effect on its liquidity and financial position. If Kodak is unable to generate positive cash flow from operations or to adequately supplement such cash flow from operations with proceeds from the sale of businesses or assets or other monetization transactions, its ability to continue as a going concern could be impaired.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line="375" w:lineRule="auto"/>
        <w:rPr>
          <w:sz w:val="20"/>
          <w:szCs w:val="20"/>
          <w:color w:val="auto"/>
        </w:rPr>
      </w:pPr>
      <w:r>
        <w:rPr>
          <w:rFonts w:ascii="Arial" w:cs="Arial" w:eastAsia="Arial" w:hAnsi="Arial"/>
          <w:sz w:val="15"/>
          <w:szCs w:val="15"/>
          <w:b w:val="1"/>
          <w:bCs w:val="1"/>
          <w:i w:val="1"/>
          <w:iCs w:val="1"/>
          <w:color w:val="auto"/>
        </w:rPr>
        <w:t>Continued investment, capital needs, restructuring payments, dividends and servicing the Company’s debt require a significant amount of cash and it may not be able to generate sufficient cash to fund these activities, which could adversely affect its business, operating results and financial condition.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Kodak’s business may not generate cash flow in an amount sufficient to enable it to pay the principal or mandatory redemption price of, or interest and dividends on its indebtedness and Series A Preferred Stock, or to fund Kodak’s other liquidity needs, including working capital, capital expenditures, product development efforts, strategic acquisitions, investments and alliances, restructuring actions and other general corporate requirements.</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Kodak’s ability to generate cash is subject to general economic, financial, competitive, litigation, regulatory and other factors beyond its control. There are no assurances:</w:t>
      </w:r>
    </w:p>
    <w:p>
      <w:pPr>
        <w:spacing w:after="0" w:line="19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Kodak’s businesses will generate sufficient cash flow from operations;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Kodak will be able to generate expected levels of operational EBITDA;</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Kodak will be able to repatriate or move cash to locations where and when it is needed;</w:t>
      </w:r>
    </w:p>
    <w:p>
      <w:pPr>
        <w:spacing w:after="0" w:line="9" w:lineRule="exact"/>
        <w:rPr>
          <w:rFonts w:ascii="Arial" w:cs="Arial" w:eastAsia="Arial" w:hAnsi="Arial"/>
          <w:sz w:val="18"/>
          <w:szCs w:val="18"/>
          <w:color w:val="auto"/>
        </w:rPr>
      </w:pPr>
    </w:p>
    <w:p>
      <w:pPr>
        <w:ind w:left="900" w:right="1940" w:hanging="446"/>
        <w:spacing w:after="0" w:line="250"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will meet all the conditions associated with making borrowings or issuing letters of credit under the ABL Credit Agreement;</w:t>
      </w:r>
    </w:p>
    <w:p>
      <w:pPr>
        <w:ind w:left="900" w:right="1760" w:hanging="446"/>
        <w:spacing w:after="0" w:line="250"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Kodak will realize cost savings, earnings growth and operating improvements resulting from the execution of its business and restructuring plan;</w:t>
      </w: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Kodak will not have to expend cash defending lawsuits regardless of the merits of any claims raised; or</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sources of funding will be available in amounts sufficient to enable funding of its liquidity needs.</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Kodak cannot fund its liquidity needs, it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its ability to provide products and services, reduce its ability to raise additional capital and delay sustained profitability. There are no assurances any of these actions could, if necessary, be taken on commercially reasonable terms, or at all, or they would satisfy Kodak’s liquidity needs. In addition, if it were to incur additional debt, the risks associated with the Company’s substantial leverage, including the risk it will be unable to service its debt, generate cash flow sufficient to fund its liquidity needs, or maintain compliance with the covenants in the Credit Agreements, could significantly increase.</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Kodak’s inability to effectively complete and manage strategic transactions could adversely impact its business performance, including its financial results.</w:t>
      </w:r>
    </w:p>
    <w:p>
      <w:pPr>
        <w:spacing w:after="0" w:line="6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part of Kodak’s strategy, it may be engaged in discussions with third parties regarding possible divestitures, asset sales, spin-offs, investments, acquisitions, strategic alliances, joint ventures, and outsourcing transactions and may enter into agreements relating to such transactions in order to further its business objectives. In order to successfully pursue its strategic transaction strategy, it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There are no assurances Kodak will be able to consummate any strategic transactions which it undertakes or, if consummated, Kodak will achieve the benefits sought to be achieved from such strategic transactions. If Kodak fails to identify and successfully complete transactions that further its strategic objectives, it may be required to expend resources to develop products and technology internally, it may be at a competitive disadvantage or it may be adversely affected by negative market perceptions. Any of these factors could have an adverse effect on its revenue, gross margins and profitability. In addition, unpredictability surrounding the timing of such transactions could adversely affect its financial results.</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Kodak is unable to successfully develop, fund and commercialize products in certain businesses upon which it is focused, its financial performance could be adversely affected.</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Kodak has focused its investments on imaging and printing for business, specifically, commercial inkjet, packaging, advanced materials and 3D printing, and software and services. Each of these businesses requires additional investment and may not be successful. The introduction of successful innovative products at market competitive prices and the achievement of scale are necessary for it to grow these businesses, improve margins and achieve its financial objectives. Additionally, its strategy is based on a number of factors and assumptions, some of which are not within its control, such as the actions of third parties. There can be no assurance that it will be able to successfully execute all or any elements of its strategy, or that its ability to successfully execute its strategy will be unaffected by external factors. If it is unsuccessful in growing Kodak’s investment businesses as planned, or perceiving the needs of its target customers, its financial performance could be adversely affected.</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Kodak may pursue acquisitions or combinations which could fail or present unanticipated problems for its business in the future, which would adversely affect its ability to realize the anticipated benefits of those transactions or increase the price it would be required to pay.</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Kodak may seek to enter into transactions which may include acquiring or combining with other businesses. It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obtain required regulatory and other approvals;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need to integrate acquired or combined operations with its business;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 w:lineRule="exact"/>
        <w:rPr>
          <w:rFonts w:ascii="Arial" w:cs="Arial" w:eastAsia="Arial" w:hAnsi="Arial"/>
          <w:sz w:val="18"/>
          <w:szCs w:val="18"/>
          <w:color w:val="auto"/>
        </w:rPr>
      </w:pPr>
    </w:p>
    <w:p>
      <w:pPr>
        <w:ind w:left="960" w:right="1820" w:hanging="479"/>
        <w:spacing w:after="0" w:line="250"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evaluating operating costs, infrastructure requirements, environmental and other liabilities and other factors beyond its control;</w:t>
      </w:r>
    </w:p>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lack of operating experience in new business or geographic areas;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its expenses and working capital requirements;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management’s attention may be temporarily diverted; and</w:t>
      </w:r>
    </w:p>
    <w:p>
      <w:pPr>
        <w:spacing w:after="0" w:line="9" w:lineRule="exact"/>
        <w:rPr>
          <w:rFonts w:ascii="Arial" w:cs="Arial" w:eastAsia="Arial" w:hAnsi="Arial"/>
          <w:sz w:val="18"/>
          <w:szCs w:val="18"/>
          <w:color w:val="auto"/>
        </w:rPr>
      </w:pPr>
    </w:p>
    <w:p>
      <w:pPr>
        <w:ind w:left="960" w:right="1720" w:hanging="479"/>
        <w:spacing w:after="0" w:line="261"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it may be required to issue a substantial amount of additional equity or debt securities or assume additional debt in connection with any such transactions.</w:t>
      </w:r>
    </w:p>
    <w:p>
      <w:pPr>
        <w:spacing w:after="0" w:line="7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Any of these factors could adversely affect its ability to achieve anticipated levels of cash flows or realize synergies or other anticipated benefits from a strategic transaction. Furthermore, the market for transactions is highly competitive, which may adversely affect its ability to find transactions which fit its strategic objectives or increase the price it would be required to pay (which could decrease the benefit of the transaction or hinder its desire or ability to consummate the transaction). Strategic transactions may occur at any time and may be significant in size relative to its assets and operations.</w:t>
      </w:r>
    </w:p>
    <w:p>
      <w:pPr>
        <w:spacing w:after="0" w:line="15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Due to the nature of the products it sells and Kodak’s worldwide distribution, it is subject to changes in currency exchange rates, interest rates and commodity costs which may adversely impact its results of operations and financial position.</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a result of Kodak’s global operating and financing activities, it is exposed to changes in currency exchange rates and interest rates, which may adversely affect its results of operations and financial position. Exchange rates and interest rates in markets in which it does business tend to be volatile and, at times, its sales and profitability can be negatively impacted across all its segments depending upon the value of the U.S. dollar and other major currencies such as the euro, the Japanese yen, the British pound and the Chinese yuan. In addition, Kodak’s products contain aluminum, silver, petroleum based or other commodity based raw materials, the prices of which have been, and may continue to be, volatile. In the case of aluminum, recently imposed tariffs may give rise to future cost increases. If the global economic situation remains uncertain or worsens, there could be further volatility in changes in currency exchange rates, interest rates and commodity prices, which could have negative effects on its revenue and earnings.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Weakness or worsening of global economic conditions could adversely affect Kodak’s financial performance and liquidity.</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global economic environment may adversely affect sales of Kodak’s products, profitability and liquidity. Global financial markets have been experiencing volatility. Economic conditions could accelerate any decline in demand for products, which could also place pressure on its results of operations and liquidity. There is no guarantee that anticipated economic growth levels in markets which have experienced some economic strength will continue in the future, or Kodak will succeed in expanding sales in these markets. In addition, accounts receivable and past due accounts could increase due to a decline in its customers’ ability to pay as a result of an economic downturn, and its liquidity, including its ability to use credit lines, could be negatively impacted by failures of financial instrument counterparties, including banks and other financial institutions. If global economic weakness and tightness in the credit markets exist, worsen or are attenuated, Kodak’s profitability and related cash generation capability could be adversely affected and, therefore, affect its ability to meet its anticipated cash needs, impair its liquidity or increase its costs of borrowing.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Kodak is unable to successfully develop or commercialize new products, its business, financial position and operating results may suffer.</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generally sells its products in industries which are characterized by rapid technological changes, frequent new product and service introductions and changing industry standards. Without the timely introduction of new products, services and enhancements, its products and services will become technologically obsolete over time, in which case its revenue and operating results would suffer. Therefore, its future results of operations will depend to a significant extent upon its ability to successfully commercialize new products in a timely manner. The success of its new products and services will depend on several factors, including its ability to:</w:t>
      </w:r>
    </w:p>
    <w:p>
      <w:pPr>
        <w:spacing w:after="0" w:line="215" w:lineRule="exact"/>
        <w:rPr>
          <w:sz w:val="20"/>
          <w:szCs w:val="20"/>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customer needs;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innovate and develop new technologies, services, and applications;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commercialize new technologies in a timely manner;</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manufacture and deliver its products in sufficient volumes and on time;</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differentiate its offerings from its competitors’ offerings;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its products and services competitively;</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anticipate its competitors’ development of new products, services or technological innovations;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 successfully alongside its partners; and</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control product quality in its manufacturing processes.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9" w:name="page50"/>
    <w:bookmarkEnd w:id="49"/>
    <w:p>
      <w:pPr>
        <w:ind w:right="20"/>
        <w:spacing w:after="0" w:line="302" w:lineRule="auto"/>
        <w:rPr>
          <w:sz w:val="20"/>
          <w:szCs w:val="20"/>
          <w:color w:val="auto"/>
        </w:rPr>
      </w:pPr>
      <w:r>
        <w:rPr>
          <w:rFonts w:ascii="Arial" w:cs="Arial" w:eastAsia="Arial" w:hAnsi="Arial"/>
          <w:sz w:val="16"/>
          <w:szCs w:val="16"/>
          <w:color w:val="auto"/>
        </w:rPr>
        <w:t>As a result of these and other factors, products currently in development by Kodak (for example, UltraStream technology, small particle technology and Ultra NX) may or may not be successfully commercialized in a timely manner, or at all. If any of its key products cannot be successfully or timely commercialized, its operating results could be adversely affected. Moreover, it cannot guarantee any investment made in developing products will be recouped, even if it is successful in commercializing those products, which could have a material adverse effect on its business, financial position and operating results.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Kodak’s commercialization and manufacturing processes fail to prevent issues with product reliability, yield and quality, its product launch plans may be delayed, its financial results may be adversely impacted, and its reputation may be harmed.</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developing, commercializing and manufacturing Kodak’s products and services it must adequately address reliability and prevent yield and other quality issues, including defects in its engineering, design and manufacturing processes, as well as defects in third-party components included in its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it has established internal procedures to minimize risks which may arise from product quality issues, there can be no assurance it will be able to eliminate or mitigate occurrences of these issues and associated liabilities. Product reliability, yield and quality issues can impair its relationships with new or existing customers and adversely affect its brand image; product quality issues can result in recalls, warranty, or other service obligations and litigation, and its reputation as a producer of high quality products could suffer, which could adversely affect its business as well as its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reputation of Kodak or its brand erodes significantly, it could have a material impact on its financial results.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Kodak’s reputation, and the reputation of its brand, form the foundation of its relationships with key stakeholders and other constituencies, including customers, suppliers and consumers. The quality and safety of Kodak’s products are critical to its business. Kodak’s products have worldwide recognition, and its financial success is directly dependent on the success of its product offering. One aspect of Kodak’s business is licensing others to use Kodak’s brand in connection with the sale of such licensees’ products and services, and activities by such licensees may be perceived by the market as being activities of Kodak. The success of Kodak’s brand can suffer if it’s or its licensees’ marketing plans, product initiatives or activities do not have the desired impact on the brand’s image or ability to attract customers. Kodak’s results could also be negatively impacted if its brand suffers substantial harm to its reputation due to significant product reliability and quality issues, and product-related litigation. Additionally, negative or inaccurate postings or comments on social media or networking websites about Kodak, its licensees or its brand could generate adverse publicity which could damage the reputation of the brand. Kodak also devotes significant time and resources to programs consistent with its corporate values and commitments that are designed to protect and preserve its reputation, such as social responsibility and environmental sustainability. If these programs are not executed as planned or suffer negative publicity, Kodak’s reputation and financial results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competitive pressures it faces could harm Kodak’s revenue, gross margins, cash flow and market share.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markets in which Kodak does business are highly competitive with large, entrenched, and well financed industry participants, many of which are larger than Kodak. In addition, it encounters aggressive price competition for many of its products and services from numerous companies globally. Any of its competitors may:</w:t>
      </w:r>
    </w:p>
    <w:p>
      <w:pPr>
        <w:spacing w:after="0" w:line="208" w:lineRule="exact"/>
        <w:rPr>
          <w:sz w:val="20"/>
          <w:szCs w:val="20"/>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foresee the course of market developments more accurately than it does;</w:t>
      </w:r>
    </w:p>
    <w:p>
      <w:pPr>
        <w:spacing w:after="0" w:line="23"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superior products and provide superior services or offer a broader variety of products and services;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the ability to produce or supply similar products and services at a lower cost;</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better access to supplies and the ability to acquire supplies at a lower cost;</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 stronger relationships with its suppliers or customers;</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adapt more quickly to new technologies or evolving customer requirements than it does; or</w:t>
      </w:r>
    </w:p>
    <w:p>
      <w:pPr>
        <w:spacing w:after="0" w:line="9" w:lineRule="exact"/>
        <w:rPr>
          <w:rFonts w:ascii="Arial" w:cs="Arial" w:eastAsia="Arial" w:hAnsi="Arial"/>
          <w:sz w:val="18"/>
          <w:szCs w:val="18"/>
          <w:color w:val="auto"/>
        </w:rPr>
      </w:pPr>
    </w:p>
    <w:p>
      <w:pPr>
        <w:ind w:left="960" w:hanging="47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access to capital markets or other financing sources on more favorable terms than it can obtain.</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Kodak may not be able to compete successfully with its competitors. Finally, it may not be able to maintain its operating costs or prices at levels which would allow it to compete effectively. Kodak’s results of operations and financial condition may be adversely affected by these and other industry-wide pricing pressures. If its products, services and pricing are not sufficiently competitive with current and future competitors, it could also lose market share, adversely affecting its revenue, gross margins and cash flow.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0" w:name="page51"/>
    <w:bookmarkEnd w:id="50"/>
    <w:p>
      <w:pPr>
        <w:ind w:right="100"/>
        <w:spacing w:after="0" w:line="277" w:lineRule="auto"/>
        <w:rPr>
          <w:sz w:val="20"/>
          <w:szCs w:val="20"/>
          <w:color w:val="auto"/>
        </w:rPr>
      </w:pPr>
      <w:r>
        <w:rPr>
          <w:rFonts w:ascii="Arial" w:cs="Arial" w:eastAsia="Arial" w:hAnsi="Arial"/>
          <w:sz w:val="18"/>
          <w:szCs w:val="18"/>
          <w:b w:val="1"/>
          <w:bCs w:val="1"/>
          <w:i w:val="1"/>
          <w:iCs w:val="1"/>
          <w:color w:val="auto"/>
        </w:rPr>
        <w:t>An inability to provide competitive financing arrangements to Kodak’s customers or extension of credit to customers whose creditworthiness deteriorates could adversely impact its revenue, profitability and financial position.</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competitive environment in which Kodak operates may require it to facilitate or provide financing to its customers. Customer financing arrangements may cover all or a portion of the purchase price for its products and services. It may also assist customers in obtaining financing from banks and other sources. Its success may be dependent, in part, upon its ability to provide customer financing on competitive terms and on its customers’ creditworthiness. Tightening of credit in the global financial markets can adversely affect the ability of Kodak’s customers to obtain financing for significant purchases, which may result in a decrease in, or cancellation of, orders for its products and services. If Kodak is unable to provide competitive financing solutions to its customers or if it extends credit to customers whose creditworthiness deteriorates, its revenues, profitability and financial position could be adversely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Kodak cannot attract, retain and motivate key management and other key employees, its revenue and earnings could be harmed.</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order for it to be successful, Kodak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its future. It may be unable to attract and retain highly qualified management and employees, particularly if it does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its business.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Kodak cannot effectively anticipate technology trends and develop and market new products to respond to changing customer preferences, its revenue, earnings and cash flow could be adversely affected.</w:t>
      </w:r>
    </w:p>
    <w:p>
      <w:pPr>
        <w:spacing w:after="0" w:line="6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Kodak serves imaging needs for business markets, including packaging, graphic communications, enterprise services, and printed electronics. Its success in these markets depends on its ability to offer differentiated solutions and technologies to capture market share and grow scale. To enable this, it must continually develop and introduce new products and services in a timely manner to keep pace with technological developments and achieve customer acceptance. In addition, the services and products it provides to customers may not or may no longer meet the needs of its customers as the business models of its customers evolve. Its customers may decide to outsource their imaging needs or may purchase imaging services and needs from other suppliers. In addition, it is difficult to predict successfully the products and services its customers will demand. The success of Kodak’s business depends in part on its ability to identify and respond promptly to changes in customer preferences, expectations and needs. If it does not timely assess and respond to changing customer expectations, preferences and needs, its financial condition, results of operations or cash flows could be adversely affected.</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Kodak is unable to timely anticipate new technology trends, develop improvements to its current technology to address changing customer preferences, and effectively communicate its businesses, products, and the markets it serves, its revenue, earnings and cash flow could be adversely affected. The success of Kodak’s technology development efforts may be affected by the development efforts of its competitors, which may have more financial and other resources to better ascertain technology trends, changing customer preferences, and changing business expectations or models. Kodak’s assessment and response may as a result be incomplete or inferior when compared to its competitors, which could adversely affect its product roadmaps and associated revenue streams.</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Kodak has reduced the scope of its corporate-focused research and development activities. If its investment in research and product development is inadequate, its response to changing customer needs and changing market dynamics may be too slow and this may adversely affect revenue streams from new products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makes sizeable investments in new products and services that may not achieve expected returns.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Commercial success depends on many factors, including innovativeness, developer support, and effective distribution and marketing. If customers do not perceive Kodak’s latest offerings as providing significant new functionality or other value, they may reduce their purchases of new products or upgrades, unfavorably affecting revenue. Kodak may not achieve significant revenue from new product, service, and distribution channel investments for several years, if at all. 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Kodak relies on third-party suppliers for goods and services to support its manufacturing, logistics, and business operations. To the extent it relies on third-parties, it faces the risks that those third parties may not be able to:</w:t>
      </w:r>
    </w:p>
    <w:p>
      <w:pPr>
        <w:spacing w:after="0" w:line="197" w:lineRule="exact"/>
        <w:rPr>
          <w:sz w:val="20"/>
          <w:szCs w:val="20"/>
          <w:color w:val="auto"/>
        </w:rPr>
      </w:pPr>
    </w:p>
    <w:p>
      <w:pPr>
        <w:ind w:left="720" w:hanging="36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manufacturing methods appropriate to Kodak’s products;</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an adequate control environment;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quickly respond to changes in customer demand for Kodak’s products;</w:t>
      </w:r>
    </w:p>
    <w:p>
      <w:pPr>
        <w:spacing w:after="0" w:line="23" w:lineRule="exact"/>
        <w:rPr>
          <w:rFonts w:ascii="Arial" w:cs="Arial" w:eastAsia="Arial" w:hAnsi="Arial"/>
          <w:sz w:val="18"/>
          <w:szCs w:val="18"/>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supplies and materials necessary for the manufacturing process; or</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mitigate the impact of labor shortages and/or other disruptions.</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Further, even if Kodak honors its payment and other obligations to its key suppliers of products, components and services, such suppliers may choose to unilaterally withhold products, components or services, or demand changes in payment terms. In addition, it may experience shortages in supply and disruptions in service as a result of unexpected demand, transportation and logistical limitations, and/or disruptions or production difficulties at its suppliers, such as disruptions due to fires, other natural disasters or events outside of a supplier’s control. In addition, disruptions could result from a reduction in the number of its suppliers due to their own financial difficulties or a reduction in the products offered by such suppliers. As a result of the loss of any supplier, or a substantial decrease in the availability of products from its suppliers, Kodak may be unable to meet its customer commitments, its costs could be higher than planned, and its cash flows and the reliability of its products could be negatively impacted. Kodak will vigorously enforce its contractual rights under such circumstances, but there is no guarantee it will be successful in preventing or mitigating the effects of unilateral actions by its suppliers. Other supplier problems that Kodak could encounter include electronic component shortages, excess supply, risks related to the duration and termination of its contracts with suppliers for components and materials and risks related to the ability to obtain products, components or services from single source suppliers on favorable terms or at all. The realization of any of these risks, should alternative third-party relationships not be established, could cause interruptions in supply or increases in costs which might result in Kodak’s inability to meet customer demand for its products, damage to its relationships with its customers, and reduced market share, all of which could adversely affect its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Kodak’s future revenue and financial condition and increase its costs and expenses.</w:t>
      </w:r>
    </w:p>
    <w:p>
      <w:pPr>
        <w:spacing w:after="0" w:line="11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Worldwide operations could be subject to earthquakes, power shortages, telecommunications failures, cyber-attacks, terrorism and other physical security threats, water shortages, tsunamis, floods, hurricanes, typhoons, fires, extreme weather conditions, medical epidemics, political or economic instability, and other natural or manmade disasters or business interruptions, for which Kodak is predominantly self-insured. The occurrence of any of these business disruptions could seriously harm its revenue and financial condition and increase its costs and expenses. In addition, some areas, including parts of the east and west coasts of the United States, have previously experienced, and may experience in the future, major power shortages and blackouts. These blackouts could cause disruptions to its operations or the operations of its suppliers, distributors and resellers, or customers. It has operations including research and development facilities in geographically disparate locations, such as Israel, Japan, China, Canada and Germany.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Kodak’s ability to provide a particular product or service for a period of time.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or disruptions to our information technology (IT) environment could impact revenue, operations, cost, and competitiveness.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effectively manage our global business, we depend on secure and reliable information technology systems with accurate data. These systems and their underlying infrastructure are provided by a combination of Kodak and third-parties, and if unavailable or unreliable, could disrupt our operations, causing delays or cancellation of customer orders, impeding the manufacturing or delivery of products, delaying the reporting of financial results, or impacting other business processes critical to running our business.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IT systems contain critical information about our business, including intellectual property and confidential information of our customers, business partners, and employees. Cyber-attacks or defects in our systems could result in this proprietary information being disclosed or modified, which could cause significant damage to our business or our reputation. We have system controls and security measures in place that are designed to protect our IT systems against intentional or unintentional disruptions of our operations or disclosure of confidential information, but we may not be able to implement solutions that result in stopping or detecting all of these threats to our internal information systems or those of our third-party providers. A breach of our security measures could result in unauthorized access to and misuse of our information, corruption of data, or disruption of operations, any of which could have a material adverse impact on our business.</w:t>
      </w:r>
    </w:p>
    <w:p>
      <w:pPr>
        <w:spacing w:after="0" w:line="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provide IT-based products and services to our customers, both businesses and consumers, and a breach of our security or reliability measures, or those of our third-party service providers, could negatively impact our customers’ operations or data privacy.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Improper disclosure of personal data could result in liability and harm Kodak’s reputation.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Kodak receives, processes, transmits and stores information relating to identifiable individuals (personal information), both in its role as a technology provider and as an employer. As a result, Kodak is subject to numerous U.S. federal and state and foreign laws and regulations relating to personal information. These laws have been subject to frequent changes, and new legislation in this area may be enacted at any time. In Europe, the General Data Protection Regulation (“GDPR”) became effective on May 25, 2018 for all European Union (“EU”) member states. The GDPR includes operational requirements for companies receiving or processing personal data of EU residents that are partially different from those previously in place and includes significant penalties for non-compliance. This change, as well as any other change to existing laws, the introduction of new laws in this area, or the failure to comply with existing laws that are applicable, may subject Kodak to, among other things, additional costs or changes to its business practices, liability for monetary damages, fines and/or criminal prosecution, unfavorable publicity, restrictions on its ability to obtain and process information and allegations by its customers and clients that it has not performed its contractual obligations. At the same time, the risk of cyber-attacks is relevant to the requirements regarding storage, transfer, sharing and handling of personal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both"/>
        <w:ind w:right="120"/>
        <w:spacing w:after="0" w:line="302" w:lineRule="auto"/>
        <w:rPr>
          <w:sz w:val="20"/>
          <w:szCs w:val="20"/>
          <w:color w:val="auto"/>
        </w:rPr>
      </w:pPr>
      <w:r>
        <w:rPr>
          <w:rFonts w:ascii="Arial" w:cs="Arial" w:eastAsia="Arial" w:hAnsi="Arial"/>
          <w:sz w:val="16"/>
          <w:szCs w:val="16"/>
          <w:color w:val="auto"/>
        </w:rPr>
        <w:t>This environment demands Kodak continuously improve its design and coordination of security controls and contractual arrangements across its businesses and geographies. Despite these efforts, it is possible its security controls over personal data, its training of employees and vendors on data privacy and data security, and other practices it follows may not prevent the improper disclosure of personal information. Improper disclosure of this information could harm its reputation or subject it to liability under laws which protect personal data, resulting in increased costs or loss of revenue.</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Kodak cannot protect the intellectual property rights on which its business depends, or if third parties assert it violates their intellectual property rights, its revenue, earnings, expenses and liquidity may be adversely impacted.</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key differentiator for Kodak in many of its businesses is its technological advantage over competitors’ products and solutions. Its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protecting and enforcing Kodak’s intellectual property rights. Any of Kodak’s direct or indirect intellectual property rights could be challenged, invalidated, circumvented, infringed, diluted, disclosed or misappropriated, or such intellectual property rights may not be sufficient to permit it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degree as the laws of the United States. Therefore, in certain jurisdictions, Kodak may be unable to protect its proprietary technology adequately against unauthorized third party copying, infringement or use, which could adversely affect its competitive position. Also, much of Kodak’s business and many of its products rely on key technologies developed or licensed by third parties and, because of the rapid pace of technological change in the information technology industry, it may not be able to obtain or continue to obtain licenses and technologies from relevant third parties on reasonable terms, or at all.</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Kodak also licenses third parties to use its trademarks. In an effort to preserve its trademark rights, Kodak enters into license agreements with these third parties which govern the use of its trademarks and require its licensees to abide by quality control standards with respect to the goods and services they provide under the trademarks. Although Kodak makes efforts to police the use of its trademarks by its licensees, there can be no assurance these efforts will be sufficient to ensure the licensees abide by the terms of their licenses. In the event Kodak’s licensees fail to do so, its trademark rights could be diluted and its reputation harmed by its licensees’ activities. Also, failure by Kodak and its licensees to sufficiently exploit any of Kodak’s trademarks in any markets could erode Kodak’s trademark rights with respect to the relevant trademarks. Because the laws and enforcement regimes of certain countries do not protect proprietary rights to the same degree as those in the United States, in certain jurisdictions Kodak may be unable to adequately prevent such unauthorized uses, which could result in impairment of its trademark rights.</w:t>
      </w:r>
    </w:p>
    <w:p>
      <w:pPr>
        <w:spacing w:after="0" w:line="71"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Kodak has made substantial investments in new, proprietary technologies and has filed patent applications and obtained patents to protect its intellectual property rights in these technologies as well as the interests of its licensees. There can be no assurance Kodak’s patent applications will be approved, any patents issued will be of sufficient scope or strength to provide it with meaningful protection, or such patents will not be challenged by third parties.</w:t>
      </w:r>
    </w:p>
    <w:p>
      <w:pPr>
        <w:ind w:right="40"/>
        <w:spacing w:after="0" w:line="255" w:lineRule="auto"/>
        <w:rPr>
          <w:sz w:val="20"/>
          <w:szCs w:val="20"/>
          <w:color w:val="auto"/>
        </w:rPr>
      </w:pPr>
      <w:r>
        <w:rPr>
          <w:rFonts w:ascii="Arial" w:cs="Arial" w:eastAsia="Arial" w:hAnsi="Arial"/>
          <w:sz w:val="18"/>
          <w:szCs w:val="18"/>
          <w:color w:val="auto"/>
        </w:rPr>
        <w:t>Furthermore, Kodak may fail to accurately predict all of the countries where patent protection will ultimately be desirable, and if it fails to timely file a patent application in any such country, it may be precluded from doing so at a later date. The patents issuing may vary in scope of coverage depending on the country in which such patents issue.</w:t>
      </w:r>
    </w:p>
    <w:p>
      <w:pPr>
        <w:spacing w:after="0" w:line="2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the intellectual property rights of others could inhibit Kodak’s ability to conduct its business. Other companies may hold patents on technologies used in Kodak’s industries and some of these companies are aggressively seeking to expand, enforce or license their patent portfolios. Third parties may claim Kodak and its customers, licensees or other parties indemnified by it are infringing upon their intellectual property rights. Such claims may be made by competitors seeking to block or limit Kodak’s access to certain markets. Additionally, in recent years, individuals and groups have begun purchasing intellectual property assets for the sole purpose of making claims of infringement and attempting to extract settlements from large companies like Kodak. Even if it believes the claims are without merit, these claims may have the following negative impacts on its business:</w:t>
      </w:r>
    </w:p>
    <w:p>
      <w:pPr>
        <w:spacing w:after="0" w:line="31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can be time consuming and costly to defend and may distract management’s attention and resources;</w:t>
      </w:r>
    </w:p>
    <w:p>
      <w:pPr>
        <w:spacing w:after="0" w:line="23" w:lineRule="exact"/>
        <w:rPr>
          <w:rFonts w:ascii="Arial" w:cs="Arial" w:eastAsia="Arial" w:hAnsi="Arial"/>
          <w:sz w:val="18"/>
          <w:szCs w:val="18"/>
          <w:color w:val="auto"/>
        </w:rPr>
      </w:pPr>
    </w:p>
    <w:p>
      <w:pPr>
        <w:ind w:left="900" w:right="1960" w:hanging="446"/>
        <w:spacing w:after="0" w:line="25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of intellectual property infringement may require it to redesign affected products, enter into costly settlement or license agreements or pay costly damage awards, or face a temporary or permanent injunction prohibiting it from marketing or selling certain of its products;</w:t>
      </w:r>
    </w:p>
    <w:p>
      <w:pPr>
        <w:spacing w:after="0" w:line="1" w:lineRule="exact"/>
        <w:rPr>
          <w:rFonts w:ascii="Arial" w:cs="Arial" w:eastAsia="Arial" w:hAnsi="Arial"/>
          <w:sz w:val="18"/>
          <w:szCs w:val="18"/>
          <w:color w:val="auto"/>
        </w:rPr>
      </w:pPr>
    </w:p>
    <w:p>
      <w:pPr>
        <w:ind w:left="900" w:right="1800" w:hanging="446"/>
        <w:spacing w:after="0" w:line="25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even if it has an agreement with a third party to indemnify it against such costs, the indemnifying party may be unable to uphold such party’s contractual obligations; and</w:t>
      </w:r>
    </w:p>
    <w:p>
      <w:pPr>
        <w:ind w:left="900" w:right="2000" w:hanging="446"/>
        <w:spacing w:after="0" w:line="290"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it cannot or does not license the infringed technology at all, license the technology on reasonable terms or substitute similar technology from another source, its revenue and earnings could be adversely impacted.</w:t>
      </w:r>
    </w:p>
    <w:p>
      <w:pPr>
        <w:spacing w:after="0" w:line="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Finally, Kodak uses open source software in connection with its products and services. Companies which incorporate open source software into their products have, from time to time, faced claims challenging the ownership of open source software and/or compliance with open source license terms. As a result, Kodak could be subject to suits by parties claiming ownership of what it believes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Kodak’s source code or pay damages for breach of contract could be harmful to its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3" w:name="page54"/>
    <w:bookmarkEnd w:id="53"/>
    <w:p>
      <w:pPr>
        <w:ind w:right="220"/>
        <w:spacing w:after="0" w:line="264" w:lineRule="auto"/>
        <w:rPr>
          <w:sz w:val="20"/>
          <w:szCs w:val="20"/>
          <w:color w:val="auto"/>
        </w:rPr>
      </w:pPr>
      <w:r>
        <w:rPr>
          <w:rFonts w:ascii="Arial" w:cs="Arial" w:eastAsia="Arial" w:hAnsi="Arial"/>
          <w:sz w:val="18"/>
          <w:szCs w:val="18"/>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its financial position, results of operations, and cash flow.</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its U.S. and non-U.S. defined benefit pension plans (and other postretirement benefit plans), and the related cost reflected in its financial statements, are affected by various factors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past years, Kodak has experienced increases in the costs of these defined benefit pension and postretirement benefit obligations as a result of macro-economic factors beyond its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it will succeed in limiting cost increases. In addition, continued upward pressure, including any as a result of new legislation, could reduce the profitability of its businesses.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Kodak may be required to recognize impairments in the value of its goodwill and/or other long-lived assets which could adversely affect its results of operations.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Upon emergence from bankruptcy, Kodak applied fresh start accounting pursuant to which the reorganization value was allocated to the individual assets and liabilities based on their estimated fair values. The excess reorganization value over the fair value of identified tangible and intangible assets is reported as goodwill. In connection with fresh start, Kodak also fair valued its other long-lived assets, including intangible assets. The determination of reorganization value, equity value of the Company’s common stock and fair value of assets and liabilities is dependent on various estimates and assumptions, including financial projections and the realization of certain events. Kodak tests goodwill and indefinite lived intangible assets for impairment annually or whenever events occur or circumstances change that would more likely than not reduce the fair value of a reporting unit below its carrying amount. Kodak evaluates other long-lived assets for impairments whenever events or changes in circumstances indicate the carrying value may not be recoverable. Impairments could occur in the future if Kodak’s expected future cash flows decline, market or interest rate environments deteriorate, or if carrying values change materially compared with changes in their respective fair values.</w:t>
      </w:r>
    </w:p>
    <w:p>
      <w:pPr>
        <w:spacing w:after="0" w:line="18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which are expected to be at peak in seasonality may have a pronounced negative effect on its results of operations.</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Kodak’s performance or how it will perform in the future. In addition, adverse developments during what are expected to be peak periods in seasonality, such as lower-than-anticipated demand for its products, an internal systems failure, increases in materials costs, or failure of or performance problems with one of its key logistics, components supply, or manufacturing partners, could have a material adverse impact on its financial condition and operating results. Tight credit markets which limit capital investments or a weak economy which decreases print demand could negatively impact equipment or consumable sales. These external developments are often unpredictable and may have an adverse impact on its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Kodak fails to manage distribution of its products and services properly, its revenue, gross margins and earnings could be adversely impacted.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Kodak uses a variety of different distribution methods to sell and deliver its products and services, including third-party resellers and distributors and direct and indirect sales to both enterprise accounts and customers. Successfully managing the interaction of direct and indirect channels with various potential customer segments for its products and services is a complex process. Moreover, since each distribution method has distinct risks and costs, Kodak’s failure to achieve the most advantageous balance in the delivery model for its products and services could adversely affect its revenue, gross margins and earnings. This has concentrated Kodak’s credit and operational risk and could result in an adverse impact on its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future results could be harmed if it is unsuccessful in its sales in emerging markets.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Because Kodak is seeking to expand its sales and number of customer relationships outside the United States, including in emerging markets in Asia, Latin America and Eastern Europe, Kodak’s business is subject to risks associated with doing business internationally, such as:</w:t>
      </w:r>
    </w:p>
    <w:p>
      <w:pPr>
        <w:spacing w:after="0" w:line="174" w:lineRule="exact"/>
        <w:rPr>
          <w:sz w:val="20"/>
          <w:szCs w:val="20"/>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support of multiple languages;</w:t>
      </w:r>
    </w:p>
    <w:p>
      <w:pPr>
        <w:spacing w:after="0" w:line="23"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of sales and technical support personnel with the skills to design, manufacture, sell and supply products;</w:t>
      </w:r>
    </w:p>
    <w:p>
      <w:pPr>
        <w:spacing w:after="0" w:line="9" w:lineRule="exact"/>
        <w:rPr>
          <w:rFonts w:ascii="Arial" w:cs="Arial" w:eastAsia="Arial" w:hAnsi="Arial"/>
          <w:sz w:val="18"/>
          <w:szCs w:val="18"/>
          <w:color w:val="auto"/>
        </w:rPr>
      </w:pPr>
    </w:p>
    <w:p>
      <w:pPr>
        <w:ind w:left="920" w:right="1780" w:hanging="453"/>
        <w:spacing w:after="0" w:line="258"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governmental regulation of imports and exports, including obtaining required import or export approval for its products;</w:t>
      </w: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complexity of managing international operations;</w:t>
      </w:r>
    </w:p>
    <w:p>
      <w:pPr>
        <w:spacing w:after="0" w:line="21" w:lineRule="exact"/>
        <w:rPr>
          <w:rFonts w:ascii="Arial" w:cs="Arial" w:eastAsia="Arial" w:hAnsi="Arial"/>
          <w:sz w:val="18"/>
          <w:szCs w:val="18"/>
          <w:color w:val="auto"/>
        </w:rPr>
      </w:pPr>
    </w:p>
    <w:p>
      <w:pPr>
        <w:ind w:left="920" w:hanging="453"/>
        <w:spacing w:after="0"/>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left="920" w:right="1700" w:hanging="453"/>
        <w:spacing w:after="0" w:line="258"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commercial laws and business practices which may favor local competition and the imposition of tariffs on its products or raw materials;</w:t>
      </w:r>
    </w:p>
    <w:p>
      <w:pPr>
        <w:spacing w:after="0" w:line="1" w:lineRule="exact"/>
        <w:rPr>
          <w:rFonts w:ascii="Arial" w:cs="Arial" w:eastAsia="Arial" w:hAnsi="Arial"/>
          <w:sz w:val="18"/>
          <w:szCs w:val="18"/>
          <w:color w:val="auto"/>
        </w:rPr>
      </w:pPr>
    </w:p>
    <w:p>
      <w:pPr>
        <w:ind w:left="920" w:right="1880" w:hanging="453"/>
        <w:spacing w:after="0" w:line="250" w:lineRule="auto"/>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potentially conflicting, and changing governmental laws, regulations and practices, including differing export, import, tax, anti-corruption, anti-dumping, economic sanction, labor, and employment laws;</w:t>
      </w: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or restrictions on the repatriation of cash;</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or reductions in protection of intellectual property rights;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complications in logistics and distribution arrangements; and</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can be no assurance Kodak will be able to market and sell its products in all of its targeted markets. If its efforts are not successful, its business growth and results of operations could be harmed. As a global company, Kodak is subject to regulatory requirements and laws in the jurisdictions in which it operates, and any alleged non-compliance with these requirements or laws could result in an adverse financial or reputational impact.</w:t>
      </w:r>
    </w:p>
    <w:p>
      <w:pPr>
        <w:spacing w:after="0" w:line="16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Kodak is subject to environmental laws and regulations and failure to comply with such laws and regulations or liabilities imposed as a result of such laws and regulations could have an adverse effect on its business, results of operations and financial condition.</w:t>
      </w:r>
    </w:p>
    <w:p>
      <w:pPr>
        <w:spacing w:after="0" w:line="38"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Kodak is subject to environmental laws and regulations world-wide that govern, for example, the discharge of pollutants, the management of hazardous materials, the cleanup of contaminated sites, and the composition and end-of-life management of its products. Non-compliance with applicable laws or liability incurred without regard to fault could have a material adverse effect on its business, results of operations and financial condition. The cost of complying with such laws could have a material adverse effect on its business, results of operations and financial condition.</w:t>
      </w:r>
    </w:p>
    <w:p>
      <w:pPr>
        <w:spacing w:after="0" w:line="4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the Company, the New York State Department of Environmental Conservation and the New York Empire State Development Corporation have entered into a settlement agreement concerning certain of the Company’s historical environmental liabilities at Eastman Business Park or from discharges to the Genesee River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its financial condition. The settlement agreement was implemented on May 20, 2014. The settlement agreement includes a covenant not to sue from the U.S. Environmental Protection Agency. Any uncertainties related to the Company’s environmental obligations may impact its ability to further develop and transform Eastman Business Park.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 may have additional tax liabilities.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Kodak is subject to income taxes in the U.S. and in many foreign jurisdictions. Significant judgment is required in determining Kodak’s worldwide provision for income taxes. In the course of its business, there are transactions and calculations where the ultimate tax determination is uncertain. For example, compliance with the Tax Cuts and Jobs Act (“2017 Tax Act”) may require the collection of information not regularly produced within Kodak, the use of provisional estimates in its financial statements, and the exercise of significant judgment in accounting for its provisions. Many aspects of the 2017 Tax Act are unclear and may not be clarified for some time. As regulations and guidance evolve with respect to the 2017 Tax Act, and as Kodak gathers more information and performs more analysis, Kodak’s results may differ from previous estimates and may materially affect our financial position.</w:t>
      </w:r>
    </w:p>
    <w:p>
      <w:pPr>
        <w:spacing w:after="0" w:line="19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and cash flow of Kodak.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business, financial position, results of operations, cash flows and reputation may be negatively impacted by legal matters.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has various contingencies which are not reflected on its balance sheet, including those arising as a result of being involved from time to time in a variety of claims, lawsuits, investigations, remediations and proceedings concerning: commercial, tax, tort, customs, employment, health and safety and intellectual property matters, licensee activities, and compliance with various domestic and international laws and regulations. Should developments in any of these matters cause a change in its determination as to an unfavorable outcome and result in the need to recognize a material accrual or should any of these matters result in a final adverse judgment or be settled for significant amounts, they could have a material adverse effect on its business, financial position, results of operations,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3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require Kodak to incur additional expenses and could limit the supply and increase the cost of certain metals used in manufacturing Kodak’s products.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which are necessary to the functionality or production of products manufactured or contracted to be manufactured by public companies. Kodak has designed its overall conflict minerals policies and procedures to be consistent with the guidance issued by the Organization for Economic Co-operation and Development (“OECD”), and continues to perform due diligence on its supply chain. Kodak filed its most recent Conflict Minerals Disclosure report for the reporting period from January 1, 2017 to December 31, 2017 on May 31, 2018. As of the date of the report, Kodak determined certain of its products contain such specified minerals, but was unable to determine whether or not such minerals originate from the DRC or an adjoining country. Kodak may incur additional costs to comply with these disclosure requirements, including costs related to determining the sources of the specified minerals used in its products, in addition to the cost of any changes to products, processes, or sources of supply as a consequence of such verification activities, which may adversely affect its business. In addition, the number of suppliers who provide “conflict-free” minerals may be limited, which may make it difficult to satisfy customers who require all of the components of its products be certified as conflict-free, which could place it at a competitive disadvantage if it is unable to do so. Because Kodak’s supply chain is complex, it may also not be able to sufficiently verify the origins of the relevant minerals used in its products through its due diligence procedures, which may harm its reputation.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Indebtedness and Access to Capital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the Company will be able to comply with the terms of its various credit facilities.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breach of any of the financial or other covenants contained in the Senior Secured First Lien Term Credit Agreement (the “First Lien Term Credit Agreement”) or the Asset Based Revolving Credit Agreement (the “ABL Credit Agreement” and, together with the First Lien Term Credit Agreement, the “Credit Agreements”) could result in an event of default under these facilities. If any event of default occurs and the Company is not able to either cure it or obtain a waiver from the requisite lenders under each of these facilities, the administrative agent of each credit facility may, and at the request of the requisite lenders for that facility must, declare all of the Company’s outstanding obligations under the applicable credit facility, together with accrued interest and fees, to be immediately due and payable and the agent under the ABL Credit Agreement may, and at the request of the requisite lenders must, terminate the lenders’ commitments under that facility and cease making further loans, and if applicable, each respective agent could institute foreclosure proceedings against the pledged assets. Any of these outcomes could adversely affect the Company’s operations and its ability to satisfy its obligations as they come due.</w:t>
      </w:r>
    </w:p>
    <w:p>
      <w:pPr>
        <w:spacing w:after="0" w:line="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combination of covenant requirements in the First Lien Term Credit Agreement and Kodak’s on-going investment in growth businesses, and continuing softness and volatility of global economic conditions and foreign currency exchange rates, could make it difficult for the Company to satisfy the leverage covenants under the First Lien Term Credit Agreement on an on-going basis.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is obligated to comply with a number of financial and other covenants contained in the Credit Agreements. Kodak intends to conduct its operations in a manner which will result in continued compliance with the secured leverage ratio covenants under the First Lien Term Credit Agreement; however, compliance for future quarters may depend on Kodak undertaking one or more non-operational transactions, such as a monetization of assets, a debt refinancing, the raising of equity capital, or a similar transaction. If the Company is unable to remain in compliance and does not make alternate arrangements with its term lenders, an event of default would occur under the Credit Agreements which, among other remedies, would entitle the lenders or their agents to declare the outstanding obligations under the Credit Agreements to be immediately due and payable.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Kodak’s access to the capital markets may be limited.</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Because of Kodak’s current non-investment grade credit ratings, and/or general conditions in the financial and credit markets, its access to the capital markets may be limited. Moreover, the urgency of a capital-raising transaction may require it to pursue additional capital at an inopportune time or unattractive cost. The loans made under the First Lien Term Credit Agreement become due on the earlier to occur of (i) the maturity date of September 3, 2019 or (ii) the acceleration of such loans following the occurrence of an event of default (as defined in the First Lien Term Credit Agreement). The Company has issued approximately $85 million and $96 million of letters of credit under the Amended Credit Agreement as of September 30, 2018 and December 31, 2017, respectively. Should the Company not repay, refinance or extend the maturity of the loans under the existing First Lien Term Credit Agreement prior to June 5, 2019, the termination date will occur under the Amended Credit Agreement on such date unless the Amended Credit Agreement has been previously amended. Upon the occurrence of the termination date under the Amended Credit Agreement, the obligations thereunder will become due and the Company will need to provide alternate collateral in place of the letters of credit issued under the Amended Credit Agreement.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Kodak’s ability to obtain capital and the costs of such capital are dependent on numerous factors, including:</w:t>
      </w:r>
    </w:p>
    <w:p>
      <w:pPr>
        <w:spacing w:after="0" w:line="25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covenants in the Credit Agreements;</w:t>
      </w:r>
    </w:p>
    <w:p>
      <w:pPr>
        <w:spacing w:after="0" w:line="23" w:lineRule="exact"/>
        <w:rPr>
          <w:rFonts w:ascii="Arial" w:cs="Arial" w:eastAsia="Arial" w:hAnsi="Arial"/>
          <w:sz w:val="18"/>
          <w:szCs w:val="18"/>
          <w:color w:val="auto"/>
        </w:rPr>
      </w:pPr>
    </w:p>
    <w:p>
      <w:pPr>
        <w:ind w:left="900" w:right="2020" w:hanging="446"/>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obtaining a consent from the holders of Series A Preferred Stock for the issuance of additional preferred shares which rank senior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Series A Preferred Stock;</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investor confidence in Kodak and the markets in which it operates;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financial performance and the financial performance of its subsidiaries;</w:t>
      </w:r>
    </w:p>
    <w:p>
      <w:pPr>
        <w:spacing w:after="0" w:line="9" w:lineRule="exact"/>
        <w:rPr>
          <w:rFonts w:ascii="Arial" w:cs="Arial" w:eastAsia="Arial" w:hAnsi="Arial"/>
          <w:sz w:val="18"/>
          <w:szCs w:val="18"/>
          <w:color w:val="auto"/>
        </w:rPr>
      </w:pPr>
    </w:p>
    <w:p>
      <w:pPr>
        <w:ind w:left="900" w:right="2080" w:hanging="446"/>
        <w:spacing w:after="0" w:line="250"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levels of debt and redemption obligations, including the mandatory redemption of the Series A Preferred Stock on November 15, 2021;</w:t>
      </w:r>
    </w:p>
    <w:p>
      <w:pPr>
        <w:ind w:left="900" w:right="1720" w:hanging="446"/>
        <w:spacing w:after="0" w:line="250"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ability to enter into a definitive agreement for the sale of its Flexographic Packaging segment or other business units or assets or to consummate any such monetization transaction;</w:t>
      </w: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ability to generate positive cash flow;</w:t>
      </w:r>
    </w:p>
    <w:p>
      <w:pPr>
        <w:spacing w:after="0" w:line="2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requirements for posting collateral under various commercial agreements;</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credit ratings;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cash flow;</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its long-term business prospects;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Kodak may not be successful in obtaining additional capital for these or other reasons. An inability to access capital may limit its ability to meet its operating needs and, as a result, may have a material adverse effect on its financial condition, results of operations and cash flows. In particular, Kodak does not have committed refinancing or the liquidity to meet the debt obligations under the First Lien Credit Agreement and Amended Credit Agreement if they were to become due in accordance with their current terms and there are no assurances Kodak will be able to amend, extend, refinance or repay the First Lien Credit Agreement or, as necessary, the Amended Credit Agreement before they become due. If Kodak is unable to amend, extend or refinance the First Lien Credit Agreement or Amended Credit Agreement before they become due, its ability to continue as a going concern could be impaired.</w:t>
      </w:r>
    </w:p>
    <w:p>
      <w:pPr>
        <w:spacing w:after="0" w:line="165" w:lineRule="exact"/>
        <w:rPr>
          <w:sz w:val="20"/>
          <w:szCs w:val="20"/>
          <w:color w:val="auto"/>
        </w:rPr>
      </w:pPr>
    </w:p>
    <w:p>
      <w:pPr>
        <w:jc w:val="both"/>
        <w:ind w:right="340"/>
        <w:spacing w:after="0" w:line="375" w:lineRule="auto"/>
        <w:rPr>
          <w:sz w:val="20"/>
          <w:szCs w:val="20"/>
          <w:color w:val="auto"/>
        </w:rPr>
      </w:pPr>
      <w:r>
        <w:rPr>
          <w:rFonts w:ascii="Arial" w:cs="Arial" w:eastAsia="Arial" w:hAnsi="Arial"/>
          <w:sz w:val="15"/>
          <w:szCs w:val="15"/>
          <w:b w:val="1"/>
          <w:bCs w:val="1"/>
          <w:i w:val="1"/>
          <w:iCs w:val="1"/>
          <w:color w:val="auto"/>
        </w:rPr>
        <w:t>The current non-investment grade status and Kodak’s financial condition may adversely impact Kodak’s commercial operations, increase its liquidity requirements and increase the cost of refinancing opportunities. It may not have adequate liquidity to post required amounts of additional collateral.</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corporate family credit rating is currently below investment grade and there are no assurances its credit ratings will improve, or they will not decline, in the future. Its credit ratings and financial condition may affect the evaluation of its creditworthiness by trading counterparties and lenders, which could put it at a disadvantage to competitors with higher or investment grade ratings.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carrying out its commercial business strategy, the current non-investment grade credit ratings have resulted and will likely continue to result in requirements that Kodak either prepay obligations or post significant amounts of collateral to support its business. Additionally, the current non-investment grade credit ratings may limit its ability to obtain additional sources of liquidity, refinance its debt obligations, including any mandatory redemption of its Series A Preferred Stock, or access the capital markets at the lower borrowing costs which would presumably be available to competitors with higher or investment grade ratings. Should its ratings continue at their current levels, or should its ratings be further downgraded, it would expect these negative effects to continue and, in the case of a downgrade, become more pronounced. In particular, if the Company’s credit ratings were to decline it would be required to provide up to $13 million of letters of credit to the issuers of certain surety bonds to fully collateralize such bonds.</w:t>
      </w:r>
    </w:p>
    <w:p>
      <w:pPr>
        <w:spacing w:after="0" w:line="16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The availability of borrowings and letters of credit under the ABL Credit Agreement is limited by the amount of various types of assets and, under certain circumstances, the administrative agent under the ABL Credit Agreement will have greater control over Kodak’s cash.</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Availability under the Company’s ABL Credit Agreement is based on the amount of Eligible Receivables, Eligible Inventory, Eligible Machinery and Equipment and Eligible Cash less specified reserves as described in Note 6, “Debt and Capital Leases” to the consolidated financial statements. Kodak’s U.S. Accounts Receivable and Inventory levels have declined over the past four years, and Machinery and Equipment for purposes of the ABL Credit Agreement amortizes down by $1 million per quarter. If Eligible Receivables, Eligible Inventory and Eligible Machinery and Equipment continue to decline and an asset base cannot be maintained to support the $85 million of outstanding letters of credit and the $18.75 million of Excess Availability required under the ABL Credit Agreement, the Company would be required to increase restricted cash deposited in the Eligible Cash account or remain in compliance with the ABL Credit Agreement’s Fixed Charge Coverage Ratio and operate under cash dominion by the administrative agent under the ABL Credit Agreement. Additional cash deposited in the Eligible Cash account would be classified as restricted cash, would not be available to support ongoing working capital and investment needs and could not be used in determining the Net Secured Leverage Ratio under the First Lien Term Credit Agreement. If the administrative agent under the ABL Credit Agreement executed cash dominion, it would increase operational complexities for the Company. An event of default would occur under these circumstances if neither of these alternatives were achieved.</w:t>
      </w:r>
    </w:p>
    <w:p>
      <w:pPr>
        <w:spacing w:after="0" w:line="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Company’s substantial monetary obligations require a portion of its cash flow be used to pay interest, dividends and fund other obligations rather than be invested in the business and could adversely affect its ability to fund its operations.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indebtedness under the Credit Agreements and its other obligations including the potential mandatory redemption of the Series A Preferred Stock could have important negative consequences to the Company and investors in its securities. These include the following:</w:t>
      </w:r>
    </w:p>
    <w:p>
      <w:pPr>
        <w:spacing w:after="0" w:line="282" w:lineRule="exact"/>
        <w:rPr>
          <w:sz w:val="20"/>
          <w:szCs w:val="20"/>
          <w:color w:val="auto"/>
        </w:rPr>
      </w:pPr>
    </w:p>
    <w:p>
      <w:pPr>
        <w:ind w:left="900" w:right="2600" w:hanging="446"/>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it may not be able to satisfy all of its obligations, including, but not limited to, its obligations under the Credit Agreements, which may cause a cross-default or cross-acceleration on other debt it may have incurred;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ind w:left="900" w:right="1740" w:hanging="446"/>
        <w:spacing w:after="0" w:line="274"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 could have difficulties obtaining necessary financing in the future for working capital, capital expenditures, debt service requirements, mandatory redemption of the Series A Preferred Stock, refinancing or other purposes;</w:t>
      </w:r>
    </w:p>
    <w:p>
      <w:pPr>
        <w:ind w:left="900" w:right="1900" w:hanging="446"/>
        <w:spacing w:after="0" w:line="250"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will have to use a significant part of its cash flow or cash balances to make payments on its debt or Series A Preferred Stock and to satisfy the other obligations set forth above, which may reduce the capital available for operations and expansion; and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economic or industry conditions may have more of a negative impact on it.</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cannot be sure cash generated from its business will be as high as it expects or its expenses will not be higher than it expects. Because a portion of its expenses are fixed in any given year, its operating cash flow margins are highly dependent on revenues, which are largely driven by customer demand. A lower amount of cash generated from its business or higher expenses than expected, when coupled with its debt obligations, could adversely affect its ability to fund its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conversion of the Company’s Series A Preferred Stock into shares of the Company’s common stock may dilute the value for the current holders of the Company’s common stock.</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2,000,000 outstanding shares of the Company’s Series A Preferred Stock are convertible into shares of the Company’s common stock at a conversion rate of 5.7471 shares of common stock per share of Series A Preferred Stock. As a result of the conversion of any issued and outstanding Series A Preferred Stock, the Company’s existing shareholders will own a smaller percentage of its outstanding common stock. Based on the capitalization of the Company as of March 1, 2018, the conversion of all shares of the Series A Preferred Stock would result in the issuance to holders thereof of approximately 21% of the outstanding common stock after giving effect to such conversion. Further, additional shares of common stock may be issuable pursuant to certain other features of the Series A Preferred Stock, with such issuances being further dilutive to existing holders of common stock.</w:t>
      </w:r>
    </w:p>
    <w:p>
      <w:pPr>
        <w:spacing w:after="0" w:line="5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If Series A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shares of Series A Preferred Stock will be a dilution to dividends and distributions.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Holders of the Company’s common stock will not realize any dilution in their ownership, dividend or distribution rights solely as a result of the reservation of any shares of common stock for issuance upon conversion of the Series A Preferred Stock or for issuance of additional shares of common stock pursuant to certain other features of the Series A Preferred Stock, but will experience such dilution to the extent additional shares of common stock are issued in the future as described above.</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holders of the Company’s Series A Preferred Stock own a large portion of the voting power of the Company’s outstanding securities and have the right to nominate two members to the Company’s Board. As a result, these holders may influence the composition of the Board and future actions taken by the Board.</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holders of the Company’s Series A Preferred Stock are entitled to vote upon all matters upon which holders of the Company’s common stock have the right to vote and are entitled to the number of votes equal to the number of full shares of common stock into which such shares of Series A Preferred Stock could be converted at the then applicable conversion rate. These holders currently hold approximately 30% of the voting power of the Company on an as-converted basis. As a result, these holders may have the ability to influence future actions by the Company requiring shareholder approval. The Company and these holders are parties to a Shareholder Agreement that contains certain restrictions on disposition or acquisition of Company securities and other actions by these holders, some of which restrictions will expire on April 17, 2020.</w:t>
      </w:r>
    </w:p>
    <w:p>
      <w:pPr>
        <w:spacing w:after="0" w:line="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 for as long as they hold any shares of Series A Preferred Stock, the current holders of the Series A Preferred Stock are entitled to nominate for election (collectively and not individually) at the Company’s annual meeting of shareholders a number of directors to the board of directors of the Company (the “Board”) commensurate with their ownership percentage of common stock on an as-converted basis. Two of the Company’s current Board members were nominated by these current holders, who also have the right to fill vacancies on the Board created by one of their nominees ceasing to serve on the Board. The nomination and other rights regarding the Board granted to the current holders of Series A Preferred Stock are not transferrable to any other person. Also, whenever dividends on the Series A Preferred Stock are in arrears for six or more dividend periods, the holders of Series A Preferred Stock (voting with holders of all other classes of preferred stock of the Company whose voting rights are then exercisable) are entitled to vote for the election of two additional directors at the Company’s next annual meeting and all subsequent meetings until all accumulated dividends on such Series A Preferred Stock and other voting preferred stock have been paid or set aside (during which time the number of directors the current holders of Series A Preferred Stock are entitled to nominate under the Purchase Agreement will be reduced by two). As a result, the presence of directors on the Board nominated by the current holders of Series A Preferred Stock or elected by the holders of Series A Preferred Stock would enable such current holders or the holders of Series A Preferred Stock to influence the composition of the Board and, in turn, potentially influence and impact future actions taken by the Board.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ind w:right="40"/>
        <w:spacing w:after="0" w:line="277" w:lineRule="auto"/>
        <w:rPr>
          <w:sz w:val="20"/>
          <w:szCs w:val="20"/>
          <w:color w:val="auto"/>
        </w:rPr>
      </w:pPr>
      <w:r>
        <w:rPr>
          <w:rFonts w:ascii="Arial" w:cs="Arial" w:eastAsia="Arial" w:hAnsi="Arial"/>
          <w:sz w:val="18"/>
          <w:szCs w:val="18"/>
          <w:b w:val="1"/>
          <w:bCs w:val="1"/>
          <w:i w:val="1"/>
          <w:iCs w:val="1"/>
          <w:color w:val="auto"/>
        </w:rPr>
        <w:t>The Company has registered the resale of a large portion of its outstanding securities. The resale of the Company’s common stock, or the perception that such resale may occur, may adversely affect the price of its common stock.</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compliance with two Registration Rights Agreements to which the Company is a party, it has registered the resale of an aggregate of 20,723,050 shares of outstanding common stock, 2,000,000 shares of outstanding Series A Preferred Stock, 11,494,200 shares of common stock, subject to anti-dilution adjustments, issuable upon the conversion of outstanding Series A Preferred Stock, and 863,804 shares of common stock issuable upon the exercise of outstanding warrants. The resale of a substantial number of shares of common stock in the public market, or the perception that such resale might occur, could cause the market price of the Company’s common stock to decline. Under the terms of the Registration Rights Agreements to which the Company is subject, the counterparties to such Registration Rights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its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resale of a significant portion of the Company’s securities registered for resale could result in a change of control of the Company and the loss of favorable tax attributes.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registered the resale of securities representing approximately 60% of its outstanding shares of common stock assuming the issuance of all common stock issuable upon the conversion of the Series A Preferred Stock or the exercise of the warrants corresponding to shares of common stock registered for resale. Although the holders of the subject securities consist of several unaffiliated groups, these holders collectively have a controlling influence over all matters presented to the Company’s shareholders for approval, including election of members to the Board and change of control transactions. In addition, the holders of subject securities collectively would be able to cause a change of control of the Company by selling a sufficient portion of the Company’s securities held by them. If such a transaction, in combination with other transactions including the issuance of the Series A Preferred Stock, were to result in an “ownership change” as determined under Section 382 of the Internal Revenue Code of 1986, as amended, then the Company’s ability to offset taxable income with tax attributes generated prior to the ownership change date could be limited, possibly substantially. For more information on the Company’s tax attributes refer to Note 12, “Income Taxes”. The interests of the holders of the securities registered for resale may not always coincide with the interests of the other holders of our common stock.</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market price of the Company’s common stock may be volatile and such volatility may be affected by the volatility of blockchain and cryptocurrency markets.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trading price of the Company’s common stock may be highly volatile and could be subject to wide fluctuations in response to various factors, including the risk factors described above and other factors which are beyond Kodak’s control. The trading price of the Company’s common stock has been dramatically affected by the announcement of the license granted by Kodak to WENN Digital, Inc. (“WENN”) to use Kodak’s brand in connection with WENN’s KODAKOne blockchain-based image rights management platform and Kodak-branded cryptocurrency. Kodak may, in the future, have other involvement relating to blockchain technology or cryptocurrency, either directly or as a licensor. Kodak cannot predict whether, or the extent to which, the trading price of the Company’s common stock will continue to be affected by blockchain or cryptocurrency markets and any volatility in such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Securities and Use of Proceeds</w:t>
      </w:r>
    </w:p>
    <w:p>
      <w:pPr>
        <w:spacing w:after="0" w:line="117" w:lineRule="exact"/>
        <w:rPr>
          <w:sz w:val="20"/>
          <w:szCs w:val="20"/>
          <w:color w:val="auto"/>
        </w:rPr>
      </w:pPr>
    </w:p>
    <w:p>
      <w:pPr>
        <w:ind w:left="520" w:right="4980" w:hanging="512"/>
        <w:spacing w:after="0" w:line="282" w:lineRule="auto"/>
        <w:tabs>
          <w:tab w:leader="none" w:pos="5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September 30, 2018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520" w:right="4580" w:hanging="512"/>
        <w:spacing w:after="0" w:line="282" w:lineRule="auto"/>
        <w:tabs>
          <w:tab w:leader="none" w:pos="5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during the quarter ended September 30, 2018 </w:t>
      </w:r>
      <w:r>
        <w:rPr>
          <w:rFonts w:ascii="Arial" w:cs="Arial" w:eastAsia="Arial" w:hAnsi="Arial"/>
          <w:sz w:val="18"/>
          <w:szCs w:val="18"/>
          <w:color w:val="auto"/>
        </w:rPr>
        <w:t xml:space="preserve">Repurchases related to Stock Compensation Plans </w:t>
      </w:r>
      <w:r>
        <w:rPr>
          <w:rFonts w:ascii="Arial" w:cs="Arial" w:eastAsia="Arial" w:hAnsi="Arial"/>
          <w:sz w:val="15"/>
          <w:szCs w:val="15"/>
          <w:color w:val="auto"/>
        </w:rPr>
        <w:t>(1)</w:t>
      </w:r>
      <w:r>
        <w:rPr>
          <w:rFonts w:ascii="Arial" w:cs="Arial" w:eastAsia="Arial" w:hAnsi="Arial"/>
          <w:sz w:val="18"/>
          <w:szCs w:val="18"/>
          <w:color w:val="auto"/>
        </w:rPr>
        <w:t>:</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Maximum That May</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or Programs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August 1 through 31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720" w:hanging="512"/>
        <w:spacing w:after="0" w:line="277"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8"/>
          <w:szCs w:val="18"/>
          <w:color w:val="auto"/>
        </w:rPr>
        <w:t>These repurchases are made pursuant to the terms of the 2013 Omnibus Incentive Plan providing the Company the right to withhold amounts deliverable under the plan to satisfy minimum statutory tax withholding requirements.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Items 3 and 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0" w:name="page61"/>
    <w:bookmarkEnd w:id="60"/>
    <w:tbl>
      <w:tblPr>
        <w:tblLayout w:type="fixed"/>
        <w:tblInd w:w="3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10"/>
          </w:tcPr>
          <w:p>
            <w:pPr>
              <w:jc w:val="center"/>
              <w:ind w:right="3740"/>
              <w:spacing w:after="0"/>
              <w:rPr>
                <w:sz w:val="20"/>
                <w:szCs w:val="20"/>
                <w:color w:val="auto"/>
              </w:rPr>
            </w:pPr>
            <w:r>
              <w:rPr>
                <w:rFonts w:ascii="Arial" w:cs="Arial" w:eastAsia="Arial" w:hAnsi="Arial"/>
                <w:sz w:val="18"/>
                <w:szCs w:val="18"/>
                <w:b w:val="1"/>
                <w:bCs w:val="1"/>
                <w:color w:val="auto"/>
                <w:w w:val="91"/>
              </w:rPr>
              <w:t>Eastman Kodak Company</w:t>
            </w:r>
          </w:p>
        </w:tc>
      </w:tr>
      <w:tr>
        <w:trPr>
          <w:trHeight w:val="234"/>
        </w:trPr>
        <w:tc>
          <w:tcPr>
            <w:tcW w:w="1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60" w:type="dxa"/>
            <w:vAlign w:val="bottom"/>
            <w:gridSpan w:val="10"/>
          </w:tcPr>
          <w:p>
            <w:pPr>
              <w:jc w:val="center"/>
              <w:ind w:right="3740"/>
              <w:spacing w:after="0"/>
              <w:rPr>
                <w:sz w:val="20"/>
                <w:szCs w:val="20"/>
                <w:color w:val="auto"/>
              </w:rPr>
            </w:pPr>
            <w:r>
              <w:rPr>
                <w:rFonts w:ascii="Arial" w:cs="Arial" w:eastAsia="Arial" w:hAnsi="Arial"/>
                <w:sz w:val="18"/>
                <w:szCs w:val="18"/>
                <w:b w:val="1"/>
                <w:bCs w:val="1"/>
                <w:color w:val="auto"/>
                <w:w w:val="91"/>
              </w:rPr>
              <w:t>Index to Exhibits</w:t>
            </w:r>
          </w:p>
        </w:tc>
      </w:tr>
      <w:tr>
        <w:trPr>
          <w:trHeight w:val="41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(3.1)</w:t>
            </w:r>
          </w:p>
        </w:tc>
        <w:tc>
          <w:tcPr>
            <w:tcW w:w="9980" w:type="dxa"/>
            <w:vAlign w:val="bottom"/>
            <w:tcBorders>
              <w:bottom w:val="single" w:sz="8" w:color="0000EE"/>
            </w:tcBorders>
            <w:gridSpan w:val="12"/>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Second Amended and Restated Certificate of Incorporation of Eastman Kodak Company (Incorporated by reference to Exhibit (4.1) of the</w:t>
              </w:r>
            </w:hyperlink>
          </w:p>
        </w:tc>
      </w:tr>
      <w:tr>
        <w:trPr>
          <w:trHeight w:val="196"/>
        </w:trPr>
        <w:tc>
          <w:tcPr>
            <w:tcW w:w="112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Company’s Registration Statement on Form S-8 as filed on September 3, 2013).</w:t>
              </w:r>
            </w:hyperlink>
          </w:p>
        </w:tc>
      </w:tr>
      <w:tr>
        <w:trPr>
          <w:trHeight w:val="20"/>
        </w:trPr>
        <w:tc>
          <w:tcPr>
            <w:tcW w:w="11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(3.2)</w:t>
            </w:r>
          </w:p>
        </w:tc>
        <w:tc>
          <w:tcPr>
            <w:tcW w:w="9980" w:type="dxa"/>
            <w:vAlign w:val="bottom"/>
            <w:gridSpan w:val="12"/>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Certificate of Amendment to the Second Amended and Restated Certificate of Incorporation of Eastman Kodak Company (Incorporated</w:t>
              </w:r>
            </w:hyperlink>
          </w:p>
        </w:tc>
      </w:tr>
      <w:tr>
        <w:trPr>
          <w:trHeight w:val="196"/>
        </w:trPr>
        <w:tc>
          <w:tcPr>
            <w:tcW w:w="11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by reference to Exhibit (3.1) of the Company’s Current Report on Form 8-K as filed November 16, 2016).</w:t>
              </w:r>
            </w:hyperlink>
          </w:p>
        </w:tc>
        <w:tc>
          <w:tcPr>
            <w:tcW w:w="2160" w:type="dxa"/>
            <w:vAlign w:val="bottom"/>
            <w:tcBorders>
              <w:top w:val="single" w:sz="8" w:color="0000EE"/>
            </w:tcBorders>
            <w:gridSpan w:val="3"/>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3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(3.3)</w:t>
            </w:r>
          </w:p>
        </w:tc>
        <w:tc>
          <w:tcPr>
            <w:tcW w:w="9980" w:type="dxa"/>
            <w:vAlign w:val="bottom"/>
            <w:gridSpan w:val="12"/>
          </w:tcPr>
          <w:p>
            <w:pPr>
              <w:spacing w:after="0"/>
              <w:rPr>
                <w:rFonts w:ascii="Arial" w:cs="Arial" w:eastAsia="Arial" w:hAnsi="Arial"/>
                <w:sz w:val="18"/>
                <w:szCs w:val="18"/>
                <w:color w:val="0000EE"/>
                <w:w w:val="95"/>
              </w:rPr>
            </w:pPr>
            <w:hyperlink r:id="rId87">
              <w:r>
                <w:rPr>
                  <w:rFonts w:ascii="Arial" w:cs="Arial" w:eastAsia="Arial" w:hAnsi="Arial"/>
                  <w:sz w:val="18"/>
                  <w:szCs w:val="18"/>
                  <w:color w:val="0000EE"/>
                  <w:w w:val="95"/>
                </w:rPr>
                <w:t>Fourth Amended and Restated By-Laws of Eastman Kodak Company (Incorporated by reference to Exhibit (3.1) of the Company’s</w:t>
              </w:r>
            </w:hyperlink>
          </w:p>
        </w:tc>
      </w:tr>
      <w:tr>
        <w:trPr>
          <w:trHeight w:val="196"/>
        </w:trPr>
        <w:tc>
          <w:tcPr>
            <w:tcW w:w="11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Current Report on Form 8-K as filed on May 25, 2017).</w:t>
              </w:r>
            </w:hyperlink>
          </w:p>
        </w:tc>
        <w:tc>
          <w:tcPr>
            <w:tcW w:w="5420" w:type="dxa"/>
            <w:vAlign w:val="bottom"/>
            <w:tcBorders>
              <w:top w:val="single" w:sz="8" w:color="0000EE"/>
            </w:tcBorders>
            <w:gridSpan w:val="4"/>
          </w:tcPr>
          <w:p>
            <w:pPr>
              <w:spacing w:after="0"/>
              <w:rPr>
                <w:sz w:val="17"/>
                <w:szCs w:val="17"/>
                <w:color w:val="auto"/>
              </w:rPr>
            </w:pPr>
          </w:p>
        </w:tc>
        <w:tc>
          <w:tcPr>
            <w:tcW w:w="520" w:type="dxa"/>
            <w:vAlign w:val="bottom"/>
            <w:gridSpan w:val="4"/>
          </w:tcPr>
          <w:p>
            <w:pPr>
              <w:spacing w:after="0"/>
              <w:rPr>
                <w:sz w:val="17"/>
                <w:szCs w:val="17"/>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(31.1)</w:t>
            </w:r>
          </w:p>
        </w:tc>
        <w:tc>
          <w:tcPr>
            <w:tcW w:w="40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Certification signed by Jeffrey J. Clarke, filed herewith.</w:t>
              </w:r>
            </w:hyperlink>
          </w:p>
        </w:tc>
        <w:tc>
          <w:tcPr>
            <w:tcW w:w="5960" w:type="dxa"/>
            <w:vAlign w:val="bottom"/>
            <w:gridSpan w:val="9"/>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(31.2)</w:t>
            </w:r>
          </w:p>
        </w:tc>
        <w:tc>
          <w:tcPr>
            <w:tcW w:w="432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signed by David E. Bullwinkle, filed herewith.</w:t>
              </w:r>
            </w:hyperlink>
          </w:p>
        </w:tc>
        <w:tc>
          <w:tcPr>
            <w:tcW w:w="5660" w:type="dxa"/>
            <w:vAlign w:val="bottom"/>
            <w:gridSpan w:val="7"/>
          </w:tcPr>
          <w:p>
            <w:pPr>
              <w:spacing w:after="0"/>
              <w:rPr>
                <w:sz w:val="24"/>
                <w:szCs w:val="24"/>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(32.1)</w:t>
            </w:r>
          </w:p>
        </w:tc>
        <w:tc>
          <w:tcPr>
            <w:tcW w:w="9980" w:type="dxa"/>
            <w:vAlign w:val="bottom"/>
            <w:gridSpan w:val="12"/>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Certification Pursuant to 18 U.S.C. Section 1350, as Adopted Pursuant to Section 906 of the Sarbanes-Oxley Act of 2002, signed by</w:t>
              </w:r>
            </w:hyperlink>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Jeffrey J. Clarke, filed herewith.</w:t>
              </w:r>
            </w:hyperlink>
          </w:p>
        </w:tc>
        <w:tc>
          <w:tcPr>
            <w:tcW w:w="46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(32.2)</w:t>
            </w:r>
          </w:p>
        </w:tc>
        <w:tc>
          <w:tcPr>
            <w:tcW w:w="9980" w:type="dxa"/>
            <w:vAlign w:val="bottom"/>
            <w:gridSpan w:val="1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Certification Pursuant to 18 U.S.C. Section 1350, as Adopted Pursuant to Section 906 of the Sarbanes-Oxley Act of 2002 signed by David</w:t>
              </w:r>
            </w:hyperlink>
          </w:p>
        </w:tc>
      </w:tr>
      <w:tr>
        <w:trPr>
          <w:trHeight w:val="196"/>
        </w:trPr>
        <w:tc>
          <w:tcPr>
            <w:tcW w:w="1120" w:type="dxa"/>
            <w:vAlign w:val="bottom"/>
          </w:tcPr>
          <w:p>
            <w:pPr>
              <w:spacing w:after="0"/>
              <w:rPr>
                <w:sz w:val="17"/>
                <w:szCs w:val="17"/>
                <w:color w:val="auto"/>
              </w:rPr>
            </w:pPr>
          </w:p>
        </w:tc>
        <w:tc>
          <w:tcPr>
            <w:tcW w:w="2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E. Bullwinkle, filed herewith.</w:t>
              </w:r>
            </w:hyperlink>
          </w:p>
        </w:tc>
        <w:tc>
          <w:tcPr>
            <w:tcW w:w="78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7"/>
              </w:rPr>
              <w:t>(101.CAL)</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3"/>
              </w:rPr>
              <w:t>(101.INS)</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8"/>
              </w:rPr>
              <w:t>(101.LAB)</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1120" w:type="dxa"/>
            <w:vAlign w:val="bottom"/>
          </w:tcPr>
          <w:p>
            <w:pPr>
              <w:jc w:val="center"/>
              <w:ind w:right="230"/>
              <w:spacing w:after="0"/>
              <w:rPr>
                <w:sz w:val="20"/>
                <w:szCs w:val="20"/>
                <w:color w:val="auto"/>
              </w:rPr>
            </w:pPr>
            <w:r>
              <w:rPr>
                <w:rFonts w:ascii="Arial" w:cs="Arial" w:eastAsia="Arial" w:hAnsi="Arial"/>
                <w:sz w:val="18"/>
                <w:szCs w:val="18"/>
                <w:color w:val="auto"/>
                <w:w w:val="90"/>
              </w:rPr>
              <w:t>(101.PRE)</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1"/>
              </w:rPr>
              <w:t>(101.SCH)</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Taxonomy Extension Schema Linkbase.</w:t>
            </w:r>
          </w:p>
        </w:tc>
      </w:tr>
      <w:tr>
        <w:trPr>
          <w:trHeight w:val="459"/>
        </w:trPr>
        <w:tc>
          <w:tcPr>
            <w:tcW w:w="1120" w:type="dxa"/>
            <w:vAlign w:val="bottom"/>
          </w:tcPr>
          <w:p>
            <w:pPr>
              <w:jc w:val="center"/>
              <w:ind w:right="210"/>
              <w:spacing w:after="0"/>
              <w:rPr>
                <w:sz w:val="20"/>
                <w:szCs w:val="20"/>
                <w:color w:val="auto"/>
              </w:rPr>
            </w:pPr>
            <w:r>
              <w:rPr>
                <w:rFonts w:ascii="Arial" w:cs="Arial" w:eastAsia="Arial" w:hAnsi="Arial"/>
                <w:sz w:val="18"/>
                <w:szCs w:val="18"/>
                <w:color w:val="auto"/>
                <w:w w:val="93"/>
              </w:rPr>
              <w:t>(101.DEF)</w:t>
            </w:r>
          </w:p>
        </w:tc>
        <w:tc>
          <w:tcPr>
            <w:tcW w:w="998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EASTMAN KODAK COMPANY</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891"/>
        </w:trPr>
        <w:tc>
          <w:tcPr>
            <w:tcW w:w="6280" w:type="dxa"/>
            <w:vAlign w:val="bottom"/>
          </w:tcPr>
          <w:p>
            <w:pPr>
              <w:spacing w:after="0"/>
              <w:rPr>
                <w:sz w:val="20"/>
                <w:szCs w:val="20"/>
                <w:color w:val="auto"/>
              </w:rPr>
            </w:pPr>
            <w:r>
              <w:rPr>
                <w:rFonts w:ascii="Arial" w:cs="Arial" w:eastAsia="Arial" w:hAnsi="Arial"/>
                <w:sz w:val="18"/>
                <w:szCs w:val="18"/>
                <w:b w:val="1"/>
                <w:bCs w:val="1"/>
                <w:color w:val="auto"/>
              </w:rPr>
              <w:t>Date November 9, 2018</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Eric Samuels</w:t>
            </w:r>
          </w:p>
        </w:tc>
      </w:tr>
      <w:tr>
        <w:trPr>
          <w:trHeight w:val="191"/>
        </w:trPr>
        <w:tc>
          <w:tcPr>
            <w:tcW w:w="62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Arial" w:cs="Arial" w:eastAsia="Arial" w:hAnsi="Arial"/>
                <w:sz w:val="18"/>
                <w:szCs w:val="18"/>
                <w:b w:val="1"/>
                <w:bCs w:val="1"/>
                <w:color w:val="auto"/>
              </w:rPr>
              <w:t>Eric Samuels</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Corporate Controller</w:t>
            </w:r>
          </w:p>
        </w:tc>
      </w:t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22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80" w:right="200" w:hanging="6"/>
        <w:spacing w:after="0" w:line="264" w:lineRule="auto"/>
        <w:tabs>
          <w:tab w:leader="none" w:pos="71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80" w:right="420" w:hanging="6"/>
        <w:spacing w:after="0" w:line="264"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80" w:right="40" w:hanging="6"/>
        <w:spacing w:after="0" w:line="308" w:lineRule="auto"/>
        <w:tabs>
          <w:tab w:leader="none" w:pos="71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80" w:right="100" w:hanging="6"/>
        <w:spacing w:after="0" w:line="264" w:lineRule="auto"/>
        <w:tabs>
          <w:tab w:leader="none" w:pos="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80" w:right="420" w:hanging="6"/>
        <w:spacing w:after="0" w:line="277" w:lineRule="auto"/>
        <w:tabs>
          <w:tab w:leader="none" w:pos="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80" w:right="20" w:hanging="6"/>
        <w:spacing w:after="0" w:line="277" w:lineRule="auto"/>
        <w:tabs>
          <w:tab w:leader="none" w:pos="71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25" w:lineRule="exact"/>
        <w:rPr>
          <w:sz w:val="20"/>
          <w:szCs w:val="20"/>
          <w:color w:val="auto"/>
        </w:rPr>
      </w:pPr>
    </w:p>
    <w:p>
      <w:pPr>
        <w:ind w:left="380" w:hanging="374"/>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Form 10-Q;</w:t>
      </w:r>
    </w:p>
    <w:p>
      <w:pPr>
        <w:spacing w:after="0" w:line="225" w:lineRule="exact"/>
        <w:rPr>
          <w:rFonts w:ascii="Arial" w:cs="Arial" w:eastAsia="Arial" w:hAnsi="Arial"/>
          <w:sz w:val="18"/>
          <w:szCs w:val="18"/>
          <w:color w:val="auto"/>
        </w:rPr>
      </w:pPr>
    </w:p>
    <w:p>
      <w:pPr>
        <w:ind w:left="380" w:right="200" w:hanging="374"/>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80" w:right="480" w:hanging="374"/>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380" w:right="120" w:hanging="374"/>
        <w:spacing w:after="0" w:line="264" w:lineRule="auto"/>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80" w:right="380" w:firstLine="9"/>
        <w:spacing w:after="0" w:line="264" w:lineRule="auto"/>
        <w:tabs>
          <w:tab w:leader="none" w:pos="61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80" w:right="140" w:firstLine="9"/>
        <w:spacing w:after="0" w:line="264" w:lineRule="auto"/>
        <w:tabs>
          <w:tab w:leader="none" w:pos="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80" w:right="280" w:firstLine="9"/>
        <w:spacing w:after="0" w:line="342" w:lineRule="auto"/>
        <w:tabs>
          <w:tab w:leader="none" w:pos="6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80" w:right="160" w:firstLine="9"/>
        <w:spacing w:after="0" w:line="264" w:lineRule="auto"/>
        <w:tabs>
          <w:tab w:leader="none" w:pos="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80" w:hanging="374"/>
        <w:spacing w:after="0" w:line="342" w:lineRule="auto"/>
        <w:tabs>
          <w:tab w:leader="none" w:pos="3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480" w:right="340" w:firstLine="4"/>
        <w:spacing w:after="0" w:line="308" w:lineRule="auto"/>
        <w:tabs>
          <w:tab w:leader="none" w:pos="700" w:val="left"/>
        </w:tabs>
        <w:numPr>
          <w:ilvl w:val="2"/>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80" w:right="80" w:firstLine="4"/>
        <w:spacing w:after="0" w:line="277" w:lineRule="auto"/>
        <w:tabs>
          <w:tab w:leader="none" w:pos="71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ectPr>
          <w:pgSz w:w="11900" w:h="16838" w:orient="portrait"/>
          <w:cols w:equalWidth="0" w:num="1">
            <w:col w:w="10580"/>
          </w:cols>
          <w:pgMar w:left="620" w:top="121" w:right="6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September 30, 2018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47" w:lineRule="exact"/>
        <w:rPr>
          <w:sz w:val="20"/>
          <w:szCs w:val="20"/>
          <w:color w:val="auto"/>
        </w:rPr>
      </w:pPr>
    </w:p>
    <w:p>
      <w:pPr>
        <w:ind w:left="480" w:hanging="235"/>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40" w:right="700" w:firstLine="5"/>
        <w:spacing w:after="0" w:line="277" w:lineRule="auto"/>
        <w:tabs>
          <w:tab w:leader="none" w:pos="4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ectPr>
          <w:pgSz w:w="11900" w:h="16838" w:orient="portrait"/>
          <w:cols w:equalWidth="0" w:num="1">
            <w:col w:w="10840"/>
          </w:cols>
          <w:pgMar w:left="240" w:top="337" w:right="8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2018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600" w:hanging="236"/>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right="580" w:firstLine="4"/>
        <w:spacing w:after="0" w:line="277" w:lineRule="auto"/>
        <w:tabs>
          <w:tab w:leader="none" w:pos="5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David E. Bullwinkle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sectPr>
      <w:pgSz w:w="11900" w:h="16838" w:orient="portrait"/>
      <w:cols w:equalWidth="0" w:num="1">
        <w:col w:w="10840"/>
      </w:cols>
      <w:pgMar w:left="240" w:top="33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1)"/>
      <w:numFmt w:val="lowerRoman"/>
      <w:start w:val="3"/>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3"/>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5" Type="http://schemas.openxmlformats.org/officeDocument/2006/relationships/hyperlink" Target="http://www.sec.gov/Archives/edgar/data/31235/000119312513354928/d591063dex41.htm" TargetMode="External"/><Relationship Id="rId86" Type="http://schemas.openxmlformats.org/officeDocument/2006/relationships/hyperlink" Target="http://www.sec.gov/Archives/edgar/data/31235/000156459016029358/kodk-ex31_26.htm" TargetMode="External"/><Relationship Id="rId87" Type="http://schemas.openxmlformats.org/officeDocument/2006/relationships/hyperlink" Target="http://www.sec.gov/Archives/edgar/data/31235/000156459017011692/kodk-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2019-12-28T18:04:49Z</dcterms:created>
  <dcterms:modified xsi:type="dcterms:W3CDTF">2019-12-28T18:04:49Z</dcterms:modified>
</cp:coreProperties>
</file>