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10"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125730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ind w:left="1820" w:hanging="844"/>
        <w:spacing w:after="0"/>
        <w:tabs>
          <w:tab w:leader="none" w:pos="1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631825</wp:posOffset>
            </wp:positionH>
            <wp:positionV relativeFrom="paragraph">
              <wp:posOffset>-128270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1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1800" w:hanging="840"/>
        <w:spacing w:after="0"/>
        <w:tabs>
          <w:tab w:leader="none" w:pos="18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621665</wp:posOffset>
            </wp:positionH>
            <wp:positionV relativeFrom="paragraph">
              <wp:posOffset>-129540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5" w:lineRule="exact"/>
        <w:rPr>
          <w:sz w:val="24"/>
          <w:szCs w:val="24"/>
          <w:color w:val="auto"/>
        </w:rPr>
      </w:pPr>
    </w:p>
    <w:p>
      <w:pPr>
        <w:ind w:left="3640"/>
        <w:spacing w:after="0"/>
        <w:tabs>
          <w:tab w:leader="none" w:pos="6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3792220</wp:posOffset>
            </wp:positionH>
            <wp:positionV relativeFrom="paragraph">
              <wp:posOffset>-7620</wp:posOffset>
            </wp:positionV>
            <wp:extent cx="780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3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120015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EASTMAN KODAK COMPANY</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640" w:type="dxa"/>
            <w:vAlign w:val="bottom"/>
          </w:tcPr>
          <w:p>
            <w:pPr>
              <w:jc w:val="center"/>
              <w:ind w:left="199"/>
              <w:spacing w:after="0"/>
              <w:rPr>
                <w:sz w:val="20"/>
                <w:szCs w:val="20"/>
                <w:color w:val="auto"/>
              </w:rPr>
            </w:pPr>
            <w:r>
              <w:rPr>
                <w:rFonts w:ascii="Arial" w:cs="Arial" w:eastAsia="Arial" w:hAnsi="Arial"/>
                <w:sz w:val="18"/>
                <w:szCs w:val="18"/>
                <w:b w:val="1"/>
                <w:bCs w:val="1"/>
                <w:color w:val="auto"/>
                <w:w w:val="98"/>
              </w:rPr>
              <w:t>NEW JERSEY</w:t>
            </w:r>
          </w:p>
        </w:tc>
        <w:tc>
          <w:tcPr>
            <w:tcW w:w="2240" w:type="dxa"/>
            <w:vAlign w:val="bottom"/>
            <w:tcBorders>
              <w:top w:val="single" w:sz="8" w:color="auto"/>
            </w:tcBorders>
          </w:tcPr>
          <w:p>
            <w:pPr>
              <w:spacing w:after="0"/>
              <w:rPr>
                <w:sz w:val="20"/>
                <w:szCs w:val="20"/>
                <w:color w:val="auto"/>
              </w:rPr>
            </w:pPr>
          </w:p>
        </w:tc>
        <w:tc>
          <w:tcPr>
            <w:tcW w:w="2800" w:type="dxa"/>
            <w:vAlign w:val="bottom"/>
          </w:tcPr>
          <w:p>
            <w:pPr>
              <w:jc w:val="right"/>
              <w:ind w:right="539"/>
              <w:spacing w:after="0"/>
              <w:rPr>
                <w:sz w:val="20"/>
                <w:szCs w:val="20"/>
                <w:color w:val="auto"/>
              </w:rPr>
            </w:pPr>
            <w:r>
              <w:rPr>
                <w:rFonts w:ascii="Arial" w:cs="Arial" w:eastAsia="Arial" w:hAnsi="Arial"/>
                <w:sz w:val="18"/>
                <w:szCs w:val="18"/>
                <w:b w:val="1"/>
                <w:bCs w:val="1"/>
                <w:color w:val="auto"/>
              </w:rPr>
              <w:t>16-0417150</w:t>
            </w:r>
          </w:p>
        </w:tc>
      </w:tr>
      <w:tr>
        <w:trPr>
          <w:trHeight w:val="186"/>
        </w:trPr>
        <w:tc>
          <w:tcPr>
            <w:tcW w:w="58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3"/>
              </w:rPr>
              <w:t>(State of incorporation)</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3"/>
        </w:trPr>
        <w:tc>
          <w:tcPr>
            <w:tcW w:w="588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800" w:type="dxa"/>
            <w:vAlign w:val="bottom"/>
          </w:tcPr>
          <w:p>
            <w:pPr>
              <w:jc w:val="right"/>
              <w:ind w:right="739"/>
              <w:spacing w:after="0"/>
              <w:rPr>
                <w:sz w:val="20"/>
                <w:szCs w:val="20"/>
                <w:color w:val="auto"/>
              </w:rPr>
            </w:pPr>
            <w:r>
              <w:rPr>
                <w:rFonts w:ascii="Arial" w:cs="Arial" w:eastAsia="Arial" w:hAnsi="Arial"/>
                <w:sz w:val="18"/>
                <w:szCs w:val="18"/>
                <w:b w:val="1"/>
                <w:bCs w:val="1"/>
                <w:color w:val="auto"/>
              </w:rPr>
              <w:t>14650</w:t>
            </w:r>
          </w:p>
        </w:tc>
      </w:tr>
      <w:tr>
        <w:trPr>
          <w:trHeight w:val="190"/>
        </w:trPr>
        <w:tc>
          <w:tcPr>
            <w:tcW w:w="588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120015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5"/>
          </w:tcPr>
          <w:p>
            <w:pPr>
              <w:spacing w:after="0"/>
              <w:rPr>
                <w:sz w:val="20"/>
                <w:szCs w:val="20"/>
                <w:color w:val="auto"/>
              </w:rPr>
            </w:pPr>
            <w:r>
              <w:rPr>
                <w:rFonts w:ascii="Arial" w:cs="Arial" w:eastAsia="Arial" w:hAnsi="Arial"/>
                <w:sz w:val="18"/>
                <w:szCs w:val="18"/>
                <w:color w:val="auto"/>
                <w:w w:val="99"/>
              </w:rPr>
              <w:t>Securities registered pursuant to Section 12 (b) of the Act:</w:t>
            </w: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4600" w:type="dxa"/>
            <w:vAlign w:val="bottom"/>
            <w:gridSpan w:val="5"/>
          </w:tcPr>
          <w:p>
            <w:pPr>
              <w:jc w:val="center"/>
              <w:ind w:right="126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Trading Symbol (s)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37"/>
        </w:trPr>
        <w:tc>
          <w:tcPr>
            <w:tcW w:w="4600" w:type="dxa"/>
            <w:vAlign w:val="bottom"/>
            <w:gridSpan w:val="5"/>
          </w:tcPr>
          <w:p>
            <w:pPr>
              <w:jc w:val="center"/>
              <w:ind w:right="1280"/>
              <w:spacing w:after="0"/>
              <w:rPr>
                <w:sz w:val="20"/>
                <w:szCs w:val="20"/>
                <w:color w:val="auto"/>
              </w:rPr>
            </w:pPr>
            <w:r>
              <w:rPr>
                <w:rFonts w:ascii="Arial" w:cs="Arial" w:eastAsia="Arial" w:hAnsi="Arial"/>
                <w:sz w:val="18"/>
                <w:szCs w:val="18"/>
                <w:color w:val="auto"/>
                <w:w w:val="89"/>
              </w:rPr>
              <w:t>Common stock, par value $0.01 per share</w:t>
            </w: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color w:val="auto"/>
              </w:rPr>
              <w:t>KODK</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1"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52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 2020, the registrant had 43,733,599 shares of common stock, par value $0.01 per share, outstanding.</w:t>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520" w:top="661"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2020</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7880" w:type="dxa"/>
            <w:vAlign w:val="bottom"/>
            <w:vMerge w:val="restart"/>
          </w:tcPr>
          <w:p>
            <w:pPr>
              <w:jc w:val="center"/>
              <w:ind w:left="1930"/>
              <w:spacing w:after="0"/>
              <w:rPr>
                <w:sz w:val="20"/>
                <w:szCs w:val="20"/>
                <w:color w:val="auto"/>
              </w:rPr>
            </w:pPr>
            <w:r>
              <w:rPr>
                <w:rFonts w:ascii="Arial" w:cs="Arial" w:eastAsia="Arial" w:hAnsi="Arial"/>
                <w:sz w:val="18"/>
                <w:szCs w:val="18"/>
                <w:b w:val="1"/>
                <w:bCs w:val="1"/>
                <w:color w:val="auto"/>
                <w:w w:val="95"/>
              </w:rPr>
              <w:t>Part I.—Financial Information</w:t>
            </w:r>
          </w:p>
        </w:tc>
        <w:tc>
          <w:tcPr>
            <w:tcW w:w="2700" w:type="dxa"/>
            <w:vAlign w:val="bottom"/>
          </w:tcPr>
          <w:p>
            <w:pPr>
              <w:ind w:left="1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68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 of Operations (Unaudited)</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Comprehensive (Loss) Income (Unaudited)</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Financial Position (Unaudited)</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Cash Flows (Unaudited)</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43"/>
        </w:trPr>
        <w:tc>
          <w:tcPr>
            <w:tcW w:w="68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788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 (Unaudited)</w:t>
              </w:r>
            </w:hyperlink>
          </w:p>
        </w:tc>
        <w:tc>
          <w:tcPr>
            <w:tcW w:w="2700" w:type="dxa"/>
            <w:vAlign w:val="bottom"/>
          </w:tcPr>
          <w:p>
            <w:pPr>
              <w:jc w:val="center"/>
              <w:ind w:left="451"/>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43"/>
        </w:trPr>
        <w:tc>
          <w:tcPr>
            <w:tcW w:w="68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788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Liquidity and Capital Resources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7880" w:type="dxa"/>
            <w:vAlign w:val="bottom"/>
          </w:tcPr>
          <w:p>
            <w:pPr>
              <w:jc w:val="center"/>
              <w:ind w:left="1910"/>
              <w:spacing w:after="0"/>
              <w:rPr>
                <w:sz w:val="20"/>
                <w:szCs w:val="20"/>
                <w:color w:val="auto"/>
              </w:rPr>
            </w:pPr>
            <w:r>
              <w:rPr>
                <w:rFonts w:ascii="Arial" w:cs="Arial" w:eastAsia="Arial" w:hAnsi="Arial"/>
                <w:sz w:val="18"/>
                <w:szCs w:val="18"/>
                <w:b w:val="1"/>
                <w:bCs w:val="1"/>
                <w:color w:val="auto"/>
                <w:w w:val="97"/>
              </w:rPr>
              <w:t>Part II. —Other Information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8"/>
                <w:szCs w:val="18"/>
                <w:color w:val="auto"/>
                <w:w w:val="98"/>
              </w:rPr>
              <w:t>Item 1A.</w:t>
            </w:r>
          </w:p>
        </w:tc>
        <w:tc>
          <w:tcPr>
            <w:tcW w:w="788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788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788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86"/>
        </w:trPr>
        <w:tc>
          <w:tcPr>
            <w:tcW w:w="680" w:type="dxa"/>
            <w:vAlign w:val="bottom"/>
          </w:tcPr>
          <w:p>
            <w:pPr>
              <w:spacing w:after="0"/>
              <w:rPr>
                <w:sz w:val="24"/>
                <w:szCs w:val="24"/>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Index to Exhibits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7880" w:type="dxa"/>
            <w:vAlign w:val="bottom"/>
          </w:tcPr>
          <w:p>
            <w:pPr>
              <w:ind w:left="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tc>
        <w:tc>
          <w:tcPr>
            <w:tcW w:w="2700" w:type="dxa"/>
            <w:vAlign w:val="bottom"/>
          </w:tcPr>
          <w:p>
            <w:pPr>
              <w:jc w:val="center"/>
              <w:ind w:left="43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918"/>
        </w:trPr>
        <w:tc>
          <w:tcPr>
            <w:tcW w:w="680" w:type="dxa"/>
            <w:vAlign w:val="bottom"/>
          </w:tcPr>
          <w:p>
            <w:pPr>
              <w:spacing w:after="0"/>
              <w:rPr>
                <w:sz w:val="24"/>
                <w:szCs w:val="24"/>
                <w:color w:val="auto"/>
              </w:rPr>
            </w:pPr>
          </w:p>
        </w:tc>
        <w:tc>
          <w:tcPr>
            <w:tcW w:w="7880" w:type="dxa"/>
            <w:vAlign w:val="bottom"/>
          </w:tcPr>
          <w:p>
            <w:pPr>
              <w:jc w:val="center"/>
              <w:ind w:left="1910"/>
              <w:spacing w:after="0"/>
              <w:rPr>
                <w:sz w:val="20"/>
                <w:szCs w:val="20"/>
                <w:color w:val="auto"/>
              </w:rPr>
            </w:pPr>
            <w:r>
              <w:rPr>
                <w:rFonts w:ascii="Arial" w:cs="Arial" w:eastAsia="Arial" w:hAnsi="Arial"/>
                <w:sz w:val="18"/>
                <w:szCs w:val="18"/>
                <w:color w:val="auto"/>
                <w:w w:val="99"/>
              </w:rPr>
              <w:t>[2]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78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280" w:type="dxa"/>
            <w:vAlign w:val="bottom"/>
          </w:tcPr>
          <w:p>
            <w:pPr>
              <w:spacing w:after="0"/>
              <w:rPr>
                <w:sz w:val="20"/>
                <w:szCs w:val="20"/>
                <w:color w:val="auto"/>
              </w:rPr>
            </w:pPr>
          </w:p>
        </w:tc>
        <w:tc>
          <w:tcPr>
            <w:tcW w:w="1820" w:type="dxa"/>
            <w:vAlign w:val="bottom"/>
            <w:gridSpan w:val="4"/>
            <w:vMerge w:val="restart"/>
          </w:tcPr>
          <w:p>
            <w:pPr>
              <w:jc w:val="right"/>
              <w:ind w:right="27"/>
              <w:spacing w:after="0"/>
              <w:rPr>
                <w:sz w:val="20"/>
                <w:szCs w:val="20"/>
                <w:color w:val="auto"/>
              </w:rPr>
            </w:pPr>
            <w:r>
              <w:rPr>
                <w:rFonts w:ascii="Arial" w:cs="Arial" w:eastAsia="Arial" w:hAnsi="Arial"/>
                <w:sz w:val="18"/>
                <w:szCs w:val="18"/>
                <w:b w:val="1"/>
                <w:bCs w:val="1"/>
                <w:color w:val="auto"/>
                <w:w w:val="95"/>
              </w:rPr>
              <w:t>Three Months Ended</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20" w:type="dxa"/>
            <w:vAlign w:val="bottom"/>
            <w:gridSpan w:val="4"/>
            <w:vMerge w:val="continue"/>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Sales</w:t>
            </w:r>
          </w:p>
        </w:tc>
        <w:tc>
          <w:tcPr>
            <w:tcW w:w="1280" w:type="dxa"/>
            <w:vAlign w:val="bottom"/>
          </w:tcPr>
          <w:p>
            <w:pPr>
              <w:jc w:val="right"/>
              <w:ind w:right="11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88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Sales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1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pension income excluding service cost component,</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other (income) charges, net and income taxes</w:t>
            </w:r>
          </w:p>
        </w:tc>
        <w:tc>
          <w:tcPr>
            <w:tcW w:w="12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1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Earnings (loss) from continuing operations before</w:t>
            </w: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w:t>
            </w: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80" w:type="dxa"/>
            <w:vAlign w:val="bottom"/>
            <w:tcBorders>
              <w:top w:val="single" w:sz="8" w:color="auto"/>
              <w:bottom w:val="single" w:sz="8" w:color="auto"/>
            </w:tcBorders>
          </w:tcPr>
          <w:p>
            <w:pPr>
              <w:jc w:val="right"/>
              <w:ind w:right="11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Basic and diluted loss per share attributable to</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1280" w:type="dxa"/>
            <w:vAlign w:val="bottom"/>
            <w:shd w:val="clear" w:color="auto" w:fill="CFF0FC"/>
          </w:tcPr>
          <w:p>
            <w:pPr>
              <w:jc w:val="right"/>
              <w:ind w:right="11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(2.66)</w:t>
            </w:r>
          </w:p>
        </w:tc>
        <w:tc>
          <w:tcPr>
            <w:tcW w:w="88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1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FF0FC"/>
          </w:tcPr>
          <w:p>
            <w:pPr>
              <w:jc w:val="right"/>
              <w:ind w:right="11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share:</w:t>
            </w:r>
          </w:p>
        </w:tc>
        <w:tc>
          <w:tcPr>
            <w:tcW w:w="1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 INCOME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100" w:type="dxa"/>
            <w:vAlign w:val="bottom"/>
            <w:gridSpan w:val="4"/>
          </w:tcPr>
          <w:p>
            <w:pPr>
              <w:jc w:val="right"/>
              <w:ind w:right="456"/>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3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4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COMPREHENSIVE LOSS, NET OF TAX</w:t>
            </w:r>
          </w:p>
        </w:tc>
        <w:tc>
          <w:tcPr>
            <w:tcW w:w="14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$12 and $8,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held for sale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$413 and $423,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 (deficit)</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05"/>
        </w:trPr>
        <w:tc>
          <w:tcPr>
            <w:tcW w:w="7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6"/>
                <w:szCs w:val="16"/>
                <w:color w:val="auto"/>
              </w:rPr>
              <w:t>(in millions)</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derivatives in the Series A Preferred Stock and</w:t>
            </w: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Notes</w:t>
            </w:r>
          </w:p>
        </w:tc>
        <w:tc>
          <w:tcPr>
            <w:tcW w:w="4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Net gain on sales of assets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Stock based compensation</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deferred income taxes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Decrease in trade receivables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inventories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Increase in trade payables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items, net</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return on equity investment</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sales of assets</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borrowings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Repayment of finance leases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restricted cash and cash in assets held for sale</w:t>
            </w:r>
          </w:p>
        </w:tc>
        <w:tc>
          <w:tcPr>
            <w:tcW w:w="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Cash, cash equivalents, restricted cash and cash in assets held for sale, beginning of period</w:t>
            </w:r>
          </w:p>
        </w:tc>
        <w:tc>
          <w:tcPr>
            <w:tcW w:w="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 assets held for sale, end of period</w:t>
            </w:r>
          </w:p>
        </w:tc>
        <w:tc>
          <w:tcPr>
            <w:tcW w:w="4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570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 OF EQUITY (DEFICIT) (Unaudited)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82"/>
        </w:trPr>
        <w:tc>
          <w:tcPr>
            <w:tcW w:w="3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3"/>
              </w:rPr>
              <w:t>Three-Month Period Ending March 31, 2020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gridSpan w:val="7"/>
          </w:tcPr>
          <w:p>
            <w:pPr>
              <w:jc w:val="right"/>
              <w:ind w:right="338"/>
              <w:spacing w:after="0"/>
              <w:rPr>
                <w:sz w:val="20"/>
                <w:szCs w:val="20"/>
                <w:color w:val="auto"/>
              </w:rPr>
            </w:pPr>
            <w:r>
              <w:rPr>
                <w:rFonts w:ascii="Arial" w:cs="Arial" w:eastAsia="Arial" w:hAnsi="Arial"/>
                <w:sz w:val="17"/>
                <w:szCs w:val="17"/>
                <w:b w:val="1"/>
                <w:bCs w:val="1"/>
                <w:color w:val="auto"/>
                <w:w w:val="94"/>
              </w:rPr>
              <w:t>Eastman Kodak Company Common Shareholders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53"/>
        </w:trPr>
        <w:tc>
          <w:tcPr>
            <w:tcW w:w="3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2"/>
              </w:rPr>
              <w:t>Series A</w:t>
            </w:r>
          </w:p>
        </w:tc>
      </w:tr>
      <w:tr>
        <w:trPr>
          <w:trHeight w:val="148"/>
        </w:trPr>
        <w:tc>
          <w:tcPr>
            <w:tcW w:w="3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Accumulated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
              <w:spacing w:after="0"/>
              <w:rPr>
                <w:sz w:val="20"/>
                <w:szCs w:val="20"/>
                <w:color w:val="auto"/>
              </w:rPr>
            </w:pPr>
            <w:r>
              <w:rPr>
                <w:rFonts w:ascii="Arial" w:cs="Arial" w:eastAsia="Arial" w:hAnsi="Arial"/>
                <w:sz w:val="13"/>
                <w:szCs w:val="13"/>
                <w:b w:val="1"/>
                <w:bCs w:val="1"/>
                <w:color w:val="auto"/>
                <w:w w:val="91"/>
              </w:rPr>
              <w:t>Redeemable</w:t>
            </w:r>
          </w:p>
        </w:tc>
      </w:tr>
      <w:tr>
        <w:trPr>
          <w:trHeight w:val="148"/>
        </w:trPr>
        <w:tc>
          <w:tcPr>
            <w:tcW w:w="3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9"/>
              <w:spacing w:after="0"/>
              <w:rPr>
                <w:sz w:val="20"/>
                <w:szCs w:val="20"/>
                <w:color w:val="auto"/>
              </w:rPr>
            </w:pPr>
            <w:r>
              <w:rPr>
                <w:rFonts w:ascii="Arial" w:cs="Arial" w:eastAsia="Arial" w:hAnsi="Arial"/>
                <w:sz w:val="13"/>
                <w:szCs w:val="13"/>
                <w:b w:val="1"/>
                <w:bCs w:val="1"/>
                <w:color w:val="auto"/>
                <w:w w:val="97"/>
              </w:rPr>
              <w:t>Additional</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238"/>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5"/>
              </w:rPr>
              <w:t>Convertible</w:t>
            </w:r>
          </w:p>
        </w:tc>
      </w:tr>
      <w:tr>
        <w:trPr>
          <w:trHeight w:val="149"/>
        </w:trPr>
        <w:tc>
          <w:tcPr>
            <w:tcW w:w="3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2"/>
                <w:szCs w:val="12"/>
                <w:color w:val="auto"/>
              </w:rPr>
            </w:pPr>
          </w:p>
        </w:tc>
        <w:tc>
          <w:tcPr>
            <w:tcW w:w="880" w:type="dxa"/>
            <w:vAlign w:val="bottom"/>
          </w:tcPr>
          <w:p>
            <w:pPr>
              <w:jc w:val="center"/>
              <w:ind w:right="159"/>
              <w:spacing w:after="0"/>
              <w:rPr>
                <w:sz w:val="20"/>
                <w:szCs w:val="20"/>
                <w:color w:val="auto"/>
              </w:rPr>
            </w:pPr>
            <w:r>
              <w:rPr>
                <w:rFonts w:ascii="Arial" w:cs="Arial" w:eastAsia="Arial" w:hAnsi="Arial"/>
                <w:sz w:val="13"/>
                <w:szCs w:val="13"/>
                <w:b w:val="1"/>
                <w:bCs w:val="1"/>
                <w:color w:val="auto"/>
                <w:w w:val="93"/>
              </w:rPr>
              <w:t>Paid in</w:t>
            </w:r>
          </w:p>
        </w:tc>
        <w:tc>
          <w:tcPr>
            <w:tcW w:w="112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Comprehensive</w:t>
            </w:r>
          </w:p>
        </w:tc>
        <w:tc>
          <w:tcPr>
            <w:tcW w:w="200" w:type="dxa"/>
            <w:vAlign w:val="bottom"/>
          </w:tcPr>
          <w:p>
            <w:pPr>
              <w:spacing w:after="0"/>
              <w:rPr>
                <w:sz w:val="12"/>
                <w:szCs w:val="12"/>
                <w:color w:val="auto"/>
              </w:rPr>
            </w:pPr>
          </w:p>
        </w:tc>
        <w:tc>
          <w:tcPr>
            <w:tcW w:w="920" w:type="dxa"/>
            <w:vAlign w:val="bottom"/>
          </w:tcPr>
          <w:p>
            <w:pPr>
              <w:jc w:val="right"/>
              <w:ind w:right="258"/>
              <w:spacing w:after="0"/>
              <w:rPr>
                <w:sz w:val="20"/>
                <w:szCs w:val="20"/>
                <w:color w:val="auto"/>
              </w:rPr>
            </w:pPr>
            <w:r>
              <w:rPr>
                <w:rFonts w:ascii="Arial" w:cs="Arial" w:eastAsia="Arial" w:hAnsi="Arial"/>
                <w:sz w:val="13"/>
                <w:szCs w:val="13"/>
                <w:b w:val="1"/>
                <w:bCs w:val="1"/>
                <w:color w:val="auto"/>
              </w:rPr>
              <w:t>Treasury</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6"/>
              </w:rPr>
              <w:t>Preferred</w:t>
            </w: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880" w:type="dxa"/>
            <w:vAlign w:val="bottom"/>
          </w:tcPr>
          <w:p>
            <w:pPr>
              <w:jc w:val="center"/>
              <w:ind w:right="139"/>
              <w:spacing w:after="0"/>
              <w:rPr>
                <w:sz w:val="20"/>
                <w:szCs w:val="20"/>
                <w:color w:val="auto"/>
              </w:rPr>
            </w:pPr>
            <w:r>
              <w:rPr>
                <w:rFonts w:ascii="Arial" w:cs="Arial" w:eastAsia="Arial" w:hAnsi="Arial"/>
                <w:sz w:val="13"/>
                <w:szCs w:val="13"/>
                <w:b w:val="1"/>
                <w:bCs w:val="1"/>
                <w:color w:val="auto"/>
                <w:w w:val="96"/>
              </w:rPr>
              <w:t>Capital</w:t>
            </w:r>
          </w:p>
        </w:tc>
        <w:tc>
          <w:tcPr>
            <w:tcW w:w="26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4"/>
                <w:szCs w:val="14"/>
                <w:color w:val="auto"/>
              </w:rPr>
            </w:pPr>
          </w:p>
        </w:tc>
        <w:tc>
          <w:tcPr>
            <w:tcW w:w="860" w:type="dxa"/>
            <w:vAlign w:val="bottom"/>
          </w:tcPr>
          <w:p>
            <w:pPr>
              <w:jc w:val="center"/>
              <w:ind w:right="238"/>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Pr>
          <w:p>
            <w:pPr>
              <w:spacing w:after="0"/>
              <w:rPr>
                <w:sz w:val="14"/>
                <w:szCs w:val="14"/>
                <w:color w:val="auto"/>
              </w:rPr>
            </w:pPr>
          </w:p>
        </w:tc>
        <w:tc>
          <w:tcPr>
            <w:tcW w:w="920" w:type="dxa"/>
            <w:vAlign w:val="bottom"/>
          </w:tcPr>
          <w:p>
            <w:pPr>
              <w:jc w:val="right"/>
              <w:ind w:right="358"/>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4"/>
                <w:szCs w:val="14"/>
                <w:color w:val="auto"/>
              </w:rPr>
            </w:pPr>
          </w:p>
        </w:tc>
        <w:tc>
          <w:tcPr>
            <w:tcW w:w="840" w:type="dxa"/>
            <w:vAlign w:val="bottom"/>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0"/>
              </w:rPr>
              <w:t>Stock</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Equity (deficit) as of December 31, 2019</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604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(79)</w:t>
            </w:r>
          </w:p>
        </w:tc>
        <w:tc>
          <w:tcPr>
            <w:tcW w:w="26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99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Net loss</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w:t>
            </w:r>
          </w:p>
        </w:tc>
        <w:tc>
          <w:tcPr>
            <w:tcW w:w="26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28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328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328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Series A preferred stock cash dividends</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4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280" w:type="dxa"/>
            <w:vAlign w:val="bottom"/>
          </w:tcPr>
          <w:p>
            <w:pPr>
              <w:spacing w:after="0"/>
              <w:rPr>
                <w:sz w:val="20"/>
                <w:szCs w:val="20"/>
                <w:color w:val="auto"/>
              </w:rPr>
            </w:pPr>
            <w:r>
              <w:rPr>
                <w:rFonts w:ascii="Arial" w:cs="Arial" w:eastAsia="Arial" w:hAnsi="Arial"/>
                <w:sz w:val="17"/>
                <w:szCs w:val="17"/>
                <w:color w:val="auto"/>
              </w:rPr>
              <w:t>Equity (deficit) as of March 31, 2020</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600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(190)</w:t>
            </w:r>
          </w:p>
        </w:tc>
        <w:tc>
          <w:tcPr>
            <w:tcW w:w="26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-2002790</wp:posOffset>
            </wp:positionV>
            <wp:extent cx="7132320" cy="2031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7"/>
                <w:szCs w:val="17"/>
                <w:b w:val="1"/>
                <w:bCs w:val="1"/>
                <w:color w:val="auto"/>
                <w:w w:val="94"/>
              </w:rPr>
              <w:t>Three-Month Period Ending March 31, 2019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7"/>
                <w:szCs w:val="17"/>
                <w:b w:val="1"/>
                <w:bCs w:val="1"/>
                <w:color w:val="auto"/>
                <w:w w:val="94"/>
              </w:rPr>
              <w:t>Eastman Kodak Company Common Shareholders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Series A</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Paid in</w:t>
            </w:r>
          </w:p>
        </w:tc>
        <w:tc>
          <w:tcPr>
            <w:tcW w:w="100" w:type="dxa"/>
            <w:vAlign w:val="bottom"/>
          </w:tcPr>
          <w:p>
            <w:pPr>
              <w:spacing w:after="0"/>
              <w:rPr>
                <w:sz w:val="12"/>
                <w:szCs w:val="1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Accumulated</w:t>
            </w: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Treasury</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61"/>
        </w:trPr>
        <w:tc>
          <w:tcPr>
            <w:tcW w:w="362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2018</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ind w:left="5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62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2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2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of ASU 2016-02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2019</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ind w:left="5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2019 (the “2019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March 31, 2020 and December 31, 2019, Kodak had approximately $209 million and $233 million, respectively, of cash and cash equivalents. $62 million and $72 million were held in the United States (“U.S.”) as of March 31, 2020 and December 31, 2019, respectively, and $147 million and $161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March 31, 2020 and December 31, 2019 were $416 million and $408 million, respectively, which includes short-term intercompany loans from Kodak’s international finance center of $117 million and $110 million as of March 31, 2020 and December 31, 2019, respectively. In China, where approximately $88 million and $89 million of cash and cash equivalents was held as of March 31, 2020 and December 31, 2019, respectively, there are limitations related to net asset balances that may impact the ability to make cash available to other jurisdictions in the world. Kodak had a net decrease in cash, cash equivalents, restricted cash and cash in assets held for sale of $49 million and $10 million for the three months ended March 31, 2020 and 2019, respectively, and a net increase in cash, cash equivalents, restricted cash and cash in assets held for sale of $23 million the year ended December 31, 2019. Kodak used cash of $41 million and $12 million in operating activities for the three months ended March 31, 2020 and 2019, respectively, and generated cash from operating activities for the year ended December 31, 2019 of $12 million. On May 12, 2020, a Chinese subsidiary of Kodak transferred approximately $70 million to a U.S. subsidiary of Kodak in anticipation of an inter-company transaction.</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Kodak is facing liquidity challenges due to operating losses, low or negative cash flow from operations, collateral needs and restrictions on the movement of cash from China. Cash flow from operations in 2019 benefited from working capital improvements and individual transactions that occurred during the year. The Company’s 5.00% Secured Convertible Notes due 2021 (the “Convertible Notes”) mature on November 1, 2021 if not converted prior to then and the Company’s 5.50% Series A Convertible Preferred Stock (the “Series A Preferred Stock”) must be redeemed on November 15, 2021 if not converted prior to then. Additionally, Kodak has significant cash requirements to fund ongoing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Additionally, the Company looks to implement ways to reduce collateral needs in the U.S. while accessing available cash in Chinese subsidiaries.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Kodak’s products are sold and serviced in numerous countries across the globe with more than half of sales generated outside the United States. Current global economic conditions are highly volatile due to the COVID-19 pandemic, resulting in market size contractions in many countries due to economic slowdowns and government restrictions on movement. The economic uncertainties surrounding the COVID-19 pandemic are adding complexity to Kodak’s plans to return to sustainable positive cash flow. To mitigate the economic impacts of the pandemic Kodak is employing temporary furloughs and pay reductions, scaling manufacturing volumes due to expectations of reduced demand and delaying an increased number of product development programs.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right="20"/>
        <w:spacing w:after="0" w:line="263" w:lineRule="auto"/>
        <w:rPr>
          <w:sz w:val="20"/>
          <w:szCs w:val="20"/>
          <w:color w:val="auto"/>
        </w:rPr>
      </w:pPr>
      <w:r>
        <w:rPr>
          <w:rFonts w:ascii="Arial" w:cs="Arial" w:eastAsia="Arial" w:hAnsi="Arial"/>
          <w:sz w:val="18"/>
          <w:szCs w:val="18"/>
          <w:color w:val="auto"/>
        </w:rPr>
        <w:t>The recent trend of negative operating cash flow, maturity and redemption dates in 2021 for the Convertible Notes and Series A Preferred Stock, increased challenges in managing cash during the COVID-19 pandemic and general lack of certainty regarding the return to positive cash flow raise substantial doubt about Kodak’s ability to continue as a going concern</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2020. Refer to Note 22, “Segment Information”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2018, the Financial Accounting Standards Board (“FASB”) issued Accounting Standard Update (“ASU”)2018-18, Collaborative Arrangements (Topic 808): Clarifying the Interaction between Topic 808 and Topic 606.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The amendments should be applied retrospectively to the date of initial application of Topic 606. Kodak adopted this ASU on January 1, 2020, and it did not have any impact on Kodak’s consolidated financial statements.</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Topic 820 by adding, changing, or removing certain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prospectively adopted the provisions related to new disclosures January 1, 2020. The standard addresses disclosures only and did not have an impact on Kodak’s consolidated financial statements.</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Kodak adopted this ASU on January 1, 2020. The standard addresses disclosures only and did not have an impact on Kodak’s consolidated financial statements.</w:t>
      </w: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The ASU should be applied either retrospectively or prospectively to all implementation costs incurred after the date of adoption. Kodak adopted this ASU prospectively on January 1, 2020, and it did not have any impact on Kodak’s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which provides optional relief through specific exceptions and practical expedients for transitioning away from reference rates that are expected to be discontinued. The relief generally applies to eligible modifications of contractual terms that change (or have the potential to change) the amount or timing of contractual cash flows related to replacement of a reference rate. The relief allows such modifications to be accounted for as continuations of existing contracts without additional analysis. The optional relief is available from March 2020 through December 31, 2022. Kodak is currently evaluating the impact of this ASU.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ind w:right="32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2021 (January 1, 2022 for Kodak) with early adoption permitted. Kodak is currently evaluating the impact of this ASU.</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(as amended by ASUs 2018-19, 2019-04, 2019-05,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Restricted cash - current portion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the Statement of Cash Flows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Restricted cash - current portion on the Consolidated Statement of Financial Position primarily represents amounts that support hedging activities. In addition, as of December 31, 2019, it also contained collateral for a guaranty provided to MIR Bidco, SA (the “Purchaser”) who purchased Kodak’s Flexographic Packaging business (“FPD”). On April 16, 2019 the Purchaser of FPD paid Kodak $15 million in the U.S. as a prepayment for transition services and products and services to be provided by Kodak to the Purchaser. Kodak provided a $15 million guaranty, supported by cash collateral in China, to the Purchaser. The Purchaser had the option to satisfy its payment obligations to Kodak through a reduction of the prepayment balance or in cash. When the Purchaser satisfied its payment obligations to Kodak by utilizing its prepayment balance, Kodak followed a guaranty amendment process to reduce the amount of its guaranty and cash collateral supporting the prepayment balance. As of March 31, 2020 and December 31, 2019, the remaining prepayment balance was $0 million and $3 million, respectively, and the cash collateral supporting Kodak’s guaranty was $0 million and $4 million, respectively.</w:t>
      </w:r>
    </w:p>
    <w:p>
      <w:pPr>
        <w:spacing w:after="0" w:line="2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Restricted cash includes $3 million and $22 million as of March 31, 2020 and December 31, 2019, respectively, supporting compliance with the Excess Availability threshold under the Amended and Restated Credit Agreement (the “ABL Credit Agreement”), as defined therein (Refer to Note 8, “Debt and Finance Leases” for information on the decrease in Restricted cash supporting the Excess Availability threshold). In addition, Restricted cash as of both March 31, 2020 and December 31, 2019 includes an escrow of $14 million in China to secure various ongoing obligations under the agreements for the strategic relationship with Lucky HuaGuang Graphics Co. Ltd. Restricted cash also included $4 million and $5 million of security posted related to Brazilian legal contingencies as of March 31, 2020 and December 31, 2019, respectively.</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4: OTHER LONG-TERM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 net of reserve of $4 and $4, respectively</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Series A Preferred Stock embedded conversion option derivative asset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goodwill by reportable segment.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Advanced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Traditional</w:t>
            </w:r>
          </w:p>
        </w:tc>
        <w:tc>
          <w:tcPr>
            <w:tcW w:w="16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Materials and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Printing</w:t>
            </w:r>
          </w:p>
        </w:tc>
        <w:tc>
          <w:tcPr>
            <w:tcW w:w="1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4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30"/>
        </w:trPr>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impairment losses</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December 31, 2019</w:t>
            </w:r>
          </w:p>
        </w:tc>
        <w:tc>
          <w:tcPr>
            <w:tcW w:w="4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r>
      <w:tr>
        <w:trPr>
          <w:trHeight w:val="237"/>
        </w:trPr>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reallocation</w:t>
            </w:r>
          </w:p>
        </w:tc>
        <w:tc>
          <w:tcPr>
            <w:tcW w:w="4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result of the change in segments that became effective as of January 1, 2020, Kodak’s goodwill reporting units changed. Refer to Note 22, “Segment Information” for additional information on the change to Kodak’s organizational structure.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and Brand segment each have one goodwill reporting unit.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where it continues to remain its own reporting unit</w:t>
      </w:r>
      <w:r>
        <w:rPr>
          <w:rFonts w:ascii="Arial" w:cs="Arial" w:eastAsia="Arial" w:hAnsi="Arial"/>
          <w:sz w:val="21"/>
          <w:szCs w:val="21"/>
          <w:color w:val="auto"/>
        </w:rPr>
        <w:t>.</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Kodak performed an interim test of impairment for goodwill as of March 31, 2020 due to the decline in its market capitalization from the last goodwill impairment test (December 31, 2019) and the uncertainty resulting from the COVID-19 pandemic on its operations. Based on the results of the March 31, 2020 analysis, no impairment of goodwill was indicated. As of March 31, 2020, the Brand reporting unit had negative carrying value.</w:t>
      </w:r>
    </w:p>
    <w:p>
      <w:pPr>
        <w:spacing w:after="0" w:line="165" w:lineRule="exact"/>
        <w:rPr>
          <w:sz w:val="20"/>
          <w:szCs w:val="20"/>
          <w:color w:val="auto"/>
        </w:rPr>
      </w:pPr>
    </w:p>
    <w:p>
      <w:pPr>
        <w:ind w:right="620"/>
        <w:spacing w:after="0" w:line="274" w:lineRule="auto"/>
        <w:rPr>
          <w:sz w:val="20"/>
          <w:szCs w:val="20"/>
          <w:color w:val="auto"/>
        </w:rPr>
      </w:pPr>
      <w:r>
        <w:rPr>
          <w:rFonts w:ascii="Arial" w:cs="Arial" w:eastAsia="Arial" w:hAnsi="Arial"/>
          <w:sz w:val="18"/>
          <w:szCs w:val="18"/>
          <w:color w:val="auto"/>
        </w:rPr>
        <w:t>The gross carrying amount and accumulated amortization by major intangible asset category as of March 31, 2020 and December 31, 2019 were as follows</w:t>
      </w:r>
      <w:r>
        <w:rPr>
          <w:rFonts w:ascii="Arial" w:cs="Arial" w:eastAsia="Arial" w:hAnsi="Arial"/>
          <w:sz w:val="21"/>
          <w:szCs w:val="21"/>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2"/>
              </w:rPr>
              <w:t>March 31, 2020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Gross Carrying</w:t>
            </w:r>
          </w:p>
        </w:tc>
        <w:tc>
          <w:tcPr>
            <w:tcW w:w="126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ind w:right="56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 years</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56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05"/>
        </w:trPr>
        <w:tc>
          <w:tcPr>
            <w:tcW w:w="4620" w:type="dxa"/>
            <w:vAlign w:val="bottom"/>
          </w:tcPr>
          <w:p>
            <w:pPr>
              <w:spacing w:after="0"/>
              <w:rPr>
                <w:sz w:val="17"/>
                <w:szCs w:val="17"/>
                <w:color w:val="auto"/>
              </w:rPr>
            </w:pPr>
          </w:p>
        </w:tc>
        <w:tc>
          <w:tcPr>
            <w:tcW w:w="14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Gross Carrying</w:t>
            </w:r>
          </w:p>
        </w:tc>
        <w:tc>
          <w:tcPr>
            <w:tcW w:w="126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right="62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Kodak trade name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 years</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6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Kodak also performed an interim test of impairment for the Kodak trade name as of March 31, 2020. The interim impairment test of the Kodak trade name used the income approach, specifically the relief from royalty method. Based on the result of the interim impairment test, Kodak concluded the carrying value of the Kodak trade name exceeded its fair value. Pre-tax impairment charges of $3 million are included in Other operating income, net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$1 million and $2 million for the three months ended March 31, 2020 and 2019,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March 31, 2020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(in millions)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Q2 - Q4 2020</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1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OTHER CURRENT LIABILITIES</w:t>
            </w: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00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0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1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Deferred consideration on disposed businesses </w:t>
            </w:r>
            <w:r>
              <w:rPr>
                <w:rFonts w:ascii="Arial" w:cs="Arial" w:eastAsia="Arial" w:hAnsi="Arial"/>
                <w:sz w:val="15"/>
                <w:szCs w:val="15"/>
                <w:color w:val="auto"/>
              </w:rPr>
              <w:t>(1)</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 Preferred Stock dividends payable</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Workers compensation</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Restructuring liabilities</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Transition services agreement prepayment</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ind w:left="114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hanging="368"/>
        <w:spacing w:after="0" w:line="245" w:lineRule="auto"/>
        <w:tabs>
          <w:tab w:leader="none" w:pos="7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On September 3, 2013, Kodak consummated the sale of certain assets and the assumption of certain liabilities of the Personalized Imaging and Document Imaging Businesses (“PI/DI Businesses”) to the trustee of the U. K. pension plan (and/or its subsidiaries) for net cash consideration of $325 million. Up to $35 million in aggregate of the purchase price is subject to repayment if the PI/DI Business does not achieve certain annual adjusted EBITDA targets over the four-year period ending December 31, 2018. The PI/DI Business did not achieve the adjusted annual EBITDA target for any year in the four-year period. The amounts owed for 2015, 2016 and 2017 were paid in 2016, 2017 and 2019, respectively. The maximum potential payment related to the year ending December 31, 2018 of $14 million was accrued at the time of the divestiture of the business. The Company does not consider the procedural requirements giving rise to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 w:name="page13"/>
    <w:bookmarkEnd w:id="12"/>
    <w:p>
      <w:pPr>
        <w:ind w:left="740" w:right="40"/>
        <w:spacing w:after="0" w:line="259" w:lineRule="auto"/>
        <w:rPr>
          <w:sz w:val="20"/>
          <w:szCs w:val="20"/>
          <w:color w:val="auto"/>
        </w:rPr>
      </w:pPr>
      <w:r>
        <w:rPr>
          <w:rFonts w:ascii="Arial" w:cs="Arial" w:eastAsia="Arial" w:hAnsi="Arial"/>
          <w:sz w:val="18"/>
          <w:szCs w:val="18"/>
          <w:color w:val="auto"/>
        </w:rPr>
        <w:t>obligation to pay the amount relating to the year ended December 31, 2018 to have been met. The PI/DI Businesses (operating as Kodak Alaris) have filed suit against the Company alleging breach of contract based on the failure to pay the $14 million amount with respect to 2018. The Company has filed counterclaims seeking contractual penalties related to late payments for goods and services provided by Kodak under various separate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7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Other component above consists of other miscellaneous current liabilities that, individually, were less than 5% of the current liabilities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7: OTHER LONG-TERM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Deferred brand licensing revenue</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liabilities</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Convertible Notes embedded conversion option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derivative liability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73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Other component above consists of other miscellaneous long-term liabilities that, individually, were less than 5% of the total liabilities component within the Consolidated Statement of Financial Position as of the end of the preceding year, and therefore have been aggregated in accordance with Regulation S-X.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FINANCE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7"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the Company and the subsidiaries of the Company that are guarantors (the “Subsidiary Guarantors”) entered into Amendment No. 3 to the ABL Credit Agreement (the “Amendment”) with the lenders party thereto (the “Lenders”), Bank of America, N.A., as administrative and collateral agent, and Bank of America, N.A. and each of the parties to the ABL Credit Agreement as lenders. Each of the capitalized but undefined terms used in the context of describing the ABL Credit Agreement and the Amendment has the meaning ascribed to such term in the ABL Credit Agreement and the Amendment.</w:t>
      </w:r>
    </w:p>
    <w:p>
      <w:pPr>
        <w:spacing w:after="0" w:line="21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Amendment decreased the available asset-based revolving loans (the “ABL Loans”) and letters of credit from an aggregate amount of up to $120 million to $110 million, subject to the Borrowing Base. The Company has issued approximately $80 million of letters of credit under the ABL Credit Agreement as of both March 31, 2020 and December 31, 2019. As a result of the additional reduction in lender commitments, the minimum Excess Availability decreased to $13.75 million from the previous amount of $15 million.</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Amendment also changed Equipment Availability from (i) the lesser of 75% of Net Orderly Liquidation Value of Eligible Equipment or $6 million to (ii) the lesser of 70% of Net Orderly Liquidation Value of Eligible Equipment or $14.75 million as of March 31, 2020. The Equipment Availability was $14.75 million for March 31, 2020. The $14.75 million amount decreases by $1 million per quarter starting on July 1, 2020 until maturity or the amount is decreased to $0, whichever comes first.</w:t>
      </w:r>
    </w:p>
    <w:p>
      <w:pPr>
        <w:spacing w:after="0" w:line="21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had approximately $17 million and $22 million of Excess Availability under the ABL Credit Agreement as of March 31, 2020 and December 31, 2019, respectively. To maintain Excess Availability of greater than 12.5% of lender commitments ($13.75 million and $18.75 million as of March 31, 2020 and December 31, 2019, respectively), Kodak funded $3 million and $22 million to the Eligible Cash account held with the ABL Credit Agreement Administrative Agent as of March 31, 2020 and December 31, 2019, respectively, which is classified as Restricted Cash in the Consolidated Statement of Financial Position. The changes effected by the Amendment to the Excess Availability and Equipment Availability combined with increases in Available Accounts Receivable and Inventory allowed the Company to decrease Eligible Cash by $13 million without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ind w:right="200"/>
        <w:spacing w:after="0" w:line="277" w:lineRule="auto"/>
        <w:rPr>
          <w:sz w:val="20"/>
          <w:szCs w:val="20"/>
          <w:color w:val="auto"/>
        </w:rPr>
      </w:pPr>
      <w:r>
        <w:rPr>
          <w:rFonts w:ascii="Arial" w:cs="Arial" w:eastAsia="Arial" w:hAnsi="Arial"/>
          <w:sz w:val="18"/>
          <w:szCs w:val="18"/>
          <w:color w:val="auto"/>
        </w:rPr>
        <w:t>causing Excess Availability to fall below 12.5% of lender commitments. Available Accounts Receivable and Inventory and Eligible Equipment have the meaning ascribed to these terms in the ABL Credit Agreement.</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the changes discussed above, the Amendment increased the interest rate charged on the ABL Loans. The interest rate on the ABL Loans (which is based on Excess Availability) increased to LIBOR plus 3.50% - 4.00% per annum from LIBOR plus 2.25% - 2.75% per annum or the Base Rate plus 2.50% - 3.00% per annum from the Base Rate plus 1.25% - 1.75% per annum.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(the “Purchase Agreement”) pursuant to which the Company agreed to issue and sell to the Notes Purchasers, and the Notes Purchasers agreed to purchase from the Company, $100 million aggregate principal amount of the Convertible Notes. The transaction closed on May 24, 2019. The proceeds were used to repay the remaining first lien term loans outstanding ($83 million) under the Senior Secured First Lien Term Credit Agreement (the “Term Credit Agreement”), which was terminated with the repayment. The remaining proceeds were used for general corporate purposes. The Notes Purchasers also hold all outstanding shares of the Series A Preferred Stock, which vote with the shares of common stock on an as-converted basis, and are holders of shares of the Company’s common stock, par value $0.01 per share (the “Common Stock”), as described below.</w:t>
      </w:r>
    </w:p>
    <w:p>
      <w:pPr>
        <w:spacing w:after="0" w:line="1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Convertible Notes bear interest at a rate of 5.00% per annum, which will be payable in cash on their maturity date and, at the option of the Company, in either cash or additional shares of Common Stock on any conversion date. The payment of interest only at the maturity date has the same effect as delivering additional debt instruments to the holders of the Convertible Notes and therefore is considered paid-in-kind interest (“PIK”). Therefore, PIK will be added to the carrying value of the debt through the term and interest expense will be recorded using the effective interest method.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maturity date of the Convertible Notes is initially November 1, 2021. The Company has the option to extend the maturity of the Convertible Notes by up to three years in the event that the Series A Preferred Stock is refinanced with debt or equity or the mandatory redemption date of the Series A Preferred Stock is extended.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w:t>
      </w:r>
    </w:p>
    <w:p>
      <w:pPr>
        <w:spacing w:after="0" w:line="27"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Kodak allocated $14 million of the net proceeds received to a derivative liability based on the aggregate fair value of the embedded features and term extension on the date of issuance which reduced the net carrying value of the Convertible Notes (refer to Note 24, “Financial Instruments”).</w:t>
      </w:r>
    </w:p>
    <w:p>
      <w:pPr>
        <w:spacing w:after="0" w:line="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 carrying value of the Convertible Notes at the time of issuance, $84 million ($100 million aggregate gross proceeds less $14 million allocated to the derivative liability and $2 million in transaction costs), is being accreted to the face amount using the effective interest method from the date of issuance through the maturity date.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REDEEMABLE, CONVERTIBLE SERIES A PREFERRED STOCK</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15, 2016, the Company issued 2,000,000 shares of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allocated $43 million of the net proceeds received to a derivative liability based on the aggregate fair value of the embedded conversion features on the date of issuance which reduced the net carrying value of the Series A Preferred Stock (see Note 24,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The Company declared quarterly cash dividends in the third and fourth quarters of 2019 and the first quarter of 2020 that were paid when due so it remains four quarters in arrears.</w:t>
      </w:r>
    </w:p>
    <w:p>
      <w:pPr>
        <w:spacing w:after="0" w:line="2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 although the holders of the Series A Preferred Stock currently have the contractual right to nominate only one director based on the results of the ownership formula.</w:t>
      </w:r>
    </w:p>
    <w:p>
      <w:pPr>
        <w:spacing w:after="0" w:line="21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March 31, 2020,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Income recognized on operating lease arrangements for the three months ended March 31, 2020 and 2019 and is presented below (income recognized for sales-type lease arrangements is $0 million for both periods):</w:t>
      </w:r>
    </w:p>
    <w:p>
      <w:pPr>
        <w:spacing w:after="0" w:line="22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Three Months Ended March 31,</w:t>
      </w:r>
    </w:p>
    <w:p>
      <w:pPr>
        <w:spacing w:after="0" w:line="3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6"/>
                <w:szCs w:val="16"/>
                <w:color w:val="auto"/>
              </w:rPr>
              <w:t>(in millions)</w:t>
            </w:r>
          </w:p>
        </w:tc>
        <w:tc>
          <w:tcPr>
            <w:tcW w:w="1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Lease income - operating leases:</w:t>
            </w: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Sublease income</w:t>
            </w: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4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income</w:t>
            </w:r>
          </w:p>
        </w:tc>
        <w:tc>
          <w:tcPr>
            <w:tcW w:w="128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3620" w:type="dxa"/>
            <w:vAlign w:val="bottom"/>
          </w:tcPr>
          <w:p>
            <w:pPr>
              <w:ind w:left="120"/>
              <w:spacing w:after="0"/>
              <w:rPr>
                <w:sz w:val="20"/>
                <w:szCs w:val="20"/>
                <w:color w:val="auto"/>
              </w:rPr>
            </w:pPr>
            <w:r>
              <w:rPr>
                <w:rFonts w:ascii="Arial" w:cs="Arial" w:eastAsia="Arial" w:hAnsi="Arial"/>
                <w:sz w:val="18"/>
                <w:szCs w:val="18"/>
                <w:color w:val="auto"/>
              </w:rPr>
              <w:t>Total lease income</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As of March 31, 2020, the Company had outstanding letters of credit of $80 million issued under the ABL Credit Agreement, as well as bank guarantees and letters of credit of $3 million, surety bonds in the amount of $38 million, and restricted cash of $32 million, primarily to address the payment of possible casualty and workers’ compensation claims, support legal contingencies, hedging activities, compliance with the Excess Availability threshold under the ABL Credit Agreement, environmental liabilities, rental payments and to support various customs, tax and trade activities.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2020, the unreserved portion of these contingencies, inclusive of any related interest and penalties, for which there was at least a reasonable possibility that a loss may be incurred, amounted to approximately $6 million.</w:t>
      </w:r>
    </w:p>
    <w:p>
      <w:pPr>
        <w:spacing w:after="0" w:line="2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March 31, 2020, Kodak’s Brazilian operations have posted security composed of $4 million of pledged cash reported within Restricted cash in the Consolidated Statement of Financial Position and liens on certain Brazilian assets with a net book value of approximately $45 million. Generally, any encumbrances on the Brazilian assets would be removed to the extent the matter is resolved in Kodak's favor.</w:t>
      </w:r>
    </w:p>
    <w:p>
      <w:pPr>
        <w:spacing w:after="0" w:line="19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settlement of certain of the Company’s historical environmental liabilities at Eastman Business Park, a more than 1,200-</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2019 to March 31, 2020, which is reflected in Other current liabilities in the accompanying Consolidated Statement of Financial Position, was as follows:</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5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2019</w:t>
            </w: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w w:val="93"/>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 2020</w:t>
            </w: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Deferred revenue on extended warranties as of March 31, 2020</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March 31, 2020</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6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Ongoing service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r>
      <w:tr>
        <w:trPr>
          <w:trHeight w:val="223"/>
        </w:trPr>
        <w:tc>
          <w:tcPr>
            <w:tcW w:w="26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March 31, 2019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3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3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560" w:right="240" w:hanging="552"/>
        <w:spacing w:after="0" w:line="277"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60" w:right="260" w:hanging="552"/>
        <w:spacing w:after="0" w:line="277"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March 31, 2019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right"/>
              <w:ind w:right="41"/>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7" w:name="page18"/>
    <w:bookmarkEnd w:id="17"/>
    <w:p>
      <w:pPr>
        <w:ind w:left="580" w:right="40" w:hanging="572"/>
        <w:spacing w:after="0" w:line="342" w:lineRule="auto"/>
        <w:tabs>
          <w:tab w:leader="none" w:pos="580" w:val="left"/>
        </w:tabs>
        <w:numPr>
          <w:ilvl w:val="0"/>
          <w:numId w:val="5"/>
        </w:numPr>
        <w:rPr>
          <w:rFonts w:ascii="Arial" w:cs="Arial" w:eastAsia="Arial" w:hAnsi="Arial"/>
          <w:sz w:val="13"/>
          <w:szCs w:val="13"/>
          <w:color w:val="auto"/>
        </w:rPr>
      </w:pPr>
      <w:r>
        <w:rPr>
          <w:rFonts w:ascii="Arial" w:cs="Arial" w:eastAsia="Arial" w:hAnsi="Arial"/>
          <w:sz w:val="16"/>
          <w:szCs w:val="16"/>
          <w:color w:val="auto"/>
        </w:rPr>
        <w:t>Growth engines consist of Sonora in the Traditional Printing segment, PROSPER and Software in the Digital Printing segment, brand licensing and Advanced Materials and Functional Printing in the Advanced Materials and Chemicals segment, excluding intellectual property (IP) licensing.</w:t>
      </w:r>
    </w:p>
    <w:p>
      <w:pPr>
        <w:spacing w:after="0" w:line="150" w:lineRule="exact"/>
        <w:rPr>
          <w:rFonts w:ascii="Arial" w:cs="Arial" w:eastAsia="Arial" w:hAnsi="Arial"/>
          <w:sz w:val="13"/>
          <w:szCs w:val="13"/>
          <w:color w:val="auto"/>
        </w:rPr>
      </w:pPr>
    </w:p>
    <w:p>
      <w:pPr>
        <w:ind w:left="580" w:right="40" w:hanging="572"/>
        <w:spacing w:after="0" w:line="263"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Strategic other businesses include plates in the Traditional Printing segment; Computer to Plate (“CTP”) equipment and related service and Nexpress and related toner business in the Digital Printing segment and Motion Picture and Industrial Film and Chemicals (including external inks) and IP licensing in the Advanced Materials and Chemicals segment.</w:t>
      </w:r>
    </w:p>
    <w:p>
      <w:pPr>
        <w:spacing w:after="0" w:line="210" w:lineRule="exact"/>
        <w:rPr>
          <w:rFonts w:ascii="Arial" w:cs="Arial" w:eastAsia="Arial" w:hAnsi="Arial"/>
          <w:sz w:val="15"/>
          <w:szCs w:val="15"/>
          <w:color w:val="auto"/>
        </w:rPr>
      </w:pPr>
    </w:p>
    <w:p>
      <w:pPr>
        <w:ind w:left="580" w:hanging="572"/>
        <w:spacing w:after="0" w:line="25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Consumer Inkjet, Kodak Services for Business and Kodakit in the Advanced Materials and Chemicals segment and Versamark and Digimaster in the Digital Printing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5"/>
                <w:szCs w:val="15"/>
                <w:b w:val="1"/>
                <w:bCs w:val="1"/>
                <w:color w:val="auto"/>
              </w:rPr>
              <w:t>(1):</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4"/>
            <w:vMerge w:val="restart"/>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2"/>
              </w:rPr>
              <w:t>March 31, 2020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Digital</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2"/>
              </w:rPr>
              <w:t>March 31, 2019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Digital</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March 31, 2020 and December 31, 2019 were $1 million and $4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March 31, 2020 and December 31, 2019 were $56 million and $61 million, respectively, of which $39 million and $43 million are reported in Other current liabilities, respectively and $17 million and $18 million, respectively, are reported in Other long-term liabilities in the Consolidated Statement of Financial Position.</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Revenue recognized for the three months ended March 31, 2020 and 2019 that was included in the contract liability balance at the beginning of the year was $26 million and $24 million, respectively, and primarily represented revenue from prepaid service contracts and equipment revenue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color w:val="auto"/>
        </w:rPr>
        <w:t>recognition. Contract liabilities as of March 31, 2020 and 2019 included $19 million and $20 million of cash payments received during the three months ended March 31, 2020 and 2019, respectively.</w:t>
      </w:r>
    </w:p>
    <w:p>
      <w:pPr>
        <w:spacing w:after="0" w:line="19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March 31, 2020, there was approximately $70 million of unrecognized revenue from unsatisfied performance obligations. Approximately 25% of the revenue from unsatisfied performance obligations is expected to be recognized in each of the rest of 2020 and in 2021, with 15% expected to be recognized in 2022 and 35% thereafter.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OPERATING INCOME, NET</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(1)</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Transition services agreement income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 March 2020 Kodak sold a property in the U.S.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15: OTHER (INCOME) CHARGES,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5"/>
              </w:rPr>
              <w:t xml:space="preserve">Change in fair value of embedded conversion features derivative liability </w:t>
            </w:r>
            <w:r>
              <w:rPr>
                <w:rFonts w:ascii="Arial" w:cs="Arial" w:eastAsia="Arial" w:hAnsi="Arial"/>
                <w:sz w:val="15"/>
                <w:szCs w:val="15"/>
                <w:color w:val="auto"/>
                <w:w w:val="95"/>
              </w:rPr>
              <w:t>(1)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Other</w:t>
            </w:r>
          </w:p>
        </w:tc>
        <w:tc>
          <w:tcPr>
            <w:tcW w:w="5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60" w:type="dxa"/>
            <w:vAlign w:val="bottom"/>
            <w:gridSpan w:val="2"/>
          </w:tcPr>
          <w:p>
            <w:pPr>
              <w:ind w:left="1140"/>
              <w:spacing w:after="0"/>
              <w:rPr>
                <w:sz w:val="20"/>
                <w:szCs w:val="20"/>
                <w:color w:val="auto"/>
              </w:rPr>
            </w:pPr>
            <w:r>
              <w:rPr>
                <w:rFonts w:ascii="Arial" w:cs="Arial" w:eastAsia="Arial" w:hAnsi="Arial"/>
                <w:sz w:val="18"/>
                <w:szCs w:val="18"/>
                <w:color w:val="auto"/>
                <w:w w:val="99"/>
              </w:rPr>
              <w:t>Total</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ind w:left="1080"/>
              <w:spacing w:after="0"/>
              <w:rPr>
                <w:sz w:val="20"/>
                <w:szCs w:val="20"/>
                <w:color w:val="auto"/>
              </w:rPr>
            </w:pPr>
            <w:r>
              <w:rPr>
                <w:rFonts w:ascii="Arial" w:cs="Arial" w:eastAsia="Arial" w:hAnsi="Arial"/>
                <w:sz w:val="15"/>
                <w:szCs w:val="15"/>
                <w:color w:val="auto"/>
              </w:rPr>
              <w:t>(1)</w:t>
            </w:r>
          </w:p>
        </w:tc>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Refer to Note 24, “Financial Instruments”.</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60" w:type="dxa"/>
            <w:vAlign w:val="bottom"/>
            <w:gridSpan w:val="2"/>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NOTE 16: INCOME TAXES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40" w:type="dxa"/>
            <w:vAlign w:val="bottom"/>
            <w:gridSpan w:val="3"/>
          </w:tcPr>
          <w:p>
            <w:pPr>
              <w:spacing w:after="0"/>
              <w:rPr>
                <w:sz w:val="20"/>
                <w:szCs w:val="20"/>
                <w:color w:val="auto"/>
              </w:rPr>
            </w:pPr>
            <w:r>
              <w:rPr>
                <w:rFonts w:ascii="Arial" w:cs="Arial" w:eastAsia="Arial" w:hAnsi="Arial"/>
                <w:sz w:val="18"/>
                <w:szCs w:val="18"/>
                <w:color w:val="auto"/>
              </w:rPr>
              <w:t>Kodak’s income tax provision and effective tax rate were as follows: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income taxes</w:t>
            </w:r>
          </w:p>
        </w:tc>
        <w:tc>
          <w:tcPr>
            <w:tcW w:w="5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305.6%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Provision (benefit) for income taxes at U.S. statutory tax</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3"/>
              </w:rPr>
              <w:t>rate</w:t>
            </w: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3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For the three months ended March 31, 2020 and 2019, the difference between Kodak’s effective tax rate and the U.S. statutory rate of 21.0% is primarily attributable to: (1) the impact related to existing valuation allowances associated with changes in net deferred tax assets from current earnings and losses and (2) the results from operations in jurisdictions outside the U.S.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2019, Kodak’s deferred tax asset valuation allowance is $821 million. Of this amount, $168 million was attributable to the Company’s net deferred tax assets outside the U.S. of $322 million, and $653 million related to the Company’s net deferred tax assets in the U.S. of $633 million, for which Kodak believed it was more likely than not that the assets would not be realized.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COVID-19 in locations outside the U.S. Accordingly, Kodak recorded a provision of $167 million associated with the establishment of a valuation allowance on those deferred tax assets.</w:t>
      </w:r>
    </w:p>
    <w:p>
      <w:pPr>
        <w:spacing w:after="0" w:line="142"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Additionally</w:t>
      </w:r>
      <w:r>
        <w:rPr>
          <w:rFonts w:ascii="Arial" w:cs="Arial" w:eastAsia="Arial" w:hAnsi="Arial"/>
          <w:sz w:val="19"/>
          <w:szCs w:val="19"/>
          <w:color w:val="auto"/>
        </w:rPr>
        <w:t>,</w:t>
      </w:r>
      <w:r>
        <w:rPr>
          <w:rFonts w:ascii="Arial" w:cs="Arial" w:eastAsia="Arial" w:hAnsi="Arial"/>
          <w:sz w:val="16"/>
          <w:szCs w:val="16"/>
          <w:color w:val="auto"/>
        </w:rPr>
        <w:t xml:space="preserve"> 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LIABILITIES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2020 were initiated to reduce Kodak’s cost structure as part of its commitment to drive sustainable profitability and included various targeted reductions in manufacturing, service, sales and other administrative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2020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Exit</w:t>
            </w:r>
          </w:p>
        </w:tc>
        <w:tc>
          <w:tcPr>
            <w:tcW w:w="16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Impairments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Severance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100" w:type="dxa"/>
            <w:vAlign w:val="bottom"/>
          </w:tcPr>
          <w:p>
            <w:pPr>
              <w:spacing w:after="0"/>
              <w:rPr>
                <w:sz w:val="20"/>
                <w:szCs w:val="20"/>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 xml:space="preserve">Write-downs </w:t>
            </w:r>
            <w:r>
              <w:rPr>
                <w:rFonts w:ascii="Arial" w:cs="Arial" w:eastAsia="Arial" w:hAnsi="Arial"/>
                <w:sz w:val="15"/>
                <w:szCs w:val="15"/>
                <w:b w:val="1"/>
                <w:bCs w:val="1"/>
                <w:color w:val="auto"/>
                <w:w w:val="91"/>
              </w:rPr>
              <w:t>(1)</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Q1 charges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380" w:right="300" w:hanging="372"/>
        <w:spacing w:after="0" w:line="258"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 w:lineRule="exact"/>
        <w:rPr>
          <w:rFonts w:ascii="Arial" w:cs="Arial" w:eastAsia="Arial" w:hAnsi="Arial"/>
          <w:sz w:val="15"/>
          <w:szCs w:val="15"/>
          <w:color w:val="auto"/>
        </w:rPr>
      </w:pPr>
    </w:p>
    <w:p>
      <w:pPr>
        <w:ind w:left="380" w:right="40" w:hanging="372"/>
        <w:spacing w:after="0" w:line="260"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$(1) million of severance charges funded from pension plan assets, which were reclassified to Pension and other postretirement liabilities and $(1) million of currency translation impacts.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$7 million of charges for the three months ended March 31, 2020 was reported as Restructuring costs and 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severance costs for the three months ended March 31, 2020 related to the elimination of approximately 90 positions including approximately 20 manufacturing/service positions, and 70 administrative and sales positions. The geographic composition of these positions includes approximately 40 in the U.S. and Canada and 50 throughout the rest of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the year.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540" w:type="dxa"/>
            <w:vAlign w:val="bottom"/>
            <w:gridSpan w:val="7"/>
          </w:tcPr>
          <w:p>
            <w:pPr>
              <w:spacing w:after="0"/>
              <w:rPr>
                <w:sz w:val="20"/>
                <w:szCs w:val="20"/>
                <w:color w:val="auto"/>
              </w:rPr>
            </w:pPr>
            <w:r>
              <w:rPr>
                <w:rFonts w:ascii="Arial" w:cs="Arial" w:eastAsia="Arial" w:hAnsi="Arial"/>
                <w:sz w:val="18"/>
                <w:szCs w:val="18"/>
                <w:b w:val="1"/>
                <w:bCs w:val="1"/>
                <w:color w:val="auto"/>
              </w:rPr>
              <w:t>NOTE 18: RETIREMENT PLANS AND OTHER POSTRETIREMENT BENEFITS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60" w:type="dxa"/>
            <w:vAlign w:val="bottom"/>
            <w:gridSpan w:val="11"/>
          </w:tcPr>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6"/>
                <w:szCs w:val="16"/>
                <w:color w:val="auto"/>
              </w:rPr>
              <w:t>(in millions)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Non-U.S.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U.S.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Non-U.S.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8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Service cost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Net pension income from major plans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8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and 2019 the special termination benefits charges were incurred as a result of Kodak’s restructuring actions and have been included in Restructuring costs and other in the Consolidated Statement of Operations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19: EARNINGS PER SHARE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three months ended March 31, 2020 follows (in millions):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Less: Series A convertible preferred stock cash dividend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Series A convertible preferred stock deemed dividend</w:t>
            </w: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Loss from continuing operations available to common</w:t>
            </w:r>
          </w:p>
        </w:tc>
        <w:tc>
          <w:tcPr>
            <w:tcW w:w="1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140"/>
              <w:spacing w:after="0"/>
              <w:rPr>
                <w:sz w:val="20"/>
                <w:szCs w:val="20"/>
                <w:color w:val="auto"/>
              </w:rPr>
            </w:pPr>
            <w:r>
              <w:rPr>
                <w:rFonts w:ascii="Arial" w:cs="Arial" w:eastAsia="Arial" w:hAnsi="Arial"/>
                <w:sz w:val="18"/>
                <w:szCs w:val="18"/>
                <w:color w:val="auto"/>
              </w:rPr>
              <w:t>shareholders - basic and diluted</w:t>
            </w:r>
          </w:p>
        </w:tc>
        <w:tc>
          <w:tcPr>
            <w:tcW w:w="1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5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Series A convertible preferred stock cash dividend</w:t>
            </w: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60" w:type="dxa"/>
            <w:vAlign w:val="bottom"/>
          </w:tcPr>
          <w:p>
            <w:pPr>
              <w:ind w:left="120"/>
              <w:spacing w:after="0"/>
              <w:rPr>
                <w:sz w:val="20"/>
                <w:szCs w:val="20"/>
                <w:color w:val="auto"/>
              </w:rPr>
            </w:pPr>
            <w:r>
              <w:rPr>
                <w:rFonts w:ascii="Arial" w:cs="Arial" w:eastAsia="Arial" w:hAnsi="Arial"/>
                <w:sz w:val="18"/>
                <w:szCs w:val="18"/>
                <w:color w:val="auto"/>
              </w:rPr>
              <w:t>Less: Series A convertible preferred stock deemed dividend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available to common shareholders - basic and diluted</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color w:val="auto"/>
              </w:rPr>
              <w:t>(in millions of shares)</w:t>
            </w: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5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 and diluted</w:t>
            </w:r>
          </w:p>
        </w:tc>
        <w:tc>
          <w:tcPr>
            <w:tcW w:w="1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43.6</w:t>
            </w: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net loss from continuing operations available to common shareholders for the three months ended March 31, 2020 and 2019, Kodak calculated diluted earnings per share using weighted-average basic shares outstanding. If Kodak reported earnings from continuing operations available to common shareholders for the three months ended March 31, 2020 and 2019, the calculation of diluted earnings per share would have included the assumed conversion of 0.3 million and 0.4 million unvested restricted stock units, respectively.</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computation of diluted earnings per share for the three months ended March 31, 2020 and 2019 also excluded the impact of (1) the assumed conversion of 2.0 million shares of Series A Preferred Stock and (2) the assumed conversion of outstanding employee stock options of 6.8 million and 7.0 million, respectively, because the effects would have been anti-dilutive. In addition, the computation of diluted earnings per share for the three months ended March 31, 2020 also excluded the assumed conversion of $100 million of Convertible Notes because the effect would have been anti-dilutive.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SHAREHOLDERS’ EQUITY</w:t>
      </w:r>
    </w:p>
    <w:p>
      <w:pPr>
        <w:spacing w:after="0" w:line="25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Kodak has 560 million shares of authorized stock, consisting of: (i) 500 million shares of common stock, par value $0.01 per share and (ii) 60 million shares of preferred stock, no par value, issuable in one or more series. As of March 31, 2020 and December 31, 2019, there were 43.7 million and 43.2 million shares of common stock outstanding, respectively, and 2.0 million shares of Series A Preferred Stock issued and outstanding. Treasury stock consisted of approximately 0.7 million shares as of both March 31, 2020 and December 31, 2019.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21: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income,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net of tax</w:t>
            </w:r>
          </w:p>
        </w:tc>
        <w:tc>
          <w:tcPr>
            <w:tcW w:w="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5"/>
                <w:szCs w:val="15"/>
                <w:color w:val="auto"/>
              </w:rPr>
              <w:t>(a)</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60" w:type="dxa"/>
            <w:vAlign w:val="bottom"/>
          </w:tcPr>
          <w:p>
            <w:pPr>
              <w:ind w:left="480"/>
              <w:spacing w:after="0"/>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5"/>
                <w:szCs w:val="15"/>
                <w:color w:val="auto"/>
              </w:rPr>
              <w:t>(a)</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Recognition of (gains) losses due to curtailments and settlements</w:t>
            </w:r>
          </w:p>
        </w:tc>
        <w:tc>
          <w:tcPr>
            <w:tcW w:w="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8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18, "Retirement Plans and Other Postretirement Benefits".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January 1, 2020 Kodak changed its organizational structure. Prepress Solutions, formerly part of the Print Systems segment,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Kodak’s reportable segments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 Prosper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the Versamark business and the Kodak Software business.</w:t>
      </w:r>
    </w:p>
    <w:p>
      <w:pPr>
        <w:spacing w:after="0" w:line="189" w:lineRule="exact"/>
        <w:rPr>
          <w:sz w:val="20"/>
          <w:szCs w:val="20"/>
          <w:color w:val="auto"/>
        </w:rPr>
      </w:pPr>
    </w:p>
    <w:p>
      <w:pPr>
        <w:ind w:right="680"/>
        <w:spacing w:after="0" w:line="312" w:lineRule="auto"/>
        <w:rPr>
          <w:sz w:val="20"/>
          <w:szCs w:val="20"/>
          <w:color w:val="auto"/>
        </w:rPr>
      </w:pPr>
      <w:r>
        <w:rPr>
          <w:rFonts w:ascii="Arial" w:cs="Arial" w:eastAsia="Arial" w:hAnsi="Arial"/>
          <w:sz w:val="17"/>
          <w:szCs w:val="17"/>
          <w:b w:val="1"/>
          <w:bCs w:val="1"/>
          <w:color w:val="auto"/>
        </w:rPr>
        <w:t xml:space="preserve">Advanced Materials and Chemicals: </w:t>
      </w:r>
      <w:r>
        <w:rPr>
          <w:rFonts w:ascii="Arial" w:cs="Arial" w:eastAsia="Arial" w:hAnsi="Arial"/>
          <w:sz w:val="17"/>
          <w:szCs w:val="17"/>
          <w:color w:val="auto"/>
        </w:rPr>
        <w:t>The Advanced Materials and Chemicals segment is comprised of five lines of business: Industrial Film and</w:t>
      </w:r>
      <w:r>
        <w:rPr>
          <w:rFonts w:ascii="Arial" w:cs="Arial" w:eastAsia="Arial" w:hAnsi="Arial"/>
          <w:sz w:val="17"/>
          <w:szCs w:val="17"/>
          <w:b w:val="1"/>
          <w:bCs w:val="1"/>
          <w:color w:val="auto"/>
        </w:rPr>
        <w:t xml:space="preserve"> </w:t>
      </w:r>
      <w:r>
        <w:rPr>
          <w:rFonts w:ascii="Arial" w:cs="Arial" w:eastAsia="Arial" w:hAnsi="Arial"/>
          <w:sz w:val="17"/>
          <w:szCs w:val="17"/>
          <w:color w:val="auto"/>
        </w:rPr>
        <w:t>Chemicals, Motion Picture, Advanced Materials and Functional Printing Technology and Kodak Services for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52"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All Other</w:t>
      </w:r>
      <w:r>
        <w:rPr>
          <w:rFonts w:ascii="Arial" w:cs="Arial" w:eastAsia="Arial" w:hAnsi="Arial"/>
          <w:sz w:val="16"/>
          <w:szCs w:val="16"/>
          <w:color w:val="auto"/>
        </w:rPr>
        <w:t>: All Other is comprised of the operations of the Eastman Business Park, a more than 1,200-acre technology center and industrial complex.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Digital Printing</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Brand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Consolidated total</w:t>
            </w:r>
          </w:p>
        </w:tc>
        <w:tc>
          <w:tcPr>
            <w:tcW w:w="1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r>
      <w:tr>
        <w:trPr>
          <w:trHeight w:val="20"/>
        </w:trPr>
        <w:tc>
          <w:tcPr>
            <w:tcW w:w="7500" w:type="dxa"/>
            <w:vAlign w:val="bottom"/>
            <w:gridSpan w:val="3"/>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91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Segment Operational EBITDA and Consolidated Income (Loss) from Continuing Operations Before Income Taxes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Digital Printing</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29"/>
        </w:trPr>
        <w:tc>
          <w:tcPr>
            <w:tcW w:w="58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Brand</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29"/>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All Other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9"/>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9"/>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Former CEO separation agreement compensation</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5"/>
        </w:trPr>
        <w:tc>
          <w:tcPr>
            <w:tcW w:w="58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 excluding income from</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9"/>
        </w:trPr>
        <w:tc>
          <w:tcPr>
            <w:tcW w:w="5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580" w:type="dxa"/>
            <w:vAlign w:val="bottom"/>
          </w:tcPr>
          <w:p>
            <w:pPr>
              <w:spacing w:after="0"/>
              <w:rPr>
                <w:sz w:val="18"/>
                <w:szCs w:val="18"/>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income (loss) from continuing operations</w:t>
            </w:r>
          </w:p>
        </w:tc>
        <w:tc>
          <w:tcPr>
            <w:tcW w:w="14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income taxes</w:t>
            </w:r>
          </w:p>
        </w:tc>
        <w:tc>
          <w:tcPr>
            <w:tcW w:w="1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580" w:type="dxa"/>
            <w:vAlign w:val="bottom"/>
          </w:tcPr>
          <w:p>
            <w:pPr>
              <w:spacing w:after="0" w:line="20" w:lineRule="exact"/>
              <w:rPr>
                <w:sz w:val="1"/>
                <w:szCs w:val="1"/>
                <w:color w:val="auto"/>
              </w:rPr>
            </w:pPr>
          </w:p>
        </w:tc>
        <w:tc>
          <w:tcPr>
            <w:tcW w:w="54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225" w:lineRule="exact"/>
        <w:rPr>
          <w:rFonts w:ascii="Arial" w:cs="Arial" w:eastAsia="Arial" w:hAnsi="Arial"/>
          <w:sz w:val="15"/>
          <w:szCs w:val="15"/>
          <w:color w:val="auto"/>
        </w:rPr>
      </w:pPr>
    </w:p>
    <w:p>
      <w:pPr>
        <w:ind w:left="500" w:right="500" w:hanging="492"/>
        <w:spacing w:after="0" w:line="277" w:lineRule="auto"/>
        <w:tabs>
          <w:tab w:leader="none" w:pos="5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170" w:lineRule="exact"/>
        <w:rPr>
          <w:rFonts w:ascii="Arial" w:cs="Arial" w:eastAsia="Arial" w:hAnsi="Arial"/>
          <w:sz w:val="15"/>
          <w:szCs w:val="15"/>
          <w:color w:val="auto"/>
        </w:rPr>
      </w:pPr>
    </w:p>
    <w:p>
      <w:pPr>
        <w:ind w:left="500" w:right="100" w:hanging="492"/>
        <w:spacing w:after="0" w:line="311"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6"/>
          <w:szCs w:val="16"/>
          <w:color w:val="auto"/>
        </w:rPr>
        <w:t>$2 million of income from the transition services agreement with the Purchaser was recognized in the three months ended March 31, 2020.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148" w:lineRule="exact"/>
        <w:rPr>
          <w:rFonts w:ascii="Arial" w:cs="Arial" w:eastAsia="Arial" w:hAnsi="Arial"/>
          <w:sz w:val="13"/>
          <w:szCs w:val="13"/>
          <w:color w:val="auto"/>
        </w:rPr>
      </w:pPr>
    </w:p>
    <w:p>
      <w:pPr>
        <w:ind w:left="500" w:hanging="492"/>
        <w:spacing w:after="0"/>
        <w:tabs>
          <w:tab w:leader="none" w:pos="5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Chief Executive Officer (“CEO”) separation agreement compensation; other operating income, net (unless otherwise indicated); interest expense; and other income (charges), net.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jc w:val="both"/>
        <w:ind w:right="420"/>
        <w:spacing w:after="0" w:line="311"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 consummated the sale of certain assets of FPD to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 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Kodak recognized an after- tax gain on the sale of FPD of $212 million in the year ended December 31, 2019.</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FPD are presented below:</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Income (loss) from discontinued operations before taxes</w:t>
            </w:r>
          </w:p>
        </w:tc>
        <w:tc>
          <w:tcPr>
            <w:tcW w:w="1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After the initial closing, Kodak was required to use a portion of the proceeds from the sale of FPD to repay $312 million of the loans under the Term Credit Agreement. Interest expense on debt that was required to be repaid as a result of the sale was allocated to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INSTRUMENTS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1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March 31, 2020 and December 31, 2019 was approximately $340 million and $332 million, respectively. The majority of the contracts of this type held by Kodak as of March 31, 2020 and December 31, 2019 are denominated in euros, Japanese yen, Chinese renminbi and Swiss francs.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7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5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3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(gain) loss from derivatives not designated as hedging</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23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quarter ended March 31, 2020.</w:t>
      </w:r>
    </w:p>
    <w:p>
      <w:pPr>
        <w:spacing w:after="0" w:line="25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the event of a default under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discussed in Note 8, “Debt and Finance Leases”, the Company concluded that the Convertible Notes are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derivative is in a liability position at March 31, 2020 and December 31, 2019 and is reported in Other long-term liabilities in the Consolidated Statement of Financial Position. The derivative is being accounted for at fair value with changes in fair value being reported in Other (income) charges, net in the Consolidated Statement of Operations.</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discussed in Note 9,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was in an asset position at March 31, 2020 and is reported in Other long-term assets in the Consolidated Statement of Financial Position. The derivative was in a liability position at December 31, 2019 and was reported in Other long-term liabilities in the Consolidated Statement of Financial Position. The derivative is being accounted for at fair value with changes in fair value being reported in Other (income) charges, net in the Consolidated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March 31, 2020 and December 31, 2019 was $1 million. The gross fair value of foreign currency forward contracts in a liability position as of March 31, 2020 and December 31, 2019 was $1 million and $0 million, respectively.</w:t>
      </w:r>
    </w:p>
    <w:p>
      <w:pPr>
        <w:spacing w:after="0" w:line="21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quarter ended March 31, 2020.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ind w:right="60"/>
        <w:spacing w:after="0" w:line="259" w:lineRule="auto"/>
        <w:rPr>
          <w:sz w:val="20"/>
          <w:szCs w:val="20"/>
          <w:color w:val="auto"/>
        </w:rPr>
      </w:pPr>
      <w:r>
        <w:rPr>
          <w:rFonts w:ascii="Arial" w:cs="Arial" w:eastAsia="Arial" w:hAnsi="Arial"/>
          <w:sz w:val="18"/>
          <w:szCs w:val="18"/>
          <w:color w:val="auto"/>
        </w:rPr>
        <w:t>The fair value of the embedded conversion features and term extension option derivatives are calculated using unobservable inputs (Level 3 fair measurements). The value of the Optional Conversion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key inputs in the determination of fair value for the embedded conversion features and termination option derivatives: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8"/>
        </w:trPr>
        <w:tc>
          <w:tcPr>
            <w:tcW w:w="1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1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Kodak's closing stock price</w:t>
            </w:r>
          </w:p>
        </w:tc>
        <w:tc>
          <w:tcPr>
            <w:tcW w:w="7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104.61%</w:t>
            </w:r>
          </w:p>
        </w:tc>
      </w:tr>
      <w:tr>
        <w:trPr>
          <w:trHeight w:val="230"/>
        </w:trPr>
        <w:tc>
          <w:tcPr>
            <w:tcW w:w="114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 free rate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1140" w:type="dxa"/>
            <w:vAlign w:val="bottom"/>
          </w:tcPr>
          <w:p>
            <w:pPr>
              <w:spacing w:after="0"/>
              <w:rPr>
                <w:sz w:val="20"/>
                <w:szCs w:val="20"/>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Yield on the convertible notes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r>
      <w:tr>
        <w:trPr>
          <w:trHeight w:val="458"/>
        </w:trPr>
        <w:tc>
          <w:tcPr>
            <w:tcW w:w="652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1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4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FF0FC"/>
            </w:tcBorders>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liability ($ millions)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104.61%</w:t>
            </w:r>
          </w:p>
        </w:tc>
      </w:tr>
      <w:tr>
        <w:trPr>
          <w:trHeight w:val="230"/>
        </w:trPr>
        <w:tc>
          <w:tcPr>
            <w:tcW w:w="11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29"/>
        </w:trPr>
        <w:tc>
          <w:tcPr>
            <w:tcW w:w="114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16.27%</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that alter the likelihood of a fundamental change or reorganization event, the value of the Fundamental Change and Reorganization Conversion reflects the value as of the issuance date, amortized for the passage of time. The Fundamental Change and Reorganization Conversion value for the Series A Preferred Stock exceeded the value of the Optional Conversion and Mandatory Conversion values at March 31, 2020 resulting in the Series A Preferred Stock derivative being reported as an asset.</w:t>
      </w:r>
    </w:p>
    <w:p>
      <w:pPr>
        <w:spacing w:after="0" w:line="178"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$106 million and $111 million at March 31, 2020 and December 31, 2019, respectively.</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debt approximate their fair values at both March 31, 2020 and December 31, 2019.</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2019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64"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global economic environment or medical epidemics such as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divestitures, acquisitions, strategic alliances and similar transactions, or to achieve the benefits sought to be achieved from such strategic transactions.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Kodak is a global technology company focused on print and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Its broad portfolio of superior products, responsive support and world-class research and development (“R&amp;D”) make Kodak solutions a smart investment for customers looking to improve their profitability and drive growth.</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decreased $24 million when compared to the prior year quarter (8%), including the unfavorable impact of currency ($3 million) in the current year quarter.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252" w:lineRule="exact"/>
        <w:rPr>
          <w:sz w:val="20"/>
          <w:szCs w:val="20"/>
          <w:color w:val="auto"/>
        </w:rPr>
      </w:pPr>
    </w:p>
    <w:p>
      <w:pPr>
        <w:ind w:left="1000" w:right="180" w:hanging="371"/>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73" w:lineRule="exact"/>
        <w:rPr>
          <w:rFonts w:ascii="Arial" w:cs="Arial" w:eastAsia="Arial" w:hAnsi="Arial"/>
          <w:sz w:val="17"/>
          <w:szCs w:val="17"/>
          <w:color w:val="auto"/>
        </w:rPr>
      </w:pPr>
    </w:p>
    <w:p>
      <w:pPr>
        <w:ind w:left="1000" w:hanging="37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52" w:lineRule="exact"/>
        <w:rPr>
          <w:rFonts w:ascii="Arial" w:cs="Arial" w:eastAsia="Arial" w:hAnsi="Arial"/>
          <w:sz w:val="18"/>
          <w:szCs w:val="18"/>
          <w:color w:val="auto"/>
        </w:rPr>
      </w:pPr>
    </w:p>
    <w:p>
      <w:pPr>
        <w:ind w:left="1000" w:hanging="37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38" w:lineRule="exact"/>
        <w:rPr>
          <w:rFonts w:ascii="Arial" w:cs="Arial" w:eastAsia="Arial" w:hAnsi="Arial"/>
          <w:sz w:val="18"/>
          <w:szCs w:val="18"/>
          <w:color w:val="auto"/>
        </w:rPr>
      </w:pPr>
    </w:p>
    <w:p>
      <w:pPr>
        <w:ind w:left="980" w:hanging="351"/>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9" w:lineRule="exact"/>
        <w:rPr>
          <w:sz w:val="20"/>
          <w:szCs w:val="20"/>
          <w:color w:val="auto"/>
        </w:rPr>
      </w:pPr>
    </w:p>
    <w:p>
      <w:pPr>
        <w:ind w:left="1000" w:right="40" w:hanging="371"/>
        <w:spacing w:after="0" w:line="287"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COVID-19 pandemic did not have a material impact on current quarter sales. However, sales volumes in the second quarter of 2020 are expected to be negatively impacted and collections of accounts receivable are expected to slow. Accounts receivable reserves increased $4 million from December 31, 2019 to March 31, 2020 (4% of accounts receivable at December 31, 2019 to 6% of accounts receivable at March 31, 2020). The duration and extent of demand declines and then recovery is unclear. For the three months ended March 31, 2020, Kodak was able to broadly maintain its operations, but this may change in the future as government and other responses to COVID-19 evolve. Kodak has also worked closely with government officials in the jurisdictions where it operates to keep its manufacturing facilities open during the pandemic to date. Kodak has endeavored to address the recommended actions of government and health authorities to protect employees world-wide, with particular measures in place for those working in plants and distribution facilities. Kodak intends to continue to work with government authorities and implement employee safety measures so that the manufacturing and distribution of products during the pandemic can continue. However, uncertainty resulting from the pandemic could result in an unforeseen disruption to Kodak’s operations or supply chain. Kodak is reducing operating costs, largely beginning in the second quarter of 2020, through the use of temporary furloughs and pay cuts for its employees and the deferral of certain R&amp;D spend while operations are being negatively impacted by the COVID-19 pandemic.</w:t>
      </w:r>
    </w:p>
    <w:p>
      <w:pPr>
        <w:spacing w:after="0" w:line="167" w:lineRule="exact"/>
        <w:rPr>
          <w:rFonts w:ascii="Arial" w:cs="Arial" w:eastAsia="Arial" w:hAnsi="Arial"/>
          <w:sz w:val="16"/>
          <w:szCs w:val="16"/>
          <w:color w:val="auto"/>
        </w:rPr>
      </w:pPr>
    </w:p>
    <w:p>
      <w:pPr>
        <w:ind w:left="1000" w:right="160" w:hanging="371"/>
        <w:spacing w:after="0" w:line="25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convertible debt matures on November 1, 2021, if not converted prior to then and the Series A Preferred Stock must be redeemed on November 15, 2021 if not converted prior to then. Additionally, Kodak has significant ongoing cash requirements to fund operations, restructuring programs, pension and other postretirement obligations, and other obligations. Kodak’s plans to return to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w:t>
      </w:r>
    </w:p>
    <w:p>
      <w:pPr>
        <w:spacing w:after="0" w:line="178" w:lineRule="exact"/>
        <w:rPr>
          <w:rFonts w:ascii="Arial" w:cs="Arial" w:eastAsia="Arial" w:hAnsi="Arial"/>
          <w:sz w:val="18"/>
          <w:szCs w:val="18"/>
          <w:color w:val="auto"/>
        </w:rPr>
      </w:pPr>
    </w:p>
    <w:p>
      <w:pPr>
        <w:ind w:left="1000" w:right="100" w:hanging="371"/>
        <w:spacing w:after="0" w:line="235"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excluding the possible negative impacts during the COVID-19 pandemic, are expected to mitigate the impact of revenue declines on earnings. Traditional Printing revenues accounted for approximately 58% of Kodak’s revenues for the quarter ended March 31, 2020. Traditional Printing’s revenues decreased $12 million (7%) compared with the prior year quarter, including the unfavorable impact of currency ($2 million). Segment earnings declined by $5 million (83%) compared to the prior year quarter, primarily reflecting pricing declines</w:t>
      </w:r>
      <w:r>
        <w:rPr>
          <w:rFonts w:ascii="Arial" w:cs="Arial" w:eastAsia="Arial" w:hAnsi="Arial"/>
          <w:sz w:val="20"/>
          <w:szCs w:val="20"/>
          <w:color w:val="auto"/>
        </w:rPr>
        <w:t>.</w:t>
      </w:r>
    </w:p>
    <w:p>
      <w:pPr>
        <w:spacing w:after="0" w:line="156" w:lineRule="exact"/>
        <w:rPr>
          <w:sz w:val="20"/>
          <w:szCs w:val="20"/>
          <w:color w:val="auto"/>
        </w:rPr>
      </w:pPr>
    </w:p>
    <w:p>
      <w:pPr>
        <w:ind w:left="1040"/>
        <w:spacing w:after="0" w:line="291" w:lineRule="auto"/>
        <w:rPr>
          <w:sz w:val="20"/>
          <w:szCs w:val="20"/>
          <w:color w:val="auto"/>
        </w:rPr>
      </w:pPr>
      <w:r>
        <w:rPr>
          <w:rFonts w:ascii="Arial" w:cs="Arial" w:eastAsia="Arial" w:hAnsi="Arial"/>
          <w:sz w:val="16"/>
          <w:szCs w:val="16"/>
          <w:color w:val="auto"/>
        </w:rPr>
        <w:t>Adverse impacts from COVID-19 are anticipated in the second quarter of 2020. None of the Traditional Printing segment’s manufacturing facilities have been ordered to close by governmental authorities. Many of the segment’s customers around the globe continue to operate, but at decreased volumes. Therefore, demand for the segment’s products is expected to temporarily decline. The Traditional Printing segment may also be impacted by supply chain disruptions and travel restrictions. With the anticipated decline in customer demand, manufacturing volumes are being reduced. The duration and extent of demand declines and then recovery is 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1000" w:right="20" w:hanging="371"/>
        <w:spacing w:after="0" w:line="26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Digital Printing, the legacy VERSAMARK business is expected to continue to decline as a percentage of the segment’s total revenue as the PROSPER business grows. The PROSPER Inkjet Systems business is expected to continue to build profitability, excluding the possible negative impacts during the COVID-19 pandemic. Investment in the next generation technology, Ultrastream, is focused on the ability to place Ultrastream writing systems in original equipment manufacturers and hybrid applications. Digital Printing’s revenues decreased $7 million (10%) compared with the prior year quarter. Segment earnings declined by $1 million (100%) compared to the prior year quarter.</w:t>
      </w:r>
    </w:p>
    <w:p>
      <w:pPr>
        <w:spacing w:after="0" w:line="147" w:lineRule="exact"/>
        <w:rPr>
          <w:sz w:val="20"/>
          <w:szCs w:val="20"/>
          <w:color w:val="auto"/>
        </w:rPr>
      </w:pPr>
    </w:p>
    <w:p>
      <w:pPr>
        <w:ind w:left="1040"/>
        <w:spacing w:after="0" w:line="272" w:lineRule="auto"/>
        <w:rPr>
          <w:sz w:val="20"/>
          <w:szCs w:val="20"/>
          <w:color w:val="auto"/>
        </w:rPr>
      </w:pPr>
      <w:r>
        <w:rPr>
          <w:rFonts w:ascii="Arial" w:cs="Arial" w:eastAsia="Arial" w:hAnsi="Arial"/>
          <w:sz w:val="17"/>
          <w:szCs w:val="17"/>
          <w:color w:val="auto"/>
        </w:rPr>
        <w:t>Adverse impacts from COVID-19 are anticipated in the second quarter of 2020. None of the Digital Printing segment’s manufacturing facilities have been ordered to close by governmental authorities. Many of the segment’s customers around the globe continue to operate, but at decreased volumes. Therefore, demand for the segment’s products is expected to temporarily decline. The Digital Printing segment may also be impacted by supply chain disruptions and travel restrictions. With the anticipated decline in customer demand, manufacturing volumes are being reduced. The duration and extent of demand declines and then recovery is unclear. Manufacturing employees are being temporarily furloughed, as necessary, under reduced production plans. The segment is utilizing furloughs and pay-cuts for non-manufacturing employees in a way which will allow continued operation and product development.</w:t>
      </w:r>
    </w:p>
    <w:p>
      <w:pPr>
        <w:spacing w:after="0" w:line="137" w:lineRule="exact"/>
        <w:rPr>
          <w:sz w:val="20"/>
          <w:szCs w:val="20"/>
          <w:color w:val="auto"/>
        </w:rPr>
      </w:pPr>
    </w:p>
    <w:p>
      <w:pPr>
        <w:ind w:left="1000" w:right="300" w:hanging="371"/>
        <w:spacing w:after="0" w:line="23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Materials and Chemicals revenues declined $6 million compared with the prior year quarter (13%). Despite segment revenues being down, the segment loss improved $2 million (18%) compared with the prior year quarter due to price increases on professional and consumer still photographic film and operating cost reductions. Kodak plans to continue promoting the use of film to utilize as much film manufacturing capacity as possible.</w:t>
      </w:r>
    </w:p>
    <w:p>
      <w:pPr>
        <w:spacing w:after="0" w:line="162" w:lineRule="exact"/>
        <w:rPr>
          <w:sz w:val="20"/>
          <w:szCs w:val="20"/>
          <w:color w:val="auto"/>
        </w:rPr>
      </w:pPr>
    </w:p>
    <w:p>
      <w:pPr>
        <w:ind w:left="1040" w:right="80"/>
        <w:spacing w:after="0" w:line="271" w:lineRule="auto"/>
        <w:rPr>
          <w:sz w:val="20"/>
          <w:szCs w:val="20"/>
          <w:color w:val="auto"/>
        </w:rPr>
      </w:pPr>
      <w:r>
        <w:rPr>
          <w:rFonts w:ascii="Arial" w:cs="Arial" w:eastAsia="Arial" w:hAnsi="Arial"/>
          <w:sz w:val="17"/>
          <w:szCs w:val="17"/>
          <w:color w:val="auto"/>
        </w:rPr>
        <w:t>Adverse impacts from COVID-19 are anticipated in the second quarter of 2020, most notably in Motion Picture where the industry has been heavily impacted and productions in affected regions have been suspended. None of the Advanced Materials and Chemicals segment’s manufacturing facilities have been ordered to close by governmental authorities. However, each of the segment’s product lines are expected to be impacted by lowered demand and may also be impacted by supply chain disruptions and travel restrictions. The duration and extent of demand declines and then recovery is unclear. Manufacturing volumes are being reduced due to the expectation that customer demand will decline in the near-term. Manufacturing employees are being temporarily furloughed, as necessary, under reduced production plans. Most R&amp;D programs within Advanced Materials and Functional Printing have been deferred and associated R&amp;D costs are being significantly reduced through the use of temporary furloughs.</w:t>
      </w:r>
    </w:p>
    <w:p>
      <w:pPr>
        <w:spacing w:after="0" w:line="138" w:lineRule="exact"/>
        <w:rPr>
          <w:sz w:val="20"/>
          <w:szCs w:val="20"/>
          <w:color w:val="auto"/>
        </w:rPr>
      </w:pPr>
    </w:p>
    <w:p>
      <w:pPr>
        <w:ind w:left="1000" w:right="280" w:hanging="371"/>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56" w:lineRule="exact"/>
        <w:rPr>
          <w:rFonts w:ascii="Arial" w:cs="Arial" w:eastAsia="Arial" w:hAnsi="Arial"/>
          <w:sz w:val="18"/>
          <w:szCs w:val="18"/>
          <w:color w:val="auto"/>
        </w:rPr>
      </w:pPr>
    </w:p>
    <w:p>
      <w:pPr>
        <w:ind w:left="1000" w:right="840" w:hanging="371"/>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impacts from COVID-19 are anticipated in the Brand segment in the second quarter of 2020 as many Kodak licensees are experiencing significant slowdowns. The duration and extent of declines and then recovery is unclear.</w:t>
      </w:r>
    </w:p>
    <w:p>
      <w:pPr>
        <w:spacing w:after="0" w:line="129" w:lineRule="exact"/>
        <w:rPr>
          <w:rFonts w:ascii="Arial" w:cs="Arial" w:eastAsia="Arial" w:hAnsi="Arial"/>
          <w:sz w:val="18"/>
          <w:szCs w:val="18"/>
          <w:color w:val="auto"/>
        </w:rPr>
      </w:pPr>
    </w:p>
    <w:p>
      <w:pPr>
        <w:ind w:left="1000" w:right="100" w:hanging="371"/>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Effective January 1, 2020 Kodak changed its organizational structure. Prepress Solutions, formerly part of the Print Systems segment, now operates as a separate segment named the Traditional Printing segment. Electrophotographic Printing Solutions, formerly part of the Print Systems segment, was combined with the Enterprise Inkjet Systems segment and Kodak Software segment to form the Digital Printing segment. The Brand, Film and Imaging segment, except for the licensing of the Kodak brand to third parties, was combined with the Advanced Materials and 3D Printing segment to form the Advanced Materials and Chemicals segment. The licensing of the Kodak brand to third parties operates as a separate segment named the Brand segment. The Eastman Business Park segment is no longer a reportable segment. A description of the reportable segments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continuing operations, which do not meet the criteria of a reportable segment, are reported in All Other and are composed of the Eastman Business Park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Traditional Printing segment is comprised of Prepress Solutions, which includes Kodak’s digital offset plate offerings and computer-to-plate imaging solutions. The Traditional Printing segment provides digital and traditional product and service offerings to a variety of commercial industries, including commercial print, direct mail, book publishing, newspapers and magazines and packaging.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ind w:right="20"/>
        <w:spacing w:after="0" w:line="257" w:lineRule="auto"/>
        <w:rPr>
          <w:sz w:val="20"/>
          <w:szCs w:val="20"/>
          <w:color w:val="auto"/>
        </w:rPr>
      </w:pPr>
      <w:r>
        <w:rPr>
          <w:rFonts w:ascii="Arial" w:cs="Arial" w:eastAsia="Arial" w:hAnsi="Arial"/>
          <w:sz w:val="18"/>
          <w:szCs w:val="18"/>
          <w:color w:val="auto"/>
        </w:rPr>
        <w:t>While the businesses in this segment are experiencing competitive pricing pressures, innovations in Kodak product lines that can command premium prices offset some of the long-term market price erosion. Additionally, Kodak seeks to mitigate the impact of market dynamics on pricing and volume pressures and of increases in manufacturing costs, including aluminum prices, through a combination of price increases, commodity contracts, improved production efficiency and cost reduction initiatives. In January 2019, Kodak received exemptions from U.S. tariffs on aluminum. The U.S. aluminum tariffs are still in place and Kodak’s exemptions continue.</w:t>
      </w:r>
    </w:p>
    <w:p>
      <w:pPr>
        <w:spacing w:after="0" w:line="2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Traditional Printing products and services are sold globally to customers through both a direct sales team as well as indirectly through dealers.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252" w:lineRule="exact"/>
        <w:rPr>
          <w:sz w:val="20"/>
          <w:szCs w:val="20"/>
          <w:color w:val="auto"/>
        </w:rPr>
      </w:pPr>
    </w:p>
    <w:p>
      <w:pPr>
        <w:jc w:val="both"/>
        <w:ind w:left="920" w:right="240" w:hanging="548"/>
        <w:spacing w:after="0" w:line="286"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Digital offset plates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192" w:lineRule="exact"/>
        <w:rPr>
          <w:rFonts w:ascii="Arial" w:cs="Arial" w:eastAsia="Arial" w:hAnsi="Arial"/>
          <w:sz w:val="17"/>
          <w:szCs w:val="17"/>
          <w:color w:val="auto"/>
        </w:rPr>
      </w:pPr>
    </w:p>
    <w:p>
      <w:pPr>
        <w:ind w:left="920" w:right="20" w:hanging="548"/>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Traditional Printing segment also provides service and support related to these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Printing</w:t>
      </w:r>
    </w:p>
    <w:p>
      <w:pPr>
        <w:spacing w:after="0" w:line="229"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color w:val="auto"/>
        </w:rPr>
        <w:t>The Digital Printing segment contains Electrophotographic Printing Solutions, Prosper, Versamark and Software. Digital Printing products include high-quality digital printing solutions using electrically charged toner-based technology</w:t>
      </w:r>
      <w:r>
        <w:rPr>
          <w:rFonts w:ascii="Arial" w:cs="Arial" w:eastAsia="Arial" w:hAnsi="Arial"/>
          <w:sz w:val="20"/>
          <w:szCs w:val="20"/>
          <w:color w:val="auto"/>
        </w:rPr>
        <w:t>,</w:t>
      </w:r>
      <w:r>
        <w:rPr>
          <w:rFonts w:ascii="Arial" w:cs="Arial" w:eastAsia="Arial" w:hAnsi="Arial"/>
          <w:sz w:val="17"/>
          <w:szCs w:val="17"/>
          <w:color w:val="auto"/>
        </w:rPr>
        <w:t xml:space="preserve"> production press systems, consumables (primarily ink), inkjet components, software and services. Digital Printing products are distributed directly by Kodak and indirectly through dealers.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920" w:right="340" w:hanging="548"/>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NEXFINITY printers produce high-quality, differentiated printing of short-run, personalized print applications, such as direct mail, books, marketing collateral and photo products.</w:t>
      </w:r>
    </w:p>
    <w:p>
      <w:pPr>
        <w:spacing w:after="0" w:line="197" w:lineRule="exact"/>
        <w:rPr>
          <w:rFonts w:ascii="Arial" w:cs="Arial" w:eastAsia="Arial" w:hAnsi="Arial"/>
          <w:sz w:val="18"/>
          <w:szCs w:val="18"/>
          <w:color w:val="auto"/>
        </w:rPr>
      </w:pPr>
    </w:p>
    <w:p>
      <w:pPr>
        <w:ind w:left="920" w:right="400" w:hanging="548"/>
        <w:spacing w:after="0" w:line="263"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 Kodak has ceased manufacturing Digimaster printers but continues to sell consumables into the installed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117" w:lineRule="exact"/>
        <w:rPr>
          <w:sz w:val="20"/>
          <w:szCs w:val="20"/>
          <w:color w:val="auto"/>
        </w:rPr>
      </w:pPr>
    </w:p>
    <w:p>
      <w:pPr>
        <w:ind w:left="920" w:right="20" w:hanging="548"/>
        <w:spacing w:after="0" w:line="290"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92" w:lineRule="exact"/>
        <w:rPr>
          <w:rFonts w:ascii="Arial" w:cs="Arial" w:eastAsia="Arial" w:hAnsi="Arial"/>
          <w:sz w:val="16"/>
          <w:szCs w:val="16"/>
          <w:color w:val="auto"/>
        </w:rPr>
      </w:pPr>
    </w:p>
    <w:p>
      <w:pPr>
        <w:ind w:left="920" w:hanging="548"/>
        <w:spacing w:after="0" w:line="279"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closed on the first sale of an Ultrastream writing system for use in a packaging application in December of 2019 with Uteco Group. Uteco Group has integrated Ultrastream in a packaging press solution.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1" w:name="page32"/>
    <w:bookmarkEnd w:id="31"/>
    <w:p>
      <w:pPr>
        <w:ind w:left="920" w:right="80" w:hanging="548"/>
        <w:spacing w:after="0" w:line="263"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117" w:lineRule="exact"/>
        <w:rPr>
          <w:sz w:val="20"/>
          <w:szCs w:val="20"/>
          <w:color w:val="auto"/>
        </w:rPr>
      </w:pPr>
    </w:p>
    <w:p>
      <w:pPr>
        <w:ind w:left="920" w:right="40" w:hanging="548"/>
        <w:spacing w:after="0" w:line="311"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related service from Kodak. Applications of the VERSAMARK products include publishing, transactional, commercial print and direct mail.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52" w:lineRule="exact"/>
        <w:rPr>
          <w:sz w:val="20"/>
          <w:szCs w:val="20"/>
          <w:color w:val="auto"/>
        </w:rPr>
      </w:pPr>
    </w:p>
    <w:p>
      <w:pPr>
        <w:ind w:left="920" w:right="200" w:hanging="548"/>
        <w:spacing w:after="0" w:line="273"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w:t>
      </w:r>
    </w:p>
    <w:p>
      <w:pPr>
        <w:spacing w:after="0" w:line="204" w:lineRule="exact"/>
        <w:rPr>
          <w:rFonts w:ascii="Arial" w:cs="Arial" w:eastAsia="Arial" w:hAnsi="Arial"/>
          <w:sz w:val="17"/>
          <w:szCs w:val="17"/>
          <w:color w:val="auto"/>
        </w:rPr>
      </w:pPr>
    </w:p>
    <w:p>
      <w:pPr>
        <w:ind w:left="920" w:right="580" w:hanging="548"/>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Software business includes digital front-end controllers which manage the delivery of personalized content to digital presses while controlling color and print consistency.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Advanced Materials and Chemicals segment is comprised of four lines of business: Industrial Film and Chemicals, Motion Picture, Advanced Materials and Functional Printing and Kodak Services for Business (“KSB”). Kodak’s Advanced Materials and Chemicals products are distributed directly by Kodak and indirectly through dealers. Kodak Alaris, a professional and consumer still photographic film and chemicals customer, represented approximately 20% of total Advanced Materials and Chemicals segment revenues in 2019. The Company and Kodak Alaris are parties to countersuits (see Note 6: Other Current Liabilities in the consolidated financial statements). Kodak Alaris primarily buys still photographic film from the Company. In April 2020, Kodak Alaris advised Kodak that unrelated to the countersuits it did not intend to pay undisputed invoices for three months to conserve its cash resources during the COVID-19 pandemic. Kodak has given default notices to Kodak Alaris with respect to invoices not paid in accordance with the 45-day payment terms and, on May 9, 2020, gave termination notice to Kodak Alaris under the film supply contract based on Kodak Alaris’ failure to pay past due amounts within the 30-day cure period. Kodak is not restricted from selling its still photographic film directly or through other distributors and retailers in addition to or substitution for film sold to Kodak Alaris, although if sales of film to Kodak Alaris are reduced or cease for any reason there may be a delay in Kodak sales to third parties other than Kodak Alaris during a transitional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252" w:lineRule="exact"/>
        <w:rPr>
          <w:sz w:val="20"/>
          <w:szCs w:val="20"/>
          <w:color w:val="auto"/>
        </w:rPr>
      </w:pPr>
    </w:p>
    <w:p>
      <w:pPr>
        <w:ind w:left="920" w:right="100" w:hanging="548"/>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97" w:lineRule="exact"/>
        <w:rPr>
          <w:rFonts w:ascii="Arial" w:cs="Arial" w:eastAsia="Arial" w:hAnsi="Arial"/>
          <w:sz w:val="18"/>
          <w:szCs w:val="18"/>
          <w:color w:val="auto"/>
        </w:rPr>
      </w:pPr>
    </w:p>
    <w:p>
      <w:pPr>
        <w:ind w:left="920" w:hanging="54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252" w:lineRule="exact"/>
        <w:rPr>
          <w:rFonts w:ascii="Arial" w:cs="Arial" w:eastAsia="Arial" w:hAnsi="Arial"/>
          <w:sz w:val="18"/>
          <w:szCs w:val="18"/>
          <w:color w:val="auto"/>
        </w:rPr>
      </w:pPr>
    </w:p>
    <w:p>
      <w:pPr>
        <w:ind w:left="920" w:hanging="54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Offers specialty inks and dispersions to third parties.</w:t>
      </w:r>
    </w:p>
    <w:p>
      <w:pPr>
        <w:spacing w:after="0" w:line="252" w:lineRule="exact"/>
        <w:rPr>
          <w:rFonts w:ascii="Arial" w:cs="Arial" w:eastAsia="Arial" w:hAnsi="Arial"/>
          <w:sz w:val="18"/>
          <w:szCs w:val="18"/>
          <w:color w:val="auto"/>
        </w:rPr>
      </w:pPr>
    </w:p>
    <w:p>
      <w:pPr>
        <w:ind w:left="920" w:right="160" w:hanging="548"/>
        <w:spacing w:after="0" w:line="308"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Consumer Inkjet Solutions. Starting in 2013, Kodak stopped manufacturing consumer inkjet printers and focused on the sale of ink to its installed printer base. Kodak’s final build of ink inventory is expected to be depleted in the second quarter of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252" w:lineRule="exact"/>
        <w:rPr>
          <w:sz w:val="20"/>
          <w:szCs w:val="20"/>
          <w:color w:val="auto"/>
        </w:rPr>
      </w:pPr>
    </w:p>
    <w:p>
      <w:pPr>
        <w:ind w:left="920" w:right="380" w:hanging="548"/>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97" w:lineRule="exact"/>
        <w:rPr>
          <w:rFonts w:ascii="Arial" w:cs="Arial" w:eastAsia="Arial" w:hAnsi="Arial"/>
          <w:sz w:val="18"/>
          <w:szCs w:val="18"/>
          <w:color w:val="auto"/>
        </w:rPr>
      </w:pPr>
    </w:p>
    <w:p>
      <w:pPr>
        <w:ind w:left="920" w:hanging="54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Advanced Materials and Functional Printing</w:t>
      </w:r>
    </w:p>
    <w:p>
      <w:pPr>
        <w:spacing w:after="0" w:line="25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Advanced Materials</w:t>
      </w:r>
    </w:p>
    <w:p>
      <w:pPr>
        <w:spacing w:after="0" w:line="252" w:lineRule="exact"/>
        <w:rPr>
          <w:rFonts w:ascii="Arial" w:cs="Arial" w:eastAsia="Arial" w:hAnsi="Arial"/>
          <w:sz w:val="18"/>
          <w:szCs w:val="18"/>
          <w:color w:val="auto"/>
        </w:rPr>
      </w:pPr>
    </w:p>
    <w:p>
      <w:pPr>
        <w:ind w:left="940" w:right="100" w:hanging="365"/>
        <w:spacing w:after="0" w:line="259" w:lineRule="auto"/>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Advanced Materials develops solutions for component smart materials based on the materials science inventions and innovations from the research laboratories. There are multiple applications that Kodak contemplates addressing in this category. Currently, the primary focus is on light blocking particles (Kodalux) for the textile market. In addition, a specialty material is manufactured by this group for use by a 3D printing customer.</w:t>
      </w:r>
    </w:p>
    <w:p>
      <w:pPr>
        <w:spacing w:after="0" w:line="213"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Functional Printing:</w:t>
      </w:r>
    </w:p>
    <w:p>
      <w:pPr>
        <w:spacing w:after="0" w:line="252" w:lineRule="exact"/>
        <w:rPr>
          <w:rFonts w:ascii="Arial" w:cs="Arial" w:eastAsia="Arial" w:hAnsi="Arial"/>
          <w:sz w:val="18"/>
          <w:szCs w:val="18"/>
          <w:color w:val="auto"/>
        </w:rPr>
      </w:pPr>
    </w:p>
    <w:p>
      <w:pPr>
        <w:ind w:left="940" w:right="160" w:hanging="365"/>
        <w:spacing w:after="0" w:line="342" w:lineRule="auto"/>
        <w:tabs>
          <w:tab w:leader="none" w:pos="9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Functional Printing concentrates on contract manufacturing, development partnerships, and/or licensing opportunities in very high-resolution 3D printing solutions such as printed electronics. Also, a portfolio of products is offered to enable others to utilize functional printing.</w:t>
      </w:r>
    </w:p>
    <w:p>
      <w:pPr>
        <w:spacing w:after="0" w:line="150"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IP Licensing:</w:t>
      </w:r>
    </w:p>
    <w:p>
      <w:pPr>
        <w:spacing w:after="0" w:line="252" w:lineRule="exact"/>
        <w:rPr>
          <w:rFonts w:ascii="Arial" w:cs="Arial" w:eastAsia="Arial" w:hAnsi="Arial"/>
          <w:sz w:val="18"/>
          <w:szCs w:val="18"/>
          <w:color w:val="auto"/>
        </w:rPr>
      </w:pPr>
    </w:p>
    <w:p>
      <w:pPr>
        <w:ind w:left="940" w:right="200" w:hanging="365"/>
        <w:spacing w:after="0" w:line="286"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192" w:lineRule="exact"/>
        <w:rPr>
          <w:rFonts w:ascii="Arial" w:cs="Arial" w:eastAsia="Arial" w:hAnsi="Arial"/>
          <w:sz w:val="17"/>
          <w:szCs w:val="17"/>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Kodak Services for Business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40" w:right="140" w:hanging="365"/>
        <w:spacing w:after="0" w:line="293" w:lineRule="auto"/>
        <w:tabs>
          <w:tab w:leader="none" w:pos="9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KSB assists organizations with challenges and opportunities created by the worldwide digital transformation. It provides business process outsourcing services, scan and capture solutions, records conversion services, workflow solutions, content management, and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 Sales in KSB are project-based and can vary from year to year depending on the nature and number of projects in existence that year. KSB currently operates exclusively in Asia, primarily in China and Hong Kong.</w:t>
      </w:r>
    </w:p>
    <w:p>
      <w:pPr>
        <w:spacing w:after="0" w:line="191"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Kodakit</w:t>
      </w:r>
    </w:p>
    <w:p>
      <w:pPr>
        <w:spacing w:after="0" w:line="252" w:lineRule="exact"/>
        <w:rPr>
          <w:rFonts w:ascii="Arial" w:cs="Arial" w:eastAsia="Arial" w:hAnsi="Arial"/>
          <w:sz w:val="18"/>
          <w:szCs w:val="18"/>
          <w:color w:val="auto"/>
        </w:rPr>
      </w:pPr>
    </w:p>
    <w:p>
      <w:pPr>
        <w:ind w:left="940" w:right="300" w:hanging="365"/>
        <w:spacing w:after="0" w:line="308" w:lineRule="auto"/>
        <w:tabs>
          <w:tab w:leader="none" w:pos="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Kodakit was a platform that connected businesses with professional photographers to cater to their photography needs. Customers included global hotels and online travel agencies, real estate companies, marketplaces, advertising agencies and global brands.</w:t>
      </w:r>
    </w:p>
    <w:p>
      <w:pPr>
        <w:spacing w:after="0" w:line="173" w:lineRule="exact"/>
        <w:rPr>
          <w:rFonts w:ascii="Arial" w:cs="Arial" w:eastAsia="Arial" w:hAnsi="Arial"/>
          <w:sz w:val="17"/>
          <w:szCs w:val="17"/>
          <w:color w:val="auto"/>
        </w:rPr>
      </w:pPr>
    </w:p>
    <w:p>
      <w:pPr>
        <w:ind w:left="940" w:hanging="365"/>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Kodak decided to discontinue the operations of Kodakit in October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p>
    <w:p>
      <w:pPr>
        <w:spacing w:after="0" w:line="25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Brand segment 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 Brand licensees use the Kodak brand on their products and use their own distribution channels.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3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Digital Printing</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3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Brand</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3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3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0" w:type="dxa"/>
            <w:vAlign w:val="bottom"/>
            <w:vMerge w:val="restart"/>
          </w:tcPr>
          <w:p>
            <w:pPr>
              <w:jc w:val="right"/>
              <w:ind w:right="163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Segment Operational EBITDA and Consolidated Income (Loss) from Continuing Operations Before Income Taxes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Digital Printing</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Brand</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Former CEO separation agreement compensation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Other operating income, net, excluding income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Consolidated (loss) income from continuing operations</w:t>
            </w: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before income taxes</w:t>
            </w:r>
          </w:p>
        </w:tc>
        <w:tc>
          <w:tcPr>
            <w:tcW w:w="1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00" w:right="380" w:hanging="492"/>
        <w:spacing w:after="0" w:line="277"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560" w:right="40" w:hanging="552"/>
        <w:spacing w:after="0" w:line="286" w:lineRule="auto"/>
        <w:tabs>
          <w:tab w:leader="none" w:pos="560" w:val="left"/>
        </w:tabs>
        <w:numPr>
          <w:ilvl w:val="0"/>
          <w:numId w:val="26"/>
        </w:numPr>
        <w:rPr>
          <w:rFonts w:ascii="Arial" w:cs="Arial" w:eastAsia="Arial" w:hAnsi="Arial"/>
          <w:sz w:val="14"/>
          <w:szCs w:val="14"/>
          <w:color w:val="auto"/>
        </w:rPr>
      </w:pPr>
      <w:r>
        <w:rPr>
          <w:rFonts w:ascii="Arial" w:cs="Arial" w:eastAsia="Arial" w:hAnsi="Arial"/>
          <w:sz w:val="17"/>
          <w:szCs w:val="17"/>
          <w:color w:val="auto"/>
        </w:rPr>
        <w:t>$2 million of income from the transition services agreement with the Purchaser was recognized in the quarter ended March 31, 2020.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57" w:lineRule="exact"/>
        <w:rPr>
          <w:rFonts w:ascii="Arial" w:cs="Arial" w:eastAsia="Arial" w:hAnsi="Arial"/>
          <w:sz w:val="14"/>
          <w:szCs w:val="14"/>
          <w:color w:val="auto"/>
        </w:rPr>
      </w:pPr>
    </w:p>
    <w:p>
      <w:pPr>
        <w:ind w:left="560" w:hanging="552"/>
        <w:spacing w:after="0"/>
        <w:tabs>
          <w:tab w:leader="none" w:pos="5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income, net (unless otherwise indicated); interest expense; and other income (charges), net.</w:t>
      </w:r>
    </w:p>
    <w:p>
      <w:pPr>
        <w:spacing w:after="0" w:line="19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2020 COMPARED WITH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w w:val="92"/>
              </w:rPr>
              <w:t>Three Months Ended March 31,</w:t>
            </w: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ind w:right="687"/>
              <w:spacing w:after="0" w:line="205" w:lineRule="exact"/>
              <w:rPr>
                <w:sz w:val="20"/>
                <w:szCs w:val="20"/>
                <w:color w:val="auto"/>
              </w:rPr>
            </w:pPr>
            <w:r>
              <w:rPr>
                <w:rFonts w:ascii="Arial" w:cs="Arial" w:eastAsia="Arial" w:hAnsi="Arial"/>
                <w:sz w:val="18"/>
                <w:szCs w:val="18"/>
                <w:b w:val="1"/>
                <w:bCs w:val="1"/>
                <w:color w:val="auto"/>
              </w:rPr>
              <w:t>% of</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rPr>
              <w:t>% of</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Pr>
          <w:p>
            <w:pPr>
              <w:spacing w:after="0"/>
              <w:rPr>
                <w:sz w:val="20"/>
                <w:szCs w:val="20"/>
                <w:color w:val="auto"/>
              </w:rPr>
            </w:pPr>
          </w:p>
        </w:tc>
        <w:tc>
          <w:tcPr>
            <w:tcW w:w="1360" w:type="dxa"/>
            <w:vAlign w:val="bottom"/>
            <w:gridSpan w:val="3"/>
          </w:tcPr>
          <w:p>
            <w:pPr>
              <w:jc w:val="right"/>
              <w:ind w:right="687"/>
              <w:spacing w:after="0"/>
              <w:rPr>
                <w:sz w:val="20"/>
                <w:szCs w:val="20"/>
                <w:color w:val="auto"/>
              </w:rPr>
            </w:pPr>
            <w:r>
              <w:rPr>
                <w:rFonts w:ascii="Arial" w:cs="Arial" w:eastAsia="Arial" w:hAnsi="Arial"/>
                <w:sz w:val="18"/>
                <w:szCs w:val="18"/>
                <w:b w:val="1"/>
                <w:bCs w:val="1"/>
                <w:color w:val="auto"/>
              </w:rPr>
              <w:t>Sales</w:t>
            </w: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Loss from continuing operations before interest</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expense, other (income) charges, net and income taxes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(53)</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Earnings (loss) from continuing operations before</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three months ended March 31, 2020 revenues declined $24 million compared with the same period in 2019, driven by volume declines and unfavorable pricing within Traditional Printing ($5 million and $4 million, respectively), volume declines in Digital Printing and Advanced Materials and Chemicals (both $10 million) and unfavorable foreign currency ($3 million). The revenue declines were offset by improved pricing and product mix in Advanced Materials and Chemicals ($4 million) and favorable mix of products in Digital Printing ($3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Gross profit for the three months ended March 31, 2020 declined approximately $4 million compared with the same period in 2019 reflecting unfavorable pricing in Traditional Printing ($5 million), volume declines in Advanced Materials and Chemicals ($3 million) and unfavorable costs in Digital Printing ($4 million) and Advanced Materials and Chemicals ($2 million) partially offset by favorable pricing and product mix in Advanced Materials and Chemicals ($4 million), favorable mix of products in Digital Printing ($3 million) and lower depreciation and amortization expenses ($5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Consolidated SG&amp;A decreased $11 million for the quarter ended March 31, 2020 primarily due to lower investment in segment selling and marketing activities ($7 million), lower consulting and project costs ($3 million), lower stock-based compensation ($2 million) as well as $2 million of compensation included in the former CEO separation agreement in the prior year partially offset by bad debt expense due to issues caused by the COVID-19 pandemic ($3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R&amp;D expenses decreased $2 million for the quarter ended March 31, 2020 primarily due to cost reduction efforts.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Charges</w:t>
      </w:r>
    </w:p>
    <w:p>
      <w:pPr>
        <w:spacing w:after="0" w:line="27"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change in Other (income) charges was primarily driven by the embedded conversion features derivative liability associated with the Convertible Notes. Refer to Note 15, “Other (Income) Charges, Net” and Note 24,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Provision for Income Taxes was primarily driven by the $167 million provision associated with the establishment of a valuation allowance on deferred tax assets outside the U.S. Refer to Note 16, “Income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Loss from Discontinued Operations</w:t>
      </w:r>
    </w:p>
    <w:p>
      <w:pPr>
        <w:spacing w:after="0" w:line="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Loss from discontinued operations in the prior year period reflects the results from the FPD business prior to consummating the sale of the business in April 2019. Refer to Note 23,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9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jc w:val="both"/>
        <w:ind w:right="340"/>
        <w:spacing w:after="0" w:line="323" w:lineRule="auto"/>
        <w:rPr>
          <w:sz w:val="20"/>
          <w:szCs w:val="20"/>
          <w:color w:val="auto"/>
        </w:rPr>
      </w:pPr>
      <w:r>
        <w:rPr>
          <w:rFonts w:ascii="Arial" w:cs="Arial" w:eastAsia="Arial" w:hAnsi="Arial"/>
          <w:sz w:val="16"/>
          <w:szCs w:val="16"/>
          <w:color w:val="auto"/>
        </w:rPr>
        <w:t>The decrease in Traditional Printing revenues for the three months ended March 31, 2020 of approximately $12 million primarily reflected volume and pricing declines ($4 million and $5 million, respectively) in Prepress Solutions consumables and service, and unfavorable foreign currency ($2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Traditional Printing Operational EBITDA for the three months ended March 31, 2020 declined $5 million compared to the prior year reflecting pricing declines ($5 million) in Prepress Solutions consumables, an increase in bad debt expense ($2 million) and aluminum tariff refunds received in 2019 ($2 million) partially offset by lower sales and marketing expenses ($3 million) and lower aluminum costs in the current year ($2 million).</w:t>
      </w:r>
    </w:p>
    <w:p>
      <w:pPr>
        <w:spacing w:after="0" w:line="1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2018 U.S. tariffs imposed on aluminum purchases were included as part of the cost of printing plates sold. In January 2019, Kodak received retroactive exemptions from U.S. tariffs on aluminum. Due to the exemptions, all aluminum tariffs paid by Kodak in prior periods were recognized as a cost reduction in the prior year-to-date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0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decline in Digital Printing revenues for the three months ended March 31, 2020 of approximately $7 million primarily reflected volume declines in Electrophotographic Printing Solutions consumables and service ($4 million), volume declines in Electrophotographic Printing Solutions equipment ($2 million), volume declines in PROSPER systems ($1 million) and volume declines in VERSAMARK service and consumables ($2 million) due to declines in the installed base of VERSAMARK systems partially offset by improved volume and pricing in PROSPER components ($2 million and $1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Digital Printing Operational EBITDA for the three months ended March 31, 2020 declined $1 million driven by higher manufacturing costs in Electrophotographic Printing Solutions ($3 million) partially offset by the improved mix from higher sales of PROSPER components ($1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ADVANCED MATERIALS AND CHEMICALS SEGMENT</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4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080" w:type="dxa"/>
            <w:vAlign w:val="bottom"/>
          </w:tcPr>
          <w:p>
            <w:pPr>
              <w:spacing w:after="0"/>
              <w:rPr>
                <w:sz w:val="24"/>
                <w:szCs w:val="24"/>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Advanced Materials and Chemicals revenues for the three months ended March 31, 2020 declined $6 million primarily from volume declines in Motion Picture ($3 million) due to timing of productions and Consumer Inkjet Solutions ($2 million) driven by lower sales of ink to the existing installed base of printers. Additionally, current year revenues for Kodak Services for Business declined ($2 million) primarily due to operations in Asia being impacted by COVID-19, and the prior period including revenues from Kodakit ($2 million) which has since stopped operating. Partially offsetting these impacts was improved pricing ($2 million) and improved product mix ($2 million) in Industrial Film and Chemicals.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Advanced Materials and Chemicals Operational EBITDA improved $2 million for the three months ended March 31, 2020 primarily due to favorable pricing ($2 million) and improved product mix ($2 million) in Industrial Film and Chemicals. Also contributing were lower selling and administrative expenses ($2 million) driven by the wind down of Kodakit. Partially offsetting were unfavorable cost impacts in Industrial Film and Chemicals ($2 million) and volume declines in Consumer Inkjet Solutions, Motion Picture and Kodakit (each $1 million) as discussed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0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 revenues for the three months ended March 31, 2020 were flat compared to the prior year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Brand Operational EBITDA for the three months ended March 31, 2020 improved $1 million compared with the prior year quarter primarily due to lower sales and marketing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Kodak recorded $7 million of charges for the quarter ended March 31, 2020, in Restructuring costs and other in the Consolidated Statement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$7 million during the quarter ended March 31, 2020.</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restructuring actions implemented in the first three months of 2020 are expected to generate future annual cash savings of approximately $8 million. These savings are expected to reduce future annual Cost of revenues and SG&amp;A expenses by $1 million and $7 million, respectively. Kodak began realizing a portion of these savings in the first three months of 2020 and expects the majority of the annual savings to be in effect by the end of the year as actions are completed.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 UPDATE</w:t>
      </w:r>
    </w:p>
    <w:p>
      <w:pPr>
        <w:spacing w:after="0" w:line="25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Updates to critical accounting policies and estimates in Kodak’s 2019 Annual Report on Form 10-K are presented in this section. Refer to Item 7. “Management’s Discussion and Analysis of Financial Condition and Results of Operations” in the 2019 Annual Report on Form 10-K for a complete discussion of all Kodak’s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Useful Lives of Long-Lived Assets, Including Goodwill and Intangible Assets</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Given the decline in Kodak’s market capitalization from the last goodwill impairment test (December 31, 2019) and the uncertainty resulting from the COVID-19 pandemic on its operations, Kodak performed an interim goodwill impairment test as of March 31, 2020.</w:t>
      </w:r>
    </w:p>
    <w:p>
      <w:pPr>
        <w:spacing w:after="0" w:line="21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 As a result of the change in segments that became effective as of January 1, 2020, Kodak’s goodwill reporting units changed. The Digital Printing segment has three goodwill reporting units: Electrophotographic Printing Solutions, Prosper and Versamark, and Software. The Advanced Materials and Chemicals segment has three goodwill reporting units: Motion Picture and Industrial Films and Chemicals, Advanced Materials and Functional Printing and Kodak Services for Business. The Traditional Printing segment, Brand segment and Eastman Business Park segment each have one goodwill reporting unit.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goodwill balance of $12 million under the prior year segment reporting structure was comprised of $6 million for the Brand, Film and Imaging segment and $6 million for the Kodak Software segment, which had only one reporting unit (Software). The goodwill in the Brand, Film and Imaging segment was reported in the Consumer Products reporting unit.</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goodwill previously reported in the Consumer Products goodwill reporting unit was transferred to the Brand goodwill reporting unit using a relative fair value allocation to affected reporting units. Goodwill previously reported in the Software reporting unit was transferred to the Digital Printing segment and continues to remain its own reporting unit.</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 significant cushion that existed for both the Brand and Software reporting units based on the December 31, 2019 impairment test, Kodak updated the fair value of all its reporting units as of March 31, 2020 using only the discounted cash flow method. Kodak established an estimate of future cash flows for the period ranging from April 1, 2020 to December 31, 2024 and discounted the estimated future cash flows to present value. The expected cash flows were derived from earnings forecasts and assumptions regarding the timing and impact of the COVID-19 pandemic on each reporting unit.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21% to 55% were utilized in the valuation based on Kodak’s best estimates of the after-tax weighted-average cost of capital of each reporting unit.</w:t>
      </w:r>
    </w:p>
    <w:p>
      <w:pPr>
        <w:spacing w:after="0" w:line="2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terminal value was included for all reporting units at the end of the cash flow projection period to reflect the remaining value that the reporting unit is expected to generate. The terminal value was calculated using either the constant growth method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Based upon the results of Kodak’s March 31, 2020 analysis,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 or as a result of changes in operating segments or reporting units.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Kodak also updated the fair value of the Kodak trade name as of March 31, 2020. The fair value of the Kodak trade name, which has a carrying value of $21 million, was valued using the income approach, specifically the relief from royalty method based on the following significant assumptions: (a) forecasted revenues ranging from April 1, 2020 to December 31, 2024, including a terminal year with growth rates ranging from –2.5% to 3% (b) an after-tax royalty rate of 0.4% of expected net sales, and (c) discount rates ranging from 23% to 32%, which were based on the after-tax weighted-average cost of capital.</w:t>
      </w:r>
    </w:p>
    <w:p>
      <w:pPr>
        <w:spacing w:after="0" w:line="21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Based on the results of Kodak’s March 31, 2020 assessment, the carrying value of the Kodak trade name exceeded its fair value and Kodak recorded a pre-tax impairment charge of $3 million. Impairment of the Kodak trade name could occur in the future if estimated revenues decline or if there are significant changes in the discount or royalty rates. A one percent increase in the discount rate and a 10 percent miss in expected revenues would impact the fair value of the Kodak trade name by $2 million.</w:t>
      </w:r>
    </w:p>
    <w:p>
      <w:pPr>
        <w:spacing w:after="0" w:line="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right="20"/>
        <w:spacing w:after="0" w:line="254" w:lineRule="auto"/>
        <w:rPr>
          <w:sz w:val="20"/>
          <w:szCs w:val="20"/>
          <w:color w:val="auto"/>
        </w:rPr>
      </w:pPr>
      <w:r>
        <w:rPr>
          <w:rFonts w:ascii="Arial" w:cs="Arial" w:eastAsia="Arial" w:hAnsi="Arial"/>
          <w:sz w:val="18"/>
          <w:szCs w:val="18"/>
          <w:color w:val="auto"/>
        </w:rPr>
        <w:t>Kodak updated its estimate of undiscounted cash flows for each asset group as of March 31, 2020 using a probability weighted approach in determining the likelihood of possible adverse impacts from the COVID-19 pandemic. Estimated cash flows for the Film asset group are being negatively impacted as the Motion Picture industry has been heavily impacted and productions in affected regions have been suspended. As of March 31, 2020, the total estimated cash flows, without consideration from cash flows expected from the eventual disposition of the primary assets of the group, exceeded their carrying value by approximately 15%. No impairment indicators were noted for the other asset groups. Impairment of long-lived assets other than goodwill and indefinite lived intangible assets could occur in the future if expected estimated future cash flows decline or if there are significant changes in the estimated useful life of the assets.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Kodak is facing liquidity challenges due to operating losses and low or negative cash flow from operations, collateral needs and restrictions on the movement of cash from China. Cash flow from operations in 2019 benefited from working capital improvements and individual transactions that occurred during the year. The Company’s Convertible Notes do not require any debt service until conversion or maturity on November 1, 2021. The Series A Preferred Stock must be redeemed on November 15, 2021 if not converted prior to then. Kodak has ongoing significant cash requirements to fund operations, restructuring programs, pension and other postretirement obligations, and other obligations. Kodak’s plans to return to sustainable positive cash flow include growing revenues profitably, reducing operating expenses, continuing to simplify the organizational structure, generating cash from selling and leasing underutilized assets and paring investment in new technology by eliminating or delaying product development programs. Additionally, the Company looks to implement ways to reduce collateral needs in the U.S. while accessing available cash in Chinese subsidiaries.</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Kodak’s products are sold and serviced in numerous countries across the globe with more than half of sales generated outside the U. S. Current global economic conditions are highly volatile due to the COVID-19 pandemic, resulting in market size contractions in many countries due to economic slowdowns and government restrictions on movement. It is expected that conversion of accounts receivable to cash will take longer and that collection risk has increased. The economic uncertainty surrounding the COVID-19 pandemic is an additional complexity in Kodak’s plans to return to sustainable positive cash flow. To mitigate the economic impacts of the pandemic Kodak is employing temporary furloughs and pay reductions, scaling manufacturing volumes due to expectations of reduced volumes, and delaying an increased number of product development programs. The Company is also seeking to take advantage of any available government incentives around the world in response to the COVID-19 pandemic such as employee related tax deferrals or holidays, wage subsidies and loan programs including those under the U.S. CARES Act, although the Company has not yet been able to take advantage of any loan programs and may not qualify for any loans under the programs created under the U.S. CARES Act. Many of the available government incentives for which the Company qualifies are in the form of deferrals of payments that will be required to be paid in the future.</w:t>
      </w:r>
    </w:p>
    <w:p>
      <w:pPr>
        <w:spacing w:after="0" w:line="1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current cash balance outside of China, recent trend of negative operating cash flow, maturity and redemption dates in 2021 for the Convertible Notes and Series A Preferred Stock, increased challenges in managing cash during the COVID-19 pandemic and general lack of certainty regarding the return to positive cash flow raise substantial doubt about Kodak’s ability to continue as a going concern</w:t>
      </w:r>
      <w:r>
        <w:rPr>
          <w:rFonts w:ascii="Arial" w:cs="Arial" w:eastAsia="Arial" w:hAnsi="Arial"/>
          <w:sz w:val="18"/>
          <w:szCs w:val="18"/>
          <w:b w:val="1"/>
          <w:bCs w:val="1"/>
          <w:color w:val="auto"/>
        </w:rPr>
        <w:t>.</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Refer to the Going Concern section of Note 1, “Basis of Presentation and Recent Accounting Pronouncements”; Note 8, "Debt and Finance Leases," and Note 9, “Redeemable, Convertible Series A Preferred Stock” in the Notes to Financial Statements for further discussion. Refer to Note 2, “Cash, Cash Equivalents and Restricted Cash” for a reconciliation of cash, cash equivalents and restricted cash.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700"/>
              <w:spacing w:after="0"/>
              <w:rPr>
                <w:sz w:val="20"/>
                <w:szCs w:val="20"/>
                <w:color w:val="auto"/>
              </w:rPr>
            </w:pPr>
            <w:r>
              <w:rPr>
                <w:rFonts w:ascii="Arial" w:cs="Arial" w:eastAsia="Arial" w:hAnsi="Arial"/>
                <w:sz w:val="16"/>
                <w:szCs w:val="16"/>
                <w:color w:val="auto"/>
              </w:rPr>
              <w:t>(in millions)</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Cash, cash equivalents, restricted cash and cash in</w:t>
            </w:r>
          </w:p>
        </w:tc>
        <w:tc>
          <w:tcPr>
            <w:tcW w:w="16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 held for sale</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bottom w:val="single" w:sz="8" w:color="CFF0FC"/>
            </w:tcBorders>
            <w:vMerge w:val="restart"/>
          </w:tcPr>
          <w:p>
            <w:pPr>
              <w:jc w:val="right"/>
              <w:ind w:right="1190"/>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5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5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Net cash used in operating activities</w:t>
            </w:r>
          </w:p>
        </w:tc>
        <w:tc>
          <w:tcPr>
            <w:tcW w:w="21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(41)</w:t>
            </w:r>
          </w:p>
        </w:tc>
        <w:tc>
          <w:tcPr>
            <w:tcW w:w="400" w:type="dxa"/>
            <w:vAlign w:val="bottom"/>
            <w:tcBorders>
              <w:top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5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Net cash used in investing activities</w:t>
            </w:r>
          </w:p>
        </w:tc>
        <w:tc>
          <w:tcPr>
            <w:tcW w:w="2140" w:type="dxa"/>
            <w:vAlign w:val="bottom"/>
            <w:tcBorders>
              <w:top w:val="single" w:sz="8" w:color="CFF0FC"/>
            </w:tcBorders>
            <w:gridSpan w:val="2"/>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5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8"/>
              </w:rPr>
              <w:t>Effect of exchange rate changes on cash and restricted cash</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gridSpan w:val="5"/>
          </w:tcPr>
          <w:p>
            <w:pPr>
              <w:ind w:left="1140"/>
              <w:spacing w:after="0"/>
              <w:rPr>
                <w:sz w:val="20"/>
                <w:szCs w:val="20"/>
                <w:color w:val="auto"/>
              </w:rPr>
            </w:pPr>
            <w:r>
              <w:rPr>
                <w:rFonts w:ascii="Arial" w:cs="Arial" w:eastAsia="Arial" w:hAnsi="Arial"/>
                <w:sz w:val="18"/>
                <w:szCs w:val="18"/>
                <w:color w:val="auto"/>
              </w:rPr>
              <w:t>Net decrease in cash, cash equivalents, restricted cash</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and cash in assets held for sale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Net cash used in operating activities increased $29 million for the three months ended March 31, 2020 as compared with the corresponding period in 2019 primarily due to increased cash spend on inventory and a smaller build of accounts payable in the current year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cash used in investing activities improved $2 million for the three months ended March 31, 2020 as compared with the corresponding period in 2019 due to an increase in proceeds received from the sale of assets and returns on investments in the current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Net cash used in financing activities in the three months ended March 31, 2020 compares $6 million unfavorably to the corresponding period in 2019 driven by the proceeds from the RED – Rochester borrowing partially offset by the payment of contingent consideration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Available liquidity includes cash balances and the unused portion of the ABL Credit Agreement. The ABL Credit Agreement had $17 million of net availability (“Excess Availability”) as of March 31, 2020. The amount of available liquidity is subject to fluctuations and includes cash balances held by various entities worldwide. At March 31, 2020 and December 31, 2019 approximately $62 million and $72 million, respectively, of cash and cash equivalents were held within the U.S. and approximately $147 million and $161 million, respectively, of cash and cash equivalents and cash in assets held for sale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March 31, 2020 and December 31, 2019, outstanding inter-company loans to the U.S. were $416 million and $408 million, respectively, which includes short-term inter-company loans from Kodak’s international finance center of $117 million and $110 million,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$88 million and $89 million of cash and cash equivalents was held as of March 31, 2020 and December 31, 2018, respectively, there are limitations related to net asset balances that may impact the ability to make cash available to other jurisdictions in the world. Under the terms of the ABL Credit Agreement, the Company is permitted to invest up to $100 million in subsidiaries and joint ventures that are not party to the ABL Credit Agreement. On May 12, 2020, a Chinese subsidiary of Kodak transferred approximately $70 million to a U.S. subsidiary of Kodak in anticipation of an inter-company transaction.</w:t>
      </w:r>
    </w:p>
    <w:p>
      <w:pPr>
        <w:spacing w:after="0" w:line="19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2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March 27, 2020, the Company and the Subsidiary Guarantors entered into the Amendment with the Lenders and Bank of America, N.A., as administrative and collateral agent.</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Amendment decreased the available asset-based revolving loans (the “ABL Loans”) and letters of credit from an aggregate amount of up to $120 million to $110 million, subject to the Borrowing Base.</w:t>
      </w:r>
    </w:p>
    <w:p>
      <w:pPr>
        <w:spacing w:after="0" w:line="19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had issued approximately $80 million of letters of credit under the ABL Credit Agreement as of both March 31, 2020 and December 31, 2019. As a result of the additional reduction in lender commitments, the minimum Excess Availability decreased to $13.75 million from the previous amount of $15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Amendment also changed Equipment Availability from (i) the lesser of 75% of Net Orderly Liquidation Value of Eligible Equipment or $6 million to</w:t>
      </w:r>
    </w:p>
    <w:p>
      <w:pPr>
        <w:spacing w:after="0" w:line="46" w:lineRule="exact"/>
        <w:rPr>
          <w:sz w:val="20"/>
          <w:szCs w:val="20"/>
          <w:color w:val="auto"/>
        </w:rPr>
      </w:pPr>
    </w:p>
    <w:p>
      <w:pPr>
        <w:jc w:val="center"/>
        <w:ind w:left="5480" w:right="500" w:hanging="5472"/>
        <w:spacing w:after="0" w:line="511" w:lineRule="auto"/>
        <w:tabs>
          <w:tab w:leader="none" w:pos="2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lesser of 70% of Net Orderly Liquidation Value of Eligible Equipment or $14.75 million as of March 31, 2020. The Equipment Availability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74" w:right="459" w:bottom="1440" w:gutter="0" w:footer="0" w:header="0"/>
        </w:sectPr>
      </w:pPr>
    </w:p>
    <w:bookmarkStart w:id="40" w:name="page41"/>
    <w:bookmarkEnd w:id="40"/>
    <w:p>
      <w:pPr>
        <w:ind w:right="480"/>
        <w:spacing w:after="0" w:line="277" w:lineRule="auto"/>
        <w:rPr>
          <w:sz w:val="20"/>
          <w:szCs w:val="20"/>
          <w:color w:val="auto"/>
        </w:rPr>
      </w:pPr>
      <w:r>
        <w:rPr>
          <w:rFonts w:ascii="Arial" w:cs="Arial" w:eastAsia="Arial" w:hAnsi="Arial"/>
          <w:sz w:val="18"/>
          <w:szCs w:val="18"/>
          <w:color w:val="auto"/>
        </w:rPr>
        <w:t>was $14.75 million for March 31, 2020. The $14.75 million amount decreases by $1 million per quarter starting on July 1, 2020 until maturity or the amount is decreased to $0, whichever comes first.</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had approximately $17 million and $22 million of Excess Availability under the ABL Credit Agreement as of March 31, 2020 and December 31, 2019, respectively. To maintain Excess Availability of greater than 12.5% of lender commitments ($13.75 million and $18.75 million as of March 31, 2020 and December 31, 2019, respectively), Kodak funded $3 million and $22 million to the Eligible Cash account held with the ABL Credit Agreement Administrative Agent as of March 31, 2020 and December 31, 2019, respectively, which is classified as Restricted Cash in the Consolidated Statement of Financial Position. The changes provided by the Amendment to the Excess Availability and Equipment Availability combined with increases in Eligible Receivables and Eligible Inventory allowed the Company to decrease Eligible Cash by $13 million without causing Excess Availability to fall below 12.5% of lender commitments.</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ABL Credit Agreement, if Excess Availability ($17 million at March 31, 2020) falls below 12.5% of lender commitments ($13.75 million at March 31, 2020),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ABL Credit Agreement increase, if the remaining assets included in the borrowing base are not sufficient to support the required Excess Availability amount, funding of Eligible Cash may be required. Eligible Receivables, Eligible Inventory and Eligible Equipment have the meaning ascribed to these terms in the ABL Credit Agreement. Kodak intends to maintain Excess Availability above the minimum threshold. Since Excess Availability was greater than 12.5% of lender commitments as of March 31, 2020, Kodak is not required to have a minimum Fixed Charge Coverage Ratio of 1.0 to 1.0. As of March 31, 2020 Fixed Charges exceeded EBITDA (as defined in the ABL Credit Agreement) by approximately $14 million, therefore, the Fixed Charge Coverage Ratio was less than 1.0 to 1.0.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Company’s current credit ratings or a further ratings downgrade, the Company could be required to provide up to $13 million of letters of credit to the issuers of certain surety bonds in the future to fully collateralize the bonds. In April 2020, one of the surety bond issuers notified the Company it will require approximately $6 million of incremental collateral by June 15, 2020.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31, 2020 and December 31, 2019, Kodak had funded $3 million and $22 million, respectively, to the Eligible Cash account held with the ABL Credit Agreement Administrative Agent which was classified as Restricted cash in the Consolidated Statement of Financial Position, supporting the Excess Availability amount.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$3 million to its defined benefit pension and postretirement benefit plans in the first three months of 2020. For the balance of 2020, the forecasted contribution (funded plans) and benefit payment (unfunded plans) requirements for its pension and postretirement plans are approximately $13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Cash flow from investing activities included $4 million of capital expenditures for the three months ended March 31, 2020. Kodak expects approximately $10 million to $15 million of total capital expenditures for 2020.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the participation of Kodak’s Executive Chairman and Chief Financial Officer, has evaluated the effectiveness of Kodak’s disclosure controls and procedures as of the end of the period covered by this Quarterly Report on Form 10-Q. Kodak’s Executive Chairman and Chief Financial Officer have concluded that, as of the end of the period covered by this Quarterly Report on Form 10-Q, Kodak’s disclosure controls and procedures (as defined in Rules 13a-15(e) and 15d-15(e) under the Exchange Act) were effective.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2020, Kodak’s Brazilian Operations maintained accruals of approximately $3 million for claims aggregating approximately $118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Reference is made to the Risk Factors set forth in Part I, Item 1A. of the 2019 Form 10-K. The Risk Factors remain applicable from the 2019 Form 10-K. In particular, Kodak continues to face risks associated with the COVID-19 pandemic as described in the 2019 Form 10-K under the captions “Risk Factors —Weakness or worsening of global economic conditions could adversely affect Kodak’s financial performance and liquidity” and “—Business disruptions could seriously harm Kodak’s future revenue and financial condition and increase its costs and expenses”. Certain known consequences to Kodak from the COVID-19 pandemic are disclosed in the financial statements contained in this Form 10-Q and under the caption “Management’s Discussion and Analysis of Financial Condition and Results of Operation.” The full extent to which the COVID-19 pandemic will impact Kodak’s results will depend on future developments, which are highly uncertain and cannot be predicted at the time of this filing, including new information which may emerge concerning the scope and duration of the pandemic and the restrictions and other actions implemented to fight it, among others. Direct and indirect effects from the COVID-19 pandemic could have a material adverse effect on the continuity of Kodak’s business operations and its results of operations and financial position, particularly if such effects have an extended duration.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20" w:right="5160" w:hanging="458"/>
        <w:spacing w:after="0" w:line="563" w:lineRule="auto"/>
        <w:tabs>
          <w:tab w:leader="none" w:pos="48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March 31, 2020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520" w:right="4740" w:hanging="458"/>
        <w:spacing w:after="0" w:line="282" w:lineRule="auto"/>
        <w:tabs>
          <w:tab w:leader="none" w:pos="48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March 31, 2020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Price Paid</w:t>
            </w:r>
          </w:p>
        </w:tc>
        <w:tc>
          <w:tcPr>
            <w:tcW w:w="1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3.78</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February 1 through 29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March 1 through 31</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n/a</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00" w:right="560" w:hanging="492"/>
        <w:spacing w:after="0" w:line="277" w:lineRule="auto"/>
        <w:tabs>
          <w:tab w:leader="none" w:pos="5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Items 3, 4 and 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1"/>
              </w:rPr>
              <w:t>Index to Exhibits</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w:t>
            </w:r>
          </w:p>
        </w:tc>
        <w:tc>
          <w:tcPr>
            <w:tcW w:w="9700" w:type="dxa"/>
            <w:vAlign w:val="bottom"/>
            <w:tcBorders>
              <w:bottom w:val="single" w:sz="8" w:color="0000EE"/>
            </w:tcBorders>
            <w:gridSpan w:val="9"/>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Second Amended and Restated Certificate of Incorporation of Eastman Kodak Company (Incorporated by reference to Exhibit (4.1) of</w:t>
              </w:r>
            </w:hyperlink>
          </w:p>
        </w:tc>
        <w:tc>
          <w:tcPr>
            <w:tcW w:w="14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6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the Company’s Registration Statement on Form S-8 as filed on September 3, 2013).</w:t>
              </w:r>
            </w:hyperlink>
          </w:p>
        </w:tc>
        <w:tc>
          <w:tcPr>
            <w:tcW w:w="3820" w:type="dxa"/>
            <w:vAlign w:val="bottom"/>
            <w:gridSpan w:val="8"/>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40" w:type="dxa"/>
            <w:vAlign w:val="bottom"/>
            <w:gridSpan w:val="11"/>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by reference to Exhibit (3.1) of the Company’s Current Report on Form 8-K as filed November 16, 2016).</w:t>
              </w:r>
            </w:hyperlink>
          </w:p>
        </w:tc>
      </w:tr>
      <w:tr>
        <w:trPr>
          <w:trHeight w:val="20"/>
        </w:trPr>
        <w:tc>
          <w:tcPr>
            <w:tcW w:w="14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(3.3)</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by reference to Exhibit (3.1) of the Company’s Current Report on Form 8-K as filed September 12, 2019).</w:t>
              </w:r>
            </w:hyperlink>
          </w:p>
        </w:tc>
        <w:tc>
          <w:tcPr>
            <w:tcW w:w="2200" w:type="dxa"/>
            <w:vAlign w:val="bottom"/>
            <w:gridSpan w:val="6"/>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(3.4)</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Certificate of Amendment to the Second Amended and Restated Certificate of Incorporation of Eastman Kodak Company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by reference to Exhibit (3.2) of the Company’s Current Report on Form 8-K as filed September 12, 2019).</w:t>
              </w:r>
            </w:hyperlink>
          </w:p>
        </w:tc>
        <w:tc>
          <w:tcPr>
            <w:tcW w:w="2200" w:type="dxa"/>
            <w:vAlign w:val="bottom"/>
            <w:gridSpan w:val="6"/>
          </w:tcPr>
          <w:p>
            <w:pPr>
              <w:spacing w:after="0"/>
              <w:rPr>
                <w:sz w:val="17"/>
                <w:szCs w:val="17"/>
                <w:color w:val="auto"/>
              </w:rPr>
            </w:pPr>
          </w:p>
        </w:tc>
      </w:tr>
      <w:tr>
        <w:trPr>
          <w:trHeight w:val="480"/>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9840" w:type="dxa"/>
            <w:vAlign w:val="bottom"/>
            <w:gridSpan w:val="11"/>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Fourth Amended and Restated By-Laws of Eastman Kodak Company, filed herewith.</w:t>
              </w:r>
            </w:hyperlink>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89"/>
              </w:rPr>
              <w:t>(10.1)</w:t>
            </w:r>
          </w:p>
        </w:tc>
        <w:tc>
          <w:tcPr>
            <w:tcW w:w="95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Amendment No. 3 to Amended and Restated Credit Agreement, dated as of March 27, 2020 by and among Company, the subsidiary</w:t>
              </w:r>
            </w:hyperlink>
          </w:p>
        </w:tc>
        <w:tc>
          <w:tcPr>
            <w:tcW w:w="300" w:type="dxa"/>
            <w:vAlign w:val="bottom"/>
            <w:gridSpan w:val="3"/>
          </w:tcPr>
          <w:p>
            <w:pPr>
              <w:spacing w:after="0"/>
              <w:rPr>
                <w:sz w:val="24"/>
                <w:szCs w:val="24"/>
                <w:color w:val="auto"/>
              </w:rPr>
            </w:pPr>
          </w:p>
        </w:tc>
      </w:tr>
      <w:tr>
        <w:trPr>
          <w:trHeight w:val="237"/>
        </w:trPr>
        <w:tc>
          <w:tcPr>
            <w:tcW w:w="1420" w:type="dxa"/>
            <w:vAlign w:val="bottom"/>
          </w:tcPr>
          <w:p>
            <w:pPr>
              <w:spacing w:after="0"/>
              <w:rPr>
                <w:sz w:val="20"/>
                <w:szCs w:val="20"/>
                <w:color w:val="auto"/>
              </w:rPr>
            </w:pPr>
          </w:p>
        </w:tc>
        <w:tc>
          <w:tcPr>
            <w:tcW w:w="9840" w:type="dxa"/>
            <w:vAlign w:val="bottom"/>
            <w:gridSpan w:val="11"/>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Guarantors, the lenders party thereto and Bank of America, N.A., as administrative and collateral agent), filed herewith.</w:t>
              </w:r>
            </w:hyperlink>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9840" w:type="dxa"/>
            <w:vAlign w:val="bottom"/>
            <w:gridSpan w:val="11"/>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Certification signed by James V. Continenza, filed herewith.</w:t>
              </w:r>
            </w:hyperlink>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9840" w:type="dxa"/>
            <w:vAlign w:val="bottom"/>
            <w:gridSpan w:val="11"/>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signed by David E. Bullwinkle, filed herewith.</w:t>
              </w:r>
            </w:hyperlink>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(32.1)</w:t>
            </w:r>
          </w:p>
        </w:tc>
        <w:tc>
          <w:tcPr>
            <w:tcW w:w="95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Certification Pursuant to 18 U.S.C. Section 1350, as Adopted Pursuant to Section 906 of the Sarbanes-Oxley Act of 2002, signed by</w:t>
              </w:r>
            </w:hyperlink>
          </w:p>
        </w:tc>
        <w:tc>
          <w:tcPr>
            <w:tcW w:w="320" w:type="dxa"/>
            <w:vAlign w:val="bottom"/>
            <w:gridSpan w:val="4"/>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James V. Continenza, filed herewith.</w:t>
              </w:r>
            </w:hyperlink>
          </w:p>
        </w:tc>
        <w:tc>
          <w:tcPr>
            <w:tcW w:w="7200" w:type="dxa"/>
            <w:vAlign w:val="bottom"/>
            <w:gridSpan w:val="9"/>
          </w:tcPr>
          <w:p>
            <w:pPr>
              <w:spacing w:after="0"/>
              <w:rPr>
                <w:sz w:val="17"/>
                <w:szCs w:val="17"/>
                <w:color w:val="auto"/>
              </w:rPr>
            </w:pPr>
          </w:p>
        </w:tc>
      </w:tr>
      <w:tr>
        <w:trPr>
          <w:trHeight w:val="439"/>
        </w:trPr>
        <w:tc>
          <w:tcPr>
            <w:tcW w:w="142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9840" w:type="dxa"/>
            <w:vAlign w:val="bottom"/>
            <w:gridSpan w:val="11"/>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Certification Pursuant to 18 U.S.C. Section 1350, as Adopted Pursuant to Section 906 of the Sarbanes-Oxley Act of 2002 signed by</w:t>
              </w:r>
            </w:hyperlink>
          </w:p>
        </w:tc>
      </w:tr>
      <w:tr>
        <w:trPr>
          <w:trHeight w:val="196"/>
        </w:trPr>
        <w:tc>
          <w:tcPr>
            <w:tcW w:w="1420" w:type="dxa"/>
            <w:vAlign w:val="bottom"/>
          </w:tcPr>
          <w:p>
            <w:pPr>
              <w:spacing w:after="0"/>
              <w:rPr>
                <w:sz w:val="17"/>
                <w:szCs w:val="17"/>
                <w:color w:val="auto"/>
              </w:rPr>
            </w:pPr>
          </w:p>
        </w:tc>
        <w:tc>
          <w:tcPr>
            <w:tcW w:w="9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David E. Bullwinkle, filed herewith</w:t>
              </w:r>
              <w:r>
                <w:rPr>
                  <w:rFonts w:ascii="Arial" w:cs="Arial" w:eastAsia="Arial" w:hAnsi="Arial"/>
                  <w:sz w:val="18"/>
                  <w:szCs w:val="18"/>
                  <w:color w:val="000000"/>
                </w:rPr>
                <w:t>.</w:t>
              </w:r>
            </w:hyperlink>
          </w:p>
        </w:tc>
        <w:tc>
          <w:tcPr>
            <w:tcW w:w="380" w:type="dxa"/>
            <w:vAlign w:val="bottom"/>
            <w:gridSpan w:val="5"/>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260" w:type="dxa"/>
            <w:vAlign w:val="bottom"/>
            <w:gridSpan w:val="10"/>
          </w:tcPr>
          <w:p>
            <w:pPr>
              <w:spacing w:after="0" w:line="20" w:lineRule="exact"/>
              <w:rPr>
                <w:sz w:val="1"/>
                <w:szCs w:val="1"/>
                <w:color w:val="auto"/>
              </w:rPr>
            </w:pPr>
          </w:p>
        </w:tc>
      </w:tr>
      <w:tr>
        <w:trPr>
          <w:trHeight w:val="480"/>
        </w:trPr>
        <w:tc>
          <w:tcPr>
            <w:tcW w:w="1420" w:type="dxa"/>
            <w:vAlign w:val="bottom"/>
          </w:tcPr>
          <w:p>
            <w:pPr>
              <w:jc w:val="center"/>
              <w:spacing w:after="0"/>
              <w:rPr>
                <w:sz w:val="20"/>
                <w:szCs w:val="20"/>
                <w:color w:val="auto"/>
              </w:rPr>
            </w:pPr>
            <w:r>
              <w:rPr>
                <w:rFonts w:ascii="Arial" w:cs="Arial" w:eastAsia="Arial" w:hAnsi="Arial"/>
                <w:sz w:val="18"/>
                <w:szCs w:val="18"/>
                <w:color w:val="auto"/>
                <w:w w:val="95"/>
              </w:rPr>
              <w:t>(101.CAL)</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6"/>
              </w:rPr>
              <w:t>(101.INS)</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2"/>
              </w:rPr>
              <w:t>(101.PRE)</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42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98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918"/>
        </w:trPr>
        <w:tc>
          <w:tcPr>
            <w:tcW w:w="1420" w:type="dxa"/>
            <w:vAlign w:val="bottom"/>
          </w:tcPr>
          <w:p>
            <w:pPr>
              <w:spacing w:after="0"/>
              <w:rPr>
                <w:sz w:val="24"/>
                <w:szCs w:val="24"/>
                <w:color w:val="auto"/>
              </w:rPr>
            </w:pPr>
          </w:p>
        </w:tc>
        <w:tc>
          <w:tcPr>
            <w:tcW w:w="6020" w:type="dxa"/>
            <w:vAlign w:val="bottom"/>
            <w:gridSpan w:val="3"/>
          </w:tcPr>
          <w:p>
            <w:pPr>
              <w:jc w:val="center"/>
              <w:ind w:left="2310"/>
              <w:spacing w:after="0"/>
              <w:rPr>
                <w:sz w:val="20"/>
                <w:szCs w:val="20"/>
                <w:color w:val="auto"/>
              </w:rPr>
            </w:pPr>
            <w:r>
              <w:rPr>
                <w:rFonts w:ascii="Arial" w:cs="Arial" w:eastAsia="Arial" w:hAnsi="Arial"/>
                <w:sz w:val="18"/>
                <w:szCs w:val="18"/>
                <w:color w:val="auto"/>
                <w:w w:val="99"/>
              </w:rPr>
              <w:t>[44]</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00" w:type="dxa"/>
            <w:vAlign w:val="bottom"/>
          </w:tcPr>
          <w:p>
            <w:pPr>
              <w:spacing w:after="0"/>
              <w:rPr>
                <w:sz w:val="20"/>
                <w:szCs w:val="20"/>
                <w:color w:val="auto"/>
              </w:rPr>
            </w:pPr>
            <w:r>
              <w:rPr>
                <w:rFonts w:ascii="Arial" w:cs="Arial" w:eastAsia="Arial" w:hAnsi="Arial"/>
                <w:sz w:val="18"/>
                <w:szCs w:val="18"/>
                <w:b w:val="1"/>
                <w:bCs w:val="1"/>
                <w:color w:val="auto"/>
              </w:rPr>
              <w:t>Date May 12,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New Jersey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 BY-LAWS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23, 2017, as amended April 2,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Annual Meetings of Shareholders.</w:t>
      </w:r>
    </w:p>
    <w:p>
      <w:pPr>
        <w:spacing w:after="0" w:line="22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An annual meeting of the shareholders of the corporation, for the election of directors and for the transaction of other business properly before the meeting, shall be held in each year, on the date and at the time and place, as shall be fixed from time to time by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The Board may, in its sole discretion and in compliance with applicable laws, determine that an annual meeting of shareholders shall not be held at any physical place, but instead may be held solely by means of remote communication equipment.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Section 2. Special Meetings of Shareholders.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Special meetings of the shareholders, except where otherwise provided by law or these by-laws, may be called to be held on the date and at the time and place fixed by the Board, the Chairman of the Board (the “</w:t>
      </w:r>
      <w:r>
        <w:rPr>
          <w:rFonts w:ascii="Arial" w:cs="Arial" w:eastAsia="Arial" w:hAnsi="Arial"/>
          <w:sz w:val="18"/>
          <w:szCs w:val="18"/>
          <w:u w:val="single" w:color="auto"/>
          <w:color w:val="auto"/>
        </w:rPr>
        <w:t>Chairman</w:t>
      </w:r>
      <w:r>
        <w:rPr>
          <w:rFonts w:ascii="Arial" w:cs="Arial" w:eastAsia="Arial" w:hAnsi="Arial"/>
          <w:sz w:val="18"/>
          <w:szCs w:val="18"/>
          <w:color w:val="auto"/>
        </w:rPr>
        <w:t>”), or the President, and shall be called by the Chairman, the President or the Secretary at the request in writing of a majority of the Board or at the request in writing of shareholders owning, in the aggregate, shares entitled to at least 20% of the total number of votes represented by the entire amount of capital stock of the corporation issued and outstanding and entitled to vote at the meeting. The request shall state the purpose or purposes of the proposed meeting and shall include (i) a request for the inclusion in the notice of meeting of the proposal(s) the requesting shareholder(s) desires to bring before the meeting, (ii) the text of the proposal(s), (iii) the requesting shareholder(s)’ name(s) and address(es) and (iv) the number and class of all shares of each class of stock of the corporation owned of record and beneficially (pursuant to Rules 13d-3 and 13d-5 under the Securities Exchange Act of 1934 (as amended from time to time, the “</w:t>
      </w:r>
      <w:r>
        <w:rPr>
          <w:rFonts w:ascii="Arial" w:cs="Arial" w:eastAsia="Arial" w:hAnsi="Arial"/>
          <w:sz w:val="18"/>
          <w:szCs w:val="18"/>
          <w:u w:val="single" w:color="auto"/>
          <w:color w:val="auto"/>
        </w:rPr>
        <w:t>Exchange Act</w:t>
      </w:r>
      <w:r>
        <w:rPr>
          <w:rFonts w:ascii="Arial" w:cs="Arial" w:eastAsia="Arial" w:hAnsi="Arial"/>
          <w:sz w:val="18"/>
          <w:szCs w:val="18"/>
          <w:color w:val="auto"/>
        </w:rPr>
        <w:t>”)) by the requesting shareholder(s). The Secretary shall (as promptly as practicable but in no event more than ten days following delivery of a request) determine whether the request has been made by shareholders owning and holding, in the aggregate, the number of shares necessary to request a special meeting pursuant to this Section 2. Upon the Secretary’s finding that the requisite number of shares have made the request, the Board shall determine (as promptly as practicable but in no event more than ten days following the date of the Secretary’s finding) whether the request is valid under applicable law, and if the request is determined to be valid shall fix a place and time for the meeting, which time shall be not less than ninety nor more than one hundred days after the receipt of the meeting request.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Section 3. Notices of Meetings of Shareholders.</w:t>
      </w:r>
    </w:p>
    <w:p>
      <w:pPr>
        <w:spacing w:after="0" w:line="229" w:lineRule="exact"/>
        <w:rPr>
          <w:sz w:val="20"/>
          <w:szCs w:val="20"/>
          <w:color w:val="auto"/>
        </w:rPr>
      </w:pPr>
    </w:p>
    <w:p>
      <w:pPr>
        <w:ind w:right="220"/>
        <w:spacing w:after="0" w:line="316" w:lineRule="auto"/>
        <w:rPr>
          <w:sz w:val="20"/>
          <w:szCs w:val="20"/>
          <w:color w:val="auto"/>
        </w:rPr>
      </w:pPr>
      <w:r>
        <w:rPr>
          <w:rFonts w:ascii="Arial" w:cs="Arial" w:eastAsia="Arial" w:hAnsi="Arial"/>
          <w:sz w:val="18"/>
          <w:szCs w:val="18"/>
          <w:color w:val="auto"/>
        </w:rPr>
        <w:t>Notice of annual and special meetings of shareholders shall be given, not less than ten nor more than sixty days before the meeting, to each shareholder of record entitled to vote at the meeting, setting forth the date, time, place, and purpose or purposes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right="60"/>
        <w:spacing w:after="0" w:line="261" w:lineRule="auto"/>
        <w:rPr>
          <w:sz w:val="20"/>
          <w:szCs w:val="20"/>
          <w:color w:val="auto"/>
        </w:rPr>
      </w:pPr>
      <w:r>
        <w:rPr>
          <w:rFonts w:ascii="Arial" w:cs="Arial" w:eastAsia="Arial" w:hAnsi="Arial"/>
          <w:sz w:val="20"/>
          <w:szCs w:val="20"/>
          <w:color w:val="auto"/>
        </w:rPr>
        <w:t>The notice shall be given by mail or any other method permitted by law to each shareholder of record entitled to vote at the meeting, directed to the shareholder at the shareholder’s address as it appears on the stock books of the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4</w:t>
      </w:r>
      <w:r>
        <w:rPr>
          <w:rFonts w:ascii="Arial" w:cs="Arial" w:eastAsia="Arial" w:hAnsi="Arial"/>
          <w:sz w:val="20"/>
          <w:szCs w:val="20"/>
          <w:i w:val="1"/>
          <w:iCs w:val="1"/>
          <w:color w:val="auto"/>
        </w:rPr>
        <w:t>.</w:t>
      </w:r>
      <w:r>
        <w:rPr>
          <w:rFonts w:ascii="Arial" w:cs="Arial" w:eastAsia="Arial" w:hAnsi="Arial"/>
          <w:sz w:val="20"/>
          <w:szCs w:val="20"/>
          <w:color w:val="auto"/>
        </w:rPr>
        <w:t xml:space="preserve"> Quorum.</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Unless otherwise provided by law or the Certificate of Incorporation, the holders of shares entitled to cast a majority of the votes at a meeting of shareholders shall constitute a quorum at the meeting. Any action, other than the election of directors, shall be authorized by a majority of the votes cast at the meeting by the holders of shares entitled to vote thereon, unless a greater plurality is required by law or the Certificate of Incorporation. Less than a quorum may adjourn the meeting. No notice of an adjournment of the meeting shall be necessary if the Board does not fix a new record date for the adjourned meeting and if the time and place to which the meeting is adjourned are announced at the meeting at which the adjournment is taken and if at the adjourned meeting only such business is transacted as might have been transacted at the original meeting.</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purposes of the foregoing, where a separate vote by class or classes is required for any matter, the holders of a majority of the outstanding shares of such class or classes, present in person or represented by proxy, shall constitute a quorum to take action with respect to that vote on that matter. Two or more classes or series of stock shall be considered a single class if the holders thereof are entitled to vote together as a single class at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Section 5. Qualifications of Voters.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At each meeting of the shareholders, each holder of record of each outstanding share of common stock of the corporation shall be entitled to one vote on each matter submitted to a vote. The Board may fix in advance a date not less than ten nor more than sixty days preceding the date of any meeting of shareholders and not exceeding sixty days preceding the date for the payment of any dividend, or for the allotment of any rights, or for the purpose of any other action, as a record date for the determination of shareholders entitled to notice of and to vote at the meeting or to express consent to or dissent from any proposal without a meeting, or for the purpose of determining shareholders entitled to receive payment of any dividend or allotment of any right, or for the purpose of any other action. In each case only shareholders of record at the close of business on the date so fixed shall be entitled to notice of and to vote at such meeting or to consent to or dissent from any proposal without a meeting, or to receive payment of a dividend or allotment of rights or take any other action, as the case may be, notwithstanding any transfer of any shares on the books of the corporation after the record date.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Section 6. Voting.</w:t>
      </w:r>
    </w:p>
    <w:p>
      <w:pPr>
        <w:spacing w:after="0" w:line="229"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 vote for the election of directors and the vote on any question before the meeting may be taken by ballot and shall be taken by ballot if requested at the meeting by a shareholder entitled to vote at the meeting. Each ballot shall state the name of the shareholder voting, if the shareholder is voting in person, or if voting by proxy, then the name of the proxy and the number of votes cast by the ballot. A shareholder may vote either in person or by proxy.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Section 7. Selection of Inspectors.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Board may, in advance of any meeting of shareholders, appoint one or more inspectors to act at the meeting or any adjournment thereof.</w:t>
      </w: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ind w:right="280"/>
        <w:spacing w:after="0" w:line="343" w:lineRule="auto"/>
        <w:rPr>
          <w:sz w:val="20"/>
          <w:szCs w:val="20"/>
          <w:color w:val="auto"/>
        </w:rPr>
      </w:pPr>
      <w:r>
        <w:rPr>
          <w:rFonts w:ascii="Arial" w:cs="Arial" w:eastAsia="Arial" w:hAnsi="Arial"/>
          <w:sz w:val="16"/>
          <w:szCs w:val="16"/>
          <w:color w:val="auto"/>
        </w:rPr>
        <w:t>If inspectors are not so appointed, or if any inspector fails to qualify, appear or act and the vacancy is not filled by the Board in advance of the meeting, the person presiding at the meeting may, and on the request at the meeting of any shareholder entitled to vote at the meeting shall, make such appointment. No person shall be elected a director at a meeting at which the person has served as an inspector.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Section 8. Duties of Inspectors.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inspectors shall determine the number and voting power of shares outstanding, the number of shares represented at the meeting, the existence of a quorum, and the validity and effect of proxies. The inspectors shall receive votes or consents, hear and determine all challenges and questions arising in connection with the right to vote, count and tabulate all votes or consents, determine the result, and do any acts proper to conduct the election or vote with fairness to all shareholders. In determining the number of shares outstanding, the inspectors may rely on reports of the Treasurer or transfer agent. In determining the voting power of each share, the inspectors may rely on reports of the Secretary. In determining the results of any voting, the inspectors may rely on the reports of the Secretary as to the vote required to take any action or the vote required in an election.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Section 9. Advance Notice of Shareholder Nominees for Director and Other Shareholder Proposals.</w:t>
      </w:r>
    </w:p>
    <w:p>
      <w:pPr>
        <w:spacing w:after="0" w:line="229" w:lineRule="exact"/>
        <w:rPr>
          <w:sz w:val="20"/>
          <w:szCs w:val="20"/>
          <w:color w:val="auto"/>
        </w:rPr>
      </w:pPr>
    </w:p>
    <w:p>
      <w:pPr>
        <w:ind w:right="120" w:firstLine="8"/>
        <w:spacing w:after="0" w:line="250" w:lineRule="auto"/>
        <w:tabs>
          <w:tab w:leader="none" w:pos="5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addition to any other requirements under these by-laws, the Certificate of Incorporation or applicable laws, only matters properly brought before any annual or special meeting of shareholders of the corporation in compliance with the procedures set forth in this Section 9 shall be considered at such meeting.</w:t>
      </w:r>
    </w:p>
    <w:p>
      <w:pPr>
        <w:spacing w:after="0" w:line="185" w:lineRule="exact"/>
        <w:rPr>
          <w:rFonts w:ascii="Arial" w:cs="Arial" w:eastAsia="Arial" w:hAnsi="Arial"/>
          <w:sz w:val="20"/>
          <w:szCs w:val="20"/>
          <w:color w:val="auto"/>
        </w:rPr>
      </w:pPr>
    </w:p>
    <w:p>
      <w:pPr>
        <w:ind w:right="120" w:firstLine="8"/>
        <w:spacing w:after="0" w:line="260" w:lineRule="auto"/>
        <w:tabs>
          <w:tab w:leader="none" w:pos="527"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any matter to be properly brought before any meeting of shareholders, the matter must be specified in the notice of meeting given by the corporation.</w:t>
      </w:r>
    </w:p>
    <w:p>
      <w:pPr>
        <w:spacing w:after="0" w:line="176" w:lineRule="exact"/>
        <w:rPr>
          <w:rFonts w:ascii="Arial" w:cs="Arial" w:eastAsia="Arial" w:hAnsi="Arial"/>
          <w:sz w:val="20"/>
          <w:szCs w:val="20"/>
          <w:color w:val="auto"/>
        </w:rPr>
      </w:pPr>
    </w:p>
    <w:p>
      <w:pPr>
        <w:ind w:right="40" w:firstLine="8"/>
        <w:spacing w:after="0" w:line="259" w:lineRule="auto"/>
        <w:tabs>
          <w:tab w:leader="none" w:pos="505"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shareholder desiring to bring a proposal before an annual meeting of shareholders (other than to nominate a director of the corporation) shall deliver to the Secretary, the following: (i) a request for inclusion of the proposal in the notice of meeting, (ii) the text of the proposal(s) the shareholder intends to present at the meeting and, at the option of the shareholder, a brief explanation of why the shareholder favors the proposal(s), (iii) the shareholder’s name and address, (iv) the number and class of all shares of each class of stock of the corporation owned of record and beneficially (pursuant to Rules 13d-3 and 13d-5 under the Exchange Act) by the shareholder and (v) any material interest of the shareholder (other than as a shareholder) in the proposal.</w:t>
      </w:r>
    </w:p>
    <w:p>
      <w:pPr>
        <w:spacing w:after="0" w:line="178" w:lineRule="exact"/>
        <w:rPr>
          <w:rFonts w:ascii="Arial" w:cs="Arial" w:eastAsia="Arial" w:hAnsi="Arial"/>
          <w:sz w:val="19"/>
          <w:szCs w:val="19"/>
          <w:color w:val="auto"/>
        </w:rPr>
      </w:pPr>
    </w:p>
    <w:p>
      <w:pPr>
        <w:ind w:firstLine="8"/>
        <w:spacing w:after="0" w:line="255" w:lineRule="auto"/>
        <w:tabs>
          <w:tab w:leader="none" w:pos="517"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shareholder desiring to nominate a person(s) for election as director of the corporation at an annual meeting shall deliver to the Secretary, the following: (i) the name of the person(s) to be nominated, (ii) the number and class of all shares of each class of stock of the corporation owned of record and beneficially by each nominee, as reported to the shareholder by the nominee(s), (iii) the information regarding each nominee required by paragraphs (a), (e) and (f) of Item 401 of Regulation S-K adopted by the Securities and Exchange Commission (or the corresponding provisions of any regulation subsequently adopted by the Securities and Exchange Commission applicable to the corporation), (iv) each nominee’s signed consent to serve as a director, (v) the proposing shareholder’s name and address and (vi) the number and class of all shares of each class of stock of the corporation owned of record and beneficially (pursuant to Rules 13d-3 and 13d-5 under the Exchange Act) by the shareholder. In addition, the proposing shareholder shall furnish the corporation with all other information the corporation may reasonably request to determine whether the nominee would be considered “independent” under the rules and standards applicable to the corporation.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ind w:firstLine="8"/>
        <w:spacing w:after="0" w:line="279" w:lineRule="auto"/>
        <w:tabs>
          <w:tab w:leader="none" w:pos="5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request to be delivered pursuant to subsection (c) or (d) hereof must be delivered to the Secretary at the principal office of the corporation not less than ninety nor more than one hundred twenty days prior to the first anniversary of the annual meeting for the preceding year; provided, however, that if and only if the annual meeting is not scheduled to be held within thirty days before or after the first anniversary date, the request shall be given in the manner provided herein by the later of the close of business on (i) the ninetieth day prior to the annual meeting date or (ii) the tenth day following the date that the annual meeting date is first publicly disclosed.</w:t>
      </w:r>
    </w:p>
    <w:p>
      <w:pPr>
        <w:spacing w:after="0" w:line="162" w:lineRule="exact"/>
        <w:rPr>
          <w:sz w:val="20"/>
          <w:szCs w:val="20"/>
          <w:color w:val="auto"/>
        </w:rPr>
      </w:pPr>
    </w:p>
    <w:p>
      <w:pPr>
        <w:ind w:right="20" w:firstLine="495"/>
        <w:spacing w:after="0" w:line="273" w:lineRule="auto"/>
        <w:rPr>
          <w:sz w:val="20"/>
          <w:szCs w:val="20"/>
          <w:color w:val="auto"/>
        </w:rPr>
      </w:pPr>
      <w:r>
        <w:rPr>
          <w:rFonts w:ascii="Arial" w:cs="Arial" w:eastAsia="Arial" w:hAnsi="Arial"/>
          <w:sz w:val="18"/>
          <w:szCs w:val="18"/>
          <w:color w:val="auto"/>
        </w:rPr>
        <w:t>Notwithstanding anything in this Section 9(e) to the contrary, if the number of directors to be elected is increased due to an increase in the number of directors fixed by the Board or a change in the Certificate of Incorporation and either all of the nominees or the size of the increased Board is not publicly disclosed by the corporation at least one hundred days prior to the first anniversary of the preceding year’s annual meeting, a request to be delivered pursuant to subsection (d) hereof shall also be considered timely, but only with respect to nominees for any new positions created by such increase, if it shall be delivered to the Secretary at the principal executive office of the corporation not later than the close of business on the tenth day following the first date all of such nominees or the size of the increased Board shall have been publicly disclosed in a press release reported by the Dow Jones News Service, Associated Press or a comparable national news service or in a document publicly filed by the corporation with the Securities and Exchange Commission.</w:t>
      </w:r>
    </w:p>
    <w:p>
      <w:pPr>
        <w:spacing w:after="0" w:line="168" w:lineRule="exact"/>
        <w:rPr>
          <w:sz w:val="20"/>
          <w:szCs w:val="20"/>
          <w:color w:val="auto"/>
        </w:rPr>
      </w:pPr>
    </w:p>
    <w:p>
      <w:pPr>
        <w:ind w:right="400" w:firstLine="8"/>
        <w:spacing w:after="0" w:line="260" w:lineRule="auto"/>
        <w:tabs>
          <w:tab w:leader="none" w:pos="484"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shareholder desiring to call a special meeting pursuant to Article 1, Section 2 of these by-laws shall comply with that Section in addition to Subsection (b) of this Section 9.</w:t>
      </w:r>
    </w:p>
    <w:p>
      <w:pPr>
        <w:spacing w:after="0" w:line="176" w:lineRule="exact"/>
        <w:rPr>
          <w:rFonts w:ascii="Arial" w:cs="Arial" w:eastAsia="Arial" w:hAnsi="Arial"/>
          <w:sz w:val="20"/>
          <w:szCs w:val="20"/>
          <w:color w:val="auto"/>
        </w:rPr>
      </w:pPr>
    </w:p>
    <w:p>
      <w:pPr>
        <w:ind w:right="220" w:firstLine="8"/>
        <w:spacing w:after="0" w:line="250" w:lineRule="auto"/>
        <w:tabs>
          <w:tab w:leader="none" w:pos="478"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a shareholder has submitted a request in compliance with subsection (c) or (f) hereof, the corporation shall include the proposal contained in the request in the corporation’s notice of meeting sent to shareholders, unless the requested proposal is not a proper action for shareholders to take as determined by the Board after advice from counsel.</w:t>
      </w:r>
    </w:p>
    <w:p>
      <w:pPr>
        <w:spacing w:after="0" w:line="185" w:lineRule="exact"/>
        <w:rPr>
          <w:rFonts w:ascii="Arial" w:cs="Arial" w:eastAsia="Arial" w:hAnsi="Arial"/>
          <w:sz w:val="20"/>
          <w:szCs w:val="20"/>
          <w:color w:val="auto"/>
        </w:rPr>
      </w:pPr>
    </w:p>
    <w:p>
      <w:pPr>
        <w:ind w:right="340" w:firstLine="8"/>
        <w:spacing w:after="0" w:line="316" w:lineRule="auto"/>
        <w:tabs>
          <w:tab w:leader="none" w:pos="4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 event shall the postponement or adjournment of an annual meeting already publicly noticed, or any announcement of the postponement or adjournment, commence a new period (or extend any time period) for the giving of notice as provided in this Section 9.</w:t>
      </w:r>
    </w:p>
    <w:p>
      <w:pPr>
        <w:spacing w:after="0" w:line="129" w:lineRule="exact"/>
        <w:rPr>
          <w:rFonts w:ascii="Arial" w:cs="Arial" w:eastAsia="Arial" w:hAnsi="Arial"/>
          <w:sz w:val="18"/>
          <w:szCs w:val="18"/>
          <w:color w:val="auto"/>
        </w:rPr>
      </w:pPr>
    </w:p>
    <w:p>
      <w:pPr>
        <w:ind w:right="300" w:firstLine="8"/>
        <w:spacing w:after="0" w:line="246" w:lineRule="auto"/>
        <w:tabs>
          <w:tab w:leader="none" w:pos="4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Subsections (c) and (f) of this Section 9 shall not apply to shareholders’ proposals made pursuant to Rule 14a-8 under the Exchange Act. This Section 9 shall not apply to the election of directors selected pursuant to the provisions of Article V of the Certificate of Incorporation relating to the rights of the holders of any class or series of stock of the corporation having a preference, as to dividends or upon liquidation of the corporation to elect directors under specified circumstances.</w:t>
      </w:r>
    </w:p>
    <w:p>
      <w:pPr>
        <w:spacing w:after="0" w:line="191" w:lineRule="exact"/>
        <w:rPr>
          <w:rFonts w:ascii="Arial" w:cs="Arial" w:eastAsia="Arial" w:hAnsi="Arial"/>
          <w:sz w:val="20"/>
          <w:szCs w:val="20"/>
          <w:color w:val="auto"/>
        </w:rPr>
      </w:pPr>
    </w:p>
    <w:p>
      <w:pPr>
        <w:ind w:right="20" w:firstLine="8"/>
        <w:spacing w:after="0" w:line="313" w:lineRule="auto"/>
        <w:tabs>
          <w:tab w:leader="none" w:pos="43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Chairman or, in the absence of the Chairman, the Chief Executive Officer, or in the absence of the Chairman and the Chief Executive Officer, the President, or in the absence of the Chairman, Chief Executive Officer and the President, the Vice-President designated by the Board to perform the duties and exercise the powers of the President, shall preside at any meeting of shareholders and, in addition to making any other determinations appropriate to the conduct of the meeting, shall have the power and duty to determine whether notice of nominees and other matters proposed has been duly given in the manner provided in this Section 9 and, if not so given, shall direct and declare at the meeting that such nominees or other matters are not properly before the meeting and shall not be considered. The Board may adopt by resolution such rules, regulations and procedures for the conduct of shareholders’ meetings as it shall deem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Section 10. Procedure for Action by Written Consent; Inspectors and Effectiveness.</w:t>
      </w: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9" w:name="page50"/>
    <w:bookmarkEnd w:id="49"/>
    <w:p>
      <w:pPr>
        <w:ind w:right="60" w:firstLine="8"/>
        <w:spacing w:after="0" w:line="311" w:lineRule="auto"/>
        <w:tabs>
          <w:tab w:leader="none" w:pos="4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shareholders entitled to consent to corporate action in writing without a meeting, the Board shall fix a record date, which record date shall not precede the date upon which it adopts the resolution fixing the record date. Any shareholder entitled to vote on an action required or permitted to be taken at a meeting of shareholders who is seeking to have the shareholders authorize or take any such action by written consent shall, by written notice to the Secretary, request that the Board fix a record date. The Board shall promptly, but in no event more than ten days after the date on which the request is received, adopt a resolution fixing the record date. If no record date has been fixed within the time set forth above, the record date, when no prior action by the Board is required by applicable law, shall be the first date on which a signed written consent setting forth the action taken or proposed to be taken is delivered to the Secretary. If no record date has been fixed by the Board and prior action by the Board is required by applicable law, the record date shall be at the close of business on the date on which the Board adopts the resolution taking such prior action.</w:t>
      </w:r>
    </w:p>
    <w:p>
      <w:pPr>
        <w:spacing w:after="0" w:line="375" w:lineRule="exact"/>
        <w:rPr>
          <w:rFonts w:ascii="Arial" w:cs="Arial" w:eastAsia="Arial" w:hAnsi="Arial"/>
          <w:sz w:val="16"/>
          <w:szCs w:val="16"/>
          <w:color w:val="auto"/>
        </w:rPr>
      </w:pPr>
    </w:p>
    <w:p>
      <w:pPr>
        <w:ind w:left="480" w:hanging="472"/>
        <w:spacing w:after="0"/>
        <w:tabs>
          <w:tab w:leader="none" w:pos="4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Board shall fix a date on which written consents are to be tabulated (the “</w:t>
      </w:r>
      <w:r>
        <w:rPr>
          <w:rFonts w:ascii="Arial" w:cs="Arial" w:eastAsia="Arial" w:hAnsi="Arial"/>
          <w:sz w:val="20"/>
          <w:szCs w:val="20"/>
          <w:u w:val="single" w:color="auto"/>
          <w:color w:val="auto"/>
        </w:rPr>
        <w:t>Tabulation Date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8"/>
        <w:spacing w:after="0" w:line="244" w:lineRule="auto"/>
        <w:tabs>
          <w:tab w:leader="none" w:pos="467" w:val="left"/>
        </w:tabs>
        <w:numPr>
          <w:ilvl w:val="0"/>
          <w:numId w:val="33"/>
        </w:numPr>
        <w:rPr>
          <w:rFonts w:ascii="Arial" w:cs="Arial" w:eastAsia="Arial" w:hAnsi="Arial"/>
          <w:sz w:val="20"/>
          <w:szCs w:val="20"/>
          <w:color w:val="auto"/>
        </w:rPr>
      </w:pPr>
      <w:r>
        <w:rPr>
          <w:rFonts w:ascii="Arial" w:cs="Arial" w:eastAsia="Arial" w:hAnsi="Arial"/>
          <w:sz w:val="20"/>
          <w:szCs w:val="20"/>
          <w:color w:val="auto"/>
        </w:rPr>
        <w:t>Every written consent shall bear the date of signature of each shareholder or person acting by proxy who signs the consent, and in the case of a consent executed by a person acting by proxy, a copy of the proxy shall be attached. No action by written consent shall be effective unless by the Tabulation Date (or in the event the Board fails to set a Tabulation Date, by the date required under applicable law) a written consent or consents (after taking into account any consent revocations) signed by a sufficient number of shareholders to take such action are delivered to the corporation.</w:t>
      </w:r>
    </w:p>
    <w:p>
      <w:pPr>
        <w:spacing w:after="0" w:line="194" w:lineRule="exact"/>
        <w:rPr>
          <w:rFonts w:ascii="Arial" w:cs="Arial" w:eastAsia="Arial" w:hAnsi="Arial"/>
          <w:sz w:val="20"/>
          <w:szCs w:val="20"/>
          <w:color w:val="auto"/>
        </w:rPr>
      </w:pPr>
    </w:p>
    <w:p>
      <w:pPr>
        <w:ind w:firstLine="8"/>
        <w:spacing w:after="0" w:line="242" w:lineRule="auto"/>
        <w:tabs>
          <w:tab w:leader="none" w:pos="478"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Promptly following the receipt of any consents with respect to a proposed corporate action, after taking into account any consent revocations, the corporation shall promptly engage independent inspectors of elections for the purpose of promptly performing a ministerial review of the validity of the consents and revocations, counting and tabulating the valid consents, making a written report certifying the results thereof promptly following the Tabulation Date, and performing other proper incident duties. Nothing contained in this paragraph shall in any way be construed to suggest or imply that the Board or any shareholder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2</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DIRECTORS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Directors and Term of Office.</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Board shall consist of as many directors, not less than five nor more than 13, as may from time to time be determined by the Board. All directors shall hold office until the next annual meeting and until their successors shall be duly elected and qualified.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Section 2. Election of Directors.</w:t>
      </w:r>
    </w:p>
    <w:p>
      <w:pPr>
        <w:spacing w:after="0" w:line="22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A nominee for director shall be elected to the Board if the nominee receives a majority of the votes cast. A nominee receives a majority of the votes cast if the votes “for” such nominee’s election exceed the votes “against” such nominee’s election. However, directors shall be elected by a plurality of the votes cast in any contested election for directors.</w:t>
      </w: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line="243" w:lineRule="auto"/>
        <w:rPr>
          <w:sz w:val="20"/>
          <w:szCs w:val="20"/>
          <w:color w:val="auto"/>
        </w:rPr>
      </w:pPr>
      <w:r>
        <w:rPr>
          <w:rFonts w:ascii="Arial" w:cs="Arial" w:eastAsia="Arial" w:hAnsi="Arial"/>
          <w:sz w:val="20"/>
          <w:szCs w:val="20"/>
          <w:color w:val="auto"/>
        </w:rPr>
        <w:t>A contested election is any election in which the number of nominees seeking election is more than the number of directors to be elected and shall include any meeting of shareholders for which (i) the Secretary receives a notice that a shareholder has nominated a person for election to the Board in compliance with the advance notice requirements for shareholder nominees for director set forth in Article 1, Section 9 of these by-laws and (ii) such nomination has not been withdrawn by such shareholder on or before the tenth day before the corporation first mails its notice of meeting for such meeting to the shareholders. Shareholders will be permitted only to vote “for” or “withhold” authority in a contested election.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Section 3. Vacancies.</w:t>
      </w:r>
    </w:p>
    <w:p>
      <w:pPr>
        <w:spacing w:after="0" w:line="22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the event of a vacancy occurring in the Board, including a vacancy resulting from an increase in the number of directors as provided in Article V of the Certificate of Incorporation and Section 1 of this Article, and unless the Board determines to reduce the size of the Board to eliminate the vacancy, such vacancy shall be filled by the affirmative vote of a majority of the directors then in office, although less than a quorum, or by a sole remaining director, and the directors so chosen shall hold office until the next succeeding annual meeting of shareholders and until their successors shall be duly elected and qualified, or until his or her earlier death, resignation, retirement, disqualification or removal.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Section 4. Compensation.</w:t>
      </w:r>
    </w:p>
    <w:p>
      <w:pPr>
        <w:spacing w:after="0" w:line="229"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Directors may receive from the corporation reasonable compensation for their services, including a fixed sum and expenses for attendance at meetings of the Board and at meetings of committees of the Board as shall be determined from time to time by the Board.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Section 5. Regular Meetings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Board shall by resolution schedule regular Board meetings.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6. Notice of Regular Meetings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 notice shall be required to be given of any regular meeting of the Board except as the Board may require.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7. Special Meetings of Directors.</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Special meetings of the Board may be called at any time by the Chairman or any two directors and may be held at any time and place within or without the State of New Jersey.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8. Notice of Special Meetings of Directors.</w:t>
      </w:r>
    </w:p>
    <w:p>
      <w:pPr>
        <w:spacing w:after="0" w:line="22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Notice of each special meeting of the Board, stating the day, time, place, and purpose or purposes thereof, shall be given by the Chairman of the Board, the Secretary or any two directors to each director not less than two days by mail or one day by facsimile, telephone (including voice mail) or, electronic mail, prior to the date specified for the meeting. Special meetings of the Board may also be held at any place and time, without notice, if all the directors are either present at the meeting or sign a waiver of notice, either before or after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Section 9. Quorum.</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At any meeting of the Board a quorum shall consist of a majority of the total number of directors and, except as otherwise provided by law or these by-laws, a majority of directors at a meeting at which a quorum is present shall decide any question that may come before the meeting. A majority of the directors present at any regular or special meeting, although less than a quorum, may adjourn the meeting from time to time, without notice other than announcement at the meeting, until a quorum is present. At the adjourned meeting at which a quorum shall be present, any business may be transacted which might have been transacted at the original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Section 10. Action of Directors or Committees Without a Meeting or When Directors are in Separate Places.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Any action required or permitted to be taken pursuant to authorization voted at a meeting of the Board or any Board committee may be taken without a meeting if, prior or subsequent to the action, all directors or members of the committee, as the case may be, consent thereto in writing and the written consents are filed with the minutes of the proceedings of the Board or committee. Any or all directors may participate in a meeting of the Board or committee by means of a conference telephone or any means of communication by which all persons participating in the meeting are able to hear each other.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Section 11. Common Directorship and Director’s Personal Interest.</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No contract or other transaction between the corporation and one or more of its directors, or between the corporation and any other corporation, firm or association of any type or kind in which one or more of this corporation’s directors are directors or are otherwise interested, shall be void or voidable solely by reason of such common directorship or interest, or solely because such director or directors are present at the meeting of the Board or a committee thereof which authorizes or approves the contract or transaction, or solely because</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votes of such director or directors are counted for such purpose, if, any one of the following is true: (1) the contract or other transaction is fair and reasonable as to the corporation at the time it is authorized, approved or ratified; or (2) the fact of the common directorship or interest is disclosed or known to the Board or committee and the Board or committee authorizes, approves or ratifies the contract or transaction by unanimous written consent, providing that at least one director so consenting is disinterested, or by a majority of the directors present at the meeting and also by a majority of the disinterested directors, even though the number of the disinterested directors is less than a quorum; or</w:t>
      </w:r>
    </w:p>
    <w:p>
      <w:pPr>
        <w:ind w:right="280" w:firstLine="8"/>
        <w:spacing w:after="0" w:line="260" w:lineRule="auto"/>
        <w:tabs>
          <w:tab w:leader="none" w:pos="2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fact of the common directorship or interest is disclosed or known to the shareholders and they authorize, approve, or ratify the contract or transaction. Common or interested directors may be counted in determining the presence of a quorum at a Board or committee meeting at which a contract or transaction described in this by-law is authorized, approved or ratified.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3</w:t>
      </w:r>
    </w:p>
    <w:p>
      <w:pPr>
        <w:spacing w:after="0" w:line="223"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EXECUTIVE COMMITTEE AND OTHER COMMITTEES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Establishment of Executive Committee and Other Committees.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There may be an Executive Committee, consisting of three or more directors, one of whom shall be the Chairman, appointed by the Board and such other committees, consisting of one or more directors, as from time to time established by a majority of the total number of directors the corporation would have if there were no vacancies (the “</w:t>
      </w:r>
      <w:r>
        <w:rPr>
          <w:rFonts w:ascii="Arial" w:cs="Arial" w:eastAsia="Arial" w:hAnsi="Arial"/>
          <w:sz w:val="20"/>
          <w:szCs w:val="20"/>
          <w:u w:val="single" w:color="auto"/>
          <w:color w:val="auto"/>
        </w:rPr>
        <w:t>Entire Board</w:t>
      </w:r>
      <w:r>
        <w:rPr>
          <w:rFonts w:ascii="Arial" w:cs="Arial" w:eastAsia="Arial" w:hAnsi="Arial"/>
          <w:sz w:val="20"/>
          <w:szCs w:val="20"/>
          <w:color w:val="auto"/>
        </w:rPr>
        <w:t>”). All committee members shall be appointed for the term of one year but shall hold office until their successors are elected and have qualified. Any member of any committee, however, may be removed by the affirmative vote of a majority of the Entire Board.</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Board may determine whether any committee shall be composed in part or entirely of directors who are independent of the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 Board shall make all determinations of whether a director is independent.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Section 2. Vacancies.</w:t>
      </w:r>
    </w:p>
    <w:p>
      <w:pPr>
        <w:spacing w:after="0" w:line="22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In the event of a vacancy occurring in any committee, the Board, by resolution adopted by a majority of the Entire Board, may fill the vacancy for the unexpired term.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3. Powers of Committees.</w:t>
      </w:r>
    </w:p>
    <w:p>
      <w:pPr>
        <w:spacing w:after="0" w:line="22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Subject to the limitations and regulations prescribed by law, including the New Jersey Business Corporation Act, or these by-laws or by the Board, the committees established by the Board shall have and may exercise all the authority of the Board, subject to their respective charters, except that no committee may make, alter, or repeal any by-laws, elect any director, remove any director or officer, submit to shareholders any action that requires shareholder approval, or amend or repeal any resolution of the Board establishing such committee or any other resolution of the Board which by its terms may be amended or repealed only by the Board.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Section 4. Regular Meetings.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members of the Committee may by resolution schedule regular committee meetings.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5. Notice of Regular Meetings.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 notice shall be required to be given of any regular meeting of any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6. Special Meetings.</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Special meetings of the Executive Committee may be called at any time by the Chairman, the Chair of the committee, or by any two members of the committee and may be held at any place within or without the State of New Jersey and at any time. Special meetings of any other committee may be called as the committee may determine.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7. Notice of Special Meetings.</w:t>
      </w: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Notice of each special meeting of any committee, stating the meeting time, place, and purpose or purposes, shall be given by the Chair of the committee or by any two members of the committee, or, with respect to the Executive Committee, the Chairman or the Secretary or by any two members of the Executive Committee, to each member of the committee not less than two days by mail or one day by facsimile or telephone (including voice mail) or by electronic mail, prior to the meeting date. Special meetings of any committee may also be held at any place and time, without notice, by unanimous consent of all the committee members or if all the committee members are present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Section 8. Quorum.</w:t>
      </w:r>
    </w:p>
    <w:p>
      <w:pPr>
        <w:spacing w:after="0" w:line="22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At any committee meeting a majority of the committee members shall constitute a quorum and, except where otherwise provided by law or these by-laws, a majority of committee members at a committee meeting at which a quorum is present shall decide any question that may come before the committee meeting.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3" w:name="page54"/>
    <w:bookmarkEnd w:id="53"/>
    <w:p>
      <w:pPr>
        <w:ind w:right="40"/>
        <w:spacing w:after="0" w:line="246" w:lineRule="auto"/>
        <w:rPr>
          <w:sz w:val="20"/>
          <w:szCs w:val="20"/>
          <w:color w:val="auto"/>
        </w:rPr>
      </w:pPr>
      <w:r>
        <w:rPr>
          <w:rFonts w:ascii="Arial" w:cs="Arial" w:eastAsia="Arial" w:hAnsi="Arial"/>
          <w:sz w:val="20"/>
          <w:szCs w:val="20"/>
          <w:color w:val="auto"/>
        </w:rPr>
        <w:t>A majority of the committee members present at any regular or special committee meeting, although less than a quorum, may adjourn the committee meeting from time to time, without notice other than announcement at the meeting, until a quorum is present. At such adjourned committee meeting at which a quorum shall be present, any business may be transacted which might have been transacted at the original committee meeting.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Section 9. Committee Charters.</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Each committee may and, if directed by the Board, shall establish a charter reflecting its function, charge, and responsibilities. The charter shall be prepared by the committee and shall be subject to approval by the Board.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10. Committee Reports.</w:t>
      </w:r>
    </w:p>
    <w:p>
      <w:pPr>
        <w:spacing w:after="0" w:line="229"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Each committee shall report its actions taken at committee meetings to the Board at the next meeting of the Board following the committee meeting unless the committee meeting occurred fewer than two days before the Board Meeting, in which case, the committee report may be made at the second regular Board after the committee meeting.</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Article 4</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OFFICERS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Officers Enumerated.</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officers of the corporation shall be a Chairman of the Board, a Chief Executive Officer, a President, one or more Vice-Presidents, a Secretary, a Treasurer, a Controller, and may include one or more Assistant Vice-Presidents, Assistant Secretaries, Assistant Treasurers, and Assistant Controllers, all of whom shall be elected by the Board. The Chairman shall be a director of the corporation. One person may hold more than one office. The Board may designate the officers who shall be the chief operating officer, the chief financial officer, and the chief legal officer of the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Section 2. Other Officers.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Board may by resolution elect other officers, managers, agents, employees, or committees it deems necessary, who shall hold their offices for the terms and shall have the powers and perform the duties as shall be prescribed by the Board or these by-laws. One person may hold more than one office.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3. Term of Office.</w:t>
      </w:r>
    </w:p>
    <w:p>
      <w:pPr>
        <w:spacing w:after="0" w:line="229" w:lineRule="exact"/>
        <w:rPr>
          <w:sz w:val="20"/>
          <w:szCs w:val="20"/>
          <w:color w:val="auto"/>
        </w:rPr>
      </w:pPr>
    </w:p>
    <w:p>
      <w:pPr>
        <w:ind w:right="720"/>
        <w:spacing w:after="0" w:line="385" w:lineRule="auto"/>
        <w:rPr>
          <w:sz w:val="20"/>
          <w:szCs w:val="20"/>
          <w:color w:val="auto"/>
        </w:rPr>
      </w:pPr>
      <w:r>
        <w:rPr>
          <w:rFonts w:ascii="Arial" w:cs="Arial" w:eastAsia="Arial" w:hAnsi="Arial"/>
          <w:sz w:val="16"/>
          <w:szCs w:val="16"/>
          <w:color w:val="auto"/>
        </w:rPr>
        <w:t>All officers elected by the Board shall be elected for one-year terms, but shall hold office until their successors are elected and have qualified. Any officer elected by the Board may be removed at any time by the affirmative vote of a majority of the Entire Board.</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Section 4. Vacancies.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If any officer vacancy shall occur, the Board may fill it for the unexpired term.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Section 5. The Chairman of the Board.</w:t>
      </w: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54" w:name="page55"/>
    <w:bookmarkEnd w:id="54"/>
    <w:p>
      <w:pPr>
        <w:ind w:right="80"/>
        <w:spacing w:after="0" w:line="261" w:lineRule="auto"/>
        <w:rPr>
          <w:sz w:val="20"/>
          <w:szCs w:val="20"/>
          <w:color w:val="auto"/>
        </w:rPr>
      </w:pPr>
      <w:r>
        <w:rPr>
          <w:rFonts w:ascii="Arial" w:cs="Arial" w:eastAsia="Arial" w:hAnsi="Arial"/>
          <w:sz w:val="20"/>
          <w:szCs w:val="20"/>
          <w:color w:val="auto"/>
        </w:rPr>
        <w:t>The Chairman shall preside at all meetings of the Board and at all meetings of the shareholders and shall perform other duties as directed by the Board.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Section 6. The Chief Executive Officer.</w:t>
      </w:r>
    </w:p>
    <w:p>
      <w:pPr>
        <w:spacing w:after="0" w:line="2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The Chief Executive Officer shall have the general powers and duties of supervision and management of the property and affairs of the corporation which usually pertain to the office, and shall perform all other duties as directed by the Board. In the absence of the Chairman, the Chief Executive Officer shall preside at shareholder meetings and, if a director, Board meetings. In the absence or disability of the Chairman, the Chief Executive Officer, if a director, shall perform the duties and exercise the power of the Chairman.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Section 7. The President.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President shall have the powers and perform the duties which usually pertain to the office, and shall perform all other duties as directed by the Board or the Chief Executive Officer. In the absence of the Chairman and the Chief Executive Officer, the President shall perform the duties and exercise the powers of the Chief Executive Officer and, if a director, the Chairman.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Section 8. The Vice-Presidents.</w:t>
      </w: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Each Vice-President shall have the powers and perform the duties which usually pertain to the office or as the Board, the Chairman, Chief Executive Officer or the President may direct. In the absence or disability of the Chairman, Chief Executive Officer and President, the Vice-President designated by the Board shall perform the duties and exercise the powers of the Chief Executive Officer, President and, if a director, the Chairman.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Section 9. The Secretary.</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Secretary shall issue notices of all meetings of shareholders and of the directors and of the Executive Committee where notices of such meetings are required by law or these by-laws. The Secretary shall keep the minutes of meetings of shareholders and of the Board and of the Executive Committee and shall sign instruments requiring the Secretary’s signature, and shall perform other duties usually pertaining to the office and as the Board or the Chairman may direct.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Section 10. The Treasurer.</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The Treasurer shall have the care and custody of all the moneys and securities of the corporation. The Treasurer shall cause to be entered in books of the corporation, full and accurate accounts of all moneys received and paid, shall sign instruments requiring the signature of the Treasurer, and shall perform other duties usually pertaining to the office and as the Board or the Chairman shall direct.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Section 11. The Controller.</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Controller shall have the custody and operation of the accounting books and records of the corporation and shall establish and maintain adequate systems of internal control, disclosure control, and audit to safeguard the assets of the corporation and shall perform other duties usually pertaining to the office and as the Board and the Chairman may direct.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12. Assistant Vice-Presidents, Assistant Secretaries, Assistant Treasurers and Assistant Controller.</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5" w:name="page56"/>
    <w:bookmarkEnd w:id="55"/>
    <w:p>
      <w:pPr>
        <w:ind w:right="600"/>
        <w:spacing w:after="0" w:line="385" w:lineRule="auto"/>
        <w:rPr>
          <w:sz w:val="20"/>
          <w:szCs w:val="20"/>
          <w:color w:val="auto"/>
        </w:rPr>
      </w:pPr>
      <w:r>
        <w:rPr>
          <w:rFonts w:ascii="Arial" w:cs="Arial" w:eastAsia="Arial" w:hAnsi="Arial"/>
          <w:sz w:val="16"/>
          <w:szCs w:val="16"/>
          <w:color w:val="auto"/>
        </w:rPr>
        <w:t>The duties of any Assistant Vice-Presidents, Assistant Secretaries, Assistant Treasurers and Assistant Controller shall be those usually pertaining to their respective offices and as may be properly required of them by the Board or by the officers to whom they report.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5</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CAPITAL STOCK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Stock Certificates.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Shares of stock of the corporation shall be represented by certificates, or shall be uncertificated shares that may be evidenced by a book-entry maintained by the transfer agent and/or registrar of such stock, or a combination of both.</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To the extent that shares are represented by certificates of stock, such certificates shall be issued only in numerical order with or without an alphabetic prefix or suffix. Certificates shall be signed by or bear the facsimile signatures of the Chairman, the President, or one of the Vice-Presidents and the Secretary, the Treasurer, Assistant Secretary or Assistant Treasurer. Certificates shall also be signed by or bear the facsimile signature of one of the transfer agents and of one of the registrars of the corporation as permitted or required by law. In case any officer, transfer agent or registrar who has signed or whose facsimile signature has been placed upon any such certificate shall thereafter have ceased to be such officer, transfer agent or registrar before the certificate is issued, it may be issued by the corporation with the same effect as if the signatory had not ceased to be such at the date of its issue.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Section 2. Transfer of Shares.</w:t>
      </w:r>
    </w:p>
    <w:p>
      <w:pPr>
        <w:spacing w:after="0" w:line="229" w:lineRule="exact"/>
        <w:rPr>
          <w:sz w:val="20"/>
          <w:szCs w:val="20"/>
          <w:color w:val="auto"/>
        </w:rPr>
      </w:pPr>
    </w:p>
    <w:p>
      <w:pPr>
        <w:ind w:right="420"/>
        <w:spacing w:after="0" w:line="247" w:lineRule="auto"/>
        <w:rPr>
          <w:sz w:val="20"/>
          <w:szCs w:val="20"/>
          <w:color w:val="auto"/>
        </w:rPr>
      </w:pPr>
      <w:r>
        <w:rPr>
          <w:rFonts w:ascii="Arial" w:cs="Arial" w:eastAsia="Arial" w:hAnsi="Arial"/>
          <w:sz w:val="20"/>
          <w:szCs w:val="20"/>
          <w:color w:val="auto"/>
        </w:rPr>
        <w:t>Transfers of certificated shares, except where otherwise provided by law or these by-laws, shall be made on the books of the corporation pursuant to authority granted by power of attorney duly executed and</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filed by the holder thereof with one of the transfer agents, upon surrender of the certificate or certificates of the shares and in accordance with the provisions of the Uniform Commercial Code as adopted in New Jersey and as amended from time to time.</w:t>
      </w:r>
    </w:p>
    <w:p>
      <w:pPr>
        <w:spacing w:after="0" w:line="205"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Transfers of uncertificated shares, except where otherwise provided by law or these by-laws, shall be made on the books of the corporation upon receipt of proper transfer instructions from the registered holder of the uncertificated shares or by such person's attorney lawfully constituted in writing and in accordance with the provisions of the Uniform Commercial Code as adopted in New Jersey and as amended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Section 3. Transfer Agents and Registrars.</w:t>
      </w:r>
    </w:p>
    <w:p>
      <w:pPr>
        <w:spacing w:after="0" w:line="229"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The Board may at any time appoint one or more transfer agents and/or registrars for the transfer and/or registration of shares of stock, and may from time to time by resolution fix and determine the manner in which shares of stock of the corporation shall be transferred and/or registered.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Section 4. Lost, Stolen or Destroyed Certificates.</w:t>
      </w:r>
    </w:p>
    <w:p>
      <w:pPr>
        <w:spacing w:after="0" w:line="23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Where a certificate for shares has been lost, apparently destroyed, or wrongfully taken and its owner fails to so notify the corporation or the transfer agent within a reasonable time after having notice of the fact and the transfer agent or the corporation registers a transfer of the shares before receiving notification, the owner shall be precluded from asserting against the corporation any claim for registering the transfer of the shares or any claim to a new certificate.</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Subject to the foregoing, where the owner of shares claims that the certificate representing the shares has been lost, destroyed, or wrongfully taken, the corporation shall issue a new certificate in place of the original certificate if the registered owner thereof, or the owner’s legal representative, (a) requests the issue of a new certificate before the corporation has notice that the certificate has been acquired by a bona fide purchaser; (b) makes proof, in the form as the corporation prescribes, of ownership and that the certificate has been lost, destroyed or wrongfully taken; and (c) satisfies any other reasonable requirements imposed by the corporation including indemnification. Approvals or any requirements pursuant to this section by the corporation may be granted or imposed by the Chairman, the President, any Vice-President, the Secretary, any Assistant Secretary, or any other officer as authorized by the Board.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6</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DIVIDENDS AND FINANCES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Dividends.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Dividends may be declared by the Board and paid by the corporation at the times determined by the Board, pursuant to the provisions of the New Jersey Business Corporation Act. Before payment of any dividend or making of any distribution of net profits there may be set aside out of the net profits of the corporation the sums determined by the Board from time to time, in its absolute discretion, to be proper and for the purposes determined by the Board to be conducive to the interests of the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2. Finances.</w:t>
      </w:r>
    </w:p>
    <w:p>
      <w:pPr>
        <w:spacing w:after="0" w:line="229"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All funds of the corporation not otherwise employed shall be deposited in its name in, and shall be subject to application or withdrawal from, banks, trust companies or other depositories to be selected in accordance with and in the manner and under the conditions authorized by, or pursuant to the authority of, resolutions of the Board. All checks, notes, drafts and other negotiable instruments of the corporation shall be signed by the officer, officers, agent, agents, employee or employees authorized by, or pursuant to the authority of, resolutions of the Board. No officers, agents, or employees, either singly or together, shall have power to make any check, note, draft, or other negotiable instrument in the name of the corporation or to bind the corporation thereby, except as may be authorized in accordance with the provisions of this section.</w:t>
      </w:r>
    </w:p>
    <w:p>
      <w:pPr>
        <w:spacing w:after="0" w:line="200" w:lineRule="exact"/>
        <w:rPr>
          <w:sz w:val="20"/>
          <w:szCs w:val="20"/>
          <w:color w:val="auto"/>
        </w:rPr>
      </w:pPr>
    </w:p>
    <w:p>
      <w:pPr>
        <w:spacing w:after="0" w:line="39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20"/>
          <w:szCs w:val="20"/>
          <w:color w:val="auto"/>
        </w:rPr>
        <w:t>Article 7</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Section 1. Form of Seal.</w:t>
      </w:r>
    </w:p>
    <w:p>
      <w:pPr>
        <w:spacing w:after="0" w:line="22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seal of the corporation shall be two concentric circles with the words and figures “Eastman Kodak Company, Incorporated, 1901” between the circles and a monogram of the letters EKC in their center. The seal may be an impression, a drawing or a facsimile thereof as determined from time to time by the Board.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Section 2. Indemnification of Directors, Officers and Employees.</w:t>
      </w:r>
    </w:p>
    <w:p>
      <w:pPr>
        <w:spacing w:after="0" w:line="229" w:lineRule="exact"/>
        <w:rPr>
          <w:sz w:val="20"/>
          <w:szCs w:val="20"/>
          <w:color w:val="auto"/>
        </w:rPr>
      </w:pPr>
    </w:p>
    <w:p>
      <w:pPr>
        <w:ind w:firstLine="8"/>
        <w:spacing w:after="0" w:line="267" w:lineRule="auto"/>
        <w:tabs>
          <w:tab w:leader="none" w:pos="4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corporation shall, to the full extent authorized or permitted by law and within the limits of any agreement entered into by any particular Indemnitee (as defined below) with the corporation, indemnify and hold harmless against all liabilities any person who is or was a director or officer, including such director’s or officer’s estate (an “</w:t>
      </w:r>
      <w:r>
        <w:rPr>
          <w:rFonts w:ascii="Arial" w:cs="Arial" w:eastAsia="Arial" w:hAnsi="Arial"/>
          <w:sz w:val="18"/>
          <w:szCs w:val="18"/>
          <w:u w:val="single" w:color="auto"/>
          <w:color w:val="auto"/>
        </w:rPr>
        <w:t>Indemnitee</w:t>
      </w:r>
      <w:r>
        <w:rPr>
          <w:rFonts w:ascii="Arial" w:cs="Arial" w:eastAsia="Arial" w:hAnsi="Arial"/>
          <w:sz w:val="18"/>
          <w:szCs w:val="18"/>
          <w:color w:val="auto"/>
        </w:rPr>
        <w:t>”), who is or was a party to or threatened to be made a party to any action, suit or proceeding, whether civil, criminal, administrative, investigative or otherwise in respect of any past, present or future matter, including any action suit or proceeding by or in the right of the corporation (an “</w:t>
      </w:r>
      <w:r>
        <w:rPr>
          <w:rFonts w:ascii="Arial" w:cs="Arial" w:eastAsia="Arial" w:hAnsi="Arial"/>
          <w:sz w:val="18"/>
          <w:szCs w:val="18"/>
          <w:u w:val="single" w:color="auto"/>
          <w:color w:val="auto"/>
        </w:rPr>
        <w:t>Action</w:t>
      </w:r>
      <w:r>
        <w:rPr>
          <w:rFonts w:ascii="Arial" w:cs="Arial" w:eastAsia="Arial" w:hAnsi="Arial"/>
          <w:sz w:val="18"/>
          <w:szCs w:val="18"/>
          <w:color w:val="auto"/>
        </w:rPr>
        <w:t xml:space="preserve">”), by reason of the fact that the Indemnitee is or was serving as a director, officer, employee or agent of the corporation or is or was serving at the request of the corporation as a director, officer, trustee, employee or agent of any other enterprise;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corporation shall not indemnify an Indemnitee if a judgment or other final adjudication adverse to the Indemnitee establishes that the Indemnitee’s acts or omissions (a) were acts or omissions that the Indemnitee knew or believed to be contrary to the best interests of the corporation or its shareholders in connection with a matter to which he or she had a material conflict of interest, (b) were not in good faith or involved a knowing violation of law or (c) resulted in receipt by such person of an improper personal benefit. Subject to the receipt by the corporation of an undertaking by the Indemnitee to repay Expenses if there shall be a judgment or other final adjudication that the Indemnitee is not entitled to receive reimbursement of Expenses from the corporation, the corporation shall pay or reimburse within 20 days following the later of (i) the receipt of such undertaking and (ii) the receipt of a demand from the Indemnitee for payment or reimbursement of Expenses, in advance of final disposition or otherwise, to the full extent authorized or permitted by law, Expenses as incurred by the Indemnitee in defending any actual or threatened Action by reason of the fact that the Indemnitee is or was serving as a director, officer, trustee, employee or agent of the corporation or is or was serving at the request of the corporation as a director, officer, trustee, employee or agent of any other enterprise;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corporation shall not be required hereunder to further pay or reimburse Expenses and, if requested by the corporation, shall be entitled to repayment of Expenses from the Indemnitee following any plea formally entered by or formal written admission by the Indemnitee in the Action for which the Indemnitee has sought payment or reimbursement of Expenses or indemnification that the Indemnitee has committed such acts or omissions establishing that the Indemnitee is not entitled to indemnification pursuant to this subsection (a). The Indemnitee shall be entitled to be paid or reimbursed for Expenses incurred in any Action to obtain indemnification or payment or reimbursement of Expenses under this subsection (a) under the same terms, conditions and limitations as the Indemnitee is entitled to Expenses under the previous sentence. The corporation shall not be obligated under this subsection (a) to provide any indemnification or any payment or reimbursement of Expenses to an Indemnitee in connection with an Action (or part thereof) initiated by the Indemnitee unless the Board has authorized or consented to the Action (or part thereof) in a resolution adopted by the Board. For the purposes of this Article 7, “</w:t>
      </w:r>
      <w:r>
        <w:rPr>
          <w:rFonts w:ascii="Arial" w:cs="Arial" w:eastAsia="Arial" w:hAnsi="Arial"/>
          <w:sz w:val="18"/>
          <w:szCs w:val="18"/>
          <w:u w:val="single" w:color="auto"/>
          <w:color w:val="auto"/>
        </w:rPr>
        <w:t>Expenses</w:t>
      </w:r>
      <w:r>
        <w:rPr>
          <w:rFonts w:ascii="Arial" w:cs="Arial" w:eastAsia="Arial" w:hAnsi="Arial"/>
          <w:sz w:val="18"/>
          <w:szCs w:val="18"/>
          <w:color w:val="auto"/>
        </w:rPr>
        <w:t>” shall include, without limitation, all reasonable fees, costs and expenses, including without limitation, attorneys’ fees, retainers, court costs, transcript costs, fees of experts, witness fees, travel expenses, duplicating costs, printing and binding costs, telephone charges, postage, delivery service fees,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ind w:right="160"/>
        <w:spacing w:after="0" w:line="317" w:lineRule="auto"/>
        <w:rPr>
          <w:sz w:val="20"/>
          <w:szCs w:val="20"/>
          <w:color w:val="auto"/>
        </w:rPr>
      </w:pPr>
      <w:r>
        <w:rPr>
          <w:rFonts w:ascii="Arial" w:cs="Arial" w:eastAsia="Arial" w:hAnsi="Arial"/>
          <w:sz w:val="18"/>
          <w:szCs w:val="18"/>
          <w:color w:val="auto"/>
        </w:rPr>
        <w:t>and all other disbursements or expenses of the types customarily incurred in connection with prosecuting, defending, preparing to prosecute or defend, or investigating an Action, including any Action to obtain indemnification or payment or reimbursement of Expenses.</w:t>
      </w:r>
    </w:p>
    <w:p>
      <w:pPr>
        <w:spacing w:after="0" w:line="129" w:lineRule="exact"/>
        <w:rPr>
          <w:sz w:val="20"/>
          <w:szCs w:val="20"/>
          <w:color w:val="auto"/>
        </w:rPr>
      </w:pPr>
    </w:p>
    <w:p>
      <w:pPr>
        <w:ind w:firstLine="8"/>
        <w:spacing w:after="0" w:line="260" w:lineRule="auto"/>
        <w:tabs>
          <w:tab w:leader="none" w:pos="41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Indemnitee shall promptly notify the corporation in writing upon the sooner of (i) becoming aware of an action, suit or proceeding where indemnification or the advance payment or reimbursement of Expenses may be sought or (ii) being served with any summons, citation, subpoena, complaint, indictment, information or other document relating to any matter which may be subject to indemnification or the advance payment or reimbursement of Expenses covered under this Article 7. The failure of an Indemnitee to so notify the corporation shall not relieve the corporation of any obligation which it may have to Indemnitee pursuant to this Article 7.</w:t>
      </w:r>
    </w:p>
    <w:p>
      <w:pPr>
        <w:spacing w:after="0" w:line="180" w:lineRule="exact"/>
        <w:rPr>
          <w:rFonts w:ascii="Arial" w:cs="Arial" w:eastAsia="Arial" w:hAnsi="Arial"/>
          <w:sz w:val="19"/>
          <w:szCs w:val="19"/>
          <w:color w:val="auto"/>
        </w:rPr>
      </w:pPr>
    </w:p>
    <w:p>
      <w:pPr>
        <w:ind w:right="340" w:firstLine="8"/>
        <w:spacing w:after="0" w:line="278" w:lineRule="auto"/>
        <w:tabs>
          <w:tab w:leader="none" w:pos="4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corporation may, to the full extent authorized or permitted by law, advance Expenses and indemnify and hold harmless against liabilities any person not covered by subsection (a) of this Section 2, including the person’s estate (an “</w:t>
      </w:r>
      <w:r>
        <w:rPr>
          <w:rFonts w:ascii="Arial" w:cs="Arial" w:eastAsia="Arial" w:hAnsi="Arial"/>
          <w:sz w:val="18"/>
          <w:szCs w:val="18"/>
          <w:u w:val="single" w:color="auto"/>
          <w:color w:val="auto"/>
        </w:rPr>
        <w:t>Employee Indemnitee</w:t>
      </w:r>
      <w:r>
        <w:rPr>
          <w:rFonts w:ascii="Arial" w:cs="Arial" w:eastAsia="Arial" w:hAnsi="Arial"/>
          <w:sz w:val="18"/>
          <w:szCs w:val="18"/>
          <w:color w:val="auto"/>
        </w:rPr>
        <w:t>”), who is or was an employee or agent of the corporation, or who is or was serving at the request of the corporation as a director, officer, trustee, employee or agent of any other enterprise, or the legal representative of any such person, and who is or was a party to or threatened to be made a party to any Action by reason of the fact that such Employee Indemnitee is or was serving in any of the foregoing capacities.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Section 3. Non-Exclusivity of Indemnification Rights.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9"/>
          <w:szCs w:val="19"/>
          <w:color w:val="auto"/>
        </w:rPr>
        <w:t>The right of an Indemnitee or Employee Indemnitee to indemnification and payment or reimbursement of Expenses by the corporation under Section 2 of this Article 7 shall be in addition to, and not in lieu of, any statutory or other right of indemnification or payment, advancement or reimbursement of Expenses provided to any Indemnitee or Employee Indemnitee. No amendment of this Article 7 shall impair the rights of any person arising at any time with respect to events occurring prior to such amendment.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Section 4. Insurance.</w:t>
      </w:r>
    </w:p>
    <w:p>
      <w:pPr>
        <w:spacing w:after="0" w:line="22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corporation may purchase and maintain insurance on its own behalf and on behalf of the one or more Indemnitees or Employee Indemnitees against any liability asserted against him or her and incurred by him or her in the capacity as a director, officer, trustee, employee or agent of this corporation or is or was serving at the request of the corporation as a director, officer, trustee, employee or agent of any other enterprise, whether or not the corporation would have the power to indemnify such person against such liability under this Article 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23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Except as may otherwise be required by law or by the Certificate of Incorporation, these by-laws may be amended, altered, or repealed, in whole or in part, by the affirmative vote of a majority of the Entire Board at any regular or special Board meeting. The shareholders, by a majority of the votes cast at a meeting of the shareholders called for the purpose, may adopt, alter, amend or repeal these by-laws whether made by the Board or otherwise. Amendments adopted by the shareholders pursuant to this Article 8 may not be amended or repealed by action of the Board without (i) the affirmative vote of a majority of the votes cast at a meeting of the shareholders called for the purpose, or</w:t>
      </w:r>
    </w:p>
    <w:p>
      <w:pPr>
        <w:spacing w:after="0" w:line="2" w:lineRule="exact"/>
        <w:rPr>
          <w:sz w:val="20"/>
          <w:szCs w:val="20"/>
          <w:color w:val="auto"/>
        </w:rPr>
      </w:pPr>
    </w:p>
    <w:p>
      <w:pPr>
        <w:ind w:left="880" w:right="7140" w:hanging="872"/>
        <w:spacing w:after="0" w:line="694" w:lineRule="auto"/>
        <w:tabs>
          <w:tab w:leader="none" w:pos="30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approval by written consent of the shareholders. -14-</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(10.1)</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NO. 3 TO AMENDED AND RESTATED CREDIT AGREEMENT</w:t>
      </w:r>
    </w:p>
    <w:p>
      <w:pPr>
        <w:spacing w:after="0" w:line="216" w:lineRule="exact"/>
        <w:rPr>
          <w:sz w:val="20"/>
          <w:szCs w:val="20"/>
          <w:color w:val="auto"/>
        </w:rPr>
      </w:pPr>
    </w:p>
    <w:p>
      <w:pPr>
        <w:ind w:right="320" w:firstLine="864"/>
        <w:spacing w:after="0" w:line="243" w:lineRule="auto"/>
        <w:rPr>
          <w:sz w:val="20"/>
          <w:szCs w:val="20"/>
          <w:color w:val="auto"/>
        </w:rPr>
      </w:pPr>
      <w:r>
        <w:rPr>
          <w:rFonts w:ascii="Arial" w:cs="Arial" w:eastAsia="Arial" w:hAnsi="Arial"/>
          <w:sz w:val="20"/>
          <w:szCs w:val="20"/>
          <w:color w:val="auto"/>
        </w:rPr>
        <w:t>AMENDMENT NO. 3 TO AMENDED AND RESTATED CREDIT AGREEMENT, dated as of March 27, 2020 (this “Amendment No. 3”), by and among Bank of America, N.A., a national banking association, in its capacity as administrative agent and collateral agent (in such capacity, together with its successors and assigns, “Agent”) pursuant to the Credit Agreement (as defined below), each of the parties to the Credit as lenders (individually, each a “Lender” and collectively, “Lenders”), Eastman Kodak Company, a New Jersey corporation (the “Borrower” or “Company”), the subsidiaries of Borrower party thereto as Guarantors (individually, each a “Guarantor” and collectively, “Guarantors”).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16" w:lineRule="exact"/>
        <w:rPr>
          <w:sz w:val="20"/>
          <w:szCs w:val="20"/>
          <w:color w:val="auto"/>
        </w:rPr>
      </w:pPr>
    </w:p>
    <w:p>
      <w:pPr>
        <w:ind w:right="20" w:firstLine="864"/>
        <w:spacing w:after="0" w:line="279" w:lineRule="auto"/>
        <w:rPr>
          <w:sz w:val="20"/>
          <w:szCs w:val="20"/>
          <w:color w:val="auto"/>
        </w:rPr>
      </w:pPr>
      <w:r>
        <w:rPr>
          <w:rFonts w:ascii="Arial" w:cs="Arial" w:eastAsia="Arial" w:hAnsi="Arial"/>
          <w:sz w:val="18"/>
          <w:szCs w:val="18"/>
          <w:color w:val="auto"/>
        </w:rPr>
        <w:t>WHEREAS, Agent, Lenders and certain other parties have entered into a senior secured revolving credit facility pursuant to which Agent and Lenders have made, and may make, loans and advances and provide other financial accommodations to Borrower as set forth in the Amended and Restated Credit Agreement, dated as of May 26, 2016, by and among Borrower, Guarantors, Lenders and Agent, as amended by Amendment No. 1, dated as of November 7, 2016 and Amendment No. 2 to Amended and Restated Credit Agreement, dated as of May 24, 2019 (as the same now exists and is amended and supplemented pursuant hereto and may hereafter be further amended, modified, supplemented, extended, renewed, restated or replaced, the “Credit Agreement”) and the other Loan Documents;</w:t>
      </w:r>
    </w:p>
    <w:p>
      <w:pPr>
        <w:spacing w:after="0" w:line="176" w:lineRule="exact"/>
        <w:rPr>
          <w:sz w:val="20"/>
          <w:szCs w:val="20"/>
          <w:color w:val="auto"/>
        </w:rPr>
      </w:pPr>
    </w:p>
    <w:p>
      <w:pPr>
        <w:ind w:right="560" w:firstLine="864"/>
        <w:spacing w:after="0" w:line="385" w:lineRule="auto"/>
        <w:rPr>
          <w:sz w:val="20"/>
          <w:szCs w:val="20"/>
          <w:color w:val="auto"/>
        </w:rPr>
      </w:pPr>
      <w:r>
        <w:rPr>
          <w:rFonts w:ascii="Arial" w:cs="Arial" w:eastAsia="Arial" w:hAnsi="Arial"/>
          <w:sz w:val="16"/>
          <w:szCs w:val="16"/>
          <w:color w:val="auto"/>
        </w:rPr>
        <w:t>WHEREAS, Borrower and Guarantors have requested that Agent and Lenders agree to certain amendments to the Credit Agreement, and Agent and Lenders are willing to agree to such amendments, subject to the terms and conditions contained herein; and</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by this Amendment No. 3, Agent, Lenders and the Loan Parties intend to evidence such amendments;</w:t>
      </w:r>
    </w:p>
    <w:p>
      <w:pPr>
        <w:spacing w:after="0" w:line="216" w:lineRule="exact"/>
        <w:rPr>
          <w:sz w:val="20"/>
          <w:szCs w:val="20"/>
          <w:color w:val="auto"/>
        </w:rPr>
      </w:pPr>
    </w:p>
    <w:p>
      <w:pPr>
        <w:ind w:right="420" w:firstLine="864"/>
        <w:spacing w:after="0" w:line="385" w:lineRule="auto"/>
        <w:rPr>
          <w:sz w:val="20"/>
          <w:szCs w:val="20"/>
          <w:color w:val="auto"/>
        </w:rPr>
      </w:pPr>
      <w:r>
        <w:rPr>
          <w:rFonts w:ascii="Arial" w:cs="Arial" w:eastAsia="Arial" w:hAnsi="Arial"/>
          <w:sz w:val="16"/>
          <w:szCs w:val="16"/>
          <w:color w:val="auto"/>
        </w:rPr>
        <w:t>NOW, THEREFORE, in consideration of the foregoing and the mutual agreements and covenants contained herein, and other good and valuable consideration, the receipt and sufficiency of which are hereby acknowledged, the parties hereto agree as follows:</w:t>
      </w:r>
    </w:p>
    <w:p>
      <w:pPr>
        <w:spacing w:after="0" w:line="85" w:lineRule="exact"/>
        <w:rPr>
          <w:sz w:val="20"/>
          <w:szCs w:val="20"/>
          <w:color w:val="auto"/>
        </w:rPr>
      </w:pPr>
    </w:p>
    <w:p>
      <w:pPr>
        <w:ind w:left="2000" w:hanging="1128"/>
        <w:spacing w:after="0"/>
        <w:tabs>
          <w:tab w:leader="none" w:pos="200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Additional Definitions</w:t>
      </w:r>
      <w:r>
        <w:rPr>
          <w:rFonts w:ascii="Arial" w:cs="Arial" w:eastAsia="Arial" w:hAnsi="Arial"/>
          <w:sz w:val="20"/>
          <w:szCs w:val="20"/>
          <w:color w:val="auto"/>
        </w:rPr>
        <w:t>. For purposes of this Amendment No. 3, the following terms shall have the following meanings, and all terms used herein which are not otherwise defined herein, including but not limited to, those terms used in the recitals hereto, shall have the respective meanings assigned thereto in the Credit Agreement (as defined below).</w:t>
      </w:r>
    </w:p>
    <w:p>
      <w:pPr>
        <w:spacing w:after="0" w:line="186" w:lineRule="exact"/>
        <w:rPr>
          <w:sz w:val="20"/>
          <w:szCs w:val="20"/>
          <w:color w:val="auto"/>
        </w:rPr>
      </w:pPr>
    </w:p>
    <w:p>
      <w:pPr>
        <w:ind w:left="1740" w:right="220" w:firstLine="2376"/>
        <w:spacing w:after="0" w:line="250" w:lineRule="auto"/>
        <w:rPr>
          <w:sz w:val="20"/>
          <w:szCs w:val="20"/>
          <w:color w:val="auto"/>
        </w:rPr>
      </w:pPr>
      <w:r>
        <w:rPr>
          <w:rFonts w:ascii="Arial" w:cs="Arial" w:eastAsia="Arial" w:hAnsi="Arial"/>
          <w:sz w:val="20"/>
          <w:szCs w:val="20"/>
          <w:color w:val="auto"/>
        </w:rPr>
        <w:t>(i) “</w:t>
      </w:r>
      <w:r>
        <w:rPr>
          <w:rFonts w:ascii="Arial" w:cs="Arial" w:eastAsia="Arial" w:hAnsi="Arial"/>
          <w:sz w:val="20"/>
          <w:szCs w:val="20"/>
          <w:u w:val="single" w:color="auto"/>
          <w:color w:val="auto"/>
        </w:rPr>
        <w:t>Amendment No. 3</w:t>
      </w:r>
      <w:r>
        <w:rPr>
          <w:rFonts w:ascii="Arial" w:cs="Arial" w:eastAsia="Arial" w:hAnsi="Arial"/>
          <w:sz w:val="20"/>
          <w:szCs w:val="20"/>
          <w:color w:val="auto"/>
        </w:rPr>
        <w:t>” means the Amendment No. 3 to Amended and Restated Credit Agreement by and among Agent, Lenders, and Loan Parties, as the same now exists or may hereafter be amended, modified, supplemented, extended, renewed, restated or replaced.</w:t>
      </w:r>
    </w:p>
    <w:p>
      <w:pPr>
        <w:spacing w:after="0" w:line="186" w:lineRule="exact"/>
        <w:rPr>
          <w:sz w:val="20"/>
          <w:szCs w:val="20"/>
          <w:color w:val="auto"/>
        </w:rPr>
      </w:pPr>
    </w:p>
    <w:p>
      <w:pPr>
        <w:ind w:left="4120"/>
        <w:spacing w:after="0"/>
        <w:tabs>
          <w:tab w:leader="none" w:pos="64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the first date on</w:t>
      </w:r>
    </w:p>
    <w:p>
      <w:pPr>
        <w:spacing w:after="0" w:line="39" w:lineRule="exact"/>
        <w:rPr>
          <w:sz w:val="20"/>
          <w:szCs w:val="20"/>
          <w:color w:val="auto"/>
        </w:rPr>
      </w:pPr>
    </w:p>
    <w:p>
      <w:pPr>
        <w:ind w:left="1740" w:right="220"/>
        <w:spacing w:after="0" w:line="244" w:lineRule="auto"/>
        <w:rPr>
          <w:sz w:val="20"/>
          <w:szCs w:val="20"/>
          <w:color w:val="auto"/>
        </w:rPr>
      </w:pPr>
      <w:r>
        <w:rPr>
          <w:rFonts w:ascii="Arial" w:cs="Arial" w:eastAsia="Arial" w:hAnsi="Arial"/>
          <w:sz w:val="20"/>
          <w:szCs w:val="20"/>
          <w:color w:val="auto"/>
        </w:rPr>
        <w:t>which the conditions precedent set forth in Section 5 of Amendment No. 3 are satisfied as set forth in the notice from Agent to Borrower provided for in Section 8 of Amendment No. 3.</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5703567.2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2520" w:type="dxa"/>
            <w:vAlign w:val="bottom"/>
          </w:tcPr>
          <w:p>
            <w:pPr>
              <w:ind w:left="860"/>
              <w:spacing w:after="0"/>
              <w:rPr>
                <w:sz w:val="20"/>
                <w:szCs w:val="20"/>
                <w:color w:val="auto"/>
              </w:rPr>
            </w:pPr>
            <w:r>
              <w:rPr>
                <w:rFonts w:ascii="Arial" w:cs="Arial" w:eastAsia="Arial" w:hAnsi="Arial"/>
                <w:sz w:val="20"/>
                <w:szCs w:val="20"/>
                <w:color w:val="auto"/>
              </w:rPr>
              <w:t>(b)</w:t>
            </w:r>
          </w:p>
        </w:tc>
        <w:tc>
          <w:tcPr>
            <w:tcW w:w="7400" w:type="dxa"/>
            <w:vAlign w:val="bottom"/>
            <w:gridSpan w:val="5"/>
          </w:tcPr>
          <w:p>
            <w:pPr>
              <w:ind w:left="320"/>
              <w:spacing w:after="0"/>
              <w:rPr>
                <w:sz w:val="20"/>
                <w:szCs w:val="20"/>
                <w:color w:val="auto"/>
              </w:rPr>
            </w:pPr>
            <w:r>
              <w:rPr>
                <w:rFonts w:ascii="Arial" w:cs="Arial" w:eastAsia="Arial" w:hAnsi="Arial"/>
                <w:sz w:val="20"/>
                <w:szCs w:val="20"/>
                <w:color w:val="auto"/>
              </w:rPr>
              <w:t>Amendments to Definitions.</w:t>
            </w: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25"/>
        </w:trPr>
        <w:tc>
          <w:tcPr>
            <w:tcW w:w="2520" w:type="dxa"/>
            <w:vAlign w:val="bottom"/>
          </w:tcPr>
          <w:p>
            <w:pPr>
              <w:ind w:left="1780"/>
              <w:spacing w:after="0"/>
              <w:rPr>
                <w:sz w:val="20"/>
                <w:szCs w:val="20"/>
                <w:color w:val="auto"/>
              </w:rPr>
            </w:pPr>
            <w:r>
              <w:rPr>
                <w:rFonts w:ascii="Arial" w:cs="Arial" w:eastAsia="Arial" w:hAnsi="Arial"/>
                <w:sz w:val="20"/>
                <w:szCs w:val="20"/>
                <w:color w:val="auto"/>
              </w:rPr>
              <w:t>(i)</w:t>
            </w:r>
          </w:p>
        </w:tc>
        <w:tc>
          <w:tcPr>
            <w:tcW w:w="320" w:type="dxa"/>
            <w:vAlign w:val="bottom"/>
          </w:tcPr>
          <w:p>
            <w:pPr>
              <w:spacing w:after="0"/>
              <w:rPr>
                <w:sz w:val="24"/>
                <w:szCs w:val="24"/>
                <w:color w:val="auto"/>
              </w:rPr>
            </w:pPr>
          </w:p>
        </w:tc>
        <w:tc>
          <w:tcPr>
            <w:tcW w:w="7080" w:type="dxa"/>
            <w:vAlign w:val="bottom"/>
            <w:gridSpan w:val="4"/>
          </w:tcPr>
          <w:p>
            <w:pPr>
              <w:ind w:left="1200"/>
              <w:spacing w:after="0"/>
              <w:rPr>
                <w:sz w:val="20"/>
                <w:szCs w:val="20"/>
                <w:color w:val="auto"/>
              </w:rPr>
            </w:pPr>
            <w:r>
              <w:rPr>
                <w:rFonts w:ascii="Arial" w:cs="Arial" w:eastAsia="Arial" w:hAnsi="Arial"/>
                <w:sz w:val="20"/>
                <w:szCs w:val="20"/>
                <w:color w:val="auto"/>
                <w:w w:val="92"/>
              </w:rPr>
              <w:t>The definition of “Applicable Margin” is hereby deleted in its entirety and</w:t>
            </w:r>
          </w:p>
        </w:tc>
      </w:tr>
      <w:tr>
        <w:trPr>
          <w:trHeight w:val="254"/>
        </w:trPr>
        <w:tc>
          <w:tcPr>
            <w:tcW w:w="2520" w:type="dxa"/>
            <w:vAlign w:val="bottom"/>
          </w:tcPr>
          <w:p>
            <w:pPr>
              <w:spacing w:after="0"/>
              <w:rPr>
                <w:sz w:val="20"/>
                <w:szCs w:val="20"/>
                <w:color w:val="auto"/>
              </w:rPr>
            </w:pPr>
            <w:r>
              <w:rPr>
                <w:rFonts w:ascii="Arial" w:cs="Arial" w:eastAsia="Arial" w:hAnsi="Arial"/>
                <w:sz w:val="20"/>
                <w:szCs w:val="20"/>
                <w:color w:val="auto"/>
              </w:rPr>
              <w:t>replaced with the following:</w:t>
            </w: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2900" w:type="dxa"/>
            <w:vAlign w:val="bottom"/>
          </w:tcPr>
          <w:p>
            <w:pPr>
              <w:spacing w:after="0"/>
              <w:rPr>
                <w:sz w:val="22"/>
                <w:szCs w:val="22"/>
                <w:color w:val="auto"/>
              </w:rPr>
            </w:pPr>
          </w:p>
        </w:tc>
      </w:tr>
    </w:tbl>
    <w:p>
      <w:pPr>
        <w:spacing w:after="0" w:line="195" w:lineRule="exact"/>
        <w:rPr>
          <w:sz w:val="20"/>
          <w:szCs w:val="20"/>
          <w:color w:val="auto"/>
        </w:rPr>
      </w:pPr>
    </w:p>
    <w:p>
      <w:pPr>
        <w:ind w:left="1940" w:firstLine="48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4.00% per annum, in the case of Eurodollar Rate Revolving Loans, and 3.00% per annum, in the case of Base Rate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 and after the first Adjustment Date after the Amendment No. 3 Effective Date, the Applicable Margin will be the rate per annum as determined pursuant to the pricing grid below based upon the average daily Excess Availability for the most recently ended fiscal quarter immediately preceding such Adjustment Date:</w:t>
      </w:r>
    </w:p>
    <w:p>
      <w:pPr>
        <w:spacing w:after="0" w:line="162" w:lineRule="exact"/>
        <w:rPr>
          <w:sz w:val="20"/>
          <w:szCs w:val="20"/>
          <w:color w:val="auto"/>
        </w:rPr>
      </w:pPr>
    </w:p>
    <w:tbl>
      <w:tblPr>
        <w:tblLayout w:type="fixed"/>
        <w:tblInd w:w="2090" w:type="dxa"/>
        <w:tblCellMar>
          <w:top w:w="0" w:type="dxa"/>
          <w:left w:w="0" w:type="dxa"/>
          <w:bottom w:w="0" w:type="dxa"/>
          <w:right w:w="0" w:type="dxa"/>
        </w:tblCellMar>
      </w:tblPr>
      <w:tr>
        <w:trPr>
          <w:trHeight w:val="215"/>
        </w:trPr>
        <w:tc>
          <w:tcPr>
            <w:tcW w:w="1100" w:type="dxa"/>
            <w:vAlign w:val="bottom"/>
            <w:tcBorders>
              <w:top w:val="single" w:sz="8" w:color="auto"/>
              <w:left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Applicable Margin</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Applicable Margin for</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Average Daily Excess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for Base Rate Revolving</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Eurodollar Rate Revolving</w:t>
            </w:r>
          </w:p>
        </w:tc>
      </w:tr>
      <w:tr>
        <w:trPr>
          <w:trHeight w:val="23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Tier</w:t>
            </w:r>
          </w:p>
        </w:tc>
        <w:tc>
          <w:tcPr>
            <w:tcW w:w="2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Availability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Greater than 67% of the Revolving</w:t>
            </w:r>
          </w:p>
        </w:tc>
        <w:tc>
          <w:tcPr>
            <w:tcW w:w="1940" w:type="dxa"/>
            <w:vAlign w:val="bottom"/>
            <w:tcBorders>
              <w:right w:val="single" w:sz="8" w:color="auto"/>
            </w:tcBorders>
          </w:tcPr>
          <w:p>
            <w:pPr>
              <w:jc w:val="right"/>
              <w:ind w:right="1390"/>
              <w:spacing w:after="0" w:line="195" w:lineRule="exact"/>
              <w:rPr>
                <w:sz w:val="20"/>
                <w:szCs w:val="20"/>
                <w:color w:val="auto"/>
              </w:rPr>
            </w:pPr>
            <w:r>
              <w:rPr>
                <w:rFonts w:ascii="Arial" w:cs="Arial" w:eastAsia="Arial" w:hAnsi="Arial"/>
                <w:sz w:val="18"/>
                <w:szCs w:val="18"/>
                <w:color w:val="auto"/>
                <w:w w:val="86"/>
              </w:rPr>
              <w:t>2.50%</w:t>
            </w:r>
          </w:p>
        </w:tc>
        <w:tc>
          <w:tcPr>
            <w:tcW w:w="2320" w:type="dxa"/>
            <w:vAlign w:val="bottom"/>
            <w:tcBorders>
              <w:right w:val="single" w:sz="8" w:color="auto"/>
            </w:tcBorders>
          </w:tcPr>
          <w:p>
            <w:pPr>
              <w:jc w:val="right"/>
              <w:ind w:right="1770"/>
              <w:spacing w:after="0" w:line="195" w:lineRule="exact"/>
              <w:rPr>
                <w:sz w:val="20"/>
                <w:szCs w:val="20"/>
                <w:color w:val="auto"/>
              </w:rPr>
            </w:pPr>
            <w:r>
              <w:rPr>
                <w:rFonts w:ascii="Arial" w:cs="Arial" w:eastAsia="Arial" w:hAnsi="Arial"/>
                <w:sz w:val="18"/>
                <w:szCs w:val="18"/>
                <w:color w:val="auto"/>
                <w:w w:val="86"/>
              </w:rPr>
              <w:t>3.50%</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Credit Facility</w:t>
            </w:r>
          </w:p>
        </w:tc>
        <w:tc>
          <w:tcPr>
            <w:tcW w:w="194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Equal to or greater than 33% of the</w:t>
            </w:r>
          </w:p>
        </w:tc>
        <w:tc>
          <w:tcPr>
            <w:tcW w:w="1940" w:type="dxa"/>
            <w:vAlign w:val="bottom"/>
            <w:tcBorders>
              <w:right w:val="single" w:sz="8" w:color="auto"/>
            </w:tcBorders>
          </w:tcPr>
          <w:p>
            <w:pPr>
              <w:jc w:val="right"/>
              <w:ind w:right="1390"/>
              <w:spacing w:after="0" w:line="195" w:lineRule="exact"/>
              <w:rPr>
                <w:sz w:val="20"/>
                <w:szCs w:val="20"/>
                <w:color w:val="auto"/>
              </w:rPr>
            </w:pPr>
            <w:r>
              <w:rPr>
                <w:rFonts w:ascii="Arial" w:cs="Arial" w:eastAsia="Arial" w:hAnsi="Arial"/>
                <w:sz w:val="18"/>
                <w:szCs w:val="18"/>
                <w:color w:val="auto"/>
                <w:w w:val="86"/>
              </w:rPr>
              <w:t>2.75%</w:t>
            </w:r>
          </w:p>
        </w:tc>
        <w:tc>
          <w:tcPr>
            <w:tcW w:w="2320" w:type="dxa"/>
            <w:vAlign w:val="bottom"/>
            <w:tcBorders>
              <w:right w:val="single" w:sz="8" w:color="auto"/>
            </w:tcBorders>
          </w:tcPr>
          <w:p>
            <w:pPr>
              <w:jc w:val="right"/>
              <w:ind w:right="1770"/>
              <w:spacing w:after="0" w:line="195" w:lineRule="exact"/>
              <w:rPr>
                <w:sz w:val="20"/>
                <w:szCs w:val="20"/>
                <w:color w:val="auto"/>
              </w:rPr>
            </w:pPr>
            <w:r>
              <w:rPr>
                <w:rFonts w:ascii="Arial" w:cs="Arial" w:eastAsia="Arial" w:hAnsi="Arial"/>
                <w:sz w:val="18"/>
                <w:szCs w:val="18"/>
                <w:color w:val="auto"/>
                <w:w w:val="86"/>
              </w:rPr>
              <w:t>3.75%</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Revolving Credit Facility but less</w:t>
            </w:r>
          </w:p>
        </w:tc>
        <w:tc>
          <w:tcPr>
            <w:tcW w:w="19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than or equal to 67% of the Revolving</w:t>
            </w:r>
          </w:p>
        </w:tc>
        <w:tc>
          <w:tcPr>
            <w:tcW w:w="19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Credit Facility</w:t>
            </w:r>
          </w:p>
        </w:tc>
        <w:tc>
          <w:tcPr>
            <w:tcW w:w="194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III</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Less than 33% of the Revolving</w:t>
            </w:r>
          </w:p>
        </w:tc>
        <w:tc>
          <w:tcPr>
            <w:tcW w:w="1940" w:type="dxa"/>
            <w:vAlign w:val="bottom"/>
            <w:tcBorders>
              <w:right w:val="single" w:sz="8" w:color="auto"/>
            </w:tcBorders>
          </w:tcPr>
          <w:p>
            <w:pPr>
              <w:jc w:val="right"/>
              <w:ind w:right="1390"/>
              <w:spacing w:after="0" w:line="195" w:lineRule="exact"/>
              <w:rPr>
                <w:sz w:val="20"/>
                <w:szCs w:val="20"/>
                <w:color w:val="auto"/>
              </w:rPr>
            </w:pPr>
            <w:r>
              <w:rPr>
                <w:rFonts w:ascii="Arial" w:cs="Arial" w:eastAsia="Arial" w:hAnsi="Arial"/>
                <w:sz w:val="18"/>
                <w:szCs w:val="18"/>
                <w:color w:val="auto"/>
                <w:w w:val="86"/>
              </w:rPr>
              <w:t>3.00%</w:t>
            </w:r>
          </w:p>
        </w:tc>
        <w:tc>
          <w:tcPr>
            <w:tcW w:w="2320" w:type="dxa"/>
            <w:vAlign w:val="bottom"/>
            <w:tcBorders>
              <w:right w:val="single" w:sz="8" w:color="auto"/>
            </w:tcBorders>
          </w:tcPr>
          <w:p>
            <w:pPr>
              <w:jc w:val="right"/>
              <w:ind w:right="1770"/>
              <w:spacing w:after="0" w:line="195" w:lineRule="exact"/>
              <w:rPr>
                <w:sz w:val="20"/>
                <w:szCs w:val="20"/>
                <w:color w:val="auto"/>
              </w:rPr>
            </w:pPr>
            <w:r>
              <w:rPr>
                <w:rFonts w:ascii="Arial" w:cs="Arial" w:eastAsia="Arial" w:hAnsi="Arial"/>
                <w:sz w:val="18"/>
                <w:szCs w:val="18"/>
                <w:color w:val="auto"/>
                <w:w w:val="86"/>
              </w:rPr>
              <w:t>4.00%</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Credit Facility</w:t>
            </w:r>
          </w:p>
        </w:tc>
        <w:tc>
          <w:tcPr>
            <w:tcW w:w="194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2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Any change in the Applicable Margin resulting from changes in average daily Excess Availability</w:t>
      </w:r>
    </w:p>
    <w:p>
      <w:pPr>
        <w:spacing w:after="0" w:line="38"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shall become effective on the first day of the calendar month following each fiscal quarter (the</w:t>
      </w: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first Adjustment Date shall occur on the first day of the calendar</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month following the first full fiscal quarter after the Amendment No. 3 Effective Date. If the Agent is</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unable to calculate average daily Excess Availability for a fiscal quarter due to Borrower’s failure to</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deliver any Borrowing Base Certificate when required hereunder, then, at the option of the Agent or the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Required Lenders, margins shall be determined as if Tier III (rather than the Tier applicable for the prior</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period) were applicable until the first day of the calendar month following the receipt of the applicable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Borrowing Base Certificate.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78740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15" w:right="359" w:bottom="1440" w:gutter="0" w:footer="0" w:header="0"/>
        </w:sectPr>
      </w:pPr>
    </w:p>
    <w:bookmarkStart w:id="61" w:name="page62"/>
    <w:bookmarkEnd w:id="61"/>
    <w:p>
      <w:pPr>
        <w:ind w:left="1940" w:right="20" w:firstLine="486"/>
        <w:spacing w:after="0" w:line="257" w:lineRule="auto"/>
        <w:rPr>
          <w:sz w:val="20"/>
          <w:szCs w:val="20"/>
          <w:color w:val="auto"/>
        </w:rPr>
      </w:pPr>
      <w:r>
        <w:rPr>
          <w:rFonts w:ascii="Arial" w:cs="Arial" w:eastAsia="Arial" w:hAnsi="Arial"/>
          <w:sz w:val="19"/>
          <w:szCs w:val="19"/>
          <w:color w:val="auto"/>
        </w:rPr>
        <w:t>In the event that at any time after the end of a fiscal quarter it is discovered that the average daily Excess Availability for such fiscal quarter used for the determination of the Applicable Margin was less than the actual amount of the average daily Excess Availability for such fiscal quarter used to calculate the Applicable Margin, the Applicable Margin for such prior fiscal quarter shall be adjusted to the applicable percentage based on such actual average daily Excess Availability for such fiscal quarter and any additional interest for the applicable period payable as a result of such recalculation shall be promptly paid to the Lenders.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780"/>
              <w:spacing w:after="0"/>
              <w:rPr>
                <w:sz w:val="20"/>
                <w:szCs w:val="20"/>
                <w:color w:val="auto"/>
              </w:rPr>
            </w:pPr>
            <w:r>
              <w:rPr>
                <w:rFonts w:ascii="Arial" w:cs="Arial" w:eastAsia="Arial" w:hAnsi="Arial"/>
                <w:sz w:val="20"/>
                <w:szCs w:val="20"/>
                <w:color w:val="auto"/>
              </w:rPr>
              <w:t>(ii)</w:t>
            </w:r>
          </w:p>
        </w:tc>
        <w:tc>
          <w:tcPr>
            <w:tcW w:w="7000" w:type="dxa"/>
            <w:vAlign w:val="bottom"/>
            <w:gridSpan w:val="3"/>
          </w:tcPr>
          <w:p>
            <w:pPr>
              <w:ind w:left="760"/>
              <w:spacing w:after="0"/>
              <w:rPr>
                <w:sz w:val="20"/>
                <w:szCs w:val="20"/>
                <w:color w:val="auto"/>
              </w:rPr>
            </w:pPr>
            <w:r>
              <w:rPr>
                <w:rFonts w:ascii="Arial" w:cs="Arial" w:eastAsia="Arial" w:hAnsi="Arial"/>
                <w:sz w:val="20"/>
                <w:szCs w:val="20"/>
                <w:color w:val="auto"/>
                <w:w w:val="91"/>
              </w:rPr>
              <w:t>The definition of “Cash Control Trigger Event” is hereby deleted in its entirety</w:t>
            </w:r>
          </w:p>
        </w:tc>
      </w:tr>
      <w:tr>
        <w:trPr>
          <w:trHeight w:val="254"/>
        </w:trPr>
        <w:tc>
          <w:tcPr>
            <w:tcW w:w="3340" w:type="dxa"/>
            <w:vAlign w:val="bottom"/>
          </w:tcPr>
          <w:p>
            <w:pPr>
              <w:spacing w:after="0"/>
              <w:rPr>
                <w:sz w:val="20"/>
                <w:szCs w:val="20"/>
                <w:color w:val="auto"/>
              </w:rPr>
            </w:pPr>
            <w:r>
              <w:rPr>
                <w:rFonts w:ascii="Arial" w:cs="Arial" w:eastAsia="Arial" w:hAnsi="Arial"/>
                <w:sz w:val="20"/>
                <w:szCs w:val="20"/>
                <w:color w:val="auto"/>
              </w:rPr>
              <w:t>and replaced with the following:</w:t>
            </w:r>
          </w:p>
        </w:tc>
        <w:tc>
          <w:tcPr>
            <w:tcW w:w="2240" w:type="dxa"/>
            <w:vAlign w:val="bottom"/>
          </w:tcPr>
          <w:p>
            <w:pPr>
              <w:spacing w:after="0"/>
              <w:rPr>
                <w:sz w:val="22"/>
                <w:szCs w:val="22"/>
                <w:color w:val="auto"/>
              </w:rPr>
            </w:pPr>
          </w:p>
        </w:tc>
        <w:tc>
          <w:tcPr>
            <w:tcW w:w="2200" w:type="dxa"/>
            <w:vAlign w:val="bottom"/>
            <w:tcBorders>
              <w:top w:val="single" w:sz="8" w:color="auto"/>
            </w:tcBorders>
          </w:tcPr>
          <w:p>
            <w:pPr>
              <w:spacing w:after="0"/>
              <w:rPr>
                <w:sz w:val="22"/>
                <w:szCs w:val="22"/>
                <w:color w:val="auto"/>
              </w:rPr>
            </w:pPr>
          </w:p>
        </w:tc>
        <w:tc>
          <w:tcPr>
            <w:tcW w:w="2560" w:type="dxa"/>
            <w:vAlign w:val="bottom"/>
          </w:tcPr>
          <w:p>
            <w:pPr>
              <w:spacing w:after="0"/>
              <w:rPr>
                <w:sz w:val="22"/>
                <w:szCs w:val="22"/>
                <w:color w:val="auto"/>
              </w:rPr>
            </w:pPr>
          </w:p>
        </w:tc>
      </w:tr>
    </w:tbl>
    <w:p>
      <w:pPr>
        <w:spacing w:after="0" w:line="195" w:lineRule="exact"/>
        <w:rPr>
          <w:sz w:val="20"/>
          <w:szCs w:val="20"/>
          <w:color w:val="auto"/>
        </w:rPr>
      </w:pPr>
    </w:p>
    <w:p>
      <w:pPr>
        <w:jc w:val="both"/>
        <w:ind w:left="1940" w:right="460" w:firstLine="48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Control Trigger Event</w:t>
      </w:r>
      <w:r>
        <w:rPr>
          <w:rFonts w:ascii="Arial" w:cs="Arial" w:eastAsia="Arial" w:hAnsi="Arial"/>
          <w:sz w:val="18"/>
          <w:szCs w:val="18"/>
          <w:color w:val="auto"/>
        </w:rPr>
        <w:t>” means either (a) the occurrence and continuance of an Event of Default or (b) the failure of the Borrower to maintain Excess Availability of at least the greater of (i)</w:t>
      </w:r>
    </w:p>
    <w:p>
      <w:pPr>
        <w:spacing w:after="0" w:line="1" w:lineRule="exact"/>
        <w:rPr>
          <w:sz w:val="20"/>
          <w:szCs w:val="20"/>
          <w:color w:val="auto"/>
        </w:rPr>
      </w:pPr>
    </w:p>
    <w:p>
      <w:pPr>
        <w:ind w:left="1940" w:right="80"/>
        <w:spacing w:after="0" w:line="266" w:lineRule="auto"/>
        <w:rPr>
          <w:sz w:val="20"/>
          <w:szCs w:val="20"/>
          <w:color w:val="auto"/>
        </w:rPr>
      </w:pPr>
      <w:r>
        <w:rPr>
          <w:rFonts w:ascii="Arial" w:cs="Arial" w:eastAsia="Arial" w:hAnsi="Arial"/>
          <w:sz w:val="18"/>
          <w:szCs w:val="18"/>
          <w:color w:val="auto"/>
        </w:rPr>
        <w:t>12.5% of the Revolving Credit Facility and (ii) $12,500,000. For purposes of this Agreement, the occurrence of a Cash Control Trigger Event shall be deemed to be continuing (x) until such Event of Default has been cured or waived and/or (y) if the Cash Control Trigger Event arises under clause (b) above, until Excess Availability is equal to or greater than the applicable amount set forth above for sixty</w:t>
      </w:r>
    </w:p>
    <w:p>
      <w:pPr>
        <w:ind w:left="1940" w:right="560" w:hanging="4"/>
        <w:spacing w:after="0" w:line="244" w:lineRule="auto"/>
        <w:tabs>
          <w:tab w:leader="none" w:pos="2319"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consecutive days, at which time a Cash Control Trigger Event shall no longer be deemed to be occurring for purposes of this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ind w:left="1780"/>
              <w:spacing w:after="0"/>
              <w:rPr>
                <w:sz w:val="20"/>
                <w:szCs w:val="20"/>
                <w:color w:val="auto"/>
              </w:rPr>
            </w:pPr>
            <w:r>
              <w:rPr>
                <w:rFonts w:ascii="Arial" w:cs="Arial" w:eastAsia="Arial" w:hAnsi="Arial"/>
                <w:sz w:val="20"/>
                <w:szCs w:val="20"/>
                <w:color w:val="auto"/>
              </w:rPr>
              <w:t>(iii)</w:t>
            </w:r>
          </w:p>
        </w:tc>
        <w:tc>
          <w:tcPr>
            <w:tcW w:w="6700" w:type="dxa"/>
            <w:vAlign w:val="bottom"/>
            <w:gridSpan w:val="3"/>
          </w:tcPr>
          <w:p>
            <w:pPr>
              <w:ind w:left="800"/>
              <w:spacing w:after="0"/>
              <w:rPr>
                <w:sz w:val="20"/>
                <w:szCs w:val="20"/>
                <w:color w:val="auto"/>
              </w:rPr>
            </w:pPr>
            <w:r>
              <w:rPr>
                <w:rFonts w:ascii="Arial" w:cs="Arial" w:eastAsia="Arial" w:hAnsi="Arial"/>
                <w:sz w:val="20"/>
                <w:szCs w:val="20"/>
                <w:color w:val="auto"/>
                <w:w w:val="92"/>
              </w:rPr>
              <w:t>The definition of “Equipment Availability” is hereby deleted in its entirety</w:t>
            </w:r>
          </w:p>
        </w:tc>
      </w:tr>
      <w:tr>
        <w:trPr>
          <w:trHeight w:val="254"/>
        </w:trPr>
        <w:tc>
          <w:tcPr>
            <w:tcW w:w="3360" w:type="dxa"/>
            <w:vAlign w:val="bottom"/>
          </w:tcPr>
          <w:p>
            <w:pPr>
              <w:spacing w:after="0"/>
              <w:rPr>
                <w:sz w:val="20"/>
                <w:szCs w:val="20"/>
                <w:color w:val="auto"/>
              </w:rPr>
            </w:pPr>
            <w:r>
              <w:rPr>
                <w:rFonts w:ascii="Arial" w:cs="Arial" w:eastAsia="Arial" w:hAnsi="Arial"/>
                <w:sz w:val="20"/>
                <w:szCs w:val="20"/>
                <w:color w:val="auto"/>
              </w:rPr>
              <w:t>and replaced with the following:</w:t>
            </w:r>
          </w:p>
        </w:tc>
        <w:tc>
          <w:tcPr>
            <w:tcW w:w="228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2580" w:type="dxa"/>
            <w:vAlign w:val="bottom"/>
          </w:tcPr>
          <w:p>
            <w:pPr>
              <w:spacing w:after="0"/>
              <w:rPr>
                <w:sz w:val="22"/>
                <w:szCs w:val="22"/>
                <w:color w:val="auto"/>
              </w:rPr>
            </w:pPr>
          </w:p>
        </w:tc>
      </w:tr>
    </w:tbl>
    <w:p>
      <w:pPr>
        <w:spacing w:after="0" w:line="195" w:lineRule="exact"/>
        <w:rPr>
          <w:sz w:val="20"/>
          <w:szCs w:val="20"/>
          <w:color w:val="auto"/>
        </w:rPr>
      </w:pPr>
    </w:p>
    <w:p>
      <w:pPr>
        <w:ind w:left="1940" w:right="80"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Availability</w:t>
      </w:r>
      <w:r>
        <w:rPr>
          <w:rFonts w:ascii="Arial" w:cs="Arial" w:eastAsia="Arial" w:hAnsi="Arial"/>
          <w:sz w:val="18"/>
          <w:szCs w:val="18"/>
          <w:color w:val="auto"/>
        </w:rPr>
        <w:t>” means the lesser of (a) $14,750,000 and (b) 70% of the Net Orderly Liquidation Value of the Eligible Equipment as reduced as provided below. Equipment Availability shall be reduced as of the first day of each calendar quarter commencing July 1, 2020 (whether or not Equipment Availability is included in the Borrowing Base on the Amendment No. 3 Effective Date) by $1,000,000. Equipment Availability may be included in the Borrowing Base on the Amendment No. 3 Effective Date or thereafter subject to the satisfaction of the conditions set forth below. Equipment Availability will be included in the Borrowing Base if on the Amendment No. 3 Effective Date the following conditions are met: the Agent has received (i) appraisals with respect to the Equipment as provided below for purposes of determining the Net Orderly Liquidation Value of such Equipment, and</w:t>
      </w:r>
    </w:p>
    <w:p>
      <w:pPr>
        <w:spacing w:after="0" w:line="1" w:lineRule="exact"/>
        <w:rPr>
          <w:sz w:val="20"/>
          <w:szCs w:val="20"/>
          <w:color w:val="auto"/>
        </w:rPr>
      </w:pPr>
    </w:p>
    <w:p>
      <w:pPr>
        <w:ind w:left="1940" w:right="40" w:hanging="4"/>
        <w:spacing w:after="0" w:line="271" w:lineRule="auto"/>
        <w:tabs>
          <w:tab w:leader="none" w:pos="22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perfected first priority security interests and liens on the Equipment of Borrower and Designated Guarantors in favor of the Agent for the benefit of the Secured Parties (subject only to the Permitted Collateral Liens). In addition, the amount of Equipment Availability may be further permanently reduced to the extent that any appraisal of Equipment conducted by the Agent after the Amendment No. 3 Effective Date would result in a lower amount of Equipment Availability pursuant to the formula used by the Agent to calculate Equipment Availability on the Amendment No. 3 Effective Date, and subject to the sale or other disposition of any Eligible Equipment as permitted hereunder.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78740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39" w:right="359" w:bottom="1440" w:gutter="0" w:footer="0" w:header="0"/>
        </w:sectPr>
      </w:pPr>
    </w:p>
    <w:bookmarkStart w:id="62" w:name="page63"/>
    <w:bookmarkEnd w:id="62"/>
    <w:p>
      <w:pPr>
        <w:ind w:left="2660"/>
        <w:spacing w:after="0"/>
        <w:tabs>
          <w:tab w:leader="none" w:pos="500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u w:val="single" w:color="auto"/>
          <w:color w:val="auto"/>
        </w:rPr>
        <w:t>Fixed Charge Coverage Ratio Trigger Event</w:t>
      </w:r>
      <w:r>
        <w:rPr>
          <w:rFonts w:ascii="Arial" w:cs="Arial" w:eastAsia="Arial" w:hAnsi="Arial"/>
          <w:sz w:val="19"/>
          <w:szCs w:val="19"/>
          <w:color w:val="auto"/>
        </w:rPr>
        <w:t>” is hereby</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deleted in its entirety and replaced with the following:</w:t>
      </w:r>
    </w:p>
    <w:p>
      <w:pPr>
        <w:spacing w:after="0" w:line="200" w:lineRule="exact"/>
        <w:rPr>
          <w:sz w:val="20"/>
          <w:szCs w:val="20"/>
          <w:color w:val="auto"/>
        </w:rPr>
      </w:pPr>
    </w:p>
    <w:p>
      <w:pPr>
        <w:ind w:left="2820" w:right="40" w:firstLine="48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 Trigger Event</w:t>
      </w:r>
      <w:r>
        <w:rPr>
          <w:rFonts w:ascii="Arial" w:cs="Arial" w:eastAsia="Arial" w:hAnsi="Arial"/>
          <w:sz w:val="19"/>
          <w:szCs w:val="19"/>
          <w:color w:val="auto"/>
        </w:rPr>
        <w:t xml:space="preserve">” means the failure of the Borrower to maintain Excess Availability at any time of at least the greater of (a) 12.5% of the Revolving Credit Facility and (b) $12,500,000;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occurrence of a Fixed Charge Coverage Ratio Trigger Event shall be deemed continuing until Excess Availability shall have been equal to or greater than the applicable amount set forth above for thirty (30) consecutive days, at which time such Fixed Charge Coverage Ratio Trigger Event shall no longer be deemed continuing.</w:t>
      </w:r>
    </w:p>
    <w:p>
      <w:pPr>
        <w:spacing w:after="0" w:line="154"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2320" w:type="dxa"/>
            <w:vAlign w:val="bottom"/>
          </w:tcPr>
          <w:p>
            <w:pPr>
              <w:ind w:left="1780"/>
              <w:spacing w:after="0"/>
              <w:rPr>
                <w:sz w:val="20"/>
                <w:szCs w:val="20"/>
                <w:color w:val="auto"/>
              </w:rPr>
            </w:pPr>
            <w:r>
              <w:rPr>
                <w:rFonts w:ascii="Arial" w:cs="Arial" w:eastAsia="Arial" w:hAnsi="Arial"/>
                <w:sz w:val="20"/>
                <w:szCs w:val="20"/>
                <w:color w:val="auto"/>
              </w:rPr>
              <w:t>(v)</w:t>
            </w:r>
          </w:p>
        </w:tc>
        <w:tc>
          <w:tcPr>
            <w:tcW w:w="180" w:type="dxa"/>
            <w:vAlign w:val="bottom"/>
          </w:tcPr>
          <w:p>
            <w:pPr>
              <w:spacing w:after="0"/>
              <w:rPr>
                <w:sz w:val="19"/>
                <w:szCs w:val="19"/>
                <w:color w:val="auto"/>
              </w:rPr>
            </w:pPr>
          </w:p>
        </w:tc>
        <w:tc>
          <w:tcPr>
            <w:tcW w:w="7860" w:type="dxa"/>
            <w:vAlign w:val="bottom"/>
            <w:gridSpan w:val="6"/>
          </w:tcPr>
          <w:p>
            <w:pPr>
              <w:ind w:left="1580"/>
              <w:spacing w:after="0"/>
              <w:rPr>
                <w:sz w:val="20"/>
                <w:szCs w:val="20"/>
                <w:color w:val="auto"/>
              </w:rPr>
            </w:pPr>
            <w:r>
              <w:rPr>
                <w:rFonts w:ascii="Arial" w:cs="Arial" w:eastAsia="Arial" w:hAnsi="Arial"/>
                <w:sz w:val="20"/>
                <w:szCs w:val="20"/>
                <w:color w:val="auto"/>
                <w:w w:val="92"/>
              </w:rPr>
              <w:t>The definition of “Letter of Credit Facility” is hereby deleted in its entirety and</w:t>
            </w:r>
          </w:p>
        </w:tc>
      </w:tr>
      <w:tr>
        <w:trPr>
          <w:trHeight w:val="254"/>
        </w:trPr>
        <w:tc>
          <w:tcPr>
            <w:tcW w:w="2320" w:type="dxa"/>
            <w:vAlign w:val="bottom"/>
          </w:tcPr>
          <w:p>
            <w:pPr>
              <w:spacing w:after="0"/>
              <w:rPr>
                <w:sz w:val="20"/>
                <w:szCs w:val="20"/>
                <w:color w:val="auto"/>
              </w:rPr>
            </w:pPr>
            <w:r>
              <w:rPr>
                <w:rFonts w:ascii="Arial" w:cs="Arial" w:eastAsia="Arial" w:hAnsi="Arial"/>
                <w:sz w:val="20"/>
                <w:szCs w:val="20"/>
                <w:color w:val="auto"/>
                <w:w w:val="95"/>
              </w:rPr>
              <w:t>replaced with the following:</w:t>
            </w:r>
          </w:p>
        </w:tc>
        <w:tc>
          <w:tcPr>
            <w:tcW w:w="1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401"/>
        </w:trPr>
        <w:tc>
          <w:tcPr>
            <w:tcW w:w="2320" w:type="dxa"/>
            <w:vAlign w:val="bottom"/>
          </w:tcPr>
          <w:p>
            <w:pPr>
              <w:spacing w:after="0"/>
              <w:rPr>
                <w:sz w:val="24"/>
                <w:szCs w:val="24"/>
                <w:color w:val="auto"/>
              </w:rPr>
            </w:pPr>
          </w:p>
        </w:tc>
        <w:tc>
          <w:tcPr>
            <w:tcW w:w="8040" w:type="dxa"/>
            <w:vAlign w:val="bottom"/>
            <w:gridSpan w:val="7"/>
          </w:tcPr>
          <w:p>
            <w:pPr>
              <w:ind w:left="100"/>
              <w:spacing w:after="0"/>
              <w:rPr>
                <w:sz w:val="20"/>
                <w:szCs w:val="20"/>
                <w:color w:val="auto"/>
              </w:rPr>
            </w:pPr>
            <w:r>
              <w:rPr>
                <w:rFonts w:ascii="Arial" w:cs="Arial" w:eastAsia="Arial" w:hAnsi="Arial"/>
                <w:sz w:val="20"/>
                <w:szCs w:val="20"/>
                <w:color w:val="auto"/>
                <w:w w:val="93"/>
              </w:rPr>
              <w:t>“Letter of Credit Facility” means, at any time, an amount equal to the lesser of (a) $110,000,000</w:t>
            </w:r>
          </w:p>
        </w:tc>
      </w:tr>
      <w:tr>
        <w:trPr>
          <w:trHeight w:val="20"/>
        </w:trPr>
        <w:tc>
          <w:tcPr>
            <w:tcW w:w="2500" w:type="dxa"/>
            <w:vAlign w:val="bottom"/>
            <w:gridSpan w:val="2"/>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33"/>
        </w:trPr>
        <w:tc>
          <w:tcPr>
            <w:tcW w:w="10360" w:type="dxa"/>
            <w:vAlign w:val="bottom"/>
            <w:gridSpan w:val="8"/>
          </w:tcPr>
          <w:p>
            <w:pPr>
              <w:ind w:left="1940"/>
              <w:spacing w:after="0"/>
              <w:rPr>
                <w:sz w:val="20"/>
                <w:szCs w:val="20"/>
                <w:color w:val="auto"/>
              </w:rPr>
            </w:pPr>
            <w:r>
              <w:rPr>
                <w:rFonts w:ascii="Arial" w:cs="Arial" w:eastAsia="Arial" w:hAnsi="Arial"/>
                <w:sz w:val="20"/>
                <w:szCs w:val="20"/>
                <w:color w:val="auto"/>
                <w:w w:val="90"/>
              </w:rPr>
              <w:t>and (b) the aggregate amount of the Revolving Credit Commitments, as such amount may be reduced at</w:t>
            </w:r>
          </w:p>
        </w:tc>
      </w:tr>
      <w:tr>
        <w:trPr>
          <w:trHeight w:val="250"/>
        </w:trPr>
        <w:tc>
          <w:tcPr>
            <w:tcW w:w="10360" w:type="dxa"/>
            <w:vAlign w:val="bottom"/>
            <w:gridSpan w:val="8"/>
          </w:tcPr>
          <w:p>
            <w:pPr>
              <w:ind w:left="1940"/>
              <w:spacing w:after="0"/>
              <w:rPr>
                <w:sz w:val="20"/>
                <w:szCs w:val="20"/>
                <w:color w:val="auto"/>
              </w:rPr>
            </w:pPr>
            <w:r>
              <w:rPr>
                <w:rFonts w:ascii="Arial" w:cs="Arial" w:eastAsia="Arial" w:hAnsi="Arial"/>
                <w:sz w:val="20"/>
                <w:szCs w:val="20"/>
                <w:color w:val="auto"/>
              </w:rPr>
              <w:t>or prior to such time pursuant to Section 2.05.</w:t>
            </w:r>
          </w:p>
        </w:tc>
      </w:tr>
      <w:tr>
        <w:trPr>
          <w:trHeight w:val="401"/>
        </w:trPr>
        <w:tc>
          <w:tcPr>
            <w:tcW w:w="2320" w:type="dxa"/>
            <w:vAlign w:val="bottom"/>
          </w:tcPr>
          <w:p>
            <w:pPr>
              <w:ind w:left="1780"/>
              <w:spacing w:after="0"/>
              <w:rPr>
                <w:sz w:val="20"/>
                <w:szCs w:val="20"/>
                <w:color w:val="auto"/>
              </w:rPr>
            </w:pPr>
            <w:r>
              <w:rPr>
                <w:rFonts w:ascii="Arial" w:cs="Arial" w:eastAsia="Arial" w:hAnsi="Arial"/>
                <w:sz w:val="20"/>
                <w:szCs w:val="20"/>
                <w:color w:val="auto"/>
              </w:rPr>
              <w:t>(vi)</w:t>
            </w:r>
          </w:p>
        </w:tc>
        <w:tc>
          <w:tcPr>
            <w:tcW w:w="180" w:type="dxa"/>
            <w:vAlign w:val="bottom"/>
          </w:tcPr>
          <w:p>
            <w:pPr>
              <w:spacing w:after="0"/>
              <w:rPr>
                <w:sz w:val="24"/>
                <w:szCs w:val="24"/>
                <w:color w:val="auto"/>
              </w:rPr>
            </w:pPr>
          </w:p>
        </w:tc>
        <w:tc>
          <w:tcPr>
            <w:tcW w:w="7860" w:type="dxa"/>
            <w:vAlign w:val="bottom"/>
            <w:gridSpan w:val="6"/>
          </w:tcPr>
          <w:p>
            <w:pPr>
              <w:ind w:left="1640"/>
              <w:spacing w:after="0"/>
              <w:rPr>
                <w:sz w:val="20"/>
                <w:szCs w:val="20"/>
                <w:color w:val="auto"/>
              </w:rPr>
            </w:pPr>
            <w:r>
              <w:rPr>
                <w:rFonts w:ascii="Arial" w:cs="Arial" w:eastAsia="Arial" w:hAnsi="Arial"/>
                <w:sz w:val="20"/>
                <w:szCs w:val="20"/>
                <w:color w:val="auto"/>
                <w:w w:val="94"/>
              </w:rPr>
              <w:t>The definition of “Letter of Credit Fee Rate” is hereby deleted in its entirety</w:t>
            </w: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and replaced with the following:</w:t>
      </w:r>
    </w:p>
    <w:p>
      <w:pPr>
        <w:spacing w:after="0" w:line="216" w:lineRule="exact"/>
        <w:rPr>
          <w:sz w:val="20"/>
          <w:szCs w:val="20"/>
          <w:color w:val="auto"/>
        </w:rPr>
      </w:pPr>
    </w:p>
    <w:p>
      <w:pPr>
        <w:ind w:left="2820" w:right="8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 Rate</w:t>
      </w:r>
      <w:r>
        <w:rPr>
          <w:rFonts w:ascii="Arial" w:cs="Arial" w:eastAsia="Arial" w:hAnsi="Arial"/>
          <w:sz w:val="18"/>
          <w:szCs w:val="18"/>
          <w:color w:val="auto"/>
        </w:rPr>
        <w:t xml:space="preserve">” means 2.75%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 and after the first Adjustment Date after the Amendment No. 3 Effective Date, the Letter of Credit Fee Rate will be the rate per annum as determined pursuant to the pricing grid below based upon the average daily Excess Availability for the most recently ended fiscal quarter immediately preceding such Adjustment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40" w:type="dxa"/>
            <w:vAlign w:val="bottom"/>
            <w:tcBorders>
              <w:right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640" w:type="dxa"/>
            <w:vAlign w:val="bottom"/>
            <w:tcBorders>
              <w:top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ind w:left="500"/>
              <w:spacing w:after="0" w:line="227" w:lineRule="exact"/>
              <w:rPr>
                <w:sz w:val="20"/>
                <w:szCs w:val="20"/>
                <w:color w:val="auto"/>
              </w:rPr>
            </w:pPr>
            <w:r>
              <w:rPr>
                <w:rFonts w:ascii="Arial" w:cs="Arial" w:eastAsia="Arial" w:hAnsi="Arial"/>
                <w:sz w:val="20"/>
                <w:szCs w:val="20"/>
                <w:color w:val="auto"/>
              </w:rPr>
              <w:t>Average Daily Excess</w:t>
            </w:r>
          </w:p>
        </w:tc>
        <w:tc>
          <w:tcPr>
            <w:tcW w:w="2820" w:type="dxa"/>
            <w:vAlign w:val="bottom"/>
            <w:tcBorders>
              <w:top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840" w:type="dxa"/>
            <w:vAlign w:val="bottom"/>
            <w:tcBorders>
              <w:right w:val="single" w:sz="8" w:color="auto"/>
            </w:tcBorders>
          </w:tcPr>
          <w:p>
            <w:pPr>
              <w:spacing w:after="0"/>
              <w:rPr>
                <w:sz w:val="21"/>
                <w:szCs w:val="21"/>
                <w:color w:val="auto"/>
              </w:rPr>
            </w:pPr>
          </w:p>
        </w:tc>
        <w:tc>
          <w:tcPr>
            <w:tcW w:w="2140" w:type="dxa"/>
            <w:vAlign w:val="bottom"/>
          </w:tcPr>
          <w:p>
            <w:pPr>
              <w:jc w:val="center"/>
              <w:ind w:left="521"/>
              <w:spacing w:after="0"/>
              <w:rPr>
                <w:sz w:val="20"/>
                <w:szCs w:val="20"/>
                <w:color w:val="auto"/>
              </w:rPr>
            </w:pPr>
            <w:r>
              <w:rPr>
                <w:rFonts w:ascii="Arial" w:cs="Arial" w:eastAsia="Arial" w:hAnsi="Arial"/>
                <w:sz w:val="20"/>
                <w:szCs w:val="20"/>
                <w:color w:val="auto"/>
                <w:w w:val="92"/>
              </w:rPr>
              <w:t>Tier</w:t>
            </w:r>
          </w:p>
        </w:tc>
        <w:tc>
          <w:tcPr>
            <w:tcW w:w="6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920"/>
              <w:spacing w:after="0"/>
              <w:rPr>
                <w:sz w:val="20"/>
                <w:szCs w:val="20"/>
                <w:color w:val="auto"/>
              </w:rPr>
            </w:pPr>
            <w:r>
              <w:rPr>
                <w:rFonts w:ascii="Arial" w:cs="Arial" w:eastAsia="Arial" w:hAnsi="Arial"/>
                <w:sz w:val="20"/>
                <w:szCs w:val="20"/>
                <w:color w:val="auto"/>
              </w:rPr>
              <w:t>Availability</w:t>
            </w:r>
          </w:p>
        </w:tc>
        <w:tc>
          <w:tcPr>
            <w:tcW w:w="2820" w:type="dxa"/>
            <w:vAlign w:val="bottom"/>
            <w:tcBorders>
              <w:right w:val="single" w:sz="8" w:color="auto"/>
            </w:tcBorders>
          </w:tcPr>
          <w:p>
            <w:pPr>
              <w:jc w:val="right"/>
              <w:ind w:right="321"/>
              <w:spacing w:after="0"/>
              <w:rPr>
                <w:sz w:val="20"/>
                <w:szCs w:val="20"/>
                <w:color w:val="auto"/>
              </w:rPr>
            </w:pPr>
            <w:r>
              <w:rPr>
                <w:rFonts w:ascii="Arial" w:cs="Arial" w:eastAsia="Arial" w:hAnsi="Arial"/>
                <w:sz w:val="20"/>
                <w:szCs w:val="20"/>
                <w:color w:val="auto"/>
              </w:rPr>
              <w:t>Letter of Credit Fee Rate</w:t>
            </w:r>
          </w:p>
        </w:tc>
        <w:tc>
          <w:tcPr>
            <w:tcW w:w="20" w:type="dxa"/>
            <w:vAlign w:val="bottom"/>
          </w:tcPr>
          <w:p>
            <w:pPr>
              <w:spacing w:after="0"/>
              <w:rPr>
                <w:sz w:val="21"/>
                <w:szCs w:val="21"/>
                <w:color w:val="auto"/>
              </w:rPr>
            </w:pPr>
          </w:p>
        </w:tc>
      </w:tr>
      <w:tr>
        <w:trPr>
          <w:trHeight w:val="212"/>
        </w:trPr>
        <w:tc>
          <w:tcPr>
            <w:tcW w:w="284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840" w:type="dxa"/>
            <w:vAlign w:val="bottom"/>
            <w:tcBorders>
              <w:right w:val="single" w:sz="8" w:color="auto"/>
            </w:tcBorders>
          </w:tcPr>
          <w:p>
            <w:pPr>
              <w:spacing w:after="0"/>
              <w:rPr>
                <w:sz w:val="17"/>
                <w:szCs w:val="17"/>
                <w:color w:val="auto"/>
              </w:rPr>
            </w:pPr>
          </w:p>
        </w:tc>
        <w:tc>
          <w:tcPr>
            <w:tcW w:w="2140" w:type="dxa"/>
            <w:vAlign w:val="bottom"/>
          </w:tcPr>
          <w:p>
            <w:pPr>
              <w:jc w:val="center"/>
              <w:ind w:left="501"/>
              <w:spacing w:after="0" w:line="207" w:lineRule="exact"/>
              <w:rPr>
                <w:sz w:val="20"/>
                <w:szCs w:val="20"/>
                <w:color w:val="auto"/>
              </w:rPr>
            </w:pPr>
            <w:r>
              <w:rPr>
                <w:rFonts w:ascii="Arial" w:cs="Arial" w:eastAsia="Arial" w:hAnsi="Arial"/>
                <w:sz w:val="20"/>
                <w:szCs w:val="20"/>
                <w:color w:val="auto"/>
              </w:rPr>
              <w:t>I</w:t>
            </w:r>
          </w:p>
        </w:tc>
        <w:tc>
          <w:tcPr>
            <w:tcW w:w="6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89"/>
              </w:rPr>
              <w:t>Greater than 67% of the Revolving</w:t>
            </w:r>
          </w:p>
        </w:tc>
        <w:tc>
          <w:tcPr>
            <w:tcW w:w="2820" w:type="dxa"/>
            <w:vAlign w:val="bottom"/>
            <w:tcBorders>
              <w:right w:val="single" w:sz="8" w:color="auto"/>
            </w:tcBorders>
          </w:tcPr>
          <w:p>
            <w:pPr>
              <w:jc w:val="right"/>
              <w:ind w:right="2221"/>
              <w:spacing w:after="0" w:line="207" w:lineRule="exact"/>
              <w:rPr>
                <w:sz w:val="20"/>
                <w:szCs w:val="20"/>
                <w:color w:val="auto"/>
              </w:rPr>
            </w:pPr>
            <w:r>
              <w:rPr>
                <w:rFonts w:ascii="Arial" w:cs="Arial" w:eastAsia="Arial" w:hAnsi="Arial"/>
                <w:sz w:val="20"/>
                <w:szCs w:val="20"/>
                <w:color w:val="auto"/>
                <w:w w:val="84"/>
              </w:rPr>
              <w:t>3.50%</w:t>
            </w:r>
          </w:p>
        </w:tc>
        <w:tc>
          <w:tcPr>
            <w:tcW w:w="20" w:type="dxa"/>
            <w:vAlign w:val="bottom"/>
          </w:tcPr>
          <w:p>
            <w:pPr>
              <w:spacing w:after="0"/>
              <w:rPr>
                <w:sz w:val="17"/>
                <w:szCs w:val="17"/>
                <w:color w:val="auto"/>
              </w:rPr>
            </w:pPr>
          </w:p>
        </w:tc>
      </w:tr>
      <w:tr>
        <w:trPr>
          <w:trHeight w:val="250"/>
        </w:trPr>
        <w:tc>
          <w:tcPr>
            <w:tcW w:w="284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Credit Facility</w:t>
            </w:r>
          </w:p>
        </w:tc>
        <w:tc>
          <w:tcPr>
            <w:tcW w:w="28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284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840" w:type="dxa"/>
            <w:vAlign w:val="bottom"/>
            <w:tcBorders>
              <w:right w:val="single" w:sz="8" w:color="auto"/>
            </w:tcBorders>
          </w:tcPr>
          <w:p>
            <w:pPr>
              <w:spacing w:after="0"/>
              <w:rPr>
                <w:sz w:val="17"/>
                <w:szCs w:val="17"/>
                <w:color w:val="auto"/>
              </w:rPr>
            </w:pPr>
          </w:p>
        </w:tc>
        <w:tc>
          <w:tcPr>
            <w:tcW w:w="2140" w:type="dxa"/>
            <w:vAlign w:val="bottom"/>
          </w:tcPr>
          <w:p>
            <w:pPr>
              <w:jc w:val="center"/>
              <w:ind w:left="501"/>
              <w:spacing w:after="0" w:line="207" w:lineRule="exact"/>
              <w:rPr>
                <w:sz w:val="20"/>
                <w:szCs w:val="20"/>
                <w:color w:val="auto"/>
              </w:rPr>
            </w:pPr>
            <w:r>
              <w:rPr>
                <w:rFonts w:ascii="Arial" w:cs="Arial" w:eastAsia="Arial" w:hAnsi="Arial"/>
                <w:sz w:val="20"/>
                <w:szCs w:val="20"/>
                <w:color w:val="auto"/>
              </w:rPr>
              <w:t>II</w:t>
            </w:r>
          </w:p>
        </w:tc>
        <w:tc>
          <w:tcPr>
            <w:tcW w:w="6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88"/>
              </w:rPr>
              <w:t>Equal to or greater than 33% of the</w:t>
            </w:r>
          </w:p>
        </w:tc>
        <w:tc>
          <w:tcPr>
            <w:tcW w:w="2820" w:type="dxa"/>
            <w:vAlign w:val="bottom"/>
            <w:tcBorders>
              <w:right w:val="single" w:sz="8" w:color="auto"/>
            </w:tcBorders>
          </w:tcPr>
          <w:p>
            <w:pPr>
              <w:jc w:val="right"/>
              <w:ind w:right="2221"/>
              <w:spacing w:after="0" w:line="207" w:lineRule="exact"/>
              <w:rPr>
                <w:sz w:val="20"/>
                <w:szCs w:val="20"/>
                <w:color w:val="auto"/>
              </w:rPr>
            </w:pPr>
            <w:r>
              <w:rPr>
                <w:rFonts w:ascii="Arial" w:cs="Arial" w:eastAsia="Arial" w:hAnsi="Arial"/>
                <w:sz w:val="20"/>
                <w:szCs w:val="20"/>
                <w:color w:val="auto"/>
                <w:w w:val="84"/>
              </w:rPr>
              <w:t>3.75%</w:t>
            </w:r>
          </w:p>
        </w:tc>
        <w:tc>
          <w:tcPr>
            <w:tcW w:w="20" w:type="dxa"/>
            <w:vAlign w:val="bottom"/>
          </w:tcPr>
          <w:p>
            <w:pPr>
              <w:spacing w:after="0"/>
              <w:rPr>
                <w:sz w:val="17"/>
                <w:szCs w:val="17"/>
                <w:color w:val="auto"/>
              </w:rPr>
            </w:pPr>
          </w:p>
        </w:tc>
      </w:tr>
      <w:tr>
        <w:trPr>
          <w:trHeight w:val="230"/>
        </w:trPr>
        <w:tc>
          <w:tcPr>
            <w:tcW w:w="284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Revolving Credit Facility but less</w:t>
            </w: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84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than or equal to 67% of the</w:t>
            </w: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84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Revolving Credit Facility</w:t>
            </w:r>
          </w:p>
        </w:tc>
        <w:tc>
          <w:tcPr>
            <w:tcW w:w="28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284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2840" w:type="dxa"/>
            <w:vAlign w:val="bottom"/>
            <w:tcBorders>
              <w:right w:val="single" w:sz="8" w:color="auto"/>
            </w:tcBorders>
          </w:tcPr>
          <w:p>
            <w:pPr>
              <w:spacing w:after="0"/>
              <w:rPr>
                <w:sz w:val="17"/>
                <w:szCs w:val="17"/>
                <w:color w:val="auto"/>
              </w:rPr>
            </w:pPr>
          </w:p>
        </w:tc>
        <w:tc>
          <w:tcPr>
            <w:tcW w:w="2140" w:type="dxa"/>
            <w:vAlign w:val="bottom"/>
          </w:tcPr>
          <w:p>
            <w:pPr>
              <w:jc w:val="center"/>
              <w:ind w:left="521"/>
              <w:spacing w:after="0" w:line="207" w:lineRule="exact"/>
              <w:rPr>
                <w:sz w:val="20"/>
                <w:szCs w:val="20"/>
                <w:color w:val="auto"/>
              </w:rPr>
            </w:pPr>
            <w:r>
              <w:rPr>
                <w:rFonts w:ascii="Arial" w:cs="Arial" w:eastAsia="Arial" w:hAnsi="Arial"/>
                <w:sz w:val="20"/>
                <w:szCs w:val="20"/>
                <w:color w:val="auto"/>
              </w:rPr>
              <w:t>III</w:t>
            </w:r>
          </w:p>
        </w:tc>
        <w:tc>
          <w:tcPr>
            <w:tcW w:w="6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w w:val="98"/>
              </w:rPr>
              <w:t>Less than 33% of the Revolving</w:t>
            </w:r>
          </w:p>
        </w:tc>
        <w:tc>
          <w:tcPr>
            <w:tcW w:w="2820" w:type="dxa"/>
            <w:vAlign w:val="bottom"/>
            <w:tcBorders>
              <w:right w:val="single" w:sz="8" w:color="auto"/>
            </w:tcBorders>
          </w:tcPr>
          <w:p>
            <w:pPr>
              <w:jc w:val="right"/>
              <w:ind w:right="2221"/>
              <w:spacing w:after="0" w:line="207" w:lineRule="exact"/>
              <w:rPr>
                <w:sz w:val="20"/>
                <w:szCs w:val="20"/>
                <w:color w:val="auto"/>
              </w:rPr>
            </w:pPr>
            <w:r>
              <w:rPr>
                <w:rFonts w:ascii="Arial" w:cs="Arial" w:eastAsia="Arial" w:hAnsi="Arial"/>
                <w:sz w:val="20"/>
                <w:szCs w:val="20"/>
                <w:color w:val="auto"/>
                <w:w w:val="84"/>
              </w:rPr>
              <w:t>4.00%</w:t>
            </w:r>
          </w:p>
        </w:tc>
        <w:tc>
          <w:tcPr>
            <w:tcW w:w="20" w:type="dxa"/>
            <w:vAlign w:val="bottom"/>
          </w:tcPr>
          <w:p>
            <w:pPr>
              <w:spacing w:after="0"/>
              <w:rPr>
                <w:sz w:val="17"/>
                <w:szCs w:val="17"/>
                <w:color w:val="auto"/>
              </w:rPr>
            </w:pPr>
          </w:p>
        </w:tc>
      </w:tr>
      <w:tr>
        <w:trPr>
          <w:trHeight w:val="250"/>
        </w:trPr>
        <w:tc>
          <w:tcPr>
            <w:tcW w:w="284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Credit Facility</w:t>
            </w:r>
          </w:p>
        </w:tc>
        <w:tc>
          <w:tcPr>
            <w:tcW w:w="28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2"/>
        </w:trPr>
        <w:tc>
          <w:tcPr>
            <w:tcW w:w="284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673"/>
        </w:trPr>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40" w:type="dxa"/>
            <w:vAlign w:val="bottom"/>
            <w:gridSpan w:val="2"/>
          </w:tcPr>
          <w:p>
            <w:pPr>
              <w:jc w:val="right"/>
              <w:ind w:right="2641"/>
              <w:spacing w:after="0"/>
              <w:rPr>
                <w:sz w:val="20"/>
                <w:szCs w:val="20"/>
                <w:color w:val="auto"/>
              </w:rPr>
            </w:pPr>
            <w:r>
              <w:rPr>
                <w:rFonts w:ascii="Arial" w:cs="Arial" w:eastAsia="Arial" w:hAnsi="Arial"/>
                <w:sz w:val="20"/>
                <w:szCs w:val="20"/>
                <w:color w:val="auto"/>
              </w:rPr>
              <w:t>4</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8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63" w:name="page64"/>
    <w:bookmarkEnd w:id="63"/>
    <w:p>
      <w:pPr>
        <w:ind w:left="2820" w:firstLine="486"/>
        <w:spacing w:after="0" w:line="256" w:lineRule="auto"/>
        <w:rPr>
          <w:sz w:val="20"/>
          <w:szCs w:val="20"/>
          <w:color w:val="auto"/>
        </w:rPr>
      </w:pPr>
      <w:r>
        <w:rPr>
          <w:rFonts w:ascii="Arial" w:cs="Arial" w:eastAsia="Arial" w:hAnsi="Arial"/>
          <w:sz w:val="19"/>
          <w:szCs w:val="19"/>
          <w:color w:val="auto"/>
        </w:rPr>
        <w:t xml:space="preserve">Any change in the Letter of Credit Fee Rate resulting from changes in average daily Excess Availability shall become effective on the Adjustment Date;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first Adjustment Date after the Amendment No. 3 Effective Date shall occur on the first day of the calendar month following the first full fiscal quarter after the Amendment No. 3 Effective Date. If the Agent is unable to calculate average daily Excess Availability for a fiscal quarter due to Borrower’s failure to deliver any Borrowing Base Certificate when required hereunder, then, at the option of the Agent or the Required Lenders, the Letter of Credit Fee Rate shall be determined as if Tier III (rather than the Tier applicable for the prior period) were applicable until the first day of the calendar month following the receipt of the applicable Borrowing Base Certificate.</w:t>
      </w:r>
    </w:p>
    <w:p>
      <w:pPr>
        <w:spacing w:after="0" w:line="184" w:lineRule="exact"/>
        <w:rPr>
          <w:sz w:val="20"/>
          <w:szCs w:val="20"/>
          <w:color w:val="auto"/>
        </w:rPr>
      </w:pPr>
    </w:p>
    <w:p>
      <w:pPr>
        <w:ind w:left="2820" w:right="80" w:firstLine="486"/>
        <w:spacing w:after="0" w:line="257" w:lineRule="auto"/>
        <w:rPr>
          <w:sz w:val="20"/>
          <w:szCs w:val="20"/>
          <w:color w:val="auto"/>
        </w:rPr>
      </w:pPr>
      <w:r>
        <w:rPr>
          <w:rFonts w:ascii="Arial" w:cs="Arial" w:eastAsia="Arial" w:hAnsi="Arial"/>
          <w:sz w:val="19"/>
          <w:szCs w:val="19"/>
          <w:color w:val="auto"/>
        </w:rPr>
        <w:t>In the event that at any time after the end of a fiscal quarter it is discovered that the average daily Excess Availability for such fiscal quarter used for the determination of the Letter of Credit Fee Rate was less than the actual amount of the average daily Excess Availability for such fiscal quarter used to calculate the Letter of Credit Fee Rate, the Letter of Credit Fee Rate for such prior fiscal quarter shall be adjusted to the applicable percentage based on such actual average daily Excess Availability for such fiscal quarter and any additional commission for the applicable period payable as a result of such recalculation shall be promptly paid to the Lenders.</w:t>
      </w:r>
    </w:p>
    <w:p>
      <w:pPr>
        <w:spacing w:after="0" w:line="185" w:lineRule="exact"/>
        <w:rPr>
          <w:sz w:val="20"/>
          <w:szCs w:val="20"/>
          <w:color w:val="auto"/>
        </w:rPr>
      </w:pPr>
    </w:p>
    <w:p>
      <w:pPr>
        <w:jc w:val="both"/>
        <w:ind w:right="340" w:firstLine="1727"/>
        <w:spacing w:after="0" w:line="250"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Interpretation</w:t>
      </w:r>
      <w:r>
        <w:rPr>
          <w:rFonts w:ascii="Arial" w:cs="Arial" w:eastAsia="Arial" w:hAnsi="Arial"/>
          <w:sz w:val="20"/>
          <w:szCs w:val="20"/>
          <w:color w:val="auto"/>
        </w:rPr>
        <w:t>. For purposes of this Amendment No. 3, all terms used herein which are not otherwise defined herein, including but not limited to, those terms used in the recitals hereto, shall have the respective meanings assigned thereto in the Credit Agreement as amended by this Amendment No. 3.</w:t>
      </w:r>
    </w:p>
    <w:p>
      <w:pPr>
        <w:spacing w:after="0" w:line="186" w:lineRule="exact"/>
        <w:rPr>
          <w:sz w:val="20"/>
          <w:szCs w:val="20"/>
          <w:color w:val="auto"/>
        </w:rPr>
      </w:pPr>
    </w:p>
    <w:p>
      <w:pPr>
        <w:ind w:left="2000" w:hanging="1128"/>
        <w:spacing w:after="0"/>
        <w:tabs>
          <w:tab w:leader="none" w:pos="20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Visitation Rights</w:t>
      </w:r>
      <w:r>
        <w:rPr>
          <w:rFonts w:ascii="Arial" w:cs="Arial" w:eastAsia="Arial" w:hAnsi="Arial"/>
          <w:sz w:val="20"/>
          <w:szCs w:val="20"/>
          <w:color w:val="auto"/>
        </w:rPr>
        <w:t>.</w:t>
      </w:r>
    </w:p>
    <w:p>
      <w:pPr>
        <w:spacing w:after="0" w:line="216" w:lineRule="exact"/>
        <w:rPr>
          <w:sz w:val="20"/>
          <w:szCs w:val="20"/>
          <w:color w:val="auto"/>
        </w:rPr>
      </w:pPr>
    </w:p>
    <w:p>
      <w:pPr>
        <w:ind w:left="1740"/>
        <w:spacing w:after="0"/>
        <w:tabs>
          <w:tab w:leader="none" w:pos="3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Section 5.01(e)(iii) is hereby deleted in its entirety and replaced with the following:</w:t>
      </w:r>
    </w:p>
    <w:p>
      <w:pPr>
        <w:spacing w:after="0" w:line="216" w:lineRule="exact"/>
        <w:rPr>
          <w:sz w:val="20"/>
          <w:szCs w:val="20"/>
          <w:color w:val="auto"/>
        </w:rPr>
      </w:pPr>
    </w:p>
    <w:p>
      <w:pPr>
        <w:ind w:left="880" w:right="40" w:firstLine="797"/>
        <w:spacing w:after="0" w:line="243" w:lineRule="auto"/>
        <w:rPr>
          <w:sz w:val="20"/>
          <w:szCs w:val="20"/>
          <w:color w:val="auto"/>
        </w:rPr>
      </w:pPr>
      <w:r>
        <w:rPr>
          <w:rFonts w:ascii="Arial" w:cs="Arial" w:eastAsia="Arial" w:hAnsi="Arial"/>
          <w:sz w:val="20"/>
          <w:szCs w:val="20"/>
          <w:color w:val="auto"/>
        </w:rPr>
        <w:t xml:space="preserve">“(iii) Permit the Agent to conduct, at the sole cost and expense of the Company field examinations,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examinations may be conducted (a) so long as Excess Availability is greater than or equal to the greater of (i) 12.5% of the Revolving Credit Facility and (ii) $12,500,000, not more than one (1) time per twelve month period, and (b) so long as Excess Availability is less than the greater of (i) 12.5% of the Revolving Credit Facility and (ii) $12,500,000, not more than two (2) times per twelve month period. Notwithstanding the foregoing, following the occurrence and during the continuation of an Event of Default such field examinations may be conducted at the Company’s expense as many times as the Agent shall consider reasonably necessary.”</w:t>
      </w:r>
    </w:p>
    <w:p>
      <w:pPr>
        <w:spacing w:after="0" w:line="193" w:lineRule="exact"/>
        <w:rPr>
          <w:sz w:val="20"/>
          <w:szCs w:val="20"/>
          <w:color w:val="auto"/>
        </w:rPr>
      </w:pPr>
    </w:p>
    <w:p>
      <w:pPr>
        <w:ind w:left="1740"/>
        <w:spacing w:after="0"/>
        <w:tabs>
          <w:tab w:leader="none" w:pos="3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Section 5.01(e)(iv) is hereby deleted in its entirety and replaced with the following:</w:t>
      </w:r>
    </w:p>
    <w:p>
      <w:pPr>
        <w:spacing w:after="0" w:line="216" w:lineRule="exact"/>
        <w:rPr>
          <w:sz w:val="20"/>
          <w:szCs w:val="20"/>
          <w:color w:val="auto"/>
        </w:rPr>
      </w:pPr>
    </w:p>
    <w:p>
      <w:pPr>
        <w:ind w:left="880" w:right="400" w:firstLine="797"/>
        <w:spacing w:after="0" w:line="309" w:lineRule="auto"/>
        <w:rPr>
          <w:sz w:val="20"/>
          <w:szCs w:val="20"/>
          <w:color w:val="auto"/>
        </w:rPr>
      </w:pPr>
      <w:r>
        <w:rPr>
          <w:rFonts w:ascii="Arial" w:cs="Arial" w:eastAsia="Arial" w:hAnsi="Arial"/>
          <w:sz w:val="16"/>
          <w:szCs w:val="16"/>
          <w:color w:val="auto"/>
        </w:rPr>
        <w:t xml:space="preserve">“(iv) Permit the Agent, to conduct, at the sole cost and expense of the Loan Company: (a) inventory appraisals,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appraisals may be conducted (i) so long as Excess Availability is greater than or equal to the greater of (i)</w:t>
      </w:r>
    </w:p>
    <w:p>
      <w:pPr>
        <w:spacing w:after="0" w:line="1" w:lineRule="exact"/>
        <w:rPr>
          <w:sz w:val="20"/>
          <w:szCs w:val="20"/>
          <w:color w:val="auto"/>
        </w:rPr>
      </w:pPr>
    </w:p>
    <w:p>
      <w:pPr>
        <w:ind w:left="880"/>
        <w:spacing w:after="0" w:line="266" w:lineRule="auto"/>
        <w:rPr>
          <w:sz w:val="20"/>
          <w:szCs w:val="20"/>
          <w:color w:val="auto"/>
        </w:rPr>
      </w:pPr>
      <w:r>
        <w:rPr>
          <w:rFonts w:ascii="Arial" w:cs="Arial" w:eastAsia="Arial" w:hAnsi="Arial"/>
          <w:sz w:val="18"/>
          <w:szCs w:val="18"/>
          <w:color w:val="auto"/>
        </w:rPr>
        <w:t>12.5% of the Revolving Credit Facility and (ii) $12,500,000, not more than one (1) time per twelve month period, and (ii) so long as Excess Availability is less than the greater of (i) 12.5% of the Revolving Credit Facility and (ii) $12,500,000, not more than two</w:t>
      </w:r>
    </w:p>
    <w:p>
      <w:pPr>
        <w:ind w:left="880" w:right="360" w:hanging="8"/>
        <w:spacing w:after="0" w:line="244" w:lineRule="auto"/>
        <w:tabs>
          <w:tab w:leader="none" w:pos="11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times per twelve month period and (b) no more than one (1) machinery and equipment appraisal in any consecutive twelve month period.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64" w:name="page65"/>
    <w:bookmarkEnd w:id="64"/>
    <w:p>
      <w:pPr>
        <w:ind w:left="880" w:right="160"/>
        <w:spacing w:after="0" w:line="316" w:lineRule="auto"/>
        <w:rPr>
          <w:sz w:val="20"/>
          <w:szCs w:val="20"/>
          <w:color w:val="auto"/>
        </w:rPr>
      </w:pPr>
      <w:r>
        <w:rPr>
          <w:rFonts w:ascii="Arial" w:cs="Arial" w:eastAsia="Arial" w:hAnsi="Arial"/>
          <w:sz w:val="18"/>
          <w:szCs w:val="18"/>
          <w:color w:val="auto"/>
        </w:rPr>
        <w:t>Notwithstanding the foregoing, following the occurrence and during the continuation of an Event of Default such appraisals may be conducted at the Company’s expense as many times as the Agent shall consider reasonably necessary.”</w:t>
      </w:r>
    </w:p>
    <w:p>
      <w:pPr>
        <w:spacing w:after="0" w:line="130" w:lineRule="exact"/>
        <w:rPr>
          <w:sz w:val="20"/>
          <w:szCs w:val="20"/>
          <w:color w:val="auto"/>
        </w:rPr>
      </w:pPr>
    </w:p>
    <w:p>
      <w:pPr>
        <w:ind w:right="220" w:firstLine="872"/>
        <w:spacing w:after="0" w:line="260" w:lineRule="auto"/>
        <w:tabs>
          <w:tab w:leader="none" w:pos="198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Schedule of Commitments</w:t>
      </w:r>
      <w:r>
        <w:rPr>
          <w:rFonts w:ascii="Arial" w:cs="Arial" w:eastAsia="Arial" w:hAnsi="Arial"/>
          <w:sz w:val="20"/>
          <w:szCs w:val="20"/>
          <w:color w:val="auto"/>
        </w:rPr>
        <w:t>. Schedule I to the Credit Agreement is hereby deleted in its entirety and replaced with the new Schedule I attached hereto as Exhibit A.</w:t>
      </w:r>
    </w:p>
    <w:p>
      <w:pPr>
        <w:spacing w:after="0" w:line="176" w:lineRule="exact"/>
        <w:rPr>
          <w:rFonts w:ascii="Arial" w:cs="Arial" w:eastAsia="Arial" w:hAnsi="Arial"/>
          <w:sz w:val="20"/>
          <w:szCs w:val="20"/>
          <w:color w:val="auto"/>
        </w:rPr>
      </w:pPr>
    </w:p>
    <w:p>
      <w:pPr>
        <w:ind w:right="220" w:firstLine="872"/>
        <w:spacing w:after="0" w:line="260" w:lineRule="auto"/>
        <w:tabs>
          <w:tab w:leader="none" w:pos="198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Loan Party represents and warrants with and to Secured Parties as follows, which representations and warranties shall survive the execution and delivery hereof:</w:t>
      </w:r>
    </w:p>
    <w:p>
      <w:pPr>
        <w:sectPr>
          <w:pgSz w:w="11900" w:h="16838" w:orient="portrait"/>
          <w:cols w:equalWidth="0" w:num="1">
            <w:col w:w="11220"/>
          </w:cols>
          <w:pgMar w:left="320" w:top="339" w:right="359" w:bottom="1440" w:gutter="0" w:footer="0" w:header="0"/>
        </w:sectPr>
      </w:pP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occurred and is continuing.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the Amendment No. 3 Effective Date, no Default or Event of Default exists or has</w:t>
      </w:r>
    </w:p>
    <w:p>
      <w:pPr>
        <w:spacing w:after="0" w:line="445" w:lineRule="exact"/>
        <w:rPr>
          <w:sz w:val="20"/>
          <w:szCs w:val="20"/>
          <w:color w:val="auto"/>
        </w:rPr>
      </w:pPr>
    </w:p>
    <w:p>
      <w:pPr>
        <w:sectPr>
          <w:pgSz w:w="11900" w:h="16838" w:orient="portrait"/>
          <w:cols w:equalWidth="0" w:num="2">
            <w:col w:w="2980" w:space="720"/>
            <w:col w:w="7520"/>
          </w:cols>
          <w:pgMar w:left="320" w:top="339" w:right="359" w:bottom="1440" w:gutter="0" w:footer="0" w:header="0"/>
          <w:type w:val="continuous"/>
        </w:sectPr>
      </w:pPr>
    </w:p>
    <w:p>
      <w:pPr>
        <w:spacing w:after="0" w:line="23" w:lineRule="exact"/>
        <w:rPr>
          <w:sz w:val="20"/>
          <w:szCs w:val="20"/>
          <w:color w:val="auto"/>
        </w:rPr>
      </w:pPr>
    </w:p>
    <w:p>
      <w:pPr>
        <w:ind w:left="1740"/>
        <w:spacing w:after="0"/>
        <w:tabs>
          <w:tab w:leader="none" w:pos="37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This Amendment No. 3 has been duly authorized, executed and delivered by all necessary</w:t>
      </w:r>
    </w:p>
    <w:p>
      <w:pPr>
        <w:sectPr>
          <w:pgSz w:w="11900" w:h="16838" w:orient="portrait"/>
          <w:cols w:equalWidth="0" w:num="1">
            <w:col w:w="11220"/>
          </w:cols>
          <w:pgMar w:left="320" w:top="339" w:right="359" w:bottom="1440" w:gutter="0" w:footer="0" w:header="0"/>
          <w:type w:val="continuous"/>
        </w:sectPr>
      </w:pPr>
    </w:p>
    <w:p>
      <w:pPr>
        <w:spacing w:after="0" w:line="66"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corporate or limited liability company action, as applicable, on the part of each Loan Party and, upon the notification by Agent to Borrower and Lenders of the Amendment No. 3 Effective Date, is in full force and effect as of the date hereof, as the case may be, and the agreements and obligations of each Loan Party, as the case may be, contained herein constitute legal, valid and binding obligations of each Loan Party,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8" w:lineRule="exact"/>
        <w:rPr>
          <w:sz w:val="20"/>
          <w:szCs w:val="20"/>
          <w:color w:val="auto"/>
        </w:rPr>
      </w:pPr>
    </w:p>
    <w:p>
      <w:pPr>
        <w:ind w:firstLine="1727"/>
        <w:spacing w:after="0" w:line="243" w:lineRule="auto"/>
        <w:rPr>
          <w:sz w:val="20"/>
          <w:szCs w:val="20"/>
          <w:color w:val="auto"/>
        </w:rPr>
      </w:pPr>
      <w:r>
        <w:rPr>
          <w:rFonts w:ascii="Arial" w:cs="Arial" w:eastAsia="Arial" w:hAnsi="Arial"/>
          <w:sz w:val="20"/>
          <w:szCs w:val="20"/>
          <w:color w:val="auto"/>
        </w:rPr>
        <w:t>(c) All of the representations and warranties of each Loan Party set forth herein and in each of the other Loan Documents are true and correct in all material respects (or, in the case of any representations and warranties qualified by materiality or Material Adverse Effect, in all respects) on and as of the Amendment No. 3 Effective Date before and after giving effect to the effectiveness of this Amendment No. 3 and the transactions contemplated hereby with the same effect as though made on and as of such date, except to the extent such representations and warranties expressly relate to an earlier date in which case such representations and warranties shall be true and correct in all material respects (or, in the case of any representations and warranties qualified by materiality or Material Adverse Effect, in all respects) as of such earlier date.</w:t>
      </w:r>
    </w:p>
    <w:p>
      <w:pPr>
        <w:spacing w:after="0" w:line="193" w:lineRule="exact"/>
        <w:rPr>
          <w:sz w:val="20"/>
          <w:szCs w:val="20"/>
          <w:color w:val="auto"/>
        </w:rPr>
      </w:pPr>
    </w:p>
    <w:p>
      <w:pPr>
        <w:ind w:left="2000" w:hanging="1128"/>
        <w:spacing w:after="0"/>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No. 3 shall be subject to the satisfaction of each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following conditions:</w:t>
      </w:r>
    </w:p>
    <w:p>
      <w:pPr>
        <w:spacing w:after="0" w:line="200" w:lineRule="exact"/>
        <w:rPr>
          <w:sz w:val="20"/>
          <w:szCs w:val="20"/>
          <w:color w:val="auto"/>
        </w:rPr>
      </w:pPr>
    </w:p>
    <w:p>
      <w:pPr>
        <w:ind w:right="660" w:firstLine="1727"/>
        <w:spacing w:after="0" w:line="260" w:lineRule="auto"/>
        <w:rPr>
          <w:sz w:val="20"/>
          <w:szCs w:val="20"/>
          <w:color w:val="auto"/>
        </w:rPr>
      </w:pPr>
      <w:r>
        <w:rPr>
          <w:rFonts w:ascii="Arial" w:cs="Arial" w:eastAsia="Arial" w:hAnsi="Arial"/>
          <w:sz w:val="20"/>
          <w:szCs w:val="20"/>
          <w:color w:val="auto"/>
        </w:rPr>
        <w:t>(a) Agent shall have received executed counterparts (originals or electronic copies) of this Amendment No. 3, duly authorized, executed and delivered by Agent, the Supermajority Lenders and the Loan Parties;</w:t>
      </w:r>
    </w:p>
    <w:p>
      <w:pPr>
        <w:spacing w:after="0" w:line="177" w:lineRule="exact"/>
        <w:rPr>
          <w:sz w:val="20"/>
          <w:szCs w:val="20"/>
          <w:color w:val="auto"/>
        </w:rPr>
      </w:pPr>
    </w:p>
    <w:p>
      <w:pPr>
        <w:ind w:right="700" w:firstLine="1727"/>
        <w:spacing w:after="0" w:line="287" w:lineRule="auto"/>
        <w:rPr>
          <w:sz w:val="20"/>
          <w:szCs w:val="20"/>
          <w:color w:val="auto"/>
        </w:rPr>
      </w:pPr>
      <w:r>
        <w:rPr>
          <w:rFonts w:ascii="Arial" w:cs="Arial" w:eastAsia="Arial" w:hAnsi="Arial"/>
          <w:sz w:val="19"/>
          <w:szCs w:val="19"/>
          <w:color w:val="auto"/>
        </w:rPr>
        <w:t>(b) Agent shall have received executed counterparts (originals or electronic copies) of the Amendment No. 3 Fee Letter, duly authorized, executed and delivered by Agent and the Loan Parties, and the fees set forth therein;</w:t>
      </w:r>
    </w:p>
    <w:p>
      <w:pPr>
        <w:sectPr>
          <w:pgSz w:w="11900" w:h="16838" w:orient="portrait"/>
          <w:cols w:equalWidth="0" w:num="1">
            <w:col w:w="11220"/>
          </w:cols>
          <w:pgMar w:left="320" w:top="339" w:right="359" w:bottom="1440" w:gutter="0" w:footer="0" w:header="0"/>
          <w:type w:val="continuous"/>
        </w:sectPr>
      </w:pP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occurred and be continuing.</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after giving effect to this Amendment No. 3, no Default or Event of Default shall exist or have</w:t>
      </w:r>
    </w:p>
    <w:p>
      <w:pPr>
        <w:spacing w:after="0" w:line="422" w:lineRule="exact"/>
        <w:rPr>
          <w:sz w:val="20"/>
          <w:szCs w:val="20"/>
          <w:color w:val="auto"/>
        </w:rPr>
      </w:pPr>
    </w:p>
    <w:p>
      <w:pPr>
        <w:sectPr>
          <w:pgSz w:w="11900" w:h="16838" w:orient="portrait"/>
          <w:cols w:equalWidth="0" w:num="2">
            <w:col w:w="2980" w:space="720"/>
            <w:col w:w="7520"/>
          </w:cols>
          <w:pgMar w:left="320" w:top="339" w:right="35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 shall notify Borrower and Lenders of the Amendment No. 3 Effective Date and such notice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type w:val="continuous"/>
        </w:sectPr>
      </w:pPr>
    </w:p>
    <w:bookmarkStart w:id="65" w:name="page66"/>
    <w:bookmarkEnd w:id="65"/>
    <w:p>
      <w:pPr>
        <w:ind w:right="120" w:firstLine="872"/>
        <w:spacing w:after="0" w:line="276" w:lineRule="auto"/>
        <w:tabs>
          <w:tab w:leader="none" w:pos="19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 of Amendment No. 3</w:t>
      </w:r>
      <w:r>
        <w:rPr>
          <w:rFonts w:ascii="Arial" w:cs="Arial" w:eastAsia="Arial" w:hAnsi="Arial"/>
          <w:sz w:val="18"/>
          <w:szCs w:val="18"/>
          <w:color w:val="auto"/>
        </w:rPr>
        <w:t>. Except as expressly set forth herein, no other amendments, changes or modifications to the Loan Documents are intended or implied, and in all other respects the Loan Documents are hereby specifically ratified, restated and confirmed by all parties hereto as of the effective date hereof and the Loan Parties shall not be entitled to any other or further amendment by virtue of the provisions of this Amendment No. 3 or with respect to the subject matter of this Amendment No. 3. To the extent of conflict between the terms of this Amendment No. 3 and the other Loan Documents, the terms of this Amendment No. 3 shall control. The Credit Agreement and this Amendment No. 3 shall be read and construed as one agreement. This Amendment No. 3 is a Loan Document.</w:t>
      </w:r>
    </w:p>
    <w:p>
      <w:pPr>
        <w:spacing w:after="0" w:line="164" w:lineRule="exact"/>
        <w:rPr>
          <w:rFonts w:ascii="Arial" w:cs="Arial" w:eastAsia="Arial" w:hAnsi="Arial"/>
          <w:sz w:val="18"/>
          <w:szCs w:val="18"/>
          <w:color w:val="auto"/>
        </w:rPr>
      </w:pPr>
    </w:p>
    <w:p>
      <w:pPr>
        <w:ind w:left="2000" w:hanging="1128"/>
        <w:spacing w:after="0"/>
        <w:tabs>
          <w:tab w:leader="none" w:pos="20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provisions of Section 9.13 of the Credit Agreement shall apply with like effect to this Amendment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 3.</w:t>
      </w:r>
    </w:p>
    <w:p>
      <w:pPr>
        <w:spacing w:after="0" w:line="199" w:lineRule="exact"/>
        <w:rPr>
          <w:rFonts w:ascii="Arial" w:cs="Arial" w:eastAsia="Arial" w:hAnsi="Arial"/>
          <w:sz w:val="18"/>
          <w:szCs w:val="18"/>
          <w:color w:val="auto"/>
        </w:rPr>
      </w:pPr>
    </w:p>
    <w:p>
      <w:pPr>
        <w:ind w:right="180" w:firstLine="872"/>
        <w:spacing w:after="0" w:line="260" w:lineRule="auto"/>
        <w:tabs>
          <w:tab w:leader="none" w:pos="198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Amendment No. 3 shall be binding upon and inure to the benefit of each of the parties hereto and their respective successors and assigns.</w:t>
      </w:r>
    </w:p>
    <w:p>
      <w:pPr>
        <w:spacing w:after="0" w:line="176" w:lineRule="exact"/>
        <w:rPr>
          <w:rFonts w:ascii="Arial" w:cs="Arial" w:eastAsia="Arial" w:hAnsi="Arial"/>
          <w:sz w:val="20"/>
          <w:szCs w:val="20"/>
          <w:color w:val="auto"/>
        </w:rPr>
      </w:pPr>
    </w:p>
    <w:p>
      <w:pPr>
        <w:jc w:val="both"/>
        <w:ind w:right="560" w:firstLine="872"/>
        <w:spacing w:after="0" w:line="250" w:lineRule="auto"/>
        <w:tabs>
          <w:tab w:leader="none" w:pos="198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Waiver, Modification, Etc.</w:t>
      </w:r>
      <w:r>
        <w:rPr>
          <w:rFonts w:ascii="Arial" w:cs="Arial" w:eastAsia="Arial" w:hAnsi="Arial"/>
          <w:sz w:val="20"/>
          <w:szCs w:val="20"/>
          <w:color w:val="auto"/>
        </w:rPr>
        <w:t xml:space="preserve"> No provision or term of this Amendment No. 3 may be modified, altered, waived, discharged or terminated orally or by course of conduct, but only by an instrument in writing executed by the party against whom such modification, alteration, waiver, discharge or termination is sought to be enforced.</w:t>
      </w:r>
    </w:p>
    <w:p>
      <w:pPr>
        <w:spacing w:after="0" w:line="185" w:lineRule="exact"/>
        <w:rPr>
          <w:rFonts w:ascii="Arial" w:cs="Arial" w:eastAsia="Arial" w:hAnsi="Arial"/>
          <w:sz w:val="20"/>
          <w:szCs w:val="20"/>
          <w:color w:val="auto"/>
        </w:rPr>
      </w:pPr>
    </w:p>
    <w:p>
      <w:pPr>
        <w:jc w:val="both"/>
        <w:ind w:right="480" w:firstLine="872"/>
        <w:spacing w:after="0" w:line="342" w:lineRule="auto"/>
        <w:tabs>
          <w:tab w:leader="none" w:pos="208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No. 3 represents the entire agreement and understanding concerning the 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117" w:lineRule="exact"/>
        <w:rPr>
          <w:rFonts w:ascii="Arial" w:cs="Arial" w:eastAsia="Arial" w:hAnsi="Arial"/>
          <w:sz w:val="16"/>
          <w:szCs w:val="16"/>
          <w:color w:val="auto"/>
        </w:rPr>
      </w:pPr>
    </w:p>
    <w:p>
      <w:pPr>
        <w:ind w:right="380" w:firstLine="872"/>
        <w:spacing w:after="0" w:line="260" w:lineRule="auto"/>
        <w:tabs>
          <w:tab w:leader="none" w:pos="2075"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listed herein are for convenience only and do not constitute matters to be construed in interpreting this Amendment No. 3.</w:t>
      </w:r>
    </w:p>
    <w:p>
      <w:pPr>
        <w:spacing w:after="0" w:line="176" w:lineRule="exact"/>
        <w:rPr>
          <w:rFonts w:ascii="Arial" w:cs="Arial" w:eastAsia="Arial" w:hAnsi="Arial"/>
          <w:sz w:val="20"/>
          <w:szCs w:val="20"/>
          <w:color w:val="auto"/>
        </w:rPr>
      </w:pPr>
    </w:p>
    <w:p>
      <w:pPr>
        <w:ind w:firstLine="872"/>
        <w:spacing w:after="0" w:line="259" w:lineRule="auto"/>
        <w:tabs>
          <w:tab w:leader="none" w:pos="2083"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No. 3 may be executed in any number of counterparts, each of which shall be an original, but all of which taken together shall constitute one and the same agreement. Delivery of an executed counterpart of this Amendment No. 3 by telefacsimile or other electronic method of transmission (e.g., “pdf” or “tif”) shall have the same force and effect as delivery of an original executed counterpart of this Amendment No. 3. Any party delivering an executed counterpart of this Amendment No. 3 by telefacsimile or other electronic method of transmission shall also deliver an original executed counterpart of this Amendment No. 1, but the failure to do so shall not affect the validity, enforceability, and binding effect of this Amendment No. 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THIS PAGE INTENTIONALLY LEFT BLANK]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6" w:name="page67"/>
    <w:bookmarkEnd w:id="66"/>
    <w:p>
      <w:pPr>
        <w:ind w:firstLine="821"/>
        <w:spacing w:after="0" w:line="260" w:lineRule="auto"/>
        <w:rPr>
          <w:sz w:val="20"/>
          <w:szCs w:val="20"/>
          <w:color w:val="auto"/>
        </w:rPr>
      </w:pPr>
      <w:r>
        <w:rPr>
          <w:rFonts w:ascii="Arial" w:cs="Arial" w:eastAsia="Arial" w:hAnsi="Arial"/>
          <w:sz w:val="20"/>
          <w:szCs w:val="20"/>
          <w:color w:val="auto"/>
        </w:rPr>
        <w:t>IN WITNESS WHEREOF, the parties hereto have caused this Amendment No. 3 to be duly executed and delivered by their authorized officers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EASTMAN KODAK COMPANY</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jc w:val="center"/>
        <w:ind w:right="-17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FAR EAST DEVELOPMENT LTD.</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FPC INC.</w:t>
      </w:r>
    </w:p>
    <w:p>
      <w:pPr>
        <w:ind w:left="5200"/>
        <w:spacing w:after="0"/>
        <w:rPr>
          <w:sz w:val="20"/>
          <w:szCs w:val="20"/>
          <w:color w:val="auto"/>
        </w:rPr>
      </w:pPr>
      <w:r>
        <w:rPr>
          <w:rFonts w:ascii="Arial" w:cs="Arial" w:eastAsia="Arial" w:hAnsi="Arial"/>
          <w:sz w:val="20"/>
          <w:szCs w:val="20"/>
          <w:color w:val="auto"/>
        </w:rPr>
        <w:t>KODAK (NEAR EAST), INC.</w:t>
      </w:r>
    </w:p>
    <w:p>
      <w:pPr>
        <w:ind w:left="5200"/>
        <w:spacing w:after="0"/>
        <w:rPr>
          <w:sz w:val="20"/>
          <w:szCs w:val="20"/>
          <w:color w:val="auto"/>
        </w:rPr>
      </w:pPr>
      <w:r>
        <w:rPr>
          <w:rFonts w:ascii="Arial" w:cs="Arial" w:eastAsia="Arial" w:hAnsi="Arial"/>
          <w:sz w:val="20"/>
          <w:szCs w:val="20"/>
          <w:color w:val="auto"/>
        </w:rPr>
        <w:t>KODAK AMERICAS, LTD.</w:t>
      </w:r>
    </w:p>
    <w:p>
      <w:pPr>
        <w:ind w:left="5200"/>
        <w:spacing w:after="0"/>
        <w:rPr>
          <w:sz w:val="20"/>
          <w:szCs w:val="20"/>
          <w:color w:val="auto"/>
        </w:rPr>
      </w:pPr>
      <w:r>
        <w:rPr>
          <w:rFonts w:ascii="Arial" w:cs="Arial" w:eastAsia="Arial" w:hAnsi="Arial"/>
          <w:sz w:val="20"/>
          <w:szCs w:val="20"/>
          <w:color w:val="auto"/>
        </w:rPr>
        <w:t>KODAK REALTY, INC.</w:t>
      </w:r>
    </w:p>
    <w:p>
      <w:pPr>
        <w:ind w:left="5200"/>
        <w:spacing w:after="0"/>
        <w:rPr>
          <w:sz w:val="20"/>
          <w:szCs w:val="20"/>
          <w:color w:val="auto"/>
        </w:rPr>
      </w:pPr>
      <w:r>
        <w:rPr>
          <w:rFonts w:ascii="Arial" w:cs="Arial" w:eastAsia="Arial" w:hAnsi="Arial"/>
          <w:sz w:val="20"/>
          <w:szCs w:val="20"/>
          <w:color w:val="auto"/>
        </w:rPr>
        <w:t>LASER-PACIFIC MEDIA CORPORATION</w:t>
      </w:r>
    </w:p>
    <w:p>
      <w:pPr>
        <w:ind w:left="5200"/>
        <w:spacing w:after="0"/>
        <w:rPr>
          <w:sz w:val="20"/>
          <w:szCs w:val="20"/>
          <w:color w:val="auto"/>
        </w:rPr>
      </w:pPr>
      <w:r>
        <w:rPr>
          <w:rFonts w:ascii="Arial" w:cs="Arial" w:eastAsia="Arial" w:hAnsi="Arial"/>
          <w:sz w:val="20"/>
          <w:szCs w:val="20"/>
          <w:color w:val="auto"/>
        </w:rPr>
        <w:t>KODAK PHILIPPINES, LTD.</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jc w:val="center"/>
        <w:ind w:right="-17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NPEC INC.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jc w:val="center"/>
        <w:ind w:right="-1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40"/>
          </w:cols>
          <w:pgMar w:left="320" w:top="339" w:right="939" w:bottom="1440" w:gutter="0" w:footer="0" w:header="0"/>
        </w:sectPr>
      </w:pPr>
    </w:p>
    <w:bookmarkStart w:id="67" w:name="page68"/>
    <w:bookmarkEnd w:id="67"/>
    <w:p>
      <w:pPr>
        <w:ind w:left="4080"/>
        <w:spacing w:after="0"/>
        <w:rPr>
          <w:sz w:val="20"/>
          <w:szCs w:val="20"/>
          <w:color w:val="auto"/>
        </w:rPr>
      </w:pPr>
      <w:r>
        <w:rPr>
          <w:rFonts w:ascii="Arial" w:cs="Arial" w:eastAsia="Arial" w:hAnsi="Arial"/>
          <w:sz w:val="20"/>
          <w:szCs w:val="20"/>
          <w:u w:val="single" w:color="auto"/>
          <w:color w:val="auto"/>
        </w:rPr>
        <w:t>Agent and Lenders</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Agent and a Lender</w:t>
      </w:r>
    </w:p>
    <w:p>
      <w:pPr>
        <w:spacing w:after="0" w:line="200"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By:_______________________</w:t>
      </w:r>
    </w:p>
    <w:p>
      <w:pPr>
        <w:spacing w:after="0" w:line="6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Name: ____________________</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589280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68" w:name="page69"/>
    <w:bookmarkEnd w:id="68"/>
    <w:p>
      <w:pPr>
        <w:ind w:left="4080"/>
        <w:spacing w:after="0"/>
        <w:rPr>
          <w:sz w:val="20"/>
          <w:szCs w:val="20"/>
          <w:color w:val="auto"/>
        </w:rPr>
      </w:pPr>
      <w:r>
        <w:rPr>
          <w:rFonts w:ascii="Arial" w:cs="Arial" w:eastAsia="Arial" w:hAnsi="Arial"/>
          <w:sz w:val="19"/>
          <w:szCs w:val="19"/>
          <w:color w:val="auto"/>
        </w:rPr>
        <w:t>JPMORGAN CHASE BANK, N.A.,</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69" w:name="page70"/>
    <w:bookmarkEnd w:id="69"/>
    <w:p>
      <w:pPr>
        <w:ind w:left="4080"/>
        <w:spacing w:after="0"/>
        <w:rPr>
          <w:sz w:val="20"/>
          <w:szCs w:val="20"/>
          <w:color w:val="auto"/>
        </w:rPr>
      </w:pPr>
      <w:r>
        <w:rPr>
          <w:rFonts w:ascii="Arial" w:cs="Arial" w:eastAsia="Arial" w:hAnsi="Arial"/>
          <w:sz w:val="19"/>
          <w:szCs w:val="19"/>
          <w:color w:val="auto"/>
        </w:rPr>
        <w:t>SIEMENS FINANCIAL SERVICES,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70" w:name="page71"/>
    <w:bookmarkEnd w:id="70"/>
    <w:p>
      <w:pPr>
        <w:ind w:left="4080"/>
        <w:spacing w:after="0"/>
        <w:rPr>
          <w:sz w:val="20"/>
          <w:szCs w:val="20"/>
          <w:color w:val="auto"/>
        </w:rPr>
      </w:pPr>
      <w:r>
        <w:rPr>
          <w:rFonts w:ascii="Arial" w:cs="Arial" w:eastAsia="Arial" w:hAnsi="Arial"/>
          <w:sz w:val="18"/>
          <w:szCs w:val="18"/>
          <w:color w:val="auto"/>
        </w:rPr>
        <w:t>WEBSTER BUSINESS CREDIT CORPORATION,</w:t>
      </w:r>
    </w:p>
    <w:p>
      <w:pPr>
        <w:spacing w:after="0" w:line="3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71" w:name="page72"/>
    <w:bookmarkEnd w:id="71"/>
    <w:p>
      <w:pPr>
        <w:ind w:left="4080" w:right="419"/>
        <w:spacing w:after="0" w:line="260" w:lineRule="auto"/>
        <w:rPr>
          <w:sz w:val="20"/>
          <w:szCs w:val="20"/>
          <w:color w:val="auto"/>
        </w:rPr>
      </w:pPr>
      <w:r>
        <w:rPr>
          <w:rFonts w:ascii="Arial" w:cs="Arial" w:eastAsia="Arial" w:hAnsi="Arial"/>
          <w:sz w:val="20"/>
          <w:szCs w:val="20"/>
          <w:color w:val="auto"/>
        </w:rPr>
        <w:t>CREDIT SUISSE AG, CAYMAN ISLANDS BRANCH, as a Lender</w:t>
      </w:r>
    </w:p>
    <w:p>
      <w:pPr>
        <w:spacing w:after="0" w:line="19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By:_______________________</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____________________</w:t>
      </w:r>
    </w:p>
    <w:p>
      <w:pPr>
        <w:ind w:left="4080"/>
        <w:spacing w:after="0"/>
        <w:rPr>
          <w:sz w:val="20"/>
          <w:szCs w:val="20"/>
          <w:color w:val="auto"/>
        </w:rPr>
      </w:pPr>
      <w:r>
        <w:rPr>
          <w:rFonts w:ascii="Arial" w:cs="Arial" w:eastAsia="Arial" w:hAnsi="Arial"/>
          <w:sz w:val="20"/>
          <w:szCs w:val="20"/>
          <w:color w:val="auto"/>
        </w:rPr>
        <w:t>Title:_____________________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1140460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0"/>
          <w:szCs w:val="20"/>
          <w:b w:val="1"/>
          <w:bCs w:val="1"/>
          <w:color w:val="auto"/>
        </w:rPr>
        <w:t>SCHEDULE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COMMITMENTS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810" w:type="dxa"/>
        <w:tblCellMar>
          <w:top w:w="0" w:type="dxa"/>
          <w:left w:w="0" w:type="dxa"/>
          <w:bottom w:w="0" w:type="dxa"/>
          <w:right w:w="0" w:type="dxa"/>
        </w:tblCellMar>
      </w:tblPr>
      <w:tr>
        <w:trPr>
          <w:trHeight w:val="226"/>
        </w:trPr>
        <w:tc>
          <w:tcPr>
            <w:tcW w:w="2260" w:type="dxa"/>
            <w:vAlign w:val="bottom"/>
            <w:tcBorders>
              <w:top w:val="single" w:sz="8" w:color="auto"/>
              <w:left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rPr>
              <w:t>Lender</w:t>
            </w:r>
          </w:p>
        </w:tc>
        <w:tc>
          <w:tcPr>
            <w:tcW w:w="162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4"/>
              </w:rPr>
              <w:t>Revolving Credit</w:t>
            </w:r>
          </w:p>
        </w:tc>
        <w:tc>
          <w:tcPr>
            <w:tcW w:w="158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2"/>
              </w:rPr>
              <w:t>Letter of Credit</w:t>
            </w:r>
          </w:p>
        </w:tc>
      </w:tr>
      <w:tr>
        <w:trPr>
          <w:trHeight w:val="246"/>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Commitment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Commitment</w:t>
            </w:r>
          </w:p>
        </w:tc>
      </w:tr>
      <w:tr>
        <w:trPr>
          <w:trHeight w:val="223"/>
        </w:trPr>
        <w:tc>
          <w:tcPr>
            <w:tcW w:w="226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Bank of America, N.A.</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$38,133,337.00</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$110,000,000.00</w:t>
            </w:r>
          </w:p>
        </w:tc>
      </w:tr>
      <w:tr>
        <w:trPr>
          <w:trHeight w:val="206"/>
        </w:trPr>
        <w:tc>
          <w:tcPr>
            <w:tcW w:w="2260" w:type="dxa"/>
            <w:vAlign w:val="bottom"/>
            <w:tcBorders>
              <w:left w:val="single" w:sz="8" w:color="auto"/>
              <w:right w:val="single" w:sz="8" w:color="auto"/>
            </w:tcBorders>
          </w:tcPr>
          <w:p>
            <w:pPr>
              <w:spacing w:after="0" w:line="207" w:lineRule="exact"/>
              <w:rPr>
                <w:sz w:val="20"/>
                <w:szCs w:val="20"/>
                <w:color w:val="auto"/>
              </w:rPr>
            </w:pPr>
            <w:r>
              <w:rPr>
                <w:rFonts w:ascii="Arial" w:cs="Arial" w:eastAsia="Arial" w:hAnsi="Arial"/>
                <w:sz w:val="20"/>
                <w:szCs w:val="20"/>
                <w:color w:val="auto"/>
              </w:rPr>
              <w:t>JPMorgan Chase Bank,</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$23,466,663.00</w:t>
            </w:r>
          </w:p>
        </w:tc>
        <w:tc>
          <w:tcPr>
            <w:tcW w:w="15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$0.00</w:t>
            </w:r>
          </w:p>
        </w:tc>
      </w:tr>
      <w:tr>
        <w:trPr>
          <w:trHeight w:val="246"/>
        </w:trPr>
        <w:tc>
          <w:tcPr>
            <w:tcW w:w="2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N.A.</w:t>
            </w:r>
          </w:p>
        </w:tc>
        <w:tc>
          <w:tcPr>
            <w:tcW w:w="16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06"/>
        </w:trPr>
        <w:tc>
          <w:tcPr>
            <w:tcW w:w="2260" w:type="dxa"/>
            <w:vAlign w:val="bottom"/>
            <w:tcBorders>
              <w:left w:val="single" w:sz="8" w:color="auto"/>
              <w:right w:val="single" w:sz="8" w:color="auto"/>
            </w:tcBorders>
          </w:tcPr>
          <w:p>
            <w:pPr>
              <w:spacing w:after="0" w:line="207" w:lineRule="exact"/>
              <w:rPr>
                <w:sz w:val="20"/>
                <w:szCs w:val="20"/>
                <w:color w:val="auto"/>
              </w:rPr>
            </w:pPr>
            <w:r>
              <w:rPr>
                <w:rFonts w:ascii="Arial" w:cs="Arial" w:eastAsia="Arial" w:hAnsi="Arial"/>
                <w:sz w:val="20"/>
                <w:szCs w:val="20"/>
                <w:color w:val="auto"/>
                <w:w w:val="88"/>
              </w:rPr>
              <w:t>Siemens Financial Services,</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$22,733,337.00</w:t>
            </w:r>
          </w:p>
        </w:tc>
        <w:tc>
          <w:tcPr>
            <w:tcW w:w="15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$0.00</w:t>
            </w:r>
          </w:p>
        </w:tc>
      </w:tr>
      <w:tr>
        <w:trPr>
          <w:trHeight w:val="246"/>
        </w:trPr>
        <w:tc>
          <w:tcPr>
            <w:tcW w:w="2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Inc.</w:t>
            </w:r>
          </w:p>
        </w:tc>
        <w:tc>
          <w:tcPr>
            <w:tcW w:w="16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06"/>
        </w:trPr>
        <w:tc>
          <w:tcPr>
            <w:tcW w:w="2260" w:type="dxa"/>
            <w:vAlign w:val="bottom"/>
            <w:tcBorders>
              <w:left w:val="single" w:sz="8" w:color="auto"/>
              <w:right w:val="single" w:sz="8" w:color="auto"/>
            </w:tcBorders>
          </w:tcPr>
          <w:p>
            <w:pPr>
              <w:spacing w:after="0" w:line="207" w:lineRule="exact"/>
              <w:rPr>
                <w:sz w:val="20"/>
                <w:szCs w:val="20"/>
                <w:color w:val="auto"/>
              </w:rPr>
            </w:pPr>
            <w:r>
              <w:rPr>
                <w:rFonts w:ascii="Arial" w:cs="Arial" w:eastAsia="Arial" w:hAnsi="Arial"/>
                <w:sz w:val="20"/>
                <w:szCs w:val="20"/>
                <w:color w:val="auto"/>
              </w:rPr>
              <w:t>Webster Business Credit</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$14,666,663.00</w:t>
            </w:r>
          </w:p>
        </w:tc>
        <w:tc>
          <w:tcPr>
            <w:tcW w:w="15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$0.00</w:t>
            </w:r>
          </w:p>
        </w:tc>
      </w:tr>
      <w:tr>
        <w:trPr>
          <w:trHeight w:val="246"/>
        </w:trPr>
        <w:tc>
          <w:tcPr>
            <w:tcW w:w="2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Corporation</w:t>
            </w:r>
          </w:p>
        </w:tc>
        <w:tc>
          <w:tcPr>
            <w:tcW w:w="16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06"/>
        </w:trPr>
        <w:tc>
          <w:tcPr>
            <w:tcW w:w="2260" w:type="dxa"/>
            <w:vAlign w:val="bottom"/>
            <w:tcBorders>
              <w:left w:val="single" w:sz="8" w:color="auto"/>
              <w:right w:val="single" w:sz="8" w:color="auto"/>
            </w:tcBorders>
          </w:tcPr>
          <w:p>
            <w:pPr>
              <w:spacing w:after="0" w:line="207" w:lineRule="exact"/>
              <w:rPr>
                <w:sz w:val="20"/>
                <w:szCs w:val="20"/>
                <w:color w:val="auto"/>
              </w:rPr>
            </w:pPr>
            <w:r>
              <w:rPr>
                <w:rFonts w:ascii="Arial" w:cs="Arial" w:eastAsia="Arial" w:hAnsi="Arial"/>
                <w:sz w:val="20"/>
                <w:szCs w:val="20"/>
                <w:color w:val="auto"/>
                <w:w w:val="92"/>
              </w:rPr>
              <w:t>Credit Suisse AG, Cayman</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$11,000,000.00</w:t>
            </w:r>
          </w:p>
        </w:tc>
        <w:tc>
          <w:tcPr>
            <w:tcW w:w="15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$0.00</w:t>
            </w:r>
          </w:p>
        </w:tc>
      </w:tr>
      <w:tr>
        <w:trPr>
          <w:trHeight w:val="246"/>
        </w:trPr>
        <w:tc>
          <w:tcPr>
            <w:tcW w:w="2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Islands Branch</w:t>
            </w:r>
          </w:p>
        </w:tc>
        <w:tc>
          <w:tcPr>
            <w:tcW w:w="16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r>
      <w:tr>
        <w:trPr>
          <w:trHeight w:val="223"/>
        </w:trPr>
        <w:tc>
          <w:tcPr>
            <w:tcW w:w="226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Total:</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$110,000,000.00</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$110,000,000.00</w:t>
            </w:r>
          </w:p>
        </w:tc>
      </w:tr>
    </w:tbl>
    <w:p>
      <w:pPr>
        <w:sectPr>
          <w:pgSz w:w="11900" w:h="16838" w:orient="portrait"/>
          <w:cols w:equalWidth="0" w:num="1">
            <w:col w:w="9019"/>
          </w:cols>
          <w:pgMar w:left="1440" w:top="333"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60" w:right="40" w:firstLine="6"/>
        <w:spacing w:after="0" w:line="263" w:lineRule="auto"/>
        <w:tabs>
          <w:tab w:leader="none" w:pos="6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260" w:firstLine="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860" w:firstLine="6"/>
        <w:spacing w:after="0" w:line="342" w:lineRule="auto"/>
        <w:tabs>
          <w:tab w:leader="none" w:pos="6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280" w:firstLine="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2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240" w:firstLine="6"/>
        <w:spacing w:after="0" w:line="277" w:lineRule="auto"/>
        <w:tabs>
          <w:tab w:leader="none" w:pos="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20" w:firstLine="6"/>
        <w:spacing w:after="0" w:line="277" w:lineRule="auto"/>
        <w:tabs>
          <w:tab w:leader="none" w:pos="6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52"/>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68" w:hanging="368"/>
        <w:spacing w:after="0"/>
        <w:tabs>
          <w:tab w:leader="none" w:pos="3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68" w:right="40" w:hanging="368"/>
        <w:spacing w:after="0" w:line="263" w:lineRule="auto"/>
        <w:tabs>
          <w:tab w:leader="none" w:pos="3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8" w:right="340" w:hanging="368"/>
        <w:spacing w:after="0" w:line="342" w:lineRule="auto"/>
        <w:tabs>
          <w:tab w:leader="none" w:pos="3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68" w:right="200" w:hanging="368"/>
        <w:spacing w:after="0" w:line="291" w:lineRule="auto"/>
        <w:tabs>
          <w:tab w:leader="none" w:pos="3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8"/>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388" w:right="200" w:hanging="3"/>
        <w:spacing w:after="0" w:line="263" w:lineRule="auto"/>
        <w:tabs>
          <w:tab w:leader="none" w:pos="6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88" w:right="100" w:hanging="3"/>
        <w:spacing w:after="0" w:line="263" w:lineRule="auto"/>
        <w:tabs>
          <w:tab w:leader="none" w:pos="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88" w:right="120" w:hanging="3"/>
        <w:spacing w:after="0" w:line="342" w:lineRule="auto"/>
        <w:tabs>
          <w:tab w:leader="none" w:pos="61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8" w:hanging="3"/>
        <w:spacing w:after="0" w:line="263" w:lineRule="auto"/>
        <w:tabs>
          <w:tab w:leader="none" w:pos="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68" w:right="280" w:hanging="368"/>
        <w:spacing w:after="0" w:line="263" w:lineRule="auto"/>
        <w:tabs>
          <w:tab w:leader="none" w:pos="3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88" w:right="280" w:hanging="3"/>
        <w:spacing w:after="0" w:line="308" w:lineRule="auto"/>
        <w:tabs>
          <w:tab w:leader="none" w:pos="60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88" w:right="20" w:hanging="3"/>
        <w:spacing w:after="0" w:line="277" w:lineRule="auto"/>
        <w:tabs>
          <w:tab w:leader="none" w:pos="6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8"/>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Date: May 12, 2020</w:t>
      </w:r>
    </w:p>
    <w:p>
      <w:pPr>
        <w:sectPr>
          <w:pgSz w:w="11900" w:h="16838" w:orient="portrait"/>
          <w:cols w:equalWidth="0" w:num="1">
            <w:col w:w="10408"/>
          </w:cols>
          <w:pgMar w:left="692" w:top="121" w:right="7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March 31, 2020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480" w:hanging="238"/>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520" w:firstLine="2"/>
        <w:spacing w:after="0" w:line="277" w:lineRule="auto"/>
        <w:tabs>
          <w:tab w:leader="none" w:pos="4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ectPr>
          <w:pgSz w:w="11900" w:h="16838" w:orient="portrait"/>
          <w:cols w:equalWidth="0" w:num="1">
            <w:col w:w="10660"/>
          </w:cols>
          <w:pgMar w:left="320" w:top="337" w:right="9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March 31, 2020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4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400" w:hanging="2"/>
        <w:spacing w:after="0" w:line="277" w:lineRule="auto"/>
        <w:tabs>
          <w:tab w:leader="none" w:pos="5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sectPr>
      <w:pgSz w:w="11900" w:h="16838" w:orient="portrait"/>
      <w:cols w:equalWidth="0" w:num="1">
        <w:col w:w="10660"/>
      </w:cols>
      <w:pgMar w:left="320" w:top="33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lvl w:ilvl="1">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lowerRoman"/>
      <w:start w:val="2"/>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5"/>
    </w:lvl>
  </w:abstractNum>
  <w:abstractNum w:abstractNumId="31">
    <w:nsid w:val="580BD78F"/>
    <w:multiLevelType w:val="hybridMultilevel"/>
    <w:lvl w:ilvl="0">
      <w:lvlJc w:val="left"/>
      <w:lvlText w:val="(%1)"/>
      <w:numFmt w:val="lowerLetter"/>
      <w:start w:val="6"/>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Roman"/>
      <w:start w:val="2"/>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60"/>
    </w:lvl>
  </w:abstractNum>
  <w:abstractNum w:abstractNumId="39">
    <w:nsid w:val="2CD89A32"/>
    <w:multiLevelType w:val="hybridMultilevel"/>
    <w:lvl w:ilvl="0">
      <w:lvlJc w:val="left"/>
      <w:lvlText w:val="(%1)"/>
      <w:numFmt w:val="lowerRoman"/>
      <w:start w:val="2"/>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decimal"/>
      <w:start w:val="2"/>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decimal"/>
      <w:start w:val="5"/>
    </w:lvl>
  </w:abstractNum>
  <w:abstractNum w:abstractNumId="44">
    <w:nsid w:val="6DE91B18"/>
    <w:multiLevelType w:val="hybridMultilevel"/>
    <w:lvl w:ilvl="0">
      <w:lvlJc w:val="left"/>
      <w:lvlText w:val="%1."/>
      <w:numFmt w:val="decimal"/>
      <w:start w:val="6"/>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67" Type="http://schemas.openxmlformats.org/officeDocument/2006/relationships/hyperlink" Target="http://www.sec.gov/Archives/edgar/data/31235/000119312513354928/d591063dex41.htm" TargetMode="External"/><Relationship Id="rId68" Type="http://schemas.openxmlformats.org/officeDocument/2006/relationships/hyperlink" Target="http://www.sec.gov/Archives/edgar/data/31235/000156459016029358/kodk-ex31_26.htm" TargetMode="External"/><Relationship Id="rId69" Type="http://schemas.openxmlformats.org/officeDocument/2006/relationships/hyperlink" Target="http://www.sec.gov/Archives/edgar/data/31235/000156459017011692/kodk-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2020-05-12T15:20:05Z</dcterms:created>
  <dcterms:modified xsi:type="dcterms:W3CDTF">2020-05-12T15:20:05Z</dcterms:modified>
</cp:coreProperties>
</file>