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129540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left="1820" w:hanging="844"/>
        <w:spacing w:after="0"/>
        <w:tabs>
          <w:tab w:leader="none" w:pos="18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631825</wp:posOffset>
            </wp:positionH>
            <wp:positionV relativeFrom="paragraph">
              <wp:posOffset>-125730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1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1800" w:hanging="840"/>
        <w:spacing w:after="0"/>
        <w:tabs>
          <w:tab w:leader="none" w:pos="18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621665</wp:posOffset>
            </wp:positionH>
            <wp:positionV relativeFrom="paragraph">
              <wp:posOffset>-137160</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10" w:lineRule="exact"/>
        <w:rPr>
          <w:sz w:val="24"/>
          <w:szCs w:val="24"/>
          <w:color w:val="auto"/>
        </w:rPr>
      </w:pPr>
    </w:p>
    <w:p>
      <w:pPr>
        <w:ind w:left="3640"/>
        <w:spacing w:after="0"/>
        <w:tabs>
          <w:tab w:leader="none" w:pos="65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3792220</wp:posOffset>
            </wp:positionH>
            <wp:positionV relativeFrom="paragraph">
              <wp:posOffset>-5080</wp:posOffset>
            </wp:positionV>
            <wp:extent cx="780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13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Commission File Number 1-00087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122555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EASTMAN KODAK COMPANY</w:t>
      </w:r>
    </w:p>
    <w:p>
      <w:pPr>
        <w:spacing w:after="0" w:line="4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9" w:lineRule="exact"/>
        <w:rPr>
          <w:sz w:val="24"/>
          <w:szCs w:val="24"/>
          <w:color w:val="auto"/>
        </w:rPr>
      </w:pPr>
    </w:p>
    <w:tbl>
      <w:tblPr>
        <w:tblLayout w:type="fixed"/>
        <w:tblInd w:w="660" w:type="dxa"/>
        <w:tblCellMar>
          <w:top w:w="0" w:type="dxa"/>
          <w:left w:w="0" w:type="dxa"/>
          <w:bottom w:w="0" w:type="dxa"/>
          <w:right w:w="0" w:type="dxa"/>
        </w:tblCellMar>
      </w:tblPr>
      <w:tr>
        <w:trPr>
          <w:trHeight w:val="232"/>
        </w:trPr>
        <w:tc>
          <w:tcPr>
            <w:tcW w:w="3640" w:type="dxa"/>
            <w:vAlign w:val="bottom"/>
          </w:tcPr>
          <w:p>
            <w:pPr>
              <w:jc w:val="center"/>
              <w:ind w:left="199"/>
              <w:spacing w:after="0"/>
              <w:rPr>
                <w:sz w:val="20"/>
                <w:szCs w:val="20"/>
                <w:color w:val="auto"/>
              </w:rPr>
            </w:pPr>
            <w:r>
              <w:rPr>
                <w:rFonts w:ascii="Times New Roman" w:cs="Times New Roman" w:eastAsia="Times New Roman" w:hAnsi="Times New Roman"/>
                <w:sz w:val="18"/>
                <w:szCs w:val="18"/>
                <w:b w:val="1"/>
                <w:bCs w:val="1"/>
                <w:color w:val="auto"/>
                <w:w w:val="99"/>
              </w:rPr>
              <w:t>NEW JERSEY</w:t>
            </w:r>
          </w:p>
        </w:tc>
        <w:tc>
          <w:tcPr>
            <w:tcW w:w="2240" w:type="dxa"/>
            <w:vAlign w:val="bottom"/>
            <w:tcBorders>
              <w:top w:val="single" w:sz="8" w:color="auto"/>
            </w:tcBorders>
          </w:tcPr>
          <w:p>
            <w:pPr>
              <w:spacing w:after="0"/>
              <w:rPr>
                <w:sz w:val="20"/>
                <w:szCs w:val="20"/>
                <w:color w:val="auto"/>
              </w:rPr>
            </w:pPr>
          </w:p>
        </w:tc>
        <w:tc>
          <w:tcPr>
            <w:tcW w:w="280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16-0417150</w:t>
            </w:r>
          </w:p>
        </w:tc>
      </w:tr>
      <w:tr>
        <w:trPr>
          <w:trHeight w:val="190"/>
        </w:trPr>
        <w:tc>
          <w:tcPr>
            <w:tcW w:w="5880" w:type="dxa"/>
            <w:vAlign w:val="bottom"/>
            <w:gridSpan w:val="2"/>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800" w:type="dxa"/>
            <w:vAlign w:val="bottom"/>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21"/>
        </w:trPr>
        <w:tc>
          <w:tcPr>
            <w:tcW w:w="588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8"/>
              </w:rPr>
              <w:t>343 STATE STREET, ROCHESTER, NEW YORK</w:t>
            </w:r>
          </w:p>
        </w:tc>
        <w:tc>
          <w:tcPr>
            <w:tcW w:w="280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14650</w:t>
            </w:r>
          </w:p>
        </w:tc>
      </w:tr>
      <w:tr>
        <w:trPr>
          <w:trHeight w:val="193"/>
        </w:trPr>
        <w:tc>
          <w:tcPr>
            <w:tcW w:w="5880" w:type="dxa"/>
            <w:vAlign w:val="bottom"/>
            <w:gridSpan w:val="2"/>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122555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8"/>
        </w:trPr>
        <w:tc>
          <w:tcPr>
            <w:tcW w:w="4620" w:type="dxa"/>
            <w:vAlign w:val="bottom"/>
            <w:gridSpan w:val="5"/>
          </w:tcPr>
          <w:p>
            <w:pPr>
              <w:jc w:val="center"/>
              <w:ind w:right="12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39"/>
        </w:trPr>
        <w:tc>
          <w:tcPr>
            <w:tcW w:w="10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32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r>
      <w:tr>
        <w:trPr>
          <w:trHeight w:val="237"/>
        </w:trPr>
        <w:tc>
          <w:tcPr>
            <w:tcW w:w="4620" w:type="dxa"/>
            <w:vAlign w:val="bottom"/>
            <w:gridSpan w:val="5"/>
          </w:tcPr>
          <w:p>
            <w:pPr>
              <w:jc w:val="center"/>
              <w:ind w:right="130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KODK</w:t>
            </w:r>
          </w:p>
        </w:tc>
        <w:tc>
          <w:tcPr>
            <w:tcW w:w="74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92"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ind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w:t>
      </w:r>
    </w:p>
    <w:p>
      <w:pPr>
        <w:spacing w:after="0" w:line="94"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560" w:type="dxa"/>
        <w:tblCellMar>
          <w:top w:w="0" w:type="dxa"/>
          <w:left w:w="0" w:type="dxa"/>
          <w:bottom w:w="0" w:type="dxa"/>
          <w:right w:w="0" w:type="dxa"/>
        </w:tblCellMar>
      </w:tblP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37" w:lineRule="exact"/>
        <w:rPr>
          <w:sz w:val="24"/>
          <w:szCs w:val="24"/>
          <w:color w:val="auto"/>
        </w:rPr>
      </w:pPr>
    </w:p>
    <w:p>
      <w:pPr>
        <w:ind w:right="2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52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2, 2020, the registrant had 77,163,326 shares of common stock, par value $0.01 per share, outstanding.</w:t>
      </w:r>
    </w:p>
    <w:p>
      <w:pPr>
        <w:spacing w:after="0" w:line="19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85725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520" w:top="655" w:right="4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EASTMAN KODAK COMPANY</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ectPr>
          <w:pgSz w:w="11900" w:h="16838" w:orient="portrait"/>
          <w:cols w:equalWidth="0" w:num="1">
            <w:col w:w="11260"/>
          </w:cols>
          <w:pgMar w:left="320" w:top="36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840" w:type="dxa"/>
            <w:vAlign w:val="bottom"/>
            <w:vMerge w:val="restart"/>
          </w:tcPr>
          <w:p>
            <w:pPr>
              <w:ind w:left="37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70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9"/>
        </w:trPr>
        <w:tc>
          <w:tcPr>
            <w:tcW w:w="784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784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170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Statement of Operations (Unaudited)</w:t>
              </w:r>
            </w:hyperlink>
          </w:p>
        </w:tc>
        <w:tc>
          <w:tcPr>
            <w:tcW w:w="170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Statement of Comprehensive (Loss) Income (Unaudited)</w:t>
              </w:r>
            </w:hyperlink>
          </w:p>
        </w:tc>
        <w:tc>
          <w:tcPr>
            <w:tcW w:w="170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Consolidated Statement of Financial Position (Unaudited)</w:t>
              </w:r>
            </w:hyperlink>
          </w:p>
        </w:tc>
        <w:tc>
          <w:tcPr>
            <w:tcW w:w="170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Consolidated Statement of Cash Flows (Unaudited)</w:t>
              </w:r>
            </w:hyperlink>
          </w:p>
        </w:tc>
        <w:tc>
          <w:tcPr>
            <w:tcW w:w="170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Consolidated Statement of Equity (Deficit) (Unaudited)</w:t>
              </w:r>
            </w:hyperlink>
          </w:p>
        </w:tc>
        <w:tc>
          <w:tcPr>
            <w:tcW w:w="170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Financial Statements (Unaudited)</w:t>
              </w:r>
            </w:hyperlink>
          </w:p>
        </w:tc>
        <w:tc>
          <w:tcPr>
            <w:tcW w:w="170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700" w:type="dxa"/>
            <w:vAlign w:val="bottom"/>
          </w:tcPr>
          <w:p>
            <w:pPr>
              <w:jc w:val="center"/>
              <w:ind w:left="1432"/>
              <w:spacing w:after="0"/>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Liquidity and Capital Resources</w:t>
              </w:r>
            </w:hyperlink>
          </w:p>
        </w:tc>
        <w:tc>
          <w:tcPr>
            <w:tcW w:w="1700" w:type="dxa"/>
            <w:vAlign w:val="bottom"/>
          </w:tcPr>
          <w:p>
            <w:pPr>
              <w:jc w:val="center"/>
              <w:ind w:left="1432"/>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Controls and Procedures</w:t>
              </w:r>
            </w:hyperlink>
          </w:p>
        </w:tc>
        <w:tc>
          <w:tcPr>
            <w:tcW w:w="1700" w:type="dxa"/>
            <w:vAlign w:val="bottom"/>
          </w:tcPr>
          <w:p>
            <w:pPr>
              <w:jc w:val="center"/>
              <w:ind w:left="1432"/>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ectPr>
          <w:pgSz w:w="11900" w:h="16838" w:orient="portrait"/>
          <w:cols w:equalWidth="0" w:num="2">
            <w:col w:w="520" w:space="200"/>
            <w:col w:w="10540"/>
          </w:cols>
          <w:pgMar w:left="320" w:top="360" w:right="31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600" w:type="dxa"/>
            <w:vAlign w:val="bottom"/>
          </w:tcPr>
          <w:p>
            <w:pPr>
              <w:ind w:left="4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Legal Proceedings</w:t>
              </w:r>
            </w:hyperlink>
          </w:p>
        </w:tc>
        <w:tc>
          <w:tcPr>
            <w:tcW w:w="59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4600" w:type="dxa"/>
            <w:vAlign w:val="bottom"/>
          </w:tcPr>
          <w:p>
            <w:pPr>
              <w:ind w:left="4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Risk Factors</w:t>
              </w:r>
            </w:hyperlink>
          </w:p>
        </w:tc>
        <w:tc>
          <w:tcPr>
            <w:tcW w:w="59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600" w:type="dxa"/>
            <w:vAlign w:val="bottom"/>
          </w:tcPr>
          <w:p>
            <w:pPr>
              <w:ind w:left="4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Unregistered Sales of Equity Securities and Use of Proceeds</w:t>
              </w:r>
            </w:hyperlink>
          </w:p>
        </w:tc>
        <w:tc>
          <w:tcPr>
            <w:tcW w:w="59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55</w:t>
            </w:r>
          </w:p>
        </w:tc>
      </w:tr>
      <w:tr>
        <w:trPr>
          <w:trHeight w:val="26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4600" w:type="dxa"/>
            <w:vAlign w:val="bottom"/>
          </w:tcPr>
          <w:p>
            <w:pPr>
              <w:ind w:left="4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Exhibits</w:t>
              </w:r>
            </w:hyperlink>
          </w:p>
        </w:tc>
        <w:tc>
          <w:tcPr>
            <w:tcW w:w="59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56</w:t>
            </w:r>
          </w:p>
        </w:tc>
      </w:tr>
      <w:tr>
        <w:trPr>
          <w:trHeight w:val="486"/>
        </w:trPr>
        <w:tc>
          <w:tcPr>
            <w:tcW w:w="680" w:type="dxa"/>
            <w:vAlign w:val="bottom"/>
          </w:tcPr>
          <w:p>
            <w:pPr>
              <w:spacing w:after="0"/>
              <w:rPr>
                <w:sz w:val="24"/>
                <w:szCs w:val="24"/>
                <w:color w:val="auto"/>
              </w:rPr>
            </w:pPr>
          </w:p>
        </w:tc>
        <w:tc>
          <w:tcPr>
            <w:tcW w:w="4600" w:type="dxa"/>
            <w:vAlign w:val="bottom"/>
          </w:tcPr>
          <w:p>
            <w:pPr>
              <w:ind w:left="4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Index to Exhibits</w:t>
              </w:r>
            </w:hyperlink>
          </w:p>
        </w:tc>
        <w:tc>
          <w:tcPr>
            <w:tcW w:w="59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680" w:type="dxa"/>
            <w:vAlign w:val="bottom"/>
          </w:tcPr>
          <w:p>
            <w:pPr>
              <w:spacing w:after="0"/>
              <w:rPr>
                <w:sz w:val="21"/>
                <w:szCs w:val="21"/>
                <w:color w:val="auto"/>
              </w:rPr>
            </w:pPr>
          </w:p>
        </w:tc>
        <w:tc>
          <w:tcPr>
            <w:tcW w:w="4600" w:type="dxa"/>
            <w:vAlign w:val="bottom"/>
          </w:tcPr>
          <w:p>
            <w:pPr>
              <w:ind w:left="4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Signatures</w:t>
              </w:r>
            </w:hyperlink>
          </w:p>
        </w:tc>
        <w:tc>
          <w:tcPr>
            <w:tcW w:w="59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58</w:t>
            </w:r>
          </w:p>
        </w:tc>
      </w:tr>
      <w:tr>
        <w:trPr>
          <w:trHeight w:val="918"/>
        </w:trPr>
        <w:tc>
          <w:tcPr>
            <w:tcW w:w="6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980" w:type="dxa"/>
            <w:vAlign w:val="bottom"/>
          </w:tcPr>
          <w:p>
            <w:pPr>
              <w:jc w:val="right"/>
              <w:ind w:right="545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68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300" w:type="dxa"/>
            <w:vAlign w:val="bottom"/>
          </w:tcPr>
          <w:p>
            <w:pPr>
              <w:spacing w:after="0"/>
              <w:rPr>
                <w:sz w:val="20"/>
                <w:szCs w:val="20"/>
                <w:color w:val="auto"/>
              </w:rPr>
            </w:pPr>
          </w:p>
        </w:tc>
        <w:tc>
          <w:tcPr>
            <w:tcW w:w="2620" w:type="dxa"/>
            <w:vAlign w:val="bottom"/>
            <w:gridSpan w:val="5"/>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6"/>
            <w:vMerge w:val="restart"/>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1"/>
        </w:trPr>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gridSpan w:val="5"/>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Sales</w:t>
            </w:r>
          </w:p>
        </w:tc>
        <w:tc>
          <w:tcPr>
            <w:tcW w:w="1220" w:type="dxa"/>
            <w:vAlign w:val="bottom"/>
            <w:gridSpan w:val="2"/>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9"/>
                <w:szCs w:val="19"/>
                <w:color w:val="auto"/>
              </w:rPr>
            </w:pPr>
          </w:p>
        </w:tc>
        <w:tc>
          <w:tcPr>
            <w:tcW w:w="10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tcPr>
          <w:p>
            <w:pPr>
              <w:spacing w:after="0"/>
              <w:rPr>
                <w:sz w:val="19"/>
                <w:szCs w:val="19"/>
                <w:color w:val="auto"/>
              </w:rPr>
            </w:pPr>
          </w:p>
        </w:tc>
        <w:tc>
          <w:tcPr>
            <w:tcW w:w="5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4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Loss from continuing operations before interest expense,</w:t>
            </w:r>
          </w:p>
        </w:tc>
        <w:tc>
          <w:tcPr>
            <w:tcW w:w="3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income excluding service cost component,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charges, net and income taxes</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Pension income excluding service cost component</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charges, net</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4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Loss from continuing operations before</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loss per share attributable to</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Eastman Kodak Company common shareholders:</w:t>
            </w: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1220" w:type="dxa"/>
            <w:vAlign w:val="bottom"/>
            <w:gridSpan w:val="2"/>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10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w:t>
            </w:r>
          </w:p>
        </w:tc>
        <w:tc>
          <w:tcPr>
            <w:tcW w:w="5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Number of common shares used in basic and diluted net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per share</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(LOSS) INCOME (Unaudited)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230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660" w:type="dxa"/>
            <w:vAlign w:val="bottom"/>
          </w:tcPr>
          <w:p>
            <w:pPr>
              <w:spacing w:after="0"/>
              <w:rPr>
                <w:sz w:val="20"/>
                <w:szCs w:val="20"/>
                <w:color w:val="auto"/>
              </w:rPr>
            </w:pPr>
          </w:p>
        </w:tc>
        <w:tc>
          <w:tcPr>
            <w:tcW w:w="230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780" w:type="dxa"/>
            <w:vAlign w:val="bottom"/>
            <w:shd w:val="clear" w:color="auto" w:fill="CFF0FC"/>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(445)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7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 plan obligation activity,</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 INCOME, NET OF TAX</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780" w:type="dxa"/>
            <w:vAlign w:val="bottom"/>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(443)</w:t>
            </w:r>
          </w:p>
        </w:tc>
        <w:tc>
          <w:tcPr>
            <w:tcW w:w="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vMerge w:val="continue"/>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80" w:type="dxa"/>
            <w:vAlign w:val="bottom"/>
            <w:vMerge w:val="continue"/>
          </w:tcPr>
          <w:p>
            <w:pPr>
              <w:spacing w:after="0"/>
              <w:rPr>
                <w:sz w:val="19"/>
                <w:szCs w:val="19"/>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 net of allowances of $11 and $8, respectively</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 current portion</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19"/>
                <w:szCs w:val="19"/>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$424 and $423,</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1,415</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EQUITY</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trade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other postretirement liabilities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net of current portion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Series A preferred stock, no par value, $100 per share liquidation preference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(417)</w:t>
            </w: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1,220</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(561)</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r>
      <w:tr>
        <w:trPr>
          <w:trHeight w:val="23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to net cash used in operating activities: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Pension income</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1"/>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embedded derivatives in the Series A Preferred Stock and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Convertible Notes</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29"/>
        </w:trPr>
        <w:tc>
          <w:tcPr>
            <w:tcW w:w="7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gain on sales of assets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impairments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changes in workers' compensation reserves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Decrease in trade receivables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9"/>
                <w:szCs w:val="19"/>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Increase in inventories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(Decrease) increase in trade payables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Decrease in liabilities excluding borrowings and trade payables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items, net</w:t>
            </w:r>
          </w:p>
        </w:tc>
        <w:tc>
          <w:tcPr>
            <w:tcW w:w="4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9"/>
                <w:szCs w:val="19"/>
                <w:color w:val="auto"/>
              </w:rPr>
            </w:pPr>
          </w:p>
        </w:tc>
      </w:tr>
      <w:tr>
        <w:trPr>
          <w:trHeight w:val="223"/>
        </w:trPr>
        <w:tc>
          <w:tcPr>
            <w:tcW w:w="7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adjustments</w:t>
            </w:r>
          </w:p>
        </w:tc>
        <w:tc>
          <w:tcPr>
            <w:tcW w:w="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FF0FC"/>
            </w:tcBorders>
          </w:tcPr>
          <w:p>
            <w:pPr>
              <w:spacing w:after="0"/>
              <w:rPr>
                <w:sz w:val="19"/>
                <w:szCs w:val="19"/>
                <w:color w:val="auto"/>
              </w:rPr>
            </w:pPr>
          </w:p>
        </w:tc>
      </w:tr>
      <w:tr>
        <w:trPr>
          <w:trHeight w:val="223"/>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Additions to properties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proceeds from sales of assets/businesses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proceeds from return on equity investment</w:t>
            </w:r>
          </w:p>
        </w:tc>
        <w:tc>
          <w:tcPr>
            <w:tcW w:w="4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 of Term Credit Agreement</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borrowings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of finance leases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dividend payments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contingent consideration related to the sale of a business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0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05"/>
        </w:trPr>
        <w:tc>
          <w:tcPr>
            <w:tcW w:w="702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(decrease) increase in cash, cash equivalents, restricted cash and cash in assets held</w:t>
            </w:r>
          </w:p>
        </w:tc>
        <w:tc>
          <w:tcPr>
            <w:tcW w:w="4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sale</w:t>
            </w:r>
          </w:p>
        </w:tc>
        <w:tc>
          <w:tcPr>
            <w:tcW w:w="4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6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0"/>
                <w:szCs w:val="20"/>
                <w:color w:val="auto"/>
              </w:rPr>
            </w:pPr>
          </w:p>
        </w:tc>
      </w:tr>
      <w:tr>
        <w:trPr>
          <w:trHeight w:val="230"/>
        </w:trPr>
        <w:tc>
          <w:tcPr>
            <w:tcW w:w="7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cash in assets held for sale, beginning of period</w:t>
            </w:r>
          </w:p>
        </w:tc>
        <w:tc>
          <w:tcPr>
            <w:tcW w:w="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FF0FC"/>
            </w:tcBorders>
          </w:tcPr>
          <w:p>
            <w:pPr>
              <w:spacing w:after="0"/>
              <w:rPr>
                <w:sz w:val="19"/>
                <w:szCs w:val="19"/>
                <w:color w:val="auto"/>
              </w:rPr>
            </w:pPr>
          </w:p>
        </w:tc>
      </w:tr>
      <w:tr>
        <w:trPr>
          <w:trHeight w:val="223"/>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EQUITY (DEFICIT)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1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Nine-Month Period Ending September 30, 2020</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12"/>
          </w:tcPr>
          <w:p>
            <w:pPr>
              <w:ind w:left="140"/>
              <w:spacing w:after="0"/>
              <w:rPr>
                <w:sz w:val="20"/>
                <w:szCs w:val="20"/>
                <w:color w:val="auto"/>
              </w:rPr>
            </w:pPr>
            <w:r>
              <w:rPr>
                <w:rFonts w:ascii="Times New Roman" w:cs="Times New Roman" w:eastAsia="Times New Roman" w:hAnsi="Times New Roman"/>
                <w:sz w:val="17"/>
                <w:szCs w:val="17"/>
                <w:b w:val="1"/>
                <w:bCs w:val="1"/>
                <w:color w:val="auto"/>
              </w:rPr>
              <w:t>Eastman Kodak Company Common Shareholders</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0" w:type="dxa"/>
            <w:vAlign w:val="bottom"/>
          </w:tcPr>
          <w:p>
            <w:pPr>
              <w:spacing w:after="0"/>
              <w:rPr>
                <w:sz w:val="1"/>
                <w:szCs w:val="1"/>
                <w:color w:val="auto"/>
              </w:rPr>
            </w:pPr>
          </w:p>
        </w:tc>
      </w:tr>
      <w:tr>
        <w:trPr>
          <w:trHeight w:val="125"/>
        </w:trPr>
        <w:tc>
          <w:tcPr>
            <w:tcW w:w="3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Paid in</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65"/>
        </w:trPr>
        <w:tc>
          <w:tcPr>
            <w:tcW w:w="34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 (deficit) as of December 31, 2019</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4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Pension and other postretirement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liability adjustments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Series A preferred stock cash dividends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Series A preferred stock deemed dividends</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 (deficit) as of March 31, 2020</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4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Pension and other postretirement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liability adjustments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Series A preferred stock cash</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5"/>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Series A preferred stock deemed</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dividends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Equity (deficit) as of June 30, 2020</w:t>
            </w:r>
          </w:p>
        </w:tc>
        <w:tc>
          <w:tcPr>
            <w:tcW w:w="1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720" w:type="dxa"/>
            <w:vAlign w:val="bottom"/>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22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vMerge w:val="continue"/>
          </w:tcPr>
          <w:p>
            <w:pPr>
              <w:spacing w:after="0"/>
              <w:rPr>
                <w:sz w:val="21"/>
                <w:szCs w:val="21"/>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vMerge w:val="continue"/>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40" w:type="dxa"/>
            <w:vAlign w:val="bottom"/>
          </w:tcPr>
          <w:p>
            <w:pPr>
              <w:ind w:left="260"/>
              <w:spacing w:after="0" w:line="194" w:lineRule="exact"/>
              <w:rPr>
                <w:sz w:val="20"/>
                <w:szCs w:val="20"/>
                <w:color w:val="auto"/>
              </w:rPr>
            </w:pPr>
            <w:r>
              <w:rPr>
                <w:rFonts w:ascii="Times New Roman" w:cs="Times New Roman" w:eastAsia="Times New Roman" w:hAnsi="Times New Roman"/>
                <w:sz w:val="17"/>
                <w:szCs w:val="17"/>
                <w:color w:val="auto"/>
              </w:rPr>
              <w:t>Pension and other postretirement</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liability adjustments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5"/>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Series A preferred stock cash</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dividends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Series A preferred stock deemed</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Conversion of Convertible Notes</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Stock options exercised</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Equity (deficit) as of September 30, 2020</w:t>
            </w:r>
          </w:p>
        </w:tc>
        <w:tc>
          <w:tcPr>
            <w:tcW w:w="140" w:type="dxa"/>
            <w:vAlign w:val="bottom"/>
          </w:tcPr>
          <w:p>
            <w:pPr>
              <w:spacing w:after="0"/>
              <w:rPr>
                <w:sz w:val="18"/>
                <w:szCs w:val="18"/>
                <w:color w:val="auto"/>
              </w:rPr>
            </w:pPr>
          </w:p>
        </w:tc>
        <w:tc>
          <w:tcPr>
            <w:tcW w:w="720" w:type="dxa"/>
            <w:vAlign w:val="bottom"/>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EQUITY (DEFICIT) (Unaudited) (cont’d)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1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Nine-Month Period Ending September 30, 2019</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9"/>
          </w:tcPr>
          <w:p>
            <w:pPr>
              <w:ind w:left="380"/>
              <w:spacing w:after="0" w:line="185" w:lineRule="exact"/>
              <w:rPr>
                <w:sz w:val="20"/>
                <w:szCs w:val="20"/>
                <w:color w:val="auto"/>
              </w:rPr>
            </w:pPr>
            <w:r>
              <w:rPr>
                <w:rFonts w:ascii="Times New Roman" w:cs="Times New Roman" w:eastAsia="Times New Roman" w:hAnsi="Times New Roman"/>
                <w:sz w:val="17"/>
                <w:szCs w:val="17"/>
                <w:b w:val="1"/>
                <w:bCs w:val="1"/>
                <w:color w:val="auto"/>
              </w:rPr>
              <w:t>Eastman Kodak Company Common</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7"/>
                <w:szCs w:val="17"/>
                <w:b w:val="1"/>
                <w:bCs w:val="1"/>
                <w:color w:val="auto"/>
              </w:rPr>
              <w:t>Shareholders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Paid in</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65"/>
        </w:trPr>
        <w:tc>
          <w:tcPr>
            <w:tcW w:w="3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Equity (deficit) as of December 31, 2018</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40" w:type="dxa"/>
            <w:vAlign w:val="bottom"/>
          </w:tcPr>
          <w:p>
            <w:pPr>
              <w:ind w:left="260"/>
              <w:spacing w:after="0" w:line="194" w:lineRule="exact"/>
              <w:rPr>
                <w:sz w:val="20"/>
                <w:szCs w:val="20"/>
                <w:color w:val="auto"/>
              </w:rPr>
            </w:pPr>
            <w:r>
              <w:rPr>
                <w:rFonts w:ascii="Times New Roman" w:cs="Times New Roman" w:eastAsia="Times New Roman" w:hAnsi="Times New Roman"/>
                <w:sz w:val="17"/>
                <w:szCs w:val="17"/>
                <w:color w:val="auto"/>
              </w:rPr>
              <w:t>Pension and other postretirement</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liability adjustments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Series A preferred stock cash dividends</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Series A preferred stock deemed dividends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Prior period adjustment due to adoption</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7"/>
                <w:szCs w:val="17"/>
                <w:color w:val="auto"/>
              </w:rPr>
              <w:t>of ASU 2016-02</w:t>
            </w:r>
          </w:p>
        </w:tc>
        <w:tc>
          <w:tcPr>
            <w:tcW w:w="1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 (deficit) as of March 31, 2019</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4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Pension and other postretirement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liability adjustments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Series A preferred stock cash</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5"/>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Series A preferred stock deemed</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dividends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 (deficit) as of June 30, 2019</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4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Pension and other postretirement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liability adjustments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Series A preferred stock cash</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5"/>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Series A preferred stock deemed</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dividends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treasury stock</w:t>
            </w:r>
          </w:p>
        </w:tc>
        <w:tc>
          <w:tcPr>
            <w:tcW w:w="14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Equity (deficit) as of September 30, 2019</w:t>
            </w:r>
          </w:p>
        </w:tc>
        <w:tc>
          <w:tcPr>
            <w:tcW w:w="140" w:type="dxa"/>
            <w:vAlign w:val="bottom"/>
          </w:tcPr>
          <w:p>
            <w:pPr>
              <w:spacing w:after="0"/>
              <w:rPr>
                <w:sz w:val="18"/>
                <w:szCs w:val="18"/>
                <w:color w:val="auto"/>
              </w:rPr>
            </w:pPr>
          </w:p>
        </w:tc>
        <w:tc>
          <w:tcPr>
            <w:tcW w:w="720" w:type="dxa"/>
            <w:vAlign w:val="bottom"/>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2019 (the “2019 Form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interim financial statements have been prepared on the going concern basis of accounting, which assumes Kodak will continue to operate as a going concern and which contemplates the realization of assets and the satisfaction of liabilities and commitments in the normal course of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and December 31, 2019, Kodak had approximately $193 million and $233 million, respectively, of cash and cash</w:t>
      </w:r>
    </w:p>
    <w:p>
      <w:pPr>
        <w:spacing w:after="0" w:line="27"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equivalents. $108 million and $72 million were held in the United States (“U.S.”) as of September 30, 2020 and December 31, 2019, respectively, and $85 million and $161 million were held outside the U.S. Cash balances held outside the U.S. are generally required to support local country operations and may have high tax costs or other limitations that delay the ability to repatriate, and therefore may not be readily available for transfer to other</w:t>
      </w:r>
    </w:p>
    <w:p>
      <w:pPr>
        <w:spacing w:after="0" w:line="1"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jurisdictions. Outstanding inter-company loans to the U.S. as of September 30, 2020 and December 31, 2019 were $436 million and $408 million, respectively, which includes short-term intercompany loans from Kodak’s international finance center of $138 million and $110 million as of September 30, 2020 and December 31, 2019, respectively. In China, where approximately $23 million and $89 million of cash and cash equivalents was held as of September 30, 2020 and December 31, 2019, respectively, there are limitations related to net asset balances that may impact the ability to make cash available to other jurisdictions in the world. On May 12, 2020, a Chinese subsidiary of Kodak transferred approximately $70 million to a U.S. subsidiary of Kodak that was used in an inter-company transaction. Kodak had a net decrease in cash, cash equivalents, restricted cash and cash in assets held for sale of $49 million for the nine months ended September 30, 2020, and a net increase in cash, cash equivalents, restricted cash and cash in assets held for sale of $12 million and $23 million for the nine months ended September 30, 2019 and the year ended December 31, 2019, respectively. Kodak used cash of $48 million and $4 million in operating activities for the nine months ended September 30, 2020 and 2019, respectively, and generated cash from operating activities for the year ended December 31, 2019 of $12 million. Cash flow from operations in 2019 benefitted from working capital improvements and individual transactions that occurred during the year.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GAAP requires an evaluation of whether there are conditions or events, considered in the aggregate, that raise substantial doubt about an entity’s ability to continue as a going concern within one year after the date the financial statements are issued. Initially, this evaluation does not consider the potential mitigating effect of management’s plans that have not been fully implemented. When substantial doubt exists, management evaluates the mitigating effect of its plans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within one year after the date the financial statements are issued or prior to the conditions or events that create the going concern risk.</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Kodak is facing liquidity challenges due to operating losses, low or negative cash flow from operations and collateral needs. Kodak has $87 million of letters of credit issued under the Amended and Restated Credit Agreement (the “ABL Credit Agreement”) which matures on May 26, 2021. The Company’s 5.50% Series A Convertible Preferred Stock (the “Series A Preferred Stock”) must be redeemed on November 15, 2021 if not converted prior to then. Additionally, Kodak has significant cash requirements to fund ongoing operations, restructuring programs, pension and other postretirement obligations, and other obligations. Kodak’s plans to return to sustainable positive cash flow include growing revenues profitably, reducing operating expenses, continuing to simplify the organizational structure, generating cash from selling and leasing underutilized assets and paring investment in new technology by eliminating or delaying product development programs as needed. Additionally, the Company looks to implement ways to reduce collateral needs in the U.S.</w:t>
      </w:r>
    </w:p>
    <w:p>
      <w:pPr>
        <w:spacing w:after="0" w:line="2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Kodak’s products are sold and serviced in numerous countries across the globe with more than half of sales generated outside the United States. Current global economic conditions are highly volatile due to the COVID-19 pandemic. The economic uncertainties surrounding the COVID-19 pandemic are adding complexity to Kodak’s plans to return to sustainable positive cash flow. To mitigate the economic impacts of the pandemic Kodak is employing temporary furloughs and pay reductions and modifying manufacturing volumes as expectations of demand change.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right="60"/>
        <w:spacing w:after="0" w:line="266" w:lineRule="auto"/>
        <w:rPr>
          <w:sz w:val="20"/>
          <w:szCs w:val="20"/>
          <w:color w:val="auto"/>
        </w:rPr>
      </w:pPr>
      <w:r>
        <w:rPr>
          <w:rFonts w:ascii="Times New Roman" w:cs="Times New Roman" w:eastAsia="Times New Roman" w:hAnsi="Times New Roman"/>
          <w:sz w:val="18"/>
          <w:szCs w:val="18"/>
          <w:color w:val="auto"/>
        </w:rPr>
        <w:t>The recent history of negative operating cash flow, maturity of the ABL Credit Agreement in 2021, redemption date in 2021 for the Series A Preferred Stock, increased challenges in managing cash during the COVID-19 pandemic and general lack of certainty regarding the return to positive cash flow raise substantial doubt about Kodak’s ability to continue as a going concern</w:t>
      </w:r>
      <w:r>
        <w:rPr>
          <w:rFonts w:ascii="Times New Roman" w:cs="Times New Roman" w:eastAsia="Times New Roman" w:hAnsi="Times New Roman"/>
          <w:sz w:val="18"/>
          <w:szCs w:val="18"/>
          <w:b w:val="1"/>
          <w:bCs w:val="1"/>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Certain amounts for prior periods have been reclassified to conform to the current period classification due to Kodak’s new organization structure as of January 2020. Refer to Note 23, “Segment Information”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2018, the Financial Accounting Standards Board (“FASB”) issued Accounting Standard Update (“ASU”) 2018-18, Collaborative Arrangements (Topic 808): Clarifying the Interaction between Topic 808 and Topic 606. 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The new standard is effective for fiscal years, and for interim periods within those fiscal years, beginning after December 15, 2019 (January 1, 2020 for Kodak). The amendments should be applied retrospectively to the date of initial application of Topic 606. Kodak adopted this ASU on January 1, 2020, and it did not have any impact on Kodak’s consolidated financial statements.</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2018 the FASB issued ASU 2018-13, Fair Value Measurement (Topic 820): Disclosure Framework—Changes to the Disclosure Requirements for Fair Value Measurement, which amends the disclosure requirements in Topic 820 by adding, changing, or removing certain disclosures about recurring or nonrecurring fair value measurements. The additional and/or modified disclosures relate primarily to Level 3 fair value measurements while removing certain disclosures related to transfers between Level 1 and Level 2 of the fair value hierarchy. The ASU is effective retrospectively, for fiscal years beginning after December 15, 2019 (January 1, 2020 for Kodak) and interim periods within those fiscal years. Entities are permitted to early adopt any removed or modified disclosures but can delay adoption of the new disclosures until their effective date. Kodak retrospectively early adopted the provisions of the ASU that removed or modified disclosures in the fourth quarter of 2018 and prospectively adopted the provisions related to new disclosures January 1, 2020. The standard addresses disclosures only and did not have an impact on Kodak’s consolidated financial statements.</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September 2018, the FASB issued ASU 2018-14, Compensation—Retirement Benefits—Defined Benefit Plans—General (Subtopic 715-20): Disclosure Framework—Changes to the Disclosure Requirements for Defined Benefit Plans, which amends the disclosure requirements in ASC 715-20 by adding, clarifying, or removing certain disclosures. ASU 2018-14 requires all entities to disclose (1) the weighted average interest crediting rates for cash balance plans and other plans with promised interest crediting rates, and (2) an explanation of the reasons for significant gains and losses related to changes in the benefit obligation for the period. The ASU also clarifies certain disclosure requirements for entities with two or more defined benefit pension plans when aggregate disclosures are presented. The ASU removes other disclosures from the existing guidance, such as the requirement to disclose the effects of a one-percentage-point change in the assumed health care cost trend rates. The ASU is effective retrospectively for fiscal years ending after December 15, 2020 (the year ended December 31, 2020 for Kodak). Kodak adopted this ASU on January 1, 2020. The standard addresses disclosures only and did not have an impact on Kodak’s consolidated financial statements.</w:t>
      </w:r>
    </w:p>
    <w:p>
      <w:pPr>
        <w:spacing w:after="0" w:line="21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August 2018, the FASB issued ASU 2018-15, Intangibles—Goodwill and Other—Internal-Use Software (Subtopic 350-40): Customer’s Accounting for Implementation Costs Incurred in a Cloud Computing Arrangement That Is a Service Contract, which addresses how a customer should account for the costs of implementing a cloud computing service arrangement (also referred to as a “hosting arrangement”). Under ASU 2018-15, entities should account for costs associated with implementing a cloud computing arrangement that is considered a service contract in the same way as implementation costs associated with a software license; implementation costs incurred in the application development stage, such as costs for the cloud computing arrangement’s integration with on-premise software, coding, and configuration or customization, should be capitalized and amortized over the term of the cloud computing arrangement, including periods covered by certain renewal options. The ASU is effective in fiscal years beginning after December 15, 2019 (January 1, 2020 for Kodak) including interim periods within those fiscal years. The ASU should be applied either retrospectively or prospectively to all implementation costs incurred after the date of adoption. Kodak adopted this ASU prospectively on January 1, 2020, and it did not have any impact on Kodak’s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2020-06, Debt—Debt with Conversion and Other Options (Subtopic 470-20) and Derivatives and Hedging— Contracts in Entity’s Own Equity (Subtopic 815-40): Accounting for Convertible Instruments and Contracts in an Entity’s Own Equity, which simplifies accounting for convertible instruments.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EPS calculation in certain circumstances. The ASU is effective for smaller reporting companies for fiscal years, and interim periods within those fiscal years, beginning after December 15, 2023, (January 1, 2024 for Kodak).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ind w:right="860"/>
        <w:spacing w:after="0" w:line="282" w:lineRule="auto"/>
        <w:rPr>
          <w:sz w:val="20"/>
          <w:szCs w:val="20"/>
          <w:color w:val="auto"/>
        </w:rPr>
      </w:pPr>
      <w:r>
        <w:rPr>
          <w:rFonts w:ascii="Times New Roman" w:cs="Times New Roman" w:eastAsia="Times New Roman" w:hAnsi="Times New Roman"/>
          <w:sz w:val="18"/>
          <w:szCs w:val="18"/>
          <w:color w:val="auto"/>
        </w:rPr>
        <w:t>Early adoption is permitted for all entities for fiscal years beginning after December 15, 2020. The ASU allows entities to use either a modified retrospective or full retrospective transition method. Kodak is currently evaluating the impact of this ASU.</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which provides optional relief through specific exceptions and practical expedients for transitioning away from reference rates that are expected to be discontinued. The relief generally applies to eligible modifications of contractual terms that change (or have the potential to change) the amount or timing of contractual cash flows related to replacement of a reference rate. The relief allows such modifications to be accounted for as continuations of existing contracts without additional analysis. The optional relief is available from March 2020 through December 31, 2022. Kodak is currently evaluating the impact of this ASU.</w:t>
      </w:r>
    </w:p>
    <w:p>
      <w:pPr>
        <w:spacing w:after="0" w:line="214"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7"/>
          <w:szCs w:val="17"/>
          <w:color w:val="auto"/>
        </w:rPr>
        <w:t>In December 2019, the FASB issued ASU 2019-12, Income Taxes (Topic 740): Simplifying the Accounting for Income Taxes, which removes certain exceptions related to intra-period tax allocations and deferred tax accounting on outside basis differences in foreign subsidiaries and equity method investments. Additionally, it provides other simplifying measures for the accounting for income taxes. The new standard is effective for fiscal years beginning after December 15, 2021 (January 1, 2022 for Kodak) with early adoption permitted. Kodak is currently evaluating the impact of this ASU.</w:t>
      </w:r>
    </w:p>
    <w:p>
      <w:pPr>
        <w:spacing w:after="0" w:line="19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Instruments—Credit Losses (Topic 326): Measurement of Credit Losses on Financial Instruments. ASU 2016-13 (as amended by ASUs 2018-19, 2019-04, 2019-05, 2019-10, 2019-11, 2020-02 and 2020-03)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for smaller reporting companies for fiscal years, and interim periods within those fiscal years, beginning after December 15, 2022, (January 1, 2023 for Kodak). Early adoption is permitted. Kodak is currently evaluating the impact of this ASU.</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CASH, CASH EQUIVALENTS AND RESTRICTED CASH</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Statement of Financial Position that sums to the total of such amounts shown in the Statement of Cash Flows: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0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current portion</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9"/>
                <w:szCs w:val="19"/>
                <w:color w:val="auto"/>
              </w:rPr>
            </w:pPr>
          </w:p>
        </w:tc>
      </w:tr>
      <w:tr>
        <w:trPr>
          <w:trHeight w:val="205"/>
        </w:trPr>
        <w:tc>
          <w:tcPr>
            <w:tcW w:w="5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Statement of Cash Flows</w:t>
            </w:r>
          </w:p>
        </w:tc>
        <w:tc>
          <w:tcPr>
            <w:tcW w:w="130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Restricted cash - current portion on the Consolidated Statement of Financial Position primarily represents amounts that support hedging activities. In addition, as of December 31, 2019, it also contained collateral for a guaranty provided to MIR Bidco, SA (the “Purchaser”) who purchased Kodak’s Flexographic Packaging business (“FPD”). As of September 30, 2020 and December 31, 2019, the cash collateral supporting Kodak’s guaranty was $0 million and $4 million, respectively.</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Restricted cash includes $21 million and $22 million as of September 30, 2020 and December 31, 2019, respectively, supporting compliance with the Excess Availability threshold under the ABL Credit Agreement, as defined therein (Refer to Note 8, “Debt and Finance Leases” for information on the Restricted cash supporting the Excess Availability threshold). In addition, Restricted cash as of both September 30, 2020 and December 31, 2019 includes an escrow of $14 million in China to secure various ongoing obligations under the agreements for the strategic relationship with Lucky HuaGuang Graphics Co. Ltd. Restricted cash also included $3 million and $5 million of security posted related to Brazilian legal contingencies as of September 30, 2020 and December 31, 2019,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INVENTORIES, NET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6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top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9"/>
                <w:szCs w:val="19"/>
                <w:color w:val="auto"/>
              </w:rPr>
            </w:pPr>
          </w:p>
        </w:tc>
      </w:tr>
      <w:tr>
        <w:trPr>
          <w:trHeight w:val="223"/>
        </w:trPr>
        <w:tc>
          <w:tcPr>
            <w:tcW w:w="73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OTHER LONG-TERM ASSETS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6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assets</w:t>
            </w:r>
          </w:p>
        </w:tc>
        <w:tc>
          <w:tcPr>
            <w:tcW w:w="260" w:type="dxa"/>
            <w:vAlign w:val="bottom"/>
            <w:tcBorders>
              <w:top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Estimated workers' compensation recoveries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receivables, net of reserve of $4 and $4, respectively</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6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Other component above consists of other miscellaneous long-term assets that, individually, were less than 5% of the total assets component within the Consolidated Statement of Financial Position as of the end of the preceding year, and therefore have been aggregated in accordance with Regulation S-X.</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OTHER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value of goodwill by reportable segment.</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Advanced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16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Digital</w:t>
            </w:r>
          </w:p>
        </w:tc>
        <w:tc>
          <w:tcPr>
            <w:tcW w:w="22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Materials and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Printing</w:t>
            </w:r>
          </w:p>
        </w:tc>
        <w:tc>
          <w:tcPr>
            <w:tcW w:w="1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Printing</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2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r>
      <w:tr>
        <w:trPr>
          <w:trHeight w:val="229"/>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2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4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tcPr>
          <w:p>
            <w:pPr>
              <w:spacing w:after="0"/>
              <w:rPr>
                <w:sz w:val="19"/>
                <w:szCs w:val="19"/>
                <w:color w:val="auto"/>
              </w:rPr>
            </w:pPr>
          </w:p>
        </w:tc>
      </w:tr>
      <w:tr>
        <w:trPr>
          <w:trHeight w:val="237"/>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 reallocation</w:t>
            </w:r>
          </w:p>
        </w:tc>
        <w:tc>
          <w:tcPr>
            <w:tcW w:w="4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2020</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result of the change in segments that became effective as of January 1, 2020, Kodak’s goodwill reporting units changed. Refer to Note 22, “Segment Information” for additional information on the change to Kodak’s organizational structure. The Digital Printing segment has three goodwill reporting units: Electrophotographic Printing Solutions; Prosper and Versamark; and Software. The Advanced Materials and Chemicals segment has three goodwill reporting units: Motion Picture and Industrial Films and Chemicals; Advanced Materials and Functional Printing; and Kodak Services for Business. The Traditional Printing segment and Brand segment each have one goodwill reporting unit.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2019, the goodwill balance of $12 million under the prior year segment reporting structure was comprised of $6 million for the Brand, Film and Imaging segment and $6 million for the Kodak Software segment, which had only one reporting unit (Software). The goodwill in the Brand, Film and Imaging segment was reported in the Consumer Products reporting unit.</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goodwill previously reported in the Consumer Products goodwill reporting unit was transferred to the Brand goodwill reporting unit using a relative fair value allocation to affected reporting units. Goodwill previously reported in the Software reporting unit was transferred to the Digital Printing segment where it continues to remain its own reporting unit</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Kodak performed interim tests of impairment for goodwill as of June 30, 2020 due to the uncertainty regarding the negative impact of the COVID-19 pandemic on its operations, and as of March 31, 2020, due to the decline in market capitalization as of that date since the last goodwill impairment test (December 31, 2019) and the uncertainty regarding the negative impact of the COVID-19 pandemic at that time. Based on the results of the June 30, 2020 and March 31, 2020 analyses, no impairment of goodwill was indicated. As of June 30, 2020, the Brand reporting unit had negative carrying value. No interim impairment test for goodwill was deemed necessary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ind w:right="360"/>
        <w:spacing w:after="0" w:line="280" w:lineRule="auto"/>
        <w:rPr>
          <w:sz w:val="20"/>
          <w:szCs w:val="20"/>
          <w:color w:val="auto"/>
        </w:rPr>
      </w:pPr>
      <w:r>
        <w:rPr>
          <w:rFonts w:ascii="Times New Roman" w:cs="Times New Roman" w:eastAsia="Times New Roman" w:hAnsi="Times New Roman"/>
          <w:sz w:val="18"/>
          <w:szCs w:val="18"/>
          <w:color w:val="auto"/>
        </w:rPr>
        <w:t>The gross carrying amount and accumulated amortization by major intangible asset category as of September 30, 2020 and December 31, 2019 were as follows</w:t>
      </w:r>
      <w:r>
        <w:rPr>
          <w:rFonts w:ascii="Times New Roman" w:cs="Times New Roman" w:eastAsia="Times New Roman" w:hAnsi="Times New Roman"/>
          <w:sz w:val="21"/>
          <w:szCs w:val="21"/>
          <w:color w:val="auto"/>
        </w:rPr>
        <w:t>:</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01"/>
        </w:trPr>
        <w:tc>
          <w:tcPr>
            <w:tcW w:w="4620" w:type="dxa"/>
            <w:vAlign w:val="bottom"/>
          </w:tcPr>
          <w:p>
            <w:pPr>
              <w:spacing w:after="0"/>
              <w:rPr>
                <w:sz w:val="17"/>
                <w:szCs w:val="17"/>
                <w:color w:val="auto"/>
              </w:rPr>
            </w:pPr>
          </w:p>
        </w:tc>
        <w:tc>
          <w:tcPr>
            <w:tcW w:w="142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260" w:type="dxa"/>
            <w:vAlign w:val="bottom"/>
            <w:gridSpan w:val="3"/>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2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 Period</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Technology-based</w:t>
            </w: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center"/>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Kodak trade name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 life</w:t>
            </w: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Customer-related</w:t>
            </w: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01"/>
        </w:trPr>
        <w:tc>
          <w:tcPr>
            <w:tcW w:w="4620" w:type="dxa"/>
            <w:vAlign w:val="bottom"/>
          </w:tcPr>
          <w:p>
            <w:pPr>
              <w:spacing w:after="0"/>
              <w:rPr>
                <w:sz w:val="17"/>
                <w:szCs w:val="17"/>
                <w:color w:val="auto"/>
              </w:rPr>
            </w:pPr>
          </w:p>
        </w:tc>
        <w:tc>
          <w:tcPr>
            <w:tcW w:w="142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260" w:type="dxa"/>
            <w:vAlign w:val="bottom"/>
            <w:gridSpan w:val="3"/>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 Period</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Technology-based</w:t>
            </w: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center"/>
              <w:ind w:right="61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w:t>
            </w:r>
          </w:p>
        </w:tc>
        <w:tc>
          <w:tcPr>
            <w:tcW w:w="2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Kodak trade name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 life</w:t>
            </w: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Customer-related</w:t>
            </w: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 years</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61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first quarter of 2020, due to the uncertainty regarding the negative impact of the COVID-19 pandemic at that time, Kodak performed an interim test of impairment for the Kodak trade name. Based on the result of the interim impairment test, Kodak concluded the carrying value of the Kodak trade name exceeded its fair value. Pre-tax impairment charges of $3 million are included in Other operating income, net in the nine months ended September 30, 2020 in the Consolidated Statement of Operations.</w:t>
      </w:r>
    </w:p>
    <w:p>
      <w:pPr>
        <w:spacing w:after="0" w:line="18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Kodak also performed an interim test of impairment for the Kodak trade name as of June 30, 2020 due to the uncertainty regarding the negative impact of the COVID-19 pandemic. The interim impairment tests of the Kodak trade name used the income approach, specifically the relief from royalty method. Based on the result of the interim impairment tests as of June 30, 2020, Kodak concluded the fair value of the Kodak trade name exceeded its’ carrying value resulting in no additional impairment. No interim impairment test for the Kodak tradename was deemed necessary as of September 30, 2020.</w:t>
      </w:r>
    </w:p>
    <w:p>
      <w:pPr>
        <w:spacing w:after="0" w:line="200" w:lineRule="exact"/>
        <w:rPr>
          <w:sz w:val="20"/>
          <w:szCs w:val="20"/>
          <w:color w:val="auto"/>
        </w:rPr>
      </w:pP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$1 million for the three months ended September 30, 2020 and 2019 and $4 million for the nine months ended September 30, 2020 and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related to intangible assets that are currently being amortized as of September 30, 2020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8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Q4 2020</w:t>
            </w:r>
          </w:p>
        </w:tc>
        <w:tc>
          <w:tcPr>
            <w:tcW w:w="2980" w:type="dxa"/>
            <w:vAlign w:val="bottom"/>
            <w:gridSpan w:val="2"/>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2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5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FF0FC"/>
            </w:tcBorders>
            <w:shd w:val="clear" w:color="auto" w:fill="CFF0FC"/>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4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2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OTHER CURRENT LIABILITIES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4"/>
        </w:trPr>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6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top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 liabilities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Customer rebates </w:t>
            </w: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 dividends payable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Workers compensation</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liabilities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Deferred consideration on disposed businesses </w:t>
            </w:r>
            <w:r>
              <w:rPr>
                <w:rFonts w:ascii="Times New Roman" w:cs="Times New Roman" w:eastAsia="Times New Roman" w:hAnsi="Times New Roman"/>
                <w:sz w:val="15"/>
                <w:szCs w:val="15"/>
                <w:color w:val="auto"/>
              </w:rPr>
              <w:t>(2)</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Transition services agreement prepayment</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(3)</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9"/>
                <w:szCs w:val="19"/>
                <w:color w:val="auto"/>
              </w:rPr>
            </w:pPr>
          </w:p>
        </w:tc>
      </w:tr>
      <w:tr>
        <w:trPr>
          <w:trHeight w:val="223"/>
        </w:trPr>
        <w:tc>
          <w:tcPr>
            <w:tcW w:w="73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740" w:right="420" w:hanging="368"/>
        <w:spacing w:after="0" w:line="199" w:lineRule="auto"/>
        <w:tabs>
          <w:tab w:leader="none" w:pos="74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customer rebate amounts will potentially be settled through customer deductions applied to outstanding trade receivables in lieu of cash payments.</w:t>
      </w:r>
    </w:p>
    <w:p>
      <w:pPr>
        <w:spacing w:after="0" w:line="226" w:lineRule="exact"/>
        <w:rPr>
          <w:rFonts w:ascii="Times New Roman" w:cs="Times New Roman" w:eastAsia="Times New Roman" w:hAnsi="Times New Roman"/>
          <w:sz w:val="29"/>
          <w:szCs w:val="29"/>
          <w:color w:val="auto"/>
          <w:vertAlign w:val="superscript"/>
        </w:rPr>
      </w:pPr>
    </w:p>
    <w:p>
      <w:pPr>
        <w:ind w:left="740" w:hanging="368"/>
        <w:spacing w:after="0" w:line="241" w:lineRule="auto"/>
        <w:tabs>
          <w:tab w:leader="none" w:pos="74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On September 3, 2013, Kodak consummated the sale of certain assets and the assumption of certain liabilities of the Personalized Imaging and Document Imaging Businesses (“PI/DI Businesses”) to the trustee of the U.K. pension plan (and/or its subsidiaries) for net cash consideration of $325 million. Up to $35 million in aggregate of the purchase price was subject to repayment if the PI/DI Business did not achieve certain annual adjusted EBITDA targets over the four-year period ending December 31, 2018. The PI/DI Business did not achieve the adjusted annual EBITDA target for any year in the four-year period. The amounts owed for 2015, 2016 and 2017 were paid in 2016, 2017 and 2019, respectively. The maximum potential payment related to the year ending December 31, 2018 of $14 million was accrued at the time of the divestiture of the business. The Company did not consider the procedural requirements giving rise to the obligation to pay the amount relating to the year ended December 31, 2018 to have been met. The PI/DI Businesses (operating as Kodak Alaris) filed suit against the Company alleging breach of contract based on the failure to pay the $14 million amount with respect to 2018. The Company filed counterclaims seeking contractual penalties related to late payments for goods and services provided by Kodak under various separate agreements. The Company and Kodak Alaris reached a settlement in June 2020 dismissing the actions and all claims and counterclaims asserted against each other and also amended existing supply agreements. As a part of the settlement agreement, $11 million of the deferred consideration on disposed businesses was offset against receivables of $11 million for goods and services owed to the Company by Kodak Alaris. Income of $3 million from the release of the remaining deferred consideration on disposed businesses will be recognized as revenue over the term of the amended supply agreements.</w:t>
      </w:r>
    </w:p>
    <w:p>
      <w:pPr>
        <w:spacing w:after="0" w:line="230" w:lineRule="exact"/>
        <w:rPr>
          <w:rFonts w:ascii="Times New Roman" w:cs="Times New Roman" w:eastAsia="Times New Roman" w:hAnsi="Times New Roman"/>
          <w:sz w:val="29"/>
          <w:szCs w:val="29"/>
          <w:color w:val="auto"/>
          <w:vertAlign w:val="superscript"/>
        </w:rPr>
      </w:pPr>
    </w:p>
    <w:p>
      <w:pPr>
        <w:ind w:left="740" w:right="280" w:hanging="368"/>
        <w:spacing w:after="0" w:line="213" w:lineRule="auto"/>
        <w:tabs>
          <w:tab w:leader="none" w:pos="74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Other component above consists of other miscellaneous current liabilities that, individually, were less than 5% of the current liabilities component within the Consolidated Statement of Financial Position as of the end of the preceding year, and therefore have been aggregated in accordance with Regulation S-X.</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OTHER LONG-TERM LIABILITIES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4"/>
        </w:trPr>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6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Workers compensation</w:t>
            </w:r>
          </w:p>
        </w:tc>
        <w:tc>
          <w:tcPr>
            <w:tcW w:w="260" w:type="dxa"/>
            <w:vAlign w:val="bottom"/>
            <w:tcBorders>
              <w:top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brand licensing revenue</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liabilities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r>
      <w:tr>
        <w:trPr>
          <w:trHeight w:val="211"/>
        </w:trPr>
        <w:tc>
          <w:tcPr>
            <w:tcW w:w="11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embedded conversion option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liability</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r>
      <w:tr>
        <w:trPr>
          <w:trHeight w:val="211"/>
        </w:trPr>
        <w:tc>
          <w:tcPr>
            <w:tcW w:w="114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embedded conversion option</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derivative liability</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140" w:type="dxa"/>
            <w:vAlign w:val="bottom"/>
          </w:tcPr>
          <w:p>
            <w:pPr>
              <w:spacing w:after="0"/>
              <w:rPr>
                <w:sz w:val="19"/>
                <w:szCs w:val="19"/>
                <w:color w:val="auto"/>
              </w:rPr>
            </w:pPr>
          </w:p>
        </w:tc>
        <w:tc>
          <w:tcPr>
            <w:tcW w:w="6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Other component above consists of other miscellaneous long-term liabilities that, individually, were less than 5% of the total liabilities component within the Consolidated Statement of Financial Position as of the end of the preceding year, and therefore have been aggregated in accordance with Regulation S-X.</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8: DEBT AND FINANCE LEASES</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65"/>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280" w:type="dxa"/>
            <w:vAlign w:val="bottom"/>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Interest Rate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5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19"/>
                <w:szCs w:val="19"/>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RED-Rochester, LLC</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11.46%</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Finance leases</w:t>
            </w:r>
          </w:p>
        </w:tc>
        <w:tc>
          <w:tcPr>
            <w:tcW w:w="15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4"/>
              </w:rPr>
              <w:t>Various</w:t>
            </w: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Convertible debt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11.72%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RED-Rochester, LLC</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11.46%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Finance leases</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4"/>
              </w:rPr>
              <w:t>Various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Other debt</w:t>
            </w:r>
          </w:p>
        </w:tc>
        <w:tc>
          <w:tcPr>
            <w:tcW w:w="15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4"/>
              </w:rPr>
              <w:t>Various</w:t>
            </w: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On May 20, 2019, the Company and Longleaf Partners Small Cap Fund, C2W Partners Master Fund Limited and Deseret Mutual Pension Trust, which are investment funds managed by Southeastern Asset Management, Inc. (the “Notes Purchasers”), entered into a Notes Purchase Agreement (the “Purchase Agreement”) pursuant to which the Company agreed to issue and sell to the Notes Purchasers, and the Notes Purchasers agreed to purchase from the Company, $100 million aggregate principal amount of the Company’s 5.00% Secured Convertible Notes due 2021 (the “Notes”). The transaction closed on May 24, 2019. The proceeds were used to repay the remaining first lien term loans outstanding ($83 million) under the Senior Secured First Lien Term Credit Agreement (the “Term Credit Agreement”), which was terminated with the repayment. The remaining proceeds were used for general corporate purposes. The Notes Purchasers also hold all outstanding shares of the Series A Preferred Stock, which vote with the shares of common stock on an as-converted basis, and one of the Note Purchasers is a holder of shares of the Company’s common stock, par value $0.01 per share (the “Common Stock”). The Notes bore interest at a rate of 5.00% per annum, which was payable in cash on their maturity date and, at the option of the Company, in either cash or additional shares of Common Stock on any conversion date. The maturity date of the Notes was November 1, 2021.</w:t>
      </w:r>
    </w:p>
    <w:p>
      <w:pPr>
        <w:spacing w:after="0" w:line="19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On July 29, 2020, the Company received conversion notices from holders of the Notes exercising their rights to convert an aggregate of $95 million of principal amount of the Notes (the “Initial Converted Notes”) into shares of the Company’s common stock, par value $.01 per share (“Common</w:t>
      </w:r>
    </w:p>
    <w:p>
      <w:pPr>
        <w:spacing w:after="0" w:line="253" w:lineRule="auto"/>
        <w:rPr>
          <w:sz w:val="20"/>
          <w:szCs w:val="20"/>
          <w:color w:val="auto"/>
        </w:rPr>
      </w:pPr>
      <w:r>
        <w:rPr>
          <w:rFonts w:ascii="Times New Roman" w:cs="Times New Roman" w:eastAsia="Times New Roman" w:hAnsi="Times New Roman"/>
          <w:sz w:val="18"/>
          <w:szCs w:val="18"/>
          <w:color w:val="auto"/>
        </w:rPr>
        <w:t>Stock”). Under the terms of the Notes, the conversion date of the Initial Converted Notes is July 29, 2020 (the “Initial Conversion Date”) and the Company was obligated to deliver an aggregate of 29,922,956 shares of Common Stock (the “Initial Conversion Shares”) to the holders of the Initial Converted Notes within five trading days after the Initial Conversion Date. The Company issued the Initial Conversion Shares on August 3, 2020 and paid the $5.6 million of accumulated interest on the Initial Converted Notes in cash. As a result, the Company’s obligations under the Initial Converted Notes were fully discharged and the remaining outstanding principal amount of the Notes was $5 million.</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September 30, 2020, the Company announced its election to mandatorily convert the remaining $5 million outstanding principal amount of the Notes (the “Mandatory Converted Notes”) into shares of Common Stock. The conversion of the Mandatory Converted Notes was effective on September 30, 2020 (the “Mandatory Conversion Date”). The Company issued 1,574,892 shares of Common Stock to the holder of the Mandatory Converted Notes on September 30, 2020 (the “Mandatory Conversion Shares”). The Company paid the accrued interest on the Mandatory Converted Notes in the form of cash and interest ceased to accrue on the Mandatory Converted Notes on the Mandatory Conversion Date. As a result of the conversion of all the Notes, the lien granted by the Company on certain of its assets to secure the Notes was released.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31"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Kodak allocated $14 million of the net proceeds received to a derivative liability based on the aggregate fair value of the embedded features and term extension on the date of issuance which reduced the net carrying value of the Notes (refer to Note 25, “Financial Instruments”).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carrying value of the Notes at the time of issuance, $84 million ($100 million aggregate gross proceeds less $14 million allocated to the derivative liability and $2 million in transaction costs), was being accreted to the face amount using the effective interest method from the date of issuance through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loss on early extinguishment of debt is shown below:</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(in millions)</w:t>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Fair value of Initial Conversion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Fair value of Mandatory Conversion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Carrying value of Notes</w:t>
      </w:r>
    </w:p>
    <w:p>
      <w:pPr>
        <w:spacing w:after="0" w:line="23" w:lineRule="exact"/>
        <w:rPr>
          <w:sz w:val="20"/>
          <w:szCs w:val="20"/>
          <w:color w:val="auto"/>
        </w:rPr>
      </w:pPr>
    </w:p>
    <w:p>
      <w:pPr>
        <w:ind w:left="1140" w:right="1060"/>
        <w:spacing w:after="0" w:line="286" w:lineRule="auto"/>
        <w:rPr>
          <w:sz w:val="20"/>
          <w:szCs w:val="20"/>
          <w:color w:val="auto"/>
        </w:rPr>
      </w:pPr>
      <w:r>
        <w:rPr>
          <w:rFonts w:ascii="Times New Roman" w:cs="Times New Roman" w:eastAsia="Times New Roman" w:hAnsi="Times New Roman"/>
          <w:sz w:val="18"/>
          <w:szCs w:val="18"/>
          <w:color w:val="auto"/>
        </w:rPr>
        <w:t>Fair value of pro-rata share of embedded derivative at Initial Conversion Fair value of pro-rata share of embedded derivative at Mandatory Conversion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-323215</wp:posOffset>
            </wp:positionV>
            <wp:extent cx="570039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40" w:hanging="1234"/>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506</w:t>
      </w:r>
    </w:p>
    <w:p>
      <w:pPr>
        <w:spacing w:after="0" w:line="27"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3"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8"/>
          <w:szCs w:val="18"/>
          <w:color w:val="auto"/>
        </w:rPr>
        <w:t>(92)</w:t>
      </w:r>
    </w:p>
    <w:p>
      <w:pPr>
        <w:spacing w:after="0" w:line="23"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8"/>
          <w:szCs w:val="18"/>
          <w:color w:val="auto"/>
        </w:rPr>
        <w:t>(416)</w:t>
      </w:r>
    </w:p>
    <w:p>
      <w:pPr>
        <w:spacing w:after="0" w:line="23"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9683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9683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34290</wp:posOffset>
            </wp:positionV>
            <wp:extent cx="9683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7780" w:space="720"/>
            <w:col w:w="2720"/>
          </w:cols>
          <w:pgMar w:left="320" w:top="333" w:right="35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Conversion Shares is reported in Additional paid in capital in the Consolidated Statement of Financial Position.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Credit Agreement</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On January 27, 2020 Kodak exercised its right under the ABL Credit Agreement to permanently reduce lender commitments, reducing the commitments from $150 million to $120 million. As a result, the minimum Excess Availability decreased to $15 million from the previous minimum of $18.75 million.</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27, 2020, the Company and the subsidiaries of the Company that are guarantors (the “Subsidiary Guarantors”) entered into Amendment No. 3 to the ABL Credit Agreement (the “Amendment”) with the lenders party thereto (the “Lenders”), Bank of America, N.A., as administrative and collateral agent, and Bank of America, N.A. and each of the parties to the ABL Credit Agreement as lenders. Each of the capitalized but undefined terms used in the context of describing the ABL Credit Agreement and the Amendment has the meaning ascribed to such term in the ABL Credit Agreement and the Amendment.</w:t>
      </w:r>
    </w:p>
    <w:p>
      <w:pPr>
        <w:spacing w:after="0" w:line="2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Amendment decreased the available asset-based revolving loans (the “ABL Loans”) and letters of credit from an aggregate amount of up to $120 million to $110 million, subject to the Borrowing Base. As a result of the additional reduction in lender commitments, the minimum Excess Availability decreased to $13.75 million from the previous amount of $15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also changed Equipment Availability from (i) the lesser of 75% of Net Orderly Liquidation Value of Eligible Equipment or $6 million to</w:t>
      </w:r>
    </w:p>
    <w:p>
      <w:pPr>
        <w:spacing w:after="0" w:line="27" w:lineRule="exact"/>
        <w:rPr>
          <w:sz w:val="20"/>
          <w:szCs w:val="20"/>
          <w:color w:val="auto"/>
        </w:rPr>
      </w:pPr>
    </w:p>
    <w:p>
      <w:pPr>
        <w:ind w:right="40" w:firstLine="8"/>
        <w:spacing w:after="0" w:line="255"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lesser of 70% of Net Orderly Liquidation Value of Eligible Equipment or $14.75 million as of March 31, 2020. The $14.75 million amount decreases by $1 million per quarter starting on July 1, 2020 until maturity or the amount is decreased to $0, whichever comes first. Equipment Availability was $13.75 million as of September 30, 2020.</w:t>
      </w:r>
    </w:p>
    <w:p>
      <w:pPr>
        <w:spacing w:after="0" w:line="21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changes effected by the Amendment to the Excess Availability and Equipment Availability combined with increases in Available Accounts Receivable and Inventory allowed the Company to decrease Eligible Cash, at the time of the amendment, by $13 million without causing Excess Availability to fall below 12.5 % of lender commitments.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had issued approximately $87 million and $80 million of letters of credit under the ABL Credit Agreement as of September 30, 2020 and December 31, 2019, respectively. Under the ABL Credit Agreement the Company is required to maintain Excess Availability above 12.5% of lender commitments ($13.75 million at September 30, 2020). If Excess Availability is below 12.5% of lender commitments the Company has the ability to fund amounts into the Eligible Cash account which will increase Excess Availability for purposes of the previous month-end compliance reporting. The Company had approximately $20 million and $22 million of Excess Availability under the ABL Credit Agreement as of September 30, 2020 and December 31, 2019, respectively. To maintain Excess Availability of greater than 12.5% of lender commitments ($13.75 million and $18.75 million as of September 30, 2020 and December 31, 2019, respectively), Kodak funded $21 million and $22 million to the Eligible Cash account held with the ABL Credit Agreement Administrative Agent as of September 30, 2020 and December 31, 2019, respectively, which is classified as Restricted Cash in the Consolidated Statement of Financial Position.</w:t>
      </w:r>
    </w:p>
    <w:p>
      <w:pPr>
        <w:spacing w:after="0" w:line="21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to the changes discussed above, the Amendment increased the interest rate charged on the ABL Loans. The interest rate on the ABL Loans (which is based on Excess Availability) increased to LIBOR plus 3.50% - 4.00% per annum from LIBOR plus 2.25% - 2.75% per annum or the Base Rate plus 2.50% - 3.00% per annum from the Base Rate plus 1.25% - 1.75%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9: REDEEMABLE, CONVERTIBLE SERIES A PREFERRED STOCK</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November 15, 2016, the Company issued 2,000,000 shares of Series A Preferred Stock for an aggregate purchase price of $200 million, or $100 per share, pursuant to a Series A Preferred Stock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has classified the Series A Preferred Stock as temporary equity in the Consolidated Statement of Financial Position.</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Kodak allocated $43 million of the net proceeds received to a derivative liability based on the aggregate fair value of the embedded conversion features on the date of issuance, which reduced the net carrying value of the Series A Preferred Stock (see Note 25, “Financial Instruments”). 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holders of Series A Preferred Stock are entitled to cumulative dividends payable quarterly in cash at a rate of 5.50% per annum. Until the third quarter of 2018 all dividends owed on the Series A Preferred Stock were declared and paid when due. No quarterly dividend was declared in the third or fourth quarters of 2018 or the first and second quarters of 2019. The Company declared quarterly cash dividends in the third and fourth quarters of 2019 and the first and second quarters of 2020 that were paid when due. In July 2020, the Company declared and paid the four quarterly dividends that were in arrears. The total amount of dividends in arrears was $11 million. The Company declared the third quarter 2020 quarterly cash dividend in September 2020 and it was paid in October 2020.</w:t>
      </w:r>
    </w:p>
    <w:p>
      <w:pPr>
        <w:spacing w:after="0" w:line="21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Purchasers have the right to nominate members to the Company’s board of directors proportional to their ownership on an as converted basis, which initially allowed the Purchasers to nominate two members to the board.</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dividends on any Series A Preferred Stock are in arrears for six or more consecutive or non-consecutive dividend periods, the holders of Series A Preferred Stock, voting with holders of all other preferred stock of the Company whose voting rights are then exercisable, will be entitled to vote for the election of two additional directors in the next annual meeting and all subsequent meetings until all accumulated dividends on such Series A Preferred Stock and other voting preferred stock have been paid or set aside. The nomination right of the Purchasers will be reduced by two nominees at any time the holders of Series A Preferred Stock have the right to elect, or participate in the election of, two additional directors. Two of the directors on the Company’s current board of directors were nominated by the Purchasers although the holders of the Series A Preferred Stock currently have the contractual right to nominate only one director based on the results of the ownership formula.</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2020, the Series A Preferred Stock has not been converted and none of the anti-dilution provisions have been triggered. Any shares of Series A Preferred Stock not converted prior to the fifth anniversary of the initial issuance of the Series A Preferred Stock are required to be redeemed at $100 per share plus the amount of accrued and unpaid dividends.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Income recognized on operating lease arrangements for the three and nine months ended September 30, 2020 and 2019 is presented below (income recognized for sales-type lease arrangements is $0 million for all periods):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38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34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income - operating leases:</w:t>
            </w:r>
          </w:p>
        </w:tc>
        <w:tc>
          <w:tcPr>
            <w:tcW w:w="520" w:type="dxa"/>
            <w:vAlign w:val="bottom"/>
            <w:tcBorders>
              <w:top w:val="single" w:sz="8" w:color="CFF0FC"/>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Lease income</w:t>
            </w:r>
          </w:p>
        </w:tc>
        <w:tc>
          <w:tcPr>
            <w:tcW w:w="14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r>
      <w:tr>
        <w:trPr>
          <w:trHeight w:val="243"/>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21"/>
                <w:szCs w:val="21"/>
                <w:color w:val="auto"/>
              </w:rPr>
            </w:pPr>
          </w:p>
        </w:tc>
      </w:tr>
      <w:tr>
        <w:trPr>
          <w:trHeight w:val="243"/>
        </w:trPr>
        <w:tc>
          <w:tcPr>
            <w:tcW w:w="2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income</w:t>
            </w:r>
          </w:p>
        </w:tc>
        <w:tc>
          <w:tcPr>
            <w:tcW w:w="52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tcPr>
          <w:p>
            <w:pPr>
              <w:spacing w:after="0"/>
              <w:rPr>
                <w:sz w:val="21"/>
                <w:szCs w:val="21"/>
                <w:color w:val="auto"/>
              </w:rPr>
            </w:pPr>
          </w:p>
        </w:tc>
      </w:tr>
      <w:tr>
        <w:trPr>
          <w:trHeight w:val="237"/>
        </w:trPr>
        <w:tc>
          <w:tcPr>
            <w:tcW w:w="2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income</w:t>
            </w:r>
          </w:p>
        </w:tc>
        <w:tc>
          <w:tcPr>
            <w:tcW w:w="142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20"/>
                <w:szCs w:val="20"/>
                <w:color w:val="auto"/>
              </w:rPr>
            </w:pPr>
          </w:p>
        </w:tc>
      </w:tr>
      <w:tr>
        <w:trPr>
          <w:trHeight w:val="20"/>
        </w:trPr>
        <w:tc>
          <w:tcPr>
            <w:tcW w:w="28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5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As of September 30, 2020, the Company had outstanding letters of credit of $87 million issued under the ABL Credit Agreement, as well as bank guarantees and letters of credit of $2 million, surety bonds in the amount of $29 million, and restricted cash of $48 million, primarily to address the payment of possible casualty and workers’ compensation claims, support legal contingencies, hedging activities, compliance with the Excess Availability threshold under the ABL Credit Agreement, environmental liabilities, rental payments and to support various customs, tax and trade activities.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7" w:name="page18"/>
    <w:bookmarkEnd w:id="17"/>
    <w:p>
      <w:pPr>
        <w:ind w:right="60"/>
        <w:spacing w:after="0" w:line="253" w:lineRule="auto"/>
        <w:rPr>
          <w:sz w:val="20"/>
          <w:szCs w:val="20"/>
          <w:color w:val="auto"/>
        </w:rPr>
      </w:pPr>
      <w:r>
        <w:rPr>
          <w:rFonts w:ascii="Times New Roman" w:cs="Times New Roman" w:eastAsia="Times New Roman" w:hAnsi="Times New Roman"/>
          <w:sz w:val="18"/>
          <w:szCs w:val="18"/>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w:t>
      </w:r>
    </w:p>
    <w:p>
      <w:pPr>
        <w:spacing w:after="0" w:line="5"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As of September 30, 2020, the unreserved portion of these contingencies, inclusive of any related interest and penalties, for which there was at least a reasonable possibility that a loss may be incurred, amounted to approximately $5 million.</w:t>
      </w:r>
    </w:p>
    <w:p>
      <w:pPr>
        <w:spacing w:after="0" w:line="2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assessments in Brazil, local regulations may require Kodak’s Brazilian operations to post security for a portion of the amounts in dispute. As of September 30, 2020, Kodak’s Brazilian operations have posted security composed of $3 million of pledged cash reported within Restricted cash in the Consolidated Statement of Financial Position and liens on certain Brazilian assets with a net book value of approximately $40 million. Generally, any encumbrances on the Brazilian assets would be removed to the extent the matter is resolved in Kodak's favor.</w:t>
      </w:r>
    </w:p>
    <w:p>
      <w:pPr>
        <w:spacing w:after="0" w:line="207"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and claims arising out of Kodak’s licensing its brand.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GUARANTEES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settlement of certain of the Company’s historical environmental liabilities at Eastman Business Park, a more than 1,200-</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acre technology center and industrial complex in Rochester, New York,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Extended Warranty Arrangements</w:t>
      </w:r>
    </w:p>
    <w:p>
      <w:pPr>
        <w:spacing w:after="0" w:line="31"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18"/>
          <w:szCs w:val="18"/>
          <w:color w:val="auto"/>
        </w:rPr>
        <w:t>Kodak offers its customers extended warranty arrangements that are generally one year, but may range from three months to six years after the original warranty period. The change in Kodak’s deferred revenue balance in relation to these extended warranty and maintenance arrangements from December 31, 2019 to September 30, 2020, which is reflected in Other current liabilities in the accompanying Consolidated Statement of Financial Position,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gridSpan w:val="2"/>
          </w:tcPr>
          <w:p>
            <w:pPr>
              <w:ind w:left="226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on extended warranties as of December 31, 2019</w:t>
            </w:r>
          </w:p>
        </w:tc>
        <w:tc>
          <w:tcPr>
            <w:tcW w:w="80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Extended warranty and maintenance arrangements deferred in 2020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6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extended warranty and maintenance arrangement</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revenue in 2020</w:t>
            </w:r>
          </w:p>
        </w:tc>
        <w:tc>
          <w:tcPr>
            <w:tcW w:w="3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Deferred revenue on extended warranties as of September 30, 2020</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4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13: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revenue disaggregated by major product, portfolio summary and geography.</w:t>
      </w:r>
    </w:p>
    <w:p>
      <w:pPr>
        <w:spacing w:after="0" w:line="23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05"/>
        </w:trPr>
        <w:tc>
          <w:tcPr>
            <w:tcW w:w="282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Plates, inks and other</w:t>
            </w:r>
          </w:p>
        </w:tc>
        <w:tc>
          <w:tcPr>
            <w:tcW w:w="3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consumables</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Ongoing service arrangements </w:t>
            </w:r>
            <w:r>
              <w:rPr>
                <w:rFonts w:ascii="Times New Roman" w:cs="Times New Roman" w:eastAsia="Times New Roman" w:hAnsi="Times New Roman"/>
                <w:sz w:val="15"/>
                <w:szCs w:val="15"/>
                <w:color w:val="auto"/>
              </w:rPr>
              <w:t>(1)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20" w:type="dxa"/>
            <w:vAlign w:val="bottom"/>
            <w:tcBorders>
              <w:top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Total annuities</w:t>
            </w: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Equipment &amp; software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and chemicals</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4"/>
        </w:trPr>
        <w:tc>
          <w:tcPr>
            <w:tcW w:w="2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7"/>
        </w:trPr>
        <w:tc>
          <w:tcPr>
            <w:tcW w:w="2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05"/>
        </w:trPr>
        <w:tc>
          <w:tcPr>
            <w:tcW w:w="282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Plates, inks and other</w:t>
            </w:r>
          </w:p>
        </w:tc>
        <w:tc>
          <w:tcPr>
            <w:tcW w:w="3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consumables</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Ongoing service arrangements </w:t>
            </w:r>
            <w:r>
              <w:rPr>
                <w:rFonts w:ascii="Times New Roman" w:cs="Times New Roman" w:eastAsia="Times New Roman" w:hAnsi="Times New Roman"/>
                <w:sz w:val="15"/>
                <w:szCs w:val="15"/>
                <w:color w:val="auto"/>
              </w:rPr>
              <w:t>(1)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20" w:type="dxa"/>
            <w:vAlign w:val="bottom"/>
            <w:tcBorders>
              <w:top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Total annuities</w:t>
            </w: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Equipment &amp; software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and chemicals</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19" w:name="page20"/>
    <w:bookmarkEnd w:id="19"/>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Plates, inks and other consumables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Ongoing service arrangements </w:t>
            </w:r>
            <w:r>
              <w:rPr>
                <w:rFonts w:ascii="Times New Roman" w:cs="Times New Roman" w:eastAsia="Times New Roman" w:hAnsi="Times New Roman"/>
                <w:sz w:val="15"/>
                <w:szCs w:val="15"/>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Total annuities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Equipment &amp; software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r>
      <w:tr>
        <w:trPr>
          <w:trHeight w:val="23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and chemicals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4"/>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Plates, inks and other consumables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Ongoing service arrangements </w:t>
            </w:r>
            <w:r>
              <w:rPr>
                <w:rFonts w:ascii="Times New Roman" w:cs="Times New Roman" w:eastAsia="Times New Roman" w:hAnsi="Times New Roman"/>
                <w:sz w:val="15"/>
                <w:szCs w:val="15"/>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Total annuities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Equipment &amp; software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r>
      <w:tr>
        <w:trPr>
          <w:trHeight w:val="229"/>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and chemicals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60" w:right="220" w:hanging="552"/>
        <w:spacing w:after="0" w:line="282" w:lineRule="auto"/>
        <w:tabs>
          <w:tab w:leader="none" w:pos="5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88" w:lineRule="exact"/>
        <w:rPr>
          <w:rFonts w:ascii="Times New Roman" w:cs="Times New Roman" w:eastAsia="Times New Roman" w:hAnsi="Times New Roman"/>
          <w:sz w:val="15"/>
          <w:szCs w:val="15"/>
          <w:color w:val="auto"/>
        </w:rPr>
      </w:pPr>
    </w:p>
    <w:p>
      <w:pPr>
        <w:ind w:left="560" w:right="240" w:hanging="552"/>
        <w:spacing w:after="0" w:line="282" w:lineRule="auto"/>
        <w:tabs>
          <w:tab w:leader="none" w:pos="5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includes revenue from professional services, non-recurring engineering services, print and managed media services, tenant rent and related property management services and licensing.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Portfolio Summary:</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4"/>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7"/>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Materials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8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Growth engines </w:t>
            </w:r>
            <w:r>
              <w:rPr>
                <w:rFonts w:ascii="Times New Roman" w:cs="Times New Roman" w:eastAsia="Times New Roman" w:hAnsi="Times New Roman"/>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Strategic other businesses </w:t>
            </w:r>
            <w:r>
              <w:rPr>
                <w:rFonts w:ascii="Times New Roman" w:cs="Times New Roman" w:eastAsia="Times New Roman" w:hAnsi="Times New Roman"/>
                <w:sz w:val="15"/>
                <w:szCs w:val="15"/>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businesses </w:t>
            </w:r>
            <w:r>
              <w:rPr>
                <w:rFonts w:ascii="Times New Roman" w:cs="Times New Roman" w:eastAsia="Times New Roman" w:hAnsi="Times New Roman"/>
                <w:sz w:val="15"/>
                <w:szCs w:val="15"/>
                <w:color w:val="auto"/>
              </w:rPr>
              <w:t>(3)</w:t>
            </w: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7"/>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Materials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8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Growth engines </w:t>
            </w:r>
            <w:r>
              <w:rPr>
                <w:rFonts w:ascii="Times New Roman" w:cs="Times New Roman" w:eastAsia="Times New Roman" w:hAnsi="Times New Roman"/>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Strategic other businesses </w:t>
            </w:r>
            <w:r>
              <w:rPr>
                <w:rFonts w:ascii="Times New Roman" w:cs="Times New Roman" w:eastAsia="Times New Roman" w:hAnsi="Times New Roman"/>
                <w:sz w:val="15"/>
                <w:szCs w:val="15"/>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businesses </w:t>
            </w:r>
            <w:r>
              <w:rPr>
                <w:rFonts w:ascii="Times New Roman" w:cs="Times New Roman" w:eastAsia="Times New Roman" w:hAnsi="Times New Roman"/>
                <w:sz w:val="15"/>
                <w:szCs w:val="15"/>
                <w:color w:val="auto"/>
              </w:rPr>
              <w:t>(3)</w:t>
            </w: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7"/>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7"/>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Materials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8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Growth engines </w:t>
            </w:r>
            <w:r>
              <w:rPr>
                <w:rFonts w:ascii="Times New Roman" w:cs="Times New Roman" w:eastAsia="Times New Roman" w:hAnsi="Times New Roman"/>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Strategic other businesses </w:t>
            </w:r>
            <w:r>
              <w:rPr>
                <w:rFonts w:ascii="Times New Roman" w:cs="Times New Roman" w:eastAsia="Times New Roman" w:hAnsi="Times New Roman"/>
                <w:sz w:val="15"/>
                <w:szCs w:val="15"/>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businesses </w:t>
            </w:r>
            <w:r>
              <w:rPr>
                <w:rFonts w:ascii="Times New Roman" w:cs="Times New Roman" w:eastAsia="Times New Roman" w:hAnsi="Times New Roman"/>
                <w:sz w:val="15"/>
                <w:szCs w:val="15"/>
                <w:color w:val="auto"/>
              </w:rPr>
              <w:t>(3)</w:t>
            </w: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7"/>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Materials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8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Growth engines </w:t>
            </w:r>
            <w:r>
              <w:rPr>
                <w:rFonts w:ascii="Times New Roman" w:cs="Times New Roman" w:eastAsia="Times New Roman" w:hAnsi="Times New Roman"/>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Strategic other businesses </w:t>
            </w:r>
            <w:r>
              <w:rPr>
                <w:rFonts w:ascii="Times New Roman" w:cs="Times New Roman" w:eastAsia="Times New Roman" w:hAnsi="Times New Roman"/>
                <w:sz w:val="15"/>
                <w:szCs w:val="15"/>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businesses </w:t>
            </w:r>
            <w:r>
              <w:rPr>
                <w:rFonts w:ascii="Times New Roman" w:cs="Times New Roman" w:eastAsia="Times New Roman" w:hAnsi="Times New Roman"/>
                <w:sz w:val="15"/>
                <w:szCs w:val="15"/>
                <w:color w:val="auto"/>
              </w:rPr>
              <w:t>(3)</w:t>
            </w: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4"/>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1" w:name="page22"/>
    <w:bookmarkEnd w:id="21"/>
    <w:p>
      <w:pPr>
        <w:ind w:left="580" w:right="60" w:hanging="572"/>
        <w:spacing w:after="0" w:line="282" w:lineRule="auto"/>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Growth engines consist of Sonora in the Traditional Printing segment, PROSPER and Software in the Digital Printing segment, brand licensing and Advanced Materials and Functional Printing in the Advanced Materials and Chemicals segment, excluding intellectual property (IP) licensing.</w:t>
      </w:r>
    </w:p>
    <w:p>
      <w:pPr>
        <w:spacing w:after="0" w:line="188" w:lineRule="exact"/>
        <w:rPr>
          <w:rFonts w:ascii="Times New Roman" w:cs="Times New Roman" w:eastAsia="Times New Roman" w:hAnsi="Times New Roman"/>
          <w:sz w:val="15"/>
          <w:szCs w:val="15"/>
          <w:color w:val="auto"/>
        </w:rPr>
      </w:pPr>
    </w:p>
    <w:p>
      <w:pPr>
        <w:ind w:left="580" w:right="60" w:hanging="572"/>
        <w:spacing w:after="0" w:line="266" w:lineRule="auto"/>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Strategic other businesses include plates in the Traditional Printing segment; Computer to Plate (“CTP”) equipment and related service and Nexpress and related toner business in the Digital Printing segment and Motion Picture and Industrial Film and Chemicals (including external inks) and IP licensing in the Advanced Materials and Chemicals segment.</w:t>
      </w:r>
    </w:p>
    <w:p>
      <w:pPr>
        <w:spacing w:after="0" w:line="202" w:lineRule="exact"/>
        <w:rPr>
          <w:rFonts w:ascii="Times New Roman" w:cs="Times New Roman" w:eastAsia="Times New Roman" w:hAnsi="Times New Roman"/>
          <w:sz w:val="15"/>
          <w:szCs w:val="15"/>
          <w:color w:val="auto"/>
        </w:rPr>
      </w:pPr>
    </w:p>
    <w:p>
      <w:pPr>
        <w:ind w:left="580" w:right="20" w:hanging="572"/>
        <w:spacing w:after="0" w:line="261" w:lineRule="auto"/>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Planned declining businesses are product lines where the decision has been made to stop new product development and manage an orderly expected decline in the installed product and annuity base or are otherwise not strategic to Kodak. These product families consist of Consumer Inkjet, Kodak Services for Business and Kodakit in the Advanced Materials and Chemicals segment and Versamark and Digimaster in the Digital Printing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Geography </w:t>
      </w:r>
      <w:r>
        <w:rPr>
          <w:rFonts w:ascii="Times New Roman" w:cs="Times New Roman" w:eastAsia="Times New Roman" w:hAnsi="Times New Roman"/>
          <w:sz w:val="15"/>
          <w:szCs w:val="15"/>
          <w:b w:val="1"/>
          <w:bCs w:val="1"/>
          <w:color w:val="auto"/>
        </w:rPr>
        <w:t>(1):</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1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Materials 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1"/>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7"/>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1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Materials 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2" w:name="page23"/>
    <w:bookmarkEnd w:id="2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Advanced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Traditional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Materials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2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CFF0FC"/>
            </w:tcBorders>
          </w:tcPr>
          <w:p>
            <w:pPr>
              <w:spacing w:after="0"/>
              <w:rPr>
                <w:sz w:val="19"/>
                <w:szCs w:val="19"/>
                <w:color w:val="auto"/>
              </w:rPr>
            </w:pPr>
          </w:p>
        </w:tc>
      </w:tr>
      <w:tr>
        <w:trPr>
          <w:trHeight w:val="223"/>
        </w:trPr>
        <w:tc>
          <w:tcPr>
            <w:tcW w:w="2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FF0FC"/>
          </w:tcPr>
          <w:p>
            <w:pPr>
              <w:spacing w:after="0"/>
              <w:rPr>
                <w:sz w:val="19"/>
                <w:szCs w:val="19"/>
                <w:color w:val="auto"/>
              </w:rPr>
            </w:pPr>
          </w:p>
        </w:tc>
      </w:tr>
      <w:tr>
        <w:trPr>
          <w:trHeight w:val="22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9"/>
                <w:szCs w:val="19"/>
                <w:color w:val="auto"/>
              </w:rPr>
            </w:pPr>
          </w:p>
        </w:tc>
      </w:tr>
      <w:tr>
        <w:trPr>
          <w:trHeight w:val="230"/>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FF0FC"/>
          </w:tcPr>
          <w:p>
            <w:pPr>
              <w:spacing w:after="0"/>
              <w:rPr>
                <w:sz w:val="19"/>
                <w:szCs w:val="19"/>
                <w:color w:val="auto"/>
              </w:rPr>
            </w:pPr>
          </w:p>
        </w:tc>
      </w:tr>
      <w:tr>
        <w:trPr>
          <w:trHeight w:val="229"/>
        </w:trPr>
        <w:tc>
          <w:tcPr>
            <w:tcW w:w="2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CFF0FC"/>
            </w:tcBorders>
          </w:tcPr>
          <w:p>
            <w:pPr>
              <w:spacing w:after="0"/>
              <w:rPr>
                <w:sz w:val="19"/>
                <w:szCs w:val="19"/>
                <w:color w:val="auto"/>
              </w:rPr>
            </w:pPr>
          </w:p>
        </w:tc>
      </w:tr>
      <w:tr>
        <w:trPr>
          <w:trHeight w:val="223"/>
        </w:trPr>
        <w:tc>
          <w:tcPr>
            <w:tcW w:w="2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1"/>
        </w:trPr>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7"/>
        </w:trPr>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Advanced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Traditional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Materials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2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bottom w:val="single" w:sz="8" w:color="CFF0FC"/>
            </w:tcBorders>
          </w:tcPr>
          <w:p>
            <w:pPr>
              <w:spacing w:after="0"/>
              <w:rPr>
                <w:sz w:val="19"/>
                <w:szCs w:val="19"/>
                <w:color w:val="auto"/>
              </w:rPr>
            </w:pPr>
          </w:p>
        </w:tc>
      </w:tr>
      <w:tr>
        <w:trPr>
          <w:trHeight w:val="223"/>
        </w:trPr>
        <w:tc>
          <w:tcPr>
            <w:tcW w:w="2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shd w:val="clear" w:color="auto" w:fill="CFF0FC"/>
          </w:tcPr>
          <w:p>
            <w:pPr>
              <w:spacing w:after="0"/>
              <w:rPr>
                <w:sz w:val="19"/>
                <w:szCs w:val="19"/>
                <w:color w:val="auto"/>
              </w:rPr>
            </w:pPr>
          </w:p>
        </w:tc>
      </w:tr>
      <w:tr>
        <w:trPr>
          <w:trHeight w:val="22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tcPr>
          <w:p>
            <w:pPr>
              <w:spacing w:after="0"/>
              <w:rPr>
                <w:sz w:val="19"/>
                <w:szCs w:val="19"/>
                <w:color w:val="auto"/>
              </w:rPr>
            </w:pPr>
          </w:p>
        </w:tc>
      </w:tr>
      <w:tr>
        <w:trPr>
          <w:trHeight w:val="229"/>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shd w:val="clear" w:color="auto" w:fill="CFF0FC"/>
          </w:tcPr>
          <w:p>
            <w:pPr>
              <w:spacing w:after="0"/>
              <w:rPr>
                <w:sz w:val="19"/>
                <w:szCs w:val="19"/>
                <w:color w:val="auto"/>
              </w:rPr>
            </w:pPr>
          </w:p>
        </w:tc>
      </w:tr>
      <w:tr>
        <w:trPr>
          <w:trHeight w:val="229"/>
        </w:trPr>
        <w:tc>
          <w:tcPr>
            <w:tcW w:w="2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Borders>
              <w:bottom w:val="single" w:sz="8" w:color="CFF0FC"/>
            </w:tcBorders>
          </w:tcPr>
          <w:p>
            <w:pPr>
              <w:spacing w:after="0"/>
              <w:rPr>
                <w:sz w:val="19"/>
                <w:szCs w:val="19"/>
                <w:color w:val="auto"/>
              </w:rPr>
            </w:pPr>
          </w:p>
        </w:tc>
      </w:tr>
      <w:tr>
        <w:trPr>
          <w:trHeight w:val="223"/>
        </w:trPr>
        <w:tc>
          <w:tcPr>
            <w:tcW w:w="2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9" w:lineRule="exact"/>
        <w:rPr>
          <w:sz w:val="20"/>
          <w:szCs w:val="20"/>
          <w:color w:val="auto"/>
        </w:rPr>
      </w:pPr>
    </w:p>
    <w:p>
      <w:pPr>
        <w:ind w:left="740" w:hanging="368"/>
        <w:spacing w:after="0"/>
        <w:tabs>
          <w:tab w:leader="none" w:pos="7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Sales are reported in the geographic area in which they originate.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-127635</wp:posOffset>
            </wp:positionV>
            <wp:extent cx="52806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trade receivables, unbilled receivables (contract assets), and customer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and deposits (contract liabilities) in the Consolidated Statement of Financial Position. The contract assets are transferred to trade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the rights to consideration become unconditional. The amounts recorded for contract assets at September 30, 2020 and December 31, 2019 were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$4 million, respectively, and are reported in Other current assets in the Consolidated Statement of Financial Position. The contract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relate to prepaid service contracts, upfront payments for certain equipment purchases or prepaid royalties on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The amounts recorded for contract liabilities at September 30, 2020 and December 31, 2019 were $60 million and $61 million,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which $44 million and $43 million are reported in Other current liabilities, respectively, and $16 million and $18 million, respectively, are reported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in the Consolidated Statement of Financial Position.</w:t>
      </w:r>
    </w:p>
    <w:p>
      <w:pPr>
        <w:spacing w:after="0" w:line="234"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7"/>
          <w:szCs w:val="17"/>
          <w:color w:val="auto"/>
        </w:rPr>
        <w:t>Revenue recognized for the three and nine months ended September 30, 2020 and 2019 that was included in the contract liability balance at the beginning of the year was $4 million and $35 million in 2020, respectively, and $4 million and $34 million in 2019, respectively, and primarily represented revenue from prepaid service contracts and equipment revenue recognition. Contract liabilities as of September 30, 2020 included $21 million and $31 million of cash payments received during the three and nine months ended September 30, 2020, respectively. Contract liabilities as of September 30, 2019 included $26 million and $43 million of cash payments received during the three and nine months ended September 30, 2019,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23" w:name="page24"/>
    <w:bookmarkEnd w:id="23"/>
    <w:p>
      <w:pPr>
        <w:spacing w:after="0" w:line="258" w:lineRule="auto"/>
        <w:rPr>
          <w:sz w:val="20"/>
          <w:szCs w:val="20"/>
          <w:color w:val="auto"/>
        </w:rPr>
      </w:pPr>
      <w:r>
        <w:rPr>
          <w:rFonts w:ascii="Times New Roman" w:cs="Times New Roman" w:eastAsia="Times New Roman" w:hAnsi="Times New Roman"/>
          <w:sz w:val="18"/>
          <w:szCs w:val="18"/>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September 30, 2020, there was approximately $70 million of unrecognized revenue from unsatisfied performance obligations. Approximately 10% of the revenue from unsatisfied performance obligations is expected to be recognized in the rest of 2020, 30% in 2021, 20% in 2022 and 40% thereafter.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OTHER OPERATING (INCOME) EXPENSE, NET</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4"/>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1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3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 (income):</w:t>
            </w:r>
          </w:p>
        </w:tc>
        <w:tc>
          <w:tcPr>
            <w:tcW w:w="4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(Gain) loss on sale of assets </w:t>
            </w:r>
            <w:r>
              <w:rPr>
                <w:rFonts w:ascii="Times New Roman" w:cs="Times New Roman" w:eastAsia="Times New Roman" w:hAnsi="Times New Roman"/>
                <w:sz w:val="15"/>
                <w:szCs w:val="15"/>
                <w:color w:val="auto"/>
              </w:rPr>
              <w:t>(1)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Asset impairments </w:t>
            </w:r>
            <w:r>
              <w:rPr>
                <w:rFonts w:ascii="Times New Roman" w:cs="Times New Roman" w:eastAsia="Times New Roman" w:hAnsi="Times New Roman"/>
                <w:sz w:val="15"/>
                <w:szCs w:val="15"/>
                <w:color w:val="auto"/>
              </w:rPr>
              <w:t>(2)</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1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Transition services agreement income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114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5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580" w:hanging="452"/>
        <w:spacing w:after="0"/>
        <w:tabs>
          <w:tab w:leader="none" w:pos="1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March 2020 Kodak sold a property in the U.S.</w:t>
      </w:r>
    </w:p>
    <w:p>
      <w:pPr>
        <w:spacing w:after="0" w:line="252" w:lineRule="exact"/>
        <w:rPr>
          <w:rFonts w:ascii="Times New Roman" w:cs="Times New Roman" w:eastAsia="Times New Roman" w:hAnsi="Times New Roman"/>
          <w:sz w:val="15"/>
          <w:szCs w:val="15"/>
          <w:color w:val="auto"/>
        </w:rPr>
      </w:pPr>
    </w:p>
    <w:p>
      <w:pPr>
        <w:ind w:left="1580" w:hanging="452"/>
        <w:spacing w:after="0"/>
        <w:tabs>
          <w:tab w:leader="none" w:pos="1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Refer to Note 5, “Goodwill and Other Intangible Assets”.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NOTE 15: OTHER CHARGES, NET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9"/>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9"/>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16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020" w:type="dxa"/>
            <w:vAlign w:val="bottom"/>
            <w:tcBorders>
              <w:top w:val="single" w:sz="8" w:color="CFF0FC"/>
            </w:tcBorders>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Change in fair value of embedded conversion features</w:t>
            </w: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derivative liability </w:t>
            </w:r>
            <w:r>
              <w:rPr>
                <w:rFonts w:ascii="Times New Roman" w:cs="Times New Roman" w:eastAsia="Times New Roman" w:hAnsi="Times New Roman"/>
                <w:sz w:val="15"/>
                <w:szCs w:val="15"/>
                <w:color w:val="auto"/>
              </w:rPr>
              <w:t>(1)</w:t>
            </w: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5"/>
                <w:szCs w:val="15"/>
                <w:color w:val="auto"/>
                <w:w w:val="91"/>
              </w:rPr>
              <w:t>(1)</w:t>
            </w:r>
          </w:p>
        </w:tc>
        <w:tc>
          <w:tcPr>
            <w:tcW w:w="39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Refer to Note 25, “Financial Instruments”.</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260" w:type="dxa"/>
            <w:vAlign w:val="bottom"/>
            <w:gridSpan w:val="2"/>
            <w:vMerge w:val="continue"/>
          </w:tcPr>
          <w:p>
            <w:pPr>
              <w:spacing w:after="0"/>
              <w:rPr>
                <w:sz w:val="24"/>
                <w:szCs w:val="24"/>
                <w:color w:val="auto"/>
              </w:rPr>
            </w:pPr>
          </w:p>
        </w:tc>
        <w:tc>
          <w:tcPr>
            <w:tcW w:w="3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Kodak’s income tax provision and effective tax rate were as follows: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9"/>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9"/>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8"/>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9"/>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16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160" w:type="dxa"/>
            <w:vAlign w:val="bottom"/>
          </w:tcPr>
          <w:p>
            <w:pPr>
              <w:spacing w:after="0"/>
              <w:rPr>
                <w:sz w:val="19"/>
                <w:szCs w:val="19"/>
                <w:color w:val="auto"/>
              </w:rPr>
            </w:pPr>
          </w:p>
        </w:tc>
        <w:tc>
          <w:tcPr>
            <w:tcW w:w="88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020" w:type="dxa"/>
            <w:vAlign w:val="bottom"/>
            <w:tcBorders>
              <w:top w:val="single" w:sz="8" w:color="CFF0FC"/>
            </w:tcBorders>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Loss from continuing operations before</w:t>
            </w: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for income taxes at U.S. statutory tax rate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Difference between tax at effective vs. statutory rate</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the difference between Kodak’s effective tax rate and the U.S. statutory rate of 21.0% is primarily attributable to: (1) the impact related to existing valuation allowances associated with changes in net deferred tax assets from current earnings and (2) the results from operations in jurisdictions outside the U.S.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ind w:right="2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the difference between Kodak’s effective tax rate and the U.S. statutory rate of 21.0% is primarily attributable to: (1) a provision of $167 million associated with the establishment of valuation allowances in certain outside U.S. jurisdictions, (2) the impact related to existing valuation allowances associated with changes in net deferred tax assets from current earnings and losses, (3) the results from operations in jurisdictions outside the U.S, (4) a provision associated with foreign withholding taxes on undistributed earnings and (5) changes in audit reserves.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Kodak establishes valuation allowances for deferred income tax assets in accordance with U.S.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At each reporting period, Kodak considers the scheduled reversal of deferred tax liabilities and assets, available taxes in carryback periods, tax planning strategies and projected future taxable income in making this assessment.</w:t>
      </w:r>
    </w:p>
    <w:p>
      <w:pPr>
        <w:spacing w:after="0" w:line="21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2019, Kodak’s deferred tax asset valuation allowance was $821 million. Of this amount, $168 million was attributable to the Company’s net deferred tax assets outside the U.S. of $322 million, and $653 million related to the Company’s net deferred tax assets in the U.S. of $633 million, for which Kodak believed it was more likely than not that the assets would not be realized.</w:t>
      </w:r>
    </w:p>
    <w:p>
      <w:pPr>
        <w:spacing w:after="0" w:line="20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March 31, 2020, Kodak determined that it was more likely than not that deferred tax assets outside the U.S. which were not offset with valuation allowances as of March 31, 2020 would not be realized due to reductions in estimates of future profitability as a result of the COVID-19 pandemic in locations outside the U.S. Accordingly, Kodak recorded a provision of $167 million associated with the establishment of a valuation allowance on those deferred tax assets.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21, 2020, Kodak agreed to terms with the IRS and settled the federal audit for calendar years 2013 and 2014. For these years, Kodak originally recorded a federal unrecognized tax position totaling $41 million, which was fully offset by tax attributes. This settlement resulted in an increase in net deferred tax assets and was fully offset by a corresponding increase in Kodak’s U.S. valuation allowance, resulting in no net tax benefit.</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2019, the difference between Kodak’s effective tax rate and the U.S. statutory rate of 21.0% is primarily attributable to: (1) the impact related to existing valuation allowances associated with changes in net deferred tax assets from current earnings and losses,</w:t>
      </w:r>
    </w:p>
    <w:p>
      <w:pPr>
        <w:ind w:right="20" w:firstLine="8"/>
        <w:spacing w:after="0" w:line="26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from operations in jurisdictions outside the U.S., (3) a provision associated with the establishment of a deferred tax asset valuation allowance outside the U.S. and (4) a benefit associated with foreign withholding taxes on undistributed earnings.</w:t>
      </w:r>
    </w:p>
    <w:p>
      <w:pPr>
        <w:spacing w:after="0" w:line="2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2019, the difference between Kodak’s effective tax rate and the U.S. statutory rate of 21.0% is primarily attributable to: (1) the impact related to existing valuation allowances associated with changes in net deferred tax assets from current earnings and losses,</w:t>
      </w:r>
    </w:p>
    <w:p>
      <w:pPr>
        <w:ind w:right="20" w:firstLine="8"/>
        <w:spacing w:after="0" w:line="26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from operations in jurisdictions outside the U.S., (3) a provision associated with the establishment of a deferred tax asset valuation allowance outside the U.S. and (4) changes in audit reserves.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RESTRUCTURING LIABILITIES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nine months of 2020 were initiated to reduce Kodak’s cost structure as part of its commitment to drive sustainable profitability and included various targeted reductions in manufacturing, service, sales and other administrative functions.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Reserve Activity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in the accrued balances and the non-cash charges and credits incurred in relation to restructuring activities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Long-lived Asset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Exit</w:t>
            </w:r>
          </w:p>
        </w:tc>
        <w:tc>
          <w:tcPr>
            <w:tcW w:w="16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Impairments and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Inventory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xml:space="preserve">Reserve </w:t>
            </w:r>
            <w:r>
              <w:rPr>
                <w:rFonts w:ascii="Times New Roman" w:cs="Times New Roman" w:eastAsia="Times New Roman" w:hAnsi="Times New Roman"/>
                <w:sz w:val="15"/>
                <w:szCs w:val="15"/>
                <w:b w:val="1"/>
                <w:bCs w:val="1"/>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 xml:space="preserve">Reserve </w:t>
            </w:r>
            <w:r>
              <w:rPr>
                <w:rFonts w:ascii="Times New Roman" w:cs="Times New Roman" w:eastAsia="Times New Roman" w:hAnsi="Times New Roman"/>
                <w:sz w:val="15"/>
                <w:szCs w:val="15"/>
                <w:b w:val="1"/>
                <w:bCs w:val="1"/>
                <w:color w:val="auto"/>
              </w:rPr>
              <w:t>(1)</w:t>
            </w:r>
          </w:p>
        </w:tc>
        <w:tc>
          <w:tcPr>
            <w:tcW w:w="100" w:type="dxa"/>
            <w:vAlign w:val="bottom"/>
          </w:tcPr>
          <w:p>
            <w:pPr>
              <w:spacing w:after="0"/>
              <w:rPr>
                <w:sz w:val="20"/>
                <w:szCs w:val="20"/>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 xml:space="preserve">Write-downs </w:t>
            </w:r>
            <w:r>
              <w:rPr>
                <w:rFonts w:ascii="Times New Roman" w:cs="Times New Roman" w:eastAsia="Times New Roman" w:hAnsi="Times New Roman"/>
                <w:sz w:val="15"/>
                <w:szCs w:val="15"/>
                <w:b w:val="1"/>
                <w:bCs w:val="1"/>
                <w:color w:val="auto"/>
                <w:w w:val="98"/>
              </w:rPr>
              <w:t>(1)</w:t>
            </w: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Q1 charges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Q1 utilization/cash payments</w:t>
            </w: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Q1 other adjustments and reclasses </w:t>
            </w:r>
            <w:r>
              <w:rPr>
                <w:rFonts w:ascii="Times New Roman" w:cs="Times New Roman" w:eastAsia="Times New Roman" w:hAnsi="Times New Roman"/>
                <w:sz w:val="15"/>
                <w:szCs w:val="15"/>
                <w:color w:val="auto"/>
              </w:rPr>
              <w:t>(2)</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2020</w:t>
            </w:r>
          </w:p>
        </w:tc>
        <w:tc>
          <w:tcPr>
            <w:tcW w:w="1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Q2 charges</w:t>
            </w:r>
          </w:p>
        </w:tc>
        <w:tc>
          <w:tcPr>
            <w:tcW w:w="1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Q2 utilization/cash payments</w:t>
            </w: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4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June 30, 2020</w:t>
            </w:r>
          </w:p>
        </w:tc>
        <w:tc>
          <w:tcPr>
            <w:tcW w:w="14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tcPr>
          <w:p>
            <w:pPr>
              <w:spacing w:after="0"/>
              <w:rPr>
                <w:sz w:val="22"/>
                <w:szCs w:val="22"/>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Q3 charges</w:t>
            </w: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Q3 utilization/cash payments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2020</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right="300" w:hanging="372"/>
        <w:spacing w:after="0" w:line="261" w:lineRule="auto"/>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severance and exit costs reserves require the outlay of cash, while long-lived asset impairments and inventory write-downs represent non-cash items.</w:t>
      </w:r>
    </w:p>
    <w:p>
      <w:pPr>
        <w:ind w:left="380" w:right="40" w:hanging="372"/>
        <w:spacing w:after="0" w:line="260" w:lineRule="auto"/>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$(1) million of severance charges funded from pension plan assets, which were reclassified to Pension and other postretirement liabilities and $(1) million of currency translation impacts.</w:t>
      </w:r>
    </w:p>
    <w:p>
      <w:pPr>
        <w:spacing w:after="0" w:line="2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$1 million and $9 million of charges for the three and nine months ended September 30, 2020, respectively, were reported as Restructuring costs and other in the Consolidated Statement of Operations.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severance costs for the 3 months ended September 30, 2020 related to the elimination of approximately 40 positions including approximately 5 manufacturing/service positions and 35 administrative positions. The geographic composition of these positions includes approximately 35 in the U.S. and Canada and 5 throughout the rest of the world. The severance costs for the nine months ended September 30, 2020 related to the elimination of approximately 130 positions including approximately 25 manufacturing/service positions, and 105 administrative and sales positions. The geographic composition of these positions includes approximately 75 in the U.S. and Canada and 55 throughout the rest of the world.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these initiatives, the majority of the severance will be paid during periods through the end of the year.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65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NOTE 18: RETIREMENT PLANS AND OTHER POSTRETIREMENT BENEFITS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Components of the net periodic benefit cost for all major U.S. and non-U.S. defined benefit plans are as follows: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19"/>
                <w:szCs w:val="19"/>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Non-U.S.</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Non-U.S.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80" w:type="dxa"/>
            <w:vAlign w:val="bottom"/>
          </w:tcPr>
          <w:p>
            <w:pPr>
              <w:spacing w:after="0"/>
              <w:rPr>
                <w:sz w:val="19"/>
                <w:szCs w:val="19"/>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Non-U.S.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Non-U.S.</w:t>
            </w:r>
          </w:p>
        </w:tc>
        <w:tc>
          <w:tcPr>
            <w:tcW w:w="100" w:type="dxa"/>
            <w:vAlign w:val="bottom"/>
          </w:tcPr>
          <w:p>
            <w:pPr>
              <w:spacing w:after="0"/>
              <w:rPr>
                <w:sz w:val="19"/>
                <w:szCs w:val="19"/>
                <w:color w:val="auto"/>
              </w:rPr>
            </w:pPr>
          </w:p>
        </w:tc>
      </w:tr>
      <w:tr>
        <w:trPr>
          <w:trHeight w:val="223"/>
        </w:trPr>
        <w:tc>
          <w:tcPr>
            <w:tcW w:w="2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Major defined benefit plans:</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60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6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29"/>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(53)</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credit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Actuarial loss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r>
      <w:tr>
        <w:trPr>
          <w:trHeight w:val="205"/>
        </w:trPr>
        <w:tc>
          <w:tcPr>
            <w:tcW w:w="2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pension income before</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(22)</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Curtailment gain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25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pension income from major</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2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9"/>
              </w:rPr>
              <w:t>(22)</w:t>
            </w:r>
          </w:p>
        </w:tc>
        <w:tc>
          <w:tcPr>
            <w:tcW w:w="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Other plans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05"/>
        </w:trPr>
        <w:tc>
          <w:tcPr>
            <w:tcW w:w="25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net pension (income)</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2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9"/>
              </w:rPr>
              <w:t>(22)</w:t>
            </w:r>
          </w:p>
        </w:tc>
        <w:tc>
          <w:tcPr>
            <w:tcW w:w="68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5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ind w:right="880"/>
        <w:spacing w:after="0" w:line="312" w:lineRule="auto"/>
        <w:rPr>
          <w:sz w:val="20"/>
          <w:szCs w:val="20"/>
          <w:color w:val="auto"/>
        </w:rPr>
      </w:pPr>
      <w:r>
        <w:rPr>
          <w:rFonts w:ascii="Times New Roman" w:cs="Times New Roman" w:eastAsia="Times New Roman" w:hAnsi="Times New Roman"/>
          <w:sz w:val="17"/>
          <w:szCs w:val="17"/>
          <w:color w:val="auto"/>
        </w:rPr>
        <w:t>For the three and nine months ended September 30, 2020 and 2019 the special termination benefits charges were incurred as a result of Kodak’s restructuring actions and have been included in Restructuring costs and other in the Consolidated Statement of Operations for those periods.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19: EARNINGS PER SHARE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available to common shareholders, diluted earnings per share are calculated using weighted-average basic shares for that period, as utilizing diluted shares would be anti-dilutive to loss per share.</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reconciliation of the amounts used to calculate basic and diluted earnings per share for the three and nine months ended September 30, 2020 and 2019 follows: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Series A convertible preferred stock cash dividend</w:t>
            </w:r>
          </w:p>
        </w:tc>
        <w:tc>
          <w:tcPr>
            <w:tcW w:w="2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Series A convertible preferred stock deemed dividend</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5"/>
        </w:trPr>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Loss from continuing operations available to common</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shareholders - basic and diluted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4"/>
        </w:trPr>
        <w:tc>
          <w:tcPr>
            <w:tcW w:w="5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Series A convertible preferred stock cash dividend</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Series A convertible preferred stock deemed dividend</w:t>
            </w:r>
          </w:p>
        </w:tc>
        <w:tc>
          <w:tcPr>
            <w:tcW w:w="2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5"/>
        </w:trPr>
        <w:tc>
          <w:tcPr>
            <w:tcW w:w="50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basic and diluted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(in millions of shares)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 basic and diluted</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result of the net loss from continuing operations available to common shareholders for the three and nine months ended September 30, 2020 and 2019, Kodak calculated diluted earnings per share using weighted-average basic shares outstanding. If Kodak reported earnings from continuing operations available to common shareholders for the three and nine months ended September 30, 2020 and 2019, the calculation of diluted earnings per share would have included the assumed conversion of 0.6 million and 0.5 million unvested restricted stock units for the three and nine months ended September 30, 2020, respectively and 0.6 million unvested restricted stock units for the both periods in 2019. The calculation of diluted earnings per share would have also included the assumed conversion of 1.2 million outstanding employee stock options.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computation of diluted earnings per share for the three and nine months ended September 30, 2020 and 2019 also excluded the impact of (1) the assumed conversion of 2.0 million shares of Series A Preferred Stock, (2) the assumed conversion of outstanding employee stock options of 3.1 million and 3.6 million for three and nine months ended September 30, 2020, respectively and 8.9 million and 9.0 million for the three and nine months ended 2019, respectively and the (3) for the three and nine months ended September 30, 2019 the assumed conversion of $100 million of Notes because the effects would have been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STOCK-BASED COMPENSATION</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Kodak’s stock incentive plan is the 2013 Omnibus Incentive Plan (the “2013 Plan”). The 2013 Plan is administered by the Compensation Nominating and Governance Committee of the Board of Directors.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Officers, directors and employees of the Company and its consolidated subsidiaries are eligible to receive awards. Stock options are generally non-qualified, are at exercise prices equal to or greater than the closing price of Kodak’s stock on the date of grant and expire seven years after the grant date. Stock-based compensation awards granted under Kodak’s stock incentive plan are generally subject to a three-year vesting period from the date of grant, or a later date as determined by the Compensation Nominating and Governance Committee. Awards are subject to settlement in newly-issued shares of common stock. Unless sooner terminated by the Compensation Nominating and Governance Committee, no awards may be granted under the 2013 Plan after May 20, 2030.</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maximum number of shares of common stock subject to awards under the 2013 Plan is 8.0 million. In addition, under the 2013 Plan, the maximum number of shares available for the grant of incentive stock options is 2.0 million shares. The maximum number of shares as to which stock options or stock appreciation rights may be granted to any one person under the 2013 Plan in any calendar year is 2.5 million shares.</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maximum number of awards that may be granted to any non-employee director under the 2013 Plan in any calendar year may not exceed a number of awards with a grant date fair value of $450,000, computed as of the grant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ind w:right="100"/>
        <w:spacing w:after="0" w:line="261" w:lineRule="auto"/>
        <w:rPr>
          <w:sz w:val="20"/>
          <w:szCs w:val="20"/>
          <w:color w:val="auto"/>
        </w:rPr>
      </w:pPr>
      <w:r>
        <w:rPr>
          <w:rFonts w:ascii="Times New Roman" w:cs="Times New Roman" w:eastAsia="Times New Roman" w:hAnsi="Times New Roman"/>
          <w:sz w:val="18"/>
          <w:szCs w:val="18"/>
          <w:color w:val="auto"/>
        </w:rPr>
        <w:t>Compensation expense is recognized on a straight-line basis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31" w:lineRule="exact"/>
        <w:rPr>
          <w:sz w:val="20"/>
          <w:szCs w:val="20"/>
          <w:color w:val="auto"/>
        </w:rPr>
      </w:pPr>
    </w:p>
    <w:p>
      <w:pPr>
        <w:ind w:right="640"/>
        <w:spacing w:after="0" w:line="255" w:lineRule="auto"/>
        <w:rPr>
          <w:sz w:val="20"/>
          <w:szCs w:val="20"/>
          <w:color w:val="auto"/>
        </w:rPr>
      </w:pPr>
      <w:r>
        <w:rPr>
          <w:rFonts w:ascii="Times New Roman" w:cs="Times New Roman" w:eastAsia="Times New Roman" w:hAnsi="Times New Roman"/>
          <w:sz w:val="18"/>
          <w:szCs w:val="18"/>
          <w:color w:val="auto"/>
        </w:rPr>
        <w:t>Restricted stock units are payable in shares of the Company common stock upon vesting. The fair value is based on the closing market price of the Company’s stock on the grant date. Compensation cost related to restricted stock units was $1 million and $2 million for the nine months ended September 30, 2020 and 2019, respectively.</w:t>
      </w:r>
    </w:p>
    <w:p>
      <w:pPr>
        <w:spacing w:after="0" w:line="7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of restricted stock unit awards granted for the nine months ended September 30, 2020 and 2019 was $2.91 and $2.85, respectively. The total fair value of restricted stock units that vested was $2 million for both the nine months ended September 30, 2020 and</w:t>
      </w:r>
    </w:p>
    <w:p>
      <w:pPr>
        <w:ind w:right="280"/>
        <w:spacing w:after="0" w:line="260" w:lineRule="auto"/>
        <w:rPr>
          <w:sz w:val="20"/>
          <w:szCs w:val="20"/>
          <w:color w:val="auto"/>
        </w:rPr>
      </w:pPr>
      <w:r>
        <w:rPr>
          <w:rFonts w:ascii="Times New Roman" w:cs="Times New Roman" w:eastAsia="Times New Roman" w:hAnsi="Times New Roman"/>
          <w:sz w:val="18"/>
          <w:szCs w:val="18"/>
          <w:color w:val="auto"/>
        </w:rPr>
        <w:t>2019. As of September 30, 2020 , there was $0.4 million of unrecognized compensation cost related to restricted stock units. The cost is expected to be recognized over a weighted average period of 0.3 years.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unit activity for the nine months ended September 30, 2020:</w:t>
      </w:r>
    </w:p>
    <w:p>
      <w:pPr>
        <w:spacing w:after="0" w:line="35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3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48"/>
        </w:trPr>
        <w:tc>
          <w:tcPr>
            <w:tcW w:w="5940" w:type="dxa"/>
            <w:vAlign w:val="bottom"/>
          </w:tcPr>
          <w:p>
            <w:pPr>
              <w:spacing w:after="0"/>
              <w:rPr>
                <w:sz w:val="12"/>
                <w:szCs w:val="12"/>
                <w:color w:val="auto"/>
              </w:rPr>
            </w:pPr>
          </w:p>
        </w:tc>
        <w:tc>
          <w:tcPr>
            <w:tcW w:w="13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5940" w:type="dxa"/>
            <w:vAlign w:val="bottom"/>
          </w:tcPr>
          <w:p>
            <w:pPr>
              <w:spacing w:after="0"/>
              <w:rPr>
                <w:sz w:val="15"/>
                <w:szCs w:val="15"/>
                <w:color w:val="auto"/>
              </w:rPr>
            </w:pPr>
          </w:p>
        </w:tc>
        <w:tc>
          <w:tcPr>
            <w:tcW w:w="13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Values</w:t>
            </w: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on December 31, 2019</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721,801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r>
      <w:tr>
        <w:trPr>
          <w:trHeight w:val="229"/>
        </w:trPr>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692,751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FF0FC"/>
          </w:tcPr>
          <w:p>
            <w:pPr>
              <w:spacing w:after="0"/>
              <w:rPr>
                <w:sz w:val="19"/>
                <w:szCs w:val="19"/>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on September 30, 2020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 activity for the nine months ended September 30, 2020:</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1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080" w:type="dxa"/>
            <w:vAlign w:val="bottom"/>
            <w:gridSpan w:val="2"/>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080" w:type="dxa"/>
            <w:vAlign w:val="bottom"/>
            <w:gridSpan w:val="2"/>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40" w:type="dxa"/>
            <w:vAlign w:val="bottom"/>
          </w:tcPr>
          <w:p>
            <w:pPr>
              <w:spacing w:after="0"/>
              <w:rPr>
                <w:sz w:val="12"/>
                <w:szCs w:val="12"/>
                <w:color w:val="auto"/>
              </w:rPr>
            </w:pPr>
          </w:p>
        </w:tc>
        <w:tc>
          <w:tcPr>
            <w:tcW w:w="740" w:type="dxa"/>
            <w:vAlign w:val="bottom"/>
          </w:tcPr>
          <w:p>
            <w:pPr>
              <w:jc w:val="center"/>
              <w:ind w:left="346"/>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40" w:type="dxa"/>
            <w:vAlign w:val="bottom"/>
          </w:tcPr>
          <w:p>
            <w:pPr>
              <w:spacing w:after="0"/>
              <w:rPr>
                <w:sz w:val="15"/>
                <w:szCs w:val="15"/>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400" w:type="dxa"/>
            <w:vAlign w:val="bottom"/>
            <w:gridSpan w:val="2"/>
            <w:vMerge w:val="continue"/>
          </w:tcPr>
          <w:p>
            <w:pPr>
              <w:spacing w:after="0"/>
              <w:rPr>
                <w:sz w:val="15"/>
                <w:szCs w:val="15"/>
                <w:color w:val="auto"/>
              </w:rPr>
            </w:pP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on December 31, 2019</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6,843,079</w:t>
            </w:r>
          </w:p>
        </w:tc>
        <w:tc>
          <w:tcPr>
            <w:tcW w:w="2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10.96</w:t>
            </w:r>
          </w:p>
        </w:tc>
        <w:tc>
          <w:tcPr>
            <w:tcW w:w="2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2,917,464</w:t>
            </w:r>
          </w:p>
        </w:tc>
        <w:tc>
          <w:tcPr>
            <w:tcW w:w="980" w:type="dxa"/>
            <w:vAlign w:val="bottom"/>
            <w:gridSpan w:val="2"/>
          </w:tcPr>
          <w:p>
            <w:pPr>
              <w:jc w:val="right"/>
              <w:ind w:right="58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2,019,187</w:t>
            </w:r>
          </w:p>
        </w:tc>
        <w:tc>
          <w:tcPr>
            <w:tcW w:w="980" w:type="dxa"/>
            <w:vAlign w:val="bottom"/>
            <w:gridSpan w:val="2"/>
            <w:shd w:val="clear" w:color="auto" w:fill="CFF0FC"/>
          </w:tcPr>
          <w:p>
            <w:pPr>
              <w:jc w:val="right"/>
              <w:ind w:right="58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14.51</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27,075</w:t>
            </w:r>
          </w:p>
        </w:tc>
        <w:tc>
          <w:tcPr>
            <w:tcW w:w="980" w:type="dxa"/>
            <w:vAlign w:val="bottom"/>
            <w:tcBorders>
              <w:bottom w:val="single" w:sz="8" w:color="CFF0FC"/>
            </w:tcBorders>
            <w:gridSpan w:val="2"/>
          </w:tcPr>
          <w:p>
            <w:pPr>
              <w:jc w:val="right"/>
              <w:ind w:right="58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8"/>
              </w:rPr>
              <w:t>12.50</w:t>
            </w:r>
          </w:p>
        </w:tc>
        <w:tc>
          <w:tcPr>
            <w:tcW w:w="22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on September 30, 2020</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7,714,281</w:t>
            </w:r>
          </w:p>
        </w:tc>
        <w:tc>
          <w:tcPr>
            <w:tcW w:w="980" w:type="dxa"/>
            <w:vAlign w:val="bottom"/>
            <w:gridSpan w:val="2"/>
            <w:shd w:val="clear" w:color="auto" w:fill="CFF0FC"/>
          </w:tcPr>
          <w:p>
            <w:pPr>
              <w:jc w:val="right"/>
              <w:ind w:right="58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5.09</w:t>
            </w:r>
          </w:p>
        </w:tc>
        <w:tc>
          <w:tcPr>
            <w:tcW w:w="4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on September 30, 2020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6,858,431</w:t>
            </w:r>
          </w:p>
        </w:tc>
        <w:tc>
          <w:tcPr>
            <w:tcW w:w="980" w:type="dxa"/>
            <w:vAlign w:val="bottom"/>
            <w:gridSpan w:val="2"/>
          </w:tcPr>
          <w:p>
            <w:pPr>
              <w:jc w:val="right"/>
              <w:ind w:right="58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4.91</w:t>
            </w:r>
          </w:p>
        </w:tc>
        <w:tc>
          <w:tcPr>
            <w:tcW w:w="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to vest September 30, 2020</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855,850</w:t>
            </w:r>
          </w:p>
        </w:tc>
        <w:tc>
          <w:tcPr>
            <w:tcW w:w="980" w:type="dxa"/>
            <w:vAlign w:val="bottom"/>
            <w:gridSpan w:val="2"/>
            <w:shd w:val="clear" w:color="auto" w:fill="CFF0FC"/>
          </w:tcPr>
          <w:p>
            <w:pPr>
              <w:jc w:val="right"/>
              <w:ind w:right="58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6.52</w:t>
            </w:r>
          </w:p>
        </w:tc>
        <w:tc>
          <w:tcPr>
            <w:tcW w:w="4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aggregate intrinsic value represents the total pretax intrinsic value that option holders would have received had all option holders exercised their options on the last trading day of the period. The aggregate intrinsic value is the difference between the Kodak closing stock price on the last trading day of the period and the exercise price, multiplied by the number of in-the-money options.</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issued stock-based compensation grants for 2.4 million stock options on July 27, 2020. The terms of 1.8 million of the options awarded on July 27, 2020 provided for immediate vesting or vesting upon conversion of the Notes. As 100% of the Notes were converted during the three months ended September 30, 2020, the 1.8 million options with accelerated vesting terms vested in that same period. The remaining 0.6 million options provide for vesting terms of between two and three years. The valuation of the stock options granted on July 27, 2020 resulted in approximately $11.8 million of compensation expense being recognized in the three months ended September 30, 2020, which was reported in Selling, general and administrative expenses in the Consolidated Statement of Operations.</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were approximately 2.0 million options exercised in the nine months ended September 30, 2020. The options exercised in 2020 included 0.3 million options exercised by ex-employees of Kodak that had previously been forfeited. The Company issued shares to the ex-employees in exchange for proceeds based on the exercise prices of the forfeited options. The Company is accounting for the exercise of the forfeited options as a modification of the original awards.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recognized compensation expense of approximately $5.1 million in the three months ended September 30, 2020, related to the 0.3 million previously forfeited options representing the fair value of the shares issued to the ex-employees less the exercise proceeds received from the ex-employees, which is reported in Selling, general and administrative expenses in the Consolidated Statement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is seeking to recover the fair value of the shares at the time of the sale of the shares by the ex-employees less the exercise proceeds and withholding (approximately $</w:t>
      </w:r>
      <w:r>
        <w:rPr>
          <w:rFonts w:ascii="Times New Roman" w:cs="Times New Roman" w:eastAsia="Times New Roman" w:hAnsi="Times New Roman"/>
          <w:sz w:val="18"/>
          <w:szCs w:val="18"/>
          <w:color w:val="auto"/>
          <w:highlight w:val="yellow"/>
        </w:rPr>
        <w:t>3.9</w:t>
      </w:r>
      <w:r>
        <w:rPr>
          <w:rFonts w:ascii="Times New Roman" w:cs="Times New Roman" w:eastAsia="Times New Roman" w:hAnsi="Times New Roman"/>
          <w:sz w:val="18"/>
          <w:szCs w:val="18"/>
          <w:color w:val="auto"/>
        </w:rPr>
        <w:t xml:space="preserve"> million) and the right to retain any refund of the withholding taxes the Company is seeking to obtain on behalf of the ex-employees (approximately $3.0 million). There are no assurances the Company will be successful in its claims against the ex-employees or in its recovery of the withholding taxes.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for the nine months ended September 30, 2020 and 2019 was $8.91 and</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$2.47, respectively. The total fair value of options that vested during the nine months ended September 30, 2020 and 2019 was $13 million and $7 million, respectively. Compensation cost related to stock options for the nine months ended September 30, 2020 and 2019 was $18 million and $4 million, respectively.</w:t>
      </w:r>
    </w:p>
    <w:p>
      <w:pPr>
        <w:spacing w:after="0" w:line="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2020, there was $3.9 million of unrecognized compensation cost related to stock options. The cost is expected to be recognized over a weighted average period of 1.7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for the awards granted on July 27, 2020, Kodak utilizes the Black-Scholes option valuation model to estimate the fair value of stock options.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expected term of options granted is the period of time the options are expected to be outstanding and is calculated using a simplified method based on the option’s vesting period and original contractual term. The Company used only the historical volatility of the Company’s stock to estimate expected volatility. The risk-free rate was based on the yield on U.S. Treasury notes with a term equal to the option’s expected term.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inputs were used in the Black-Scholes valuation of option grants issued in each period:</w:t>
      </w:r>
    </w:p>
    <w:p>
      <w:pPr>
        <w:spacing w:after="0" w:line="370"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4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2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1.50</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tcPr>
          <w:p>
            <w:pPr>
              <w:spacing w:after="0"/>
              <w:rPr>
                <w:sz w:val="19"/>
                <w:szCs w:val="19"/>
                <w:color w:val="auto"/>
              </w:rPr>
            </w:pPr>
          </w:p>
        </w:tc>
        <w:tc>
          <w:tcPr>
            <w:tcW w:w="10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2.43%</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lives</w:t>
            </w: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years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4.5 years</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0" w:type="dxa"/>
            <w:vAlign w:val="bottom"/>
          </w:tcPr>
          <w:p>
            <w:pPr>
              <w:spacing w:after="0"/>
              <w:rPr>
                <w:sz w:val="19"/>
                <w:szCs w:val="19"/>
                <w:color w:val="auto"/>
              </w:rPr>
            </w:pPr>
          </w:p>
        </w:tc>
        <w:tc>
          <w:tcPr>
            <w:tcW w:w="10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6"/>
              </w:rPr>
              <w:t>98%</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6"/>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8"/>
              </w:rPr>
              <w:t>0.00%</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20" w:type="dxa"/>
            <w:vAlign w:val="bottom"/>
            <w:shd w:val="clear" w:color="auto" w:fill="CFF0FC"/>
          </w:tcPr>
          <w:p>
            <w:pPr>
              <w:jc w:val="center"/>
              <w:ind w:right="61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Given the recent volatility of the Company’s stock price, the Company utilized a lattice-based valuation model to value the time-based vesting awards granted July 27, 2020 and a Monte Carlo simulation valuation model to value the options granted on July 27, 2020 which vested upon conversion of the Notes.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inputs were used in the lattice-based valuation of the July 27, 2020 option grants: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July 27, 2020</w:t>
            </w:r>
          </w:p>
        </w:tc>
      </w:tr>
      <w:tr>
        <w:trPr>
          <w:trHeight w:val="238"/>
        </w:trPr>
        <w:tc>
          <w:tcPr>
            <w:tcW w:w="6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4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2420" w:type="dxa"/>
            <w:vAlign w:val="bottom"/>
            <w:tcBorders>
              <w:top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r>
      <w:tr>
        <w:trPr>
          <w:trHeight w:val="22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Range of risk-free interest rates</w:t>
            </w:r>
          </w:p>
        </w:tc>
        <w:tc>
          <w:tcPr>
            <w:tcW w:w="460" w:type="dxa"/>
            <w:vAlign w:val="bottom"/>
            <w:shd w:val="clear" w:color="auto" w:fill="CFF0FC"/>
          </w:tcPr>
          <w:p>
            <w:pPr>
              <w:spacing w:after="0"/>
              <w:rPr>
                <w:sz w:val="19"/>
                <w:szCs w:val="19"/>
                <w:color w:val="auto"/>
              </w:rPr>
            </w:pPr>
          </w:p>
        </w:tc>
        <w:tc>
          <w:tcPr>
            <w:tcW w:w="2420" w:type="dxa"/>
            <w:vAlign w:val="bottom"/>
            <w:shd w:val="clear" w:color="auto" w:fill="CFF0FC"/>
          </w:tcPr>
          <w:p>
            <w:pPr>
              <w:jc w:val="center"/>
              <w:ind w:right="390"/>
              <w:spacing w:after="0"/>
              <w:rPr>
                <w:sz w:val="20"/>
                <w:szCs w:val="20"/>
                <w:color w:val="auto"/>
              </w:rPr>
            </w:pPr>
            <w:r>
              <w:rPr>
                <w:rFonts w:ascii="Times New Roman" w:cs="Times New Roman" w:eastAsia="Times New Roman" w:hAnsi="Times New Roman"/>
                <w:sz w:val="18"/>
                <w:szCs w:val="18"/>
                <w:color w:val="auto"/>
                <w:w w:val="98"/>
              </w:rPr>
              <w:t>0.11% -0.30%</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term</w:t>
            </w:r>
          </w:p>
        </w:tc>
        <w:tc>
          <w:tcPr>
            <w:tcW w:w="460" w:type="dxa"/>
            <w:vAlign w:val="bottom"/>
          </w:tcPr>
          <w:p>
            <w:pPr>
              <w:spacing w:after="0"/>
              <w:rPr>
                <w:sz w:val="19"/>
                <w:szCs w:val="19"/>
                <w:color w:val="auto"/>
              </w:rPr>
            </w:pPr>
          </w:p>
        </w:tc>
        <w:tc>
          <w:tcPr>
            <w:tcW w:w="25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5.57 years</w:t>
            </w: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460" w:type="dxa"/>
            <w:vAlign w:val="bottom"/>
            <w:shd w:val="clear" w:color="auto" w:fill="CFF0FC"/>
          </w:tcPr>
          <w:p>
            <w:pPr>
              <w:spacing w:after="0"/>
              <w:rPr>
                <w:sz w:val="19"/>
                <w:szCs w:val="19"/>
                <w:color w:val="auto"/>
              </w:rPr>
            </w:pPr>
          </w:p>
        </w:tc>
        <w:tc>
          <w:tcPr>
            <w:tcW w:w="2420" w:type="dxa"/>
            <w:vAlign w:val="bottom"/>
            <w:shd w:val="clear" w:color="auto" w:fill="CFF0FC"/>
          </w:tcPr>
          <w:p>
            <w:pPr>
              <w:jc w:val="center"/>
              <w:ind w:right="39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9"/>
                <w:szCs w:val="19"/>
                <w:color w:val="auto"/>
              </w:rPr>
            </w:pP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dividend yield</w:t>
            </w:r>
          </w:p>
        </w:tc>
        <w:tc>
          <w:tcPr>
            <w:tcW w:w="460" w:type="dxa"/>
            <w:vAlign w:val="bottom"/>
          </w:tcPr>
          <w:p>
            <w:pPr>
              <w:spacing w:after="0"/>
              <w:rPr>
                <w:sz w:val="20"/>
                <w:szCs w:val="20"/>
                <w:color w:val="auto"/>
              </w:rPr>
            </w:pPr>
          </w:p>
        </w:tc>
        <w:tc>
          <w:tcPr>
            <w:tcW w:w="24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SHAREHOLDERS’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560 million shares of authorized stock, consisting of: (i) 500 million shares of common stock, par value $0.01 per share and</w:t>
      </w:r>
    </w:p>
    <w:p>
      <w:pPr>
        <w:spacing w:after="0" w:line="27" w:lineRule="exact"/>
        <w:rPr>
          <w:sz w:val="20"/>
          <w:szCs w:val="20"/>
          <w:color w:val="auto"/>
        </w:rPr>
      </w:pPr>
    </w:p>
    <w:p>
      <w:pPr>
        <w:jc w:val="both"/>
        <w:ind w:right="160" w:firstLine="8"/>
        <w:spacing w:after="0" w:line="253"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shares of preferred stock, no par value, issuable in one or more series. As of September 30, 2020 and December 31, 2019, there were 77.3 million and 43.2 million shares of common stock outstanding, respectively, and 2.0 million shares of Series A Preferred Stock issued and outstanding. In the three months ended September 30, 2020 the Company issued a total of 31.5 million shares for the conversion of the Notes and 2.0 million shares with the exercise of stock options. Treasury stock consisted of approximately 0.7 million shares as of both September 30, 2020 and December 31, 2019.</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22: OTHER COMPREHENSIVE (LOSS) INCOME</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changes in Other comprehensive (loss) income, by component, were as follows: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4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 plan changes</w:t>
            </w: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Newly established net actuarial gain</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Provision</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Newly established net actuarial gain, net of tax</w:t>
            </w:r>
          </w:p>
        </w:tc>
        <w:tc>
          <w:tcPr>
            <w:tcW w:w="4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 xml:space="preserve">Amortization of prior service credit </w:t>
            </w:r>
            <w:r>
              <w:rPr>
                <w:rFonts w:ascii="Times New Roman" w:cs="Times New Roman" w:eastAsia="Times New Roman" w:hAnsi="Times New Roman"/>
                <w:sz w:val="15"/>
                <w:szCs w:val="15"/>
                <w:color w:val="auto"/>
              </w:rPr>
              <w:t>(a)</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xml:space="preserve">Amortization of actuarial losses </w:t>
            </w:r>
            <w:r>
              <w:rPr>
                <w:rFonts w:ascii="Times New Roman" w:cs="Times New Roman" w:eastAsia="Times New Roman" w:hAnsi="Times New Roman"/>
                <w:sz w:val="15"/>
                <w:szCs w:val="15"/>
                <w:color w:val="auto"/>
              </w:rPr>
              <w:t>(a)</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7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Recognition of losses (gains) due to curtailments and</w:t>
            </w: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settlements</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reclassification adjustments</w:t>
            </w: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Tax provision</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7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Pension and other postretirement benefit plan changes,</w:t>
            </w:r>
          </w:p>
        </w:tc>
        <w:tc>
          <w:tcPr>
            <w:tcW w:w="4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vMerge w:val="continue"/>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920" w:hanging="359"/>
        <w:spacing w:after="0"/>
        <w:tabs>
          <w:tab w:leader="none" w:pos="9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Reclassified to Total Net Periodic Benefit Cost - refer to Note 18, "Retirement Plans and Other Postretirement Benefits".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Segments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Effective January 1, 2020 Kodak changed its organizational structure. Prepress Solutions, formerly part of the Print Systems segment, operates as a separate segment named the Traditional Printing segment. Electrophotographic Printing Solutions, formerly part of the Print Systems segment, was combined with the Enterprise Inkjet Systems segment and Kodak Software segment to form the Digital Printing segment. The Brand, Film and Imaging segment, except for the licensing of the Kodak brand to third parties, was combined with the Advanced Materials and 3D Printing segment to form the Advanced Materials and Chemicals segment. The licensing of the Kodak brand to third parties operates as a separate segment named the Brand segment. The Eastman Business Park segment is no longer a reportable segment. A description of Kodak’s reportable segments follows.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Traditional Printing</w:t>
      </w:r>
      <w:r>
        <w:rPr>
          <w:rFonts w:ascii="Times New Roman" w:cs="Times New Roman" w:eastAsia="Times New Roman" w:hAnsi="Times New Roman"/>
          <w:sz w:val="18"/>
          <w:szCs w:val="18"/>
          <w:color w:val="auto"/>
        </w:rPr>
        <w:t>: The Traditional Printing segment is comprised of Prepress Solutions.</w:t>
      </w:r>
    </w:p>
    <w:p>
      <w:pPr>
        <w:spacing w:after="0" w:line="25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Digital Printing</w:t>
      </w:r>
      <w:r>
        <w:rPr>
          <w:rFonts w:ascii="Times New Roman" w:cs="Times New Roman" w:eastAsia="Times New Roman" w:hAnsi="Times New Roman"/>
          <w:sz w:val="18"/>
          <w:szCs w:val="18"/>
          <w:color w:val="auto"/>
        </w:rPr>
        <w:t>: The Digital Printing segment is comprised of four lines of business: the Electrophotographic Printing Solutions business, the Prosper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the Versamark business and the Kodak Software business.</w:t>
      </w:r>
    </w:p>
    <w:p>
      <w:pPr>
        <w:spacing w:after="0" w:line="18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Advanced Materials and Chemicals: </w:t>
      </w:r>
      <w:r>
        <w:rPr>
          <w:rFonts w:ascii="Times New Roman" w:cs="Times New Roman" w:eastAsia="Times New Roman" w:hAnsi="Times New Roman"/>
          <w:sz w:val="18"/>
          <w:szCs w:val="18"/>
          <w:color w:val="auto"/>
        </w:rPr>
        <w:t>The Advanced Materials and Chemicals segment is comprised of five lines of business: Industrial Film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Chemicals, Motion Picture, Advanced Materials and Functional Printing Technology and Kodak Services for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w:t>
      </w:r>
      <w:r>
        <w:rPr>
          <w:rFonts w:ascii="Times New Roman" w:cs="Times New Roman" w:eastAsia="Times New Roman" w:hAnsi="Times New Roman"/>
          <w:sz w:val="18"/>
          <w:szCs w:val="18"/>
          <w:color w:val="auto"/>
        </w:rPr>
        <w:t>: The Brand segment contains the brand licensing business.</w:t>
      </w:r>
    </w:p>
    <w:p>
      <w:pPr>
        <w:spacing w:after="0" w:line="25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All Other</w:t>
      </w:r>
      <w:r>
        <w:rPr>
          <w:rFonts w:ascii="Times New Roman" w:cs="Times New Roman" w:eastAsia="Times New Roman" w:hAnsi="Times New Roman"/>
          <w:sz w:val="18"/>
          <w:szCs w:val="18"/>
          <w:color w:val="auto"/>
        </w:rPr>
        <w:t>: All Other is comprised of the operations of the Eastman Business Park, a more than 1,200-acre technology center and industrial complex.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financial information is shown below:</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8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Traditional Printing</w:t>
            </w:r>
          </w:p>
        </w:tc>
        <w:tc>
          <w:tcPr>
            <w:tcW w:w="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Digital Printing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Materials and Chemicals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total</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9"/>
                <w:szCs w:val="19"/>
                <w:color w:val="auto"/>
              </w:rPr>
            </w:pPr>
          </w:p>
        </w:tc>
      </w:tr>
      <w:tr>
        <w:trPr>
          <w:trHeight w:val="20"/>
        </w:trPr>
        <w:tc>
          <w:tcPr>
            <w:tcW w:w="58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2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Segment Operational EBITDA and Consolidated Loss from Continuing Operations Before Income Taxes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8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Traditional Printing</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Digital Printing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Materials and Chemicals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58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Brand</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of reportable segments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Consulting and other costs </w:t>
            </w:r>
            <w:r>
              <w:rPr>
                <w:rFonts w:ascii="Times New Roman" w:cs="Times New Roman" w:eastAsia="Times New Roman" w:hAnsi="Times New Roman"/>
                <w:sz w:val="15"/>
                <w:szCs w:val="15"/>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Idle costs </w:t>
            </w:r>
            <w:r>
              <w:rPr>
                <w:rFonts w:ascii="Times New Roman" w:cs="Times New Roman" w:eastAsia="Times New Roman" w:hAnsi="Times New Roman"/>
                <w:sz w:val="15"/>
                <w:szCs w:val="15"/>
                <w:color w:val="auto"/>
              </w:rPr>
              <w:t>(2)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Former CEO separation agreement compensation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1"/>
        </w:trPr>
        <w:tc>
          <w:tcPr>
            <w:tcW w:w="58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(loss) income, net, excluding income from</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5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transition services agreement </w:t>
            </w:r>
            <w:r>
              <w:rPr>
                <w:rFonts w:ascii="Times New Roman" w:cs="Times New Roman" w:eastAsia="Times New Roman" w:hAnsi="Times New Roman"/>
                <w:sz w:val="15"/>
                <w:szCs w:val="15"/>
                <w:color w:val="auto"/>
              </w:rPr>
              <w:t>(3)</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Pension income excluding service cost component </w:t>
            </w:r>
            <w:r>
              <w:rPr>
                <w:rFonts w:ascii="Times New Roman" w:cs="Times New Roman" w:eastAsia="Times New Roman" w:hAnsi="Times New Roman"/>
                <w:sz w:val="15"/>
                <w:szCs w:val="15"/>
                <w:color w:val="auto"/>
              </w:rPr>
              <w:t>(4)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Loss on early extinguishment of debt </w:t>
            </w:r>
            <w:r>
              <w:rPr>
                <w:rFonts w:ascii="Times New Roman" w:cs="Times New Roman" w:eastAsia="Times New Roman" w:hAnsi="Times New Roman"/>
                <w:sz w:val="15"/>
                <w:szCs w:val="15"/>
                <w:color w:val="auto"/>
              </w:rPr>
              <w:t>(4)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Other charges, net </w:t>
            </w:r>
            <w:r>
              <w:rPr>
                <w:rFonts w:ascii="Times New Roman" w:cs="Times New Roman" w:eastAsia="Times New Roman" w:hAnsi="Times New Roman"/>
                <w:sz w:val="15"/>
                <w:szCs w:val="15"/>
                <w:color w:val="auto"/>
              </w:rPr>
              <w:t>(4)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5"/>
        </w:trPr>
        <w:tc>
          <w:tcPr>
            <w:tcW w:w="580" w:type="dxa"/>
            <w:vAlign w:val="bottom"/>
          </w:tcPr>
          <w:p>
            <w:pPr>
              <w:spacing w:after="0"/>
              <w:rPr>
                <w:sz w:val="17"/>
                <w:szCs w:val="17"/>
                <w:color w:val="auto"/>
              </w:rPr>
            </w:pPr>
          </w:p>
        </w:tc>
        <w:tc>
          <w:tcPr>
            <w:tcW w:w="5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Consolidated loss from continuing operations</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before income taxes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Kodak increased workers’ compensation reserves by approximately $9 million and $2 million in the third quarters of 2020 and 2019, respectively, driven by changes in discount rates. The increase in reserves in the third quarter of 2020 impacted gross profit by approximately $6 million, SG&amp;A by approximately $2 million and R&amp;D by approximately $1 million. The increase in reserves in the third quarter of 2019 impacted gross profit by approximately $1 million and SG&amp;A by approximately $1 million.</w:t>
      </w:r>
    </w:p>
    <w:p>
      <w:pPr>
        <w:spacing w:after="0" w:line="207" w:lineRule="exact"/>
        <w:rPr>
          <w:sz w:val="20"/>
          <w:szCs w:val="20"/>
          <w:color w:val="auto"/>
        </w:rPr>
      </w:pPr>
    </w:p>
    <w:p>
      <w:pPr>
        <w:ind w:left="940" w:right="400" w:hanging="365"/>
        <w:spacing w:after="0" w:line="282" w:lineRule="auto"/>
        <w:tabs>
          <w:tab w:leader="none" w:pos="9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Consulting and other costs are primarily professional services and internal costs associated with certain corporate strategic initiatives and investigations.</w:t>
      </w:r>
    </w:p>
    <w:p>
      <w:pPr>
        <w:spacing w:after="0" w:line="53" w:lineRule="exact"/>
        <w:rPr>
          <w:rFonts w:ascii="Times New Roman" w:cs="Times New Roman" w:eastAsia="Times New Roman" w:hAnsi="Times New Roman"/>
          <w:sz w:val="15"/>
          <w:szCs w:val="15"/>
          <w:color w:val="auto"/>
        </w:rPr>
      </w:pPr>
    </w:p>
    <w:p>
      <w:pPr>
        <w:ind w:left="940" w:right="40" w:hanging="365"/>
        <w:spacing w:after="0" w:line="282" w:lineRule="auto"/>
        <w:tabs>
          <w:tab w:leader="none" w:pos="9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53" w:lineRule="exact"/>
        <w:rPr>
          <w:rFonts w:ascii="Times New Roman" w:cs="Times New Roman" w:eastAsia="Times New Roman" w:hAnsi="Times New Roman"/>
          <w:sz w:val="15"/>
          <w:szCs w:val="15"/>
          <w:color w:val="auto"/>
        </w:rPr>
      </w:pPr>
    </w:p>
    <w:p>
      <w:pPr>
        <w:ind w:left="940" w:hanging="365"/>
        <w:spacing w:after="0" w:line="258" w:lineRule="auto"/>
        <w:tabs>
          <w:tab w:leader="none" w:pos="9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$1 million and $2 million of income from the transition services agreement with the Purchaser was recognized in the three months ended September 30, 2020 and 2019 Transition services income of $5 million and $4 million was recognized in the nine months ended September 30, 2020 and 2019, respectively. The income was reported in Other operating (income) expense, net in the Consolidated Statement of Operations. Other operating (income) expense, net is typically excluded from the segment measure. However, the income from the transition services agreement was included in the segment measure.</w:t>
      </w:r>
    </w:p>
    <w:p>
      <w:pPr>
        <w:spacing w:after="0" w:line="75" w:lineRule="exact"/>
        <w:rPr>
          <w:rFonts w:ascii="Times New Roman" w:cs="Times New Roman" w:eastAsia="Times New Roman" w:hAnsi="Times New Roman"/>
          <w:sz w:val="15"/>
          <w:szCs w:val="15"/>
          <w:color w:val="auto"/>
        </w:rPr>
      </w:pPr>
    </w:p>
    <w:p>
      <w:pPr>
        <w:ind w:left="940" w:hanging="365"/>
        <w:spacing w:after="0"/>
        <w:tabs>
          <w:tab w:leader="none" w:pos="9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reported in the Consolidated Statement of Operations.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Measure of Profit and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Kodak’s segment measure of profit and loss is an adjusted earnings before interest, taxes, depreciation and amortization (“Operational EBITDA”).</w:t>
      </w:r>
    </w:p>
    <w:p>
      <w:pPr>
        <w:spacing w:after="0" w:line="23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demonstrated in the above table,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former Chief Executive Officer (“CEO”) separation agreement compensation; other operating (loss) income, net (unless otherwise indicated); interest expense; loss on early extinguishment of debt and other charges, net.</w:t>
      </w:r>
    </w:p>
    <w:p>
      <w:pPr>
        <w:spacing w:after="0" w:line="207"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DISCONTINUED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 of Kodak include the former Flexographic Packaging segment comprised of Kodak’s Flexographic Packaging Business (“FPD”).</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Kodak consummated the sale of certain assets of FPD to the Purchaser on April 8, 2019 for net cash consideration at closing, in addition to the assumption by Purchaser of certain liabilities of FPD, of $320 million, pursuant to the Stock and Asset Purchase Agreement (“SAPA”) signed in November 2018 and amended in March 2019. Assets and liabilities of FPD in China were transferred at a deferred closing on July 1, 2019 for net cash consideration of $5.9 million at closing and a promissory note for $1.4 million in addition to the assumption by Purchaser of certain liabilities of FPD, in accordance with the SAPA. Kodak operated FPD in China, subject to certain covenants, until the deferred closing occurred. The promissory note was reduced by a true-up payment of $0.2 million owed by Kodak to the Purchaser which reflected the actual economic benefit attributable to the operation of FPD in China from the time of the initial closing through the time of the deferred closing.</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Kodak recognized an after- tax gain on the sale of FPD of $212 million in the nine months ended September 30, 2019 and the year ended December 31, 2019.</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results of operations of FPD are classified as discontinued operations in the Consolidated Statement of Operations for all periods presented. Direct operating expenses of the discontinued operations are included in the results of discontinued operations. Indirect expenses that were historically allocated to the discontinued operations have been included in the results of continuing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results of operations of FPD are presented below:</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4"/>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1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1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1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Cost of revenues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Gain on divestiture</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r>
      <w:tr>
        <w:trPr>
          <w:trHeight w:val="223"/>
        </w:trPr>
        <w:tc>
          <w:tcPr>
            <w:tcW w:w="114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 before taxes</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After the initial closing, Kodak was required to use a portion of the proceeds from the sale of FPD to repay $312 million of the loans under the Term Credit Agreement. Interest expense on debt that was required to be repaid as a result of the sale was allocated to discontinued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FINANCIAL INSTRUMENTS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21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Kodak’s foreign currency forward contracts are not designated as hedges and are marked to market through net (loss) earnings at the same time that the exposed assets and liabilities are remeasured through net (loss) earnings (both in Other (income) charges, net in the Consolidated Statement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ind w:right="640"/>
        <w:spacing w:after="0" w:line="266" w:lineRule="auto"/>
        <w:rPr>
          <w:sz w:val="20"/>
          <w:szCs w:val="20"/>
          <w:color w:val="auto"/>
        </w:rPr>
      </w:pPr>
      <w:r>
        <w:rPr>
          <w:rFonts w:ascii="Times New Roman" w:cs="Times New Roman" w:eastAsia="Times New Roman" w:hAnsi="Times New Roman"/>
          <w:sz w:val="18"/>
          <w:szCs w:val="18"/>
          <w:color w:val="auto"/>
        </w:rPr>
        <w:t>The notional amount of such contracts open at September 30, 2020 and December 31, 2019 was approximately $350 million and $332 million, respectively. The majority of the contracts of this type held by Kodak as of September 30, 2020 and December 31, 2019 are denominated in euros, Japanese yen, Chinese renminbi and Swiss francs.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effect of foreign currency forward contracts in the results of operations is shown in the following table:</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204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240" w:type="dxa"/>
            <w:vAlign w:val="bottom"/>
          </w:tcPr>
          <w:p>
            <w:pPr>
              <w:spacing w:after="0"/>
              <w:rPr>
                <w:sz w:val="20"/>
                <w:szCs w:val="20"/>
                <w:color w:val="auto"/>
              </w:rPr>
            </w:pPr>
          </w:p>
        </w:tc>
        <w:tc>
          <w:tcPr>
            <w:tcW w:w="204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7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05"/>
        </w:trPr>
        <w:tc>
          <w:tcPr>
            <w:tcW w:w="52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(gain) loss from derivatives not designated as hedging</w:t>
            </w: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instruments</w:t>
            </w:r>
          </w:p>
        </w:tc>
        <w:tc>
          <w:tcPr>
            <w:tcW w:w="760" w:type="dxa"/>
            <w:vAlign w:val="bottom"/>
            <w:shd w:val="clear" w:color="auto" w:fill="CFF0FC"/>
          </w:tcPr>
          <w:p>
            <w:pPr>
              <w:jc w:val="right"/>
              <w:ind w:right="59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Kodak had no derivatives designated as hedging instruments for the three and nine months ended September 30, 2020 and 2019.</w:t>
      </w:r>
    </w:p>
    <w:p>
      <w:pPr>
        <w:spacing w:after="0" w:line="25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the event of a default under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discussed in Note 8, “Debt and Finance Leases”, the Company concluded that the Notes were considered more akin to a debt-type instrument and that the economic characteristics and risks of the embedded conversion features and term extension option were not considered clearly and closely related to the Notes. The embedded conversion features not considered clearly and closely related are the conversion at the option of the holder (“Optional Conversion”) and the conversion in the event of a fundamental change or reorganization (“Fundamental Change or Reorganization Conversion”). Accordingly, these embedded conversion features and term extension option were bifurcated from the Notes and separately accounted for on a combined basis as a single derivative asset or liability. The embedded conversion features and term extension option were revalued as of August 3, 2020, when the Initial Conversion Shares were issued, resulting in the recognition of $407 million of expense for a pro-rata portion of the embedded conversion features and term extension option. The remaining embedded conversion features and term extension option were revalued again as of the Mandatory Conversion date, resulting in the recognition of $9 million of net expense. With the conversion of the Notes in the third quarter of 2020, the embedded conversion features and term extension option expired. The derivative was in a liability position at December 31, 2019 and was reported in Other long-term liabilities in the Consolidated Statement of Financial Position. The derivative was being accounted for at fair value with changes in fair value reported in Other charges, net in the Consolidated Statement of Operations.</w:t>
      </w:r>
    </w:p>
    <w:p>
      <w:pPr>
        <w:spacing w:after="0" w:line="2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discussed in Note 9, “Redeemable, Convertible, Series A Preferred Stock”, the Company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derivative was in a liability position at September 30, 2020 and December 31, 2019 and was reported in Other long-term liabilities in the Consolidated Statement of Financial Position. The derivative is being accounted for at fair value with changes in fair value being reported in Other charges, net in the Consolidated Statement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September 30, 2020 and December 31, 2019 was $2 million and $1 million, respectively. The gross fair value of foreign currency forward contracts in a liability position as of both September 30, 2020 and December 31, 2019 was $0 million.</w:t>
      </w:r>
    </w:p>
    <w:p>
      <w:pPr>
        <w:spacing w:after="0" w:line="21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Transfers between levels of the fair value hierarchy are recognized based on the actual date of the event or change in circumstances that caused the transfer. There were no transfers between levels of the fair value hierarchy during the three and nine months ended September 30, 2020.</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right="80"/>
        <w:spacing w:after="0" w:line="258" w:lineRule="auto"/>
        <w:rPr>
          <w:sz w:val="20"/>
          <w:szCs w:val="20"/>
          <w:color w:val="auto"/>
        </w:rPr>
      </w:pPr>
      <w:r>
        <w:rPr>
          <w:rFonts w:ascii="Times New Roman" w:cs="Times New Roman" w:eastAsia="Times New Roman" w:hAnsi="Times New Roman"/>
          <w:sz w:val="18"/>
          <w:szCs w:val="18"/>
          <w:color w:val="auto"/>
        </w:rPr>
        <w:t>The fair value of the embedded conversion features and term extension option for the Notes were revalued as of August 3, 2020, and again at September 30, 2020. The fair value of the embedded derivative at each conversion date was calculated based on the fair value of the shares issued less the fair value of debt. The fair value of shares issued is based on the weighted average stock price on the time of day the shares were transferred for August 3, 2020, and the closing stock price as of September 30, 2020. The fair value of debt is based on pricing models based on the value of related cash flows discounted at current market interest rates.</w:t>
      </w:r>
    </w:p>
    <w:p>
      <w:pPr>
        <w:spacing w:after="0" w:line="2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key inputs in the determination of fair value for the embedded conversion features and termination option derivatives at each conversion date:</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Valuation Date</w:t>
            </w:r>
          </w:p>
        </w:tc>
      </w:tr>
      <w:tr>
        <w:trPr>
          <w:trHeight w:val="230"/>
        </w:trPr>
        <w:tc>
          <w:tcPr>
            <w:tcW w:w="5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August 3,</w:t>
            </w:r>
          </w:p>
        </w:tc>
      </w:tr>
      <w:tr>
        <w:trPr>
          <w:trHeight w:val="238"/>
        </w:trPr>
        <w:tc>
          <w:tcPr>
            <w:tcW w:w="5300" w:type="dxa"/>
            <w:vAlign w:val="bottom"/>
            <w:tcBorders>
              <w:bottom w:val="single" w:sz="8" w:color="CFF0FC"/>
            </w:tcBorders>
          </w:tcPr>
          <w:p>
            <w:pPr>
              <w:spacing w:after="0"/>
              <w:rPr>
                <w:sz w:val="20"/>
                <w:szCs w:val="20"/>
                <w:color w:val="auto"/>
              </w:rPr>
            </w:pPr>
          </w:p>
        </w:tc>
        <w:tc>
          <w:tcPr>
            <w:tcW w:w="7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bottom w:val="single" w:sz="8" w:color="CFF0FC"/>
            </w:tcBorders>
          </w:tcPr>
          <w:p>
            <w:pPr>
              <w:spacing w:after="0"/>
              <w:rPr>
                <w:sz w:val="20"/>
                <w:szCs w:val="20"/>
                <w:color w:val="auto"/>
              </w:rPr>
            </w:pPr>
          </w:p>
        </w:tc>
      </w:tr>
      <w:tr>
        <w:trPr>
          <w:trHeight w:val="205"/>
        </w:trPr>
        <w:tc>
          <w:tcPr>
            <w:tcW w:w="530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value of embedded derivative liability immediately</w:t>
            </w: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5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prior to any extinguishment ($ millions)</w:t>
            </w:r>
          </w:p>
        </w:tc>
        <w:tc>
          <w:tcPr>
            <w:tcW w:w="9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shd w:val="clear" w:color="auto" w:fill="CFF0FC"/>
          </w:tcPr>
          <w:p>
            <w:pPr>
              <w:spacing w:after="0"/>
              <w:rPr>
                <w:sz w:val="20"/>
                <w:szCs w:val="20"/>
                <w:color w:val="auto"/>
              </w:rPr>
            </w:pPr>
          </w:p>
        </w:tc>
      </w:tr>
      <w:tr>
        <w:trPr>
          <w:trHeight w:val="230"/>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Value of embedded derivative that expired ($ million)</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Pr>
          <w:p>
            <w:pPr>
              <w:spacing w:after="0"/>
              <w:rPr>
                <w:sz w:val="19"/>
                <w:szCs w:val="19"/>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Value of remaining embedded derivative liability ($ million)</w:t>
            </w:r>
          </w:p>
        </w:tc>
        <w:tc>
          <w:tcPr>
            <w:tcW w:w="9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9"/>
                <w:szCs w:val="19"/>
                <w:color w:val="auto"/>
              </w:rPr>
            </w:pPr>
          </w:p>
        </w:tc>
      </w:tr>
      <w:tr>
        <w:trPr>
          <w:trHeight w:val="230"/>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Kodak's stock price </w:t>
            </w:r>
            <w:r>
              <w:rPr>
                <w:rFonts w:ascii="Times New Roman" w:cs="Times New Roman" w:eastAsia="Times New Roman" w:hAnsi="Times New Roman"/>
                <w:sz w:val="15"/>
                <w:szCs w:val="15"/>
                <w:color w:val="auto"/>
              </w:rPr>
              <w:t>(1)</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80" w:type="dxa"/>
            <w:vAlign w:val="bottom"/>
          </w:tcPr>
          <w:p>
            <w:pPr>
              <w:spacing w:after="0"/>
              <w:rPr>
                <w:sz w:val="19"/>
                <w:szCs w:val="19"/>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Risk free rate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r>
      <w:tr>
        <w:trPr>
          <w:trHeight w:val="234"/>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Yield on the Notes</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9.47%</w:t>
            </w:r>
          </w:p>
        </w:tc>
      </w:tr>
    </w:tbl>
    <w:p>
      <w:pPr>
        <w:spacing w:after="0" w:line="220" w:lineRule="exact"/>
        <w:rPr>
          <w:sz w:val="20"/>
          <w:szCs w:val="20"/>
          <w:color w:val="auto"/>
        </w:rPr>
      </w:pPr>
    </w:p>
    <w:p>
      <w:pPr>
        <w:ind w:left="1120" w:right="420" w:hanging="370"/>
        <w:spacing w:after="0" w:line="282" w:lineRule="auto"/>
        <w:tabs>
          <w:tab w:leader="none" w:pos="11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closing stock price was used for the September 30, 2020 valuation. The weighted average stock price based on the time of day the shares were transferred was used for the August 3, 2020 valuation.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Except as discussed above for the fair value determined at the time of conversion, the fair value of the embedded conversion features and term extension option derivatives were calculated using unobservable inputs (Level 3 fair measurements). The value of the Optional Conversion associated with both the Notes and Series A Preferred Stock was calculated using a binomial lattice model. The value of the term extension option reflected the probability weighted average value of the Notes using the original maturity date and a hypothetical extended maturity date, with all other contractual terms unchanged.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key inputs in the determination of fair value for the embedded conversion features and termination option derivatives: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Valuation Date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4300" w:type="dxa"/>
            <w:vAlign w:val="bottom"/>
            <w:tcBorders>
              <w:bottom w:val="single" w:sz="8" w:color="CFF0FC"/>
            </w:tcBorders>
          </w:tcPr>
          <w:p>
            <w:pPr>
              <w:spacing w:after="0"/>
              <w:rPr>
                <w:sz w:val="20"/>
                <w:szCs w:val="20"/>
                <w:color w:val="auto"/>
              </w:rPr>
            </w:pPr>
          </w:p>
        </w:tc>
        <w:tc>
          <w:tcPr>
            <w:tcW w:w="168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Borders>
              <w:bottom w:val="single" w:sz="8" w:color="CFF0FC"/>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Value of embedded derivative liability ($ million)</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Kodak's closing stock price</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104.61%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 free rate</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Yield on the Notes</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7"/>
            <w:vMerge w:val="restart"/>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Valuation Date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gridSpan w:val="7"/>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40" w:type="dxa"/>
            <w:vAlign w:val="bottom"/>
            <w:gridSpan w:val="4"/>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4300" w:type="dxa"/>
            <w:vAlign w:val="bottom"/>
            <w:tcBorders>
              <w:bottom w:val="single" w:sz="8" w:color="CFF0FC"/>
            </w:tcBorders>
          </w:tcPr>
          <w:p>
            <w:pPr>
              <w:spacing w:after="0"/>
              <w:rPr>
                <w:sz w:val="20"/>
                <w:szCs w:val="20"/>
                <w:color w:val="auto"/>
              </w:rPr>
            </w:pPr>
          </w:p>
        </w:tc>
        <w:tc>
          <w:tcPr>
            <w:tcW w:w="16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bottom w:val="single" w:sz="8" w:color="CFF0FC"/>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Total value of embedded derivative liability ($ millions)</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Kodak's closing stock price</w:t>
            </w:r>
          </w:p>
        </w:tc>
        <w:tc>
          <w:tcPr>
            <w:tcW w:w="194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104.61%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 free rate</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Yield on the preferred stock</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5" w:name="page36"/>
    <w:bookmarkEnd w:id="35"/>
    <w:p>
      <w:pPr>
        <w:spacing w:after="0" w:line="256" w:lineRule="auto"/>
        <w:rPr>
          <w:sz w:val="20"/>
          <w:szCs w:val="20"/>
          <w:color w:val="auto"/>
        </w:rPr>
      </w:pPr>
      <w:r>
        <w:rPr>
          <w:rFonts w:ascii="Times New Roman" w:cs="Times New Roman" w:eastAsia="Times New Roman" w:hAnsi="Times New Roman"/>
          <w:sz w:val="18"/>
          <w:szCs w:val="18"/>
          <w:color w:val="auto"/>
        </w:rPr>
        <w:t>The Fundamental Change and Reorganization Conversion values at issuance were calculated as the difference between the total value of the Notes or Series A Preferred Stock, as applicable, and the sum of the net present value of the cash flows if the Notes are repaid at their initial maturity date or Series A Preferred Stock is redeemed on its fifth anniversary and the values of the other embedded derivatives. The Fundamental Change and Reorganization Conversion values reduce the value of the embedded conversion features and term extension option derivative liability. Other than events that alter the likelihood of a fundamental change or reorganization event, the value of the Fundamental Change and Reorganization Conversion reflects the value as of the issuance date, amortized for the passage of time.</w:t>
      </w:r>
    </w:p>
    <w:p>
      <w:pPr>
        <w:spacing w:after="0" w:line="187"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$17 million and $111 million at September 30, 2020 and December 31, 2019, respectively.</w:t>
      </w:r>
    </w:p>
    <w:p>
      <w:pPr>
        <w:spacing w:after="0" w:line="203"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restricted cash and the current portion of long-term debt approximate their fair values at both September 30, 2020 and December 31, 2019.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CAUTIONARY STATEMENT PURSUANT TO SAFE HARBOR PROVISIONS OF THE PRIVATE SECURITIES LITIGATION REFORM ACT OF 1995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10-Q includes “forward–looking statements” as that term is defined under the Private Securities Litigation Reform Act of 1995.</w:t>
      </w:r>
    </w:p>
    <w:p>
      <w:pPr>
        <w:spacing w:after="0" w:line="2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2019 under the headings “Business,” “Risk Factors,” “Legal Proceedings,” and/or “Management’s Discussion and Analysis of Financial Condition and Results of Operations–Liquidity and Capital Resources,” in the corresponding sections of this report on Form 10-Q and the Company’s quarterly reports on Form 10-Q for the quarters ended March 31, 2020 and June 30, 2020, and in other filings the Company makes with the SEC from time to time, as well as the following:</w:t>
      </w:r>
    </w:p>
    <w:p>
      <w:pPr>
        <w:spacing w:after="0" w:line="82" w:lineRule="exact"/>
        <w:rPr>
          <w:sz w:val="20"/>
          <w:szCs w:val="20"/>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improve and sustain its operating structure, cash flow, profitability and other financial results;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achieve cash forecasts, financial projections, and projected growth;</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achieve the financial and operational results contained in its business plans;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comply with the covenants in its ABL Credit Agreement;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fund continued investments, capital needs and restructuring payments and service its Series A Preferred Stock and debt;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global economic environment or medical epidemics such as the COVID-19 pandemic;</w:t>
      </w:r>
    </w:p>
    <w:p>
      <w:pPr>
        <w:spacing w:after="0" w:line="117" w:lineRule="exact"/>
        <w:rPr>
          <w:rFonts w:ascii="Times New Roman" w:cs="Times New Roman" w:eastAsia="Times New Roman" w:hAnsi="Times New Roman"/>
          <w:sz w:val="18"/>
          <w:szCs w:val="18"/>
          <w:color w:val="auto"/>
        </w:rPr>
      </w:pPr>
    </w:p>
    <w:p>
      <w:pPr>
        <w:ind w:left="1000" w:right="160" w:hanging="493"/>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U.S. Development Finance Corporation approves and makes the potential $765 million loan to a subsidiary of the Company to support the launch of Kodak Pharmaceuticals and the impact of the circumstances relating to such potential loan and any related announcements, investigations, litigations and claims;</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commodity prices and interest rates;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effectively anticipate technology trends and develop and market new products, solutions and technologies;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effectively compete with large, well-financed industry participants;</w:t>
      </w:r>
    </w:p>
    <w:p>
      <w:pPr>
        <w:spacing w:after="0" w:line="117"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sufficient availability of borrowings and letters of credit under the ABL Credit Agreement, Kodak’s ability to obtain additional financing if and as needed and Kodak’s ability to provide or facilitate financing for its customers;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third parties of their obligations to supply products, components or services to Kodak; and</w:t>
      </w:r>
    </w:p>
    <w:p>
      <w:pPr>
        <w:spacing w:after="0" w:line="11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effect strategic transactions, such as divestitures, acquisitions, strategic alliances and similar transactions, or to achieve the benefits sought to be achieved from such strategic transactions.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Kodak is a global technology company focused on print and advanced materials and chemicals. Kodak provides industry-leading hardware, software, consumables and services primarily to customers in commercial print, packaging, publishing, manufacturing and entertainment. Kodak is committed to environmental stewardship and ongoing leadership in developing sustainable solutions. Its broad portfolio of superior products, responsive support and world-class research and development (“R&amp;D”) make Kodak solutions a smart investment for customers looking to improve their profitability and drive growth.</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Revenue decreased $63 million and $181 million when compared to the prior year quarter and year-to-date periods, respectively, (20% in each period), including the favorable impact of currency ($4 million) in the current year quarter and unfavorable impact of currency ($1 million) in the year- to-date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film industry and segments within the print industry face competition from digital substitution. Kodak’s strategy is to:</w:t>
      </w:r>
    </w:p>
    <w:p>
      <w:pPr>
        <w:spacing w:after="0" w:line="252" w:lineRule="exact"/>
        <w:rPr>
          <w:sz w:val="20"/>
          <w:szCs w:val="20"/>
          <w:color w:val="auto"/>
        </w:rPr>
      </w:pPr>
    </w:p>
    <w:p>
      <w:pPr>
        <w:ind w:left="1000" w:right="160" w:hanging="371"/>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product investment in core competency areas of print and advanced materials, leveraging Kodak’s proprietary technologies to deliver technologically advanced products in the product goods packaging, graphic communications, and functional printing markets;</w:t>
      </w:r>
    </w:p>
    <w:p>
      <w:pPr>
        <w:spacing w:after="0" w:line="188" w:lineRule="exact"/>
        <w:rPr>
          <w:rFonts w:ascii="Times New Roman" w:cs="Times New Roman" w:eastAsia="Times New Roman" w:hAnsi="Times New Roman"/>
          <w:sz w:val="18"/>
          <w:szCs w:val="18"/>
          <w:color w:val="auto"/>
        </w:rPr>
      </w:pPr>
    </w:p>
    <w:p>
      <w:pPr>
        <w:ind w:left="1000" w:hanging="371"/>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revenues through a focus on customers across Kodak’s print divisions, increasing overall share;</w:t>
      </w:r>
    </w:p>
    <w:p>
      <w:pPr>
        <w:spacing w:after="0" w:line="252" w:lineRule="exact"/>
        <w:rPr>
          <w:rFonts w:ascii="Times New Roman" w:cs="Times New Roman" w:eastAsia="Times New Roman" w:hAnsi="Times New Roman"/>
          <w:sz w:val="18"/>
          <w:szCs w:val="18"/>
          <w:color w:val="auto"/>
        </w:rPr>
      </w:pPr>
    </w:p>
    <w:p>
      <w:pPr>
        <w:ind w:left="1000" w:hanging="371"/>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use of film and expand the applications of Kodak’s film and chemicals to best utilize the existing infrastructure; and</w:t>
      </w:r>
    </w:p>
    <w:p>
      <w:pPr>
        <w:spacing w:after="0" w:line="238" w:lineRule="exact"/>
        <w:rPr>
          <w:rFonts w:ascii="Times New Roman" w:cs="Times New Roman" w:eastAsia="Times New Roman" w:hAnsi="Times New Roman"/>
          <w:sz w:val="18"/>
          <w:szCs w:val="18"/>
          <w:color w:val="auto"/>
        </w:rPr>
      </w:pPr>
    </w:p>
    <w:p>
      <w:pPr>
        <w:ind w:left="980" w:hanging="351"/>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streamline processes to drive cost reductions and improve operating leverage.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opportunities and challenges related to Kodak’s strategy follows:</w:t>
      </w:r>
    </w:p>
    <w:p>
      <w:pPr>
        <w:spacing w:after="0" w:line="239" w:lineRule="exact"/>
        <w:rPr>
          <w:sz w:val="20"/>
          <w:szCs w:val="20"/>
          <w:color w:val="auto"/>
        </w:rPr>
      </w:pPr>
    </w:p>
    <w:p>
      <w:pPr>
        <w:ind w:left="1000" w:right="20" w:hanging="371"/>
        <w:spacing w:after="0" w:line="25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had a material impact on current quarter and year-to-date sales. The duration and extent of demand declines and then recovery is unclear. Kodak has worked closely with government officials in the jurisdictions where it operates to keep its manufacturing facilities open. The manufacturing facilities have generally been operating at below normal capacity during the pandemic to date. Kodak has endeavored to address the recommended actions of government and health authorities to protect employees world-wide, with particular measures in place for those working in plants and distribution facilities. Kodak intends to continue to work with government authorities and implement employee safety measures so that the manufacturing and distribution of products during the pandemic can continue. However, uncertainty resulting from the pandemic could result in an unforeseen disruption to Kodak’s operations or supply chain. Kodak reduced operating costs, largely beginning in the second quarter of 2020, through the use of temporary furloughs and pay cuts (approximately $20 million) for its employees while operations are being negatively impacted by the COVID-19 pandemic.</w:t>
      </w:r>
    </w:p>
    <w:p>
      <w:pPr>
        <w:spacing w:after="0" w:line="188" w:lineRule="exact"/>
        <w:rPr>
          <w:rFonts w:ascii="Times New Roman" w:cs="Times New Roman" w:eastAsia="Times New Roman" w:hAnsi="Times New Roman"/>
          <w:sz w:val="18"/>
          <w:szCs w:val="18"/>
          <w:color w:val="auto"/>
        </w:rPr>
      </w:pPr>
    </w:p>
    <w:p>
      <w:pPr>
        <w:ind w:left="1000" w:hanging="371"/>
        <w:spacing w:after="0" w:line="25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ABL Credit Agreement matures on May 26, 2021 and the Series A Preferred Stock must be redeemed on November 15, 2021 if not converted prior to then. Additionally, Kodak has significant ongoing cash requirements to fund operations, restructuring programs, pension and other postretirement obligations, and other obligations. Kodak’s plans to return to positive cash flow include growing revenues profitably, reducing operating expenses, continuing to simplify the organizational structure, generating cash from selling and leasing underutilized assets and paring investment in new technology by eliminating or delaying product development programs as needed.</w:t>
      </w:r>
    </w:p>
    <w:p>
      <w:pPr>
        <w:spacing w:after="0" w:line="169" w:lineRule="exact"/>
        <w:rPr>
          <w:rFonts w:ascii="Times New Roman" w:cs="Times New Roman" w:eastAsia="Times New Roman" w:hAnsi="Times New Roman"/>
          <w:sz w:val="18"/>
          <w:szCs w:val="18"/>
          <w:color w:val="auto"/>
        </w:rPr>
      </w:pPr>
    </w:p>
    <w:p>
      <w:pPr>
        <w:ind w:left="1000" w:hanging="371"/>
        <w:spacing w:after="0" w:line="223"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Printing’s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traditional digital plate offerings are experiencing pricing pressure, innovations in Kodak product lines which command premium prices, such as SONORA Process Free Plates, are expected to offset some of the long-term price erosion in the market and manufacturing efficiencies, excluding the negative impacts during the COVID-19 pandemic, are expected to mitigate the impact of revenue declines on earnings. Traditional Printing revenues accounted for approximately 58% and 57% of Kodak’s revenues for the three and nine months ended September 30, 2020. Traditional Printing’s revenues decreased $41 million (22%) and $115 million (22%) compared with the prior year quarter and year-to-date periods, respectively. The prior year period included $13 million of intellectual property licensing revenue associated with the strategic relationship established with HuaGuang in September 2019. Excluding the $13 million of licensing revenue, revenues for the three and nine months ended September 30, 2020 declined $28 million and $102 million, primarily reflecting volume and pricing declines. Segment earnings declined by $16 million (76%) and $29 million (81%) compared to the prior year quarter and year-to-date periods, respectively, reflecting the license revenue in the prior year, the impact of reduced volumes on manufacturing costs and revenue partially offset by operating cost reductions through the use of temporary furloughs and pay cuts</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left="1040" w:right="320"/>
        <w:spacing w:after="0" w:line="255" w:lineRule="auto"/>
        <w:rPr>
          <w:sz w:val="20"/>
          <w:szCs w:val="20"/>
          <w:color w:val="auto"/>
        </w:rPr>
      </w:pPr>
      <w:r>
        <w:rPr>
          <w:rFonts w:ascii="Times New Roman" w:cs="Times New Roman" w:eastAsia="Times New Roman" w:hAnsi="Times New Roman"/>
          <w:sz w:val="18"/>
          <w:szCs w:val="18"/>
          <w:color w:val="auto"/>
        </w:rPr>
        <w:t>None of the Traditional Printing segment’s manufacturing facilities were ordered to close by governmental authorities. Many of the segment’s customers around the globe continued to operate, but at decreased volumes. Therefore, demand for the segment’s products declined. The Traditional Printing segment may also be impacted by supply chain disruptions and travel restrictions. With the decline in customer demand, manufacturing volumes were reduced. The duration and extent of demand declines and then recovery is</w:t>
      </w:r>
    </w:p>
    <w:p>
      <w:pPr>
        <w:spacing w:after="0" w:line="3" w:lineRule="exact"/>
        <w:rPr>
          <w:sz w:val="20"/>
          <w:szCs w:val="20"/>
          <w:color w:val="auto"/>
        </w:rPr>
      </w:pPr>
    </w:p>
    <w:p>
      <w:pPr>
        <w:ind w:left="1040" w:right="20"/>
        <w:spacing w:after="0" w:line="260" w:lineRule="auto"/>
        <w:rPr>
          <w:sz w:val="20"/>
          <w:szCs w:val="20"/>
          <w:color w:val="auto"/>
        </w:rPr>
      </w:pPr>
      <w:r>
        <w:rPr>
          <w:rFonts w:ascii="Times New Roman" w:cs="Times New Roman" w:eastAsia="Times New Roman" w:hAnsi="Times New Roman"/>
          <w:sz w:val="18"/>
          <w:szCs w:val="18"/>
          <w:color w:val="auto"/>
        </w:rPr>
        <w:t>unclear. Manufacturing employees are being temporarily furloughed, as necessary, under reduced production plans. The segment is utilizing furloughs and pay-cuts for non-manufacturing employees in a way which will allow continued operation and product development.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ind w:left="1000" w:hanging="371"/>
        <w:spacing w:after="0" w:line="22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Digital Printing, the legacy VERSAMARK business is expected to continue to decline as a percentage of the segment’s total revenue as the PROSPER business grows. The PROSPER Inkjet Systems business is expected to continue to build profitability, excluding the negative impacts during the COVID-19 pandemic. Investment in the next generation technology, Ultrastream, is focused on the ability to place Ultrastream writing systems in original equipment manufacturers and hybrid applications. Digital Printing’s revenues decreased $14 million (20%) and $38 million (18%) compared with the prior year quarter and year-to-date periods, respectively, primarily reflecting volume declines. Despite the revenue declines, segment loss was flat compared to the prior year quarter and improved by $1 million (11%) compared to the prior year -to-date period driven by cost reductions.</w:t>
      </w:r>
    </w:p>
    <w:p>
      <w:pPr>
        <w:spacing w:after="0" w:line="161" w:lineRule="exact"/>
        <w:rPr>
          <w:sz w:val="20"/>
          <w:szCs w:val="20"/>
          <w:color w:val="auto"/>
        </w:rPr>
      </w:pPr>
    </w:p>
    <w:p>
      <w:pPr>
        <w:ind w:left="1040" w:right="100"/>
        <w:spacing w:after="0" w:line="256" w:lineRule="auto"/>
        <w:rPr>
          <w:sz w:val="20"/>
          <w:szCs w:val="20"/>
          <w:color w:val="auto"/>
        </w:rPr>
      </w:pPr>
      <w:r>
        <w:rPr>
          <w:rFonts w:ascii="Times New Roman" w:cs="Times New Roman" w:eastAsia="Times New Roman" w:hAnsi="Times New Roman"/>
          <w:sz w:val="18"/>
          <w:szCs w:val="18"/>
          <w:color w:val="auto"/>
        </w:rPr>
        <w:t>None of the Digital Printing segment’s manufacturing facilities were ordered to close by governmental authorities. Many of the segment’s customers around the globe continued to operate, but at decreased volumes. Therefore, demand for the segment’s products declined. The Digital Printing segment may also be impacted by supply chain disruptions and travel restrictions. With the decline in customer demand, manufacturing volumes were reduced. The duration and extent of demand declines and then recovery is unclear. Manufacturing employees are being temporarily furloughed, as necessary, under reduced production plans. The segment is utilizing furloughs and pay-cuts for non-manufacturing employees in a way which will allow continued operation and product development.</w:t>
      </w:r>
    </w:p>
    <w:p>
      <w:pPr>
        <w:spacing w:after="0" w:line="147" w:lineRule="exact"/>
        <w:rPr>
          <w:sz w:val="20"/>
          <w:szCs w:val="20"/>
          <w:color w:val="auto"/>
        </w:rPr>
      </w:pPr>
    </w:p>
    <w:p>
      <w:pPr>
        <w:ind w:left="1000" w:right="160" w:hanging="371"/>
        <w:spacing w:after="0" w:line="229"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Materials and Chemicals revenues declined $9 million (17%) and $29 million (19%) compared with the prior year quarter and year-to-date periods, respectively. The segment loss was flat compared to the prior year quarter and improved $2 million (8%) compared to the prior year year-to-date period, due to price increases on professional and consumer still photographic film and solvents as well as operating cost reductions. Kodak plans to continue promoting the use of film and chemicals to utilize as much manufacturing capacity as possible.</w:t>
      </w:r>
    </w:p>
    <w:p>
      <w:pPr>
        <w:spacing w:after="0" w:line="160" w:lineRule="exact"/>
        <w:rPr>
          <w:sz w:val="20"/>
          <w:szCs w:val="20"/>
          <w:color w:val="auto"/>
        </w:rPr>
      </w:pPr>
    </w:p>
    <w:p>
      <w:pPr>
        <w:ind w:left="1040" w:right="140"/>
        <w:spacing w:after="0" w:line="256" w:lineRule="auto"/>
        <w:rPr>
          <w:sz w:val="20"/>
          <w:szCs w:val="20"/>
          <w:color w:val="auto"/>
        </w:rPr>
      </w:pPr>
      <w:r>
        <w:rPr>
          <w:rFonts w:ascii="Times New Roman" w:cs="Times New Roman" w:eastAsia="Times New Roman" w:hAnsi="Times New Roman"/>
          <w:sz w:val="18"/>
          <w:szCs w:val="18"/>
          <w:color w:val="auto"/>
        </w:rPr>
        <w:t>Advanced Materials and Chemicals has experienced adverse impacts from the COVID-19 pandemic, most notably in Motion Picture where the industry has been heavily impacted and productions in affected regions have been suspended. None of the Advanced Materials and Chemicals segment’s manufacturing facilities were ordered to close by governmental authorities. However, each of the segment’s product lines was impacted by lowered demand and may also be impacted by supply chain disruptions and travel restrictions. The duration and extent of demand declines and then recovery is unclear. Manufacturing volumes were reduced due to the customer demand decline in the near-term. Manufacturing employees are being temporarily furloughed, as necessary, under reduced production plans.</w:t>
      </w:r>
    </w:p>
    <w:p>
      <w:pPr>
        <w:spacing w:after="0" w:line="214" w:lineRule="exact"/>
        <w:rPr>
          <w:sz w:val="20"/>
          <w:szCs w:val="20"/>
          <w:color w:val="auto"/>
        </w:rPr>
      </w:pPr>
    </w:p>
    <w:p>
      <w:pPr>
        <w:ind w:left="1020" w:right="20" w:hanging="364"/>
        <w:spacing w:after="0" w:line="253"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exploring an expansion of its chemical operations which currently produces unregulated key starting materials (“KSMs”) for pharmaceuticals, Kodak applied for a loan from the U.S. International Development Finance Corporation (the “DFC”) to support the launch of Kodak Pharmaceuticals, an initiative that would manufacture pharmaceutical ingredients for essential generic drugs. On July 28, 2020, the DFC announced the signing of a non-binding letter of interest to provide a subsidiary of the Company with a potential $765 million loan (the “DFC Loan”), indicating Kodak’s successful completion of DFC’s initial screening, which would be followed by standard due diligence conducted by the DFC before financing is formally committed. As further described under Part II, Item 1A. Risk Factors, there can be no assurances that the DFC Loan will be approved or made. If the DFC Loan is not made, Kodak intends to continue organic expansion of its KSM production at Eastman Business Park in Rochester, New York while attempting to obtain necessary cGMP and FDA certification to make regulated KSMs and active pharmaceutical ingredients (“APIs”). Depending on its assessment of the business opportunity and availability of capital, Kodak may also explore alternative means to expand its chemical manufacturing operations for purposes of producing KSMs and APIs.</w:t>
      </w:r>
    </w:p>
    <w:p>
      <w:pPr>
        <w:spacing w:after="0" w:line="151" w:lineRule="exact"/>
        <w:rPr>
          <w:rFonts w:ascii="Times New Roman" w:cs="Times New Roman" w:eastAsia="Times New Roman" w:hAnsi="Times New Roman"/>
          <w:sz w:val="18"/>
          <w:szCs w:val="18"/>
          <w:color w:val="auto"/>
        </w:rPr>
      </w:pPr>
    </w:p>
    <w:p>
      <w:pPr>
        <w:ind w:left="1000" w:right="260" w:hanging="371"/>
        <w:spacing w:after="0" w:line="250"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 and related component manufacturing operations and Kodak Research Laboratories utilize capacity at Eastman Business Park, which helps cost absorption for both Kodak operations and tenants at Eastman Business Park.</w:t>
      </w:r>
    </w:p>
    <w:p>
      <w:pPr>
        <w:spacing w:after="0" w:line="135" w:lineRule="exact"/>
        <w:rPr>
          <w:rFonts w:ascii="Times New Roman" w:cs="Times New Roman" w:eastAsia="Times New Roman" w:hAnsi="Times New Roman"/>
          <w:sz w:val="18"/>
          <w:szCs w:val="18"/>
          <w:color w:val="auto"/>
        </w:rPr>
      </w:pPr>
    </w:p>
    <w:p>
      <w:pPr>
        <w:ind w:left="1000" w:right="80" w:hanging="371"/>
        <w:spacing w:after="0" w:line="250"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 plans to capitalize on its intellectual property through new business or licensing opportunities in 3D printing materials, smart material applications, and printed electronics markets.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KODAK OPERATING MODEL AND REPORTING STRUCTURE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Segments</w:t>
      </w:r>
    </w:p>
    <w:p>
      <w:pPr>
        <w:spacing w:after="0" w:line="3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Effective January 1, 2020 Kodak changed its organizational structure. Prepress Solutions, formerly part of the Print Systems segment, now operates as a separate segment named the Traditional Printing segment. Electrophotographic Printing Solutions, formerly part of the Print Systems segment, was combined with the Enterprise Inkjet Systems segment and Kodak Software segment to form the Digital Printing segment. The Brand, Film and Imaging segment, except for the licensing of the Kodak brand to third parties, was combined with the Advanced Materials and 3D Printing segment to form the Advanced Materials and Chemicals segment. The licensing of the Kodak brand to third parties operates as a separate segment named the Brand segment. The Eastman Business Park segment is no longer a reportable segment. A description of the reportable segments follows.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Kodak has four reportable segments: Traditional Printing, Digital Printing, Advanced Materials and Chemicals and Brand. The balance of Kodak’s continuing operations, which do not meet the criteria of a reportable segment, are reported in All Other and primarily represent the Eastman Business Park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Traditional Printing</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Traditional Printing segment is comprised of Prepress Solutions, which includes Kodak’s digital offset plate offerings and computer-to-plate imaging solutions. The Traditional Printing segment provides digital and traditional product and service offerings to a variety of commercial industries, including commercial print, direct mail, book publishing, newspapers and magazines and packaging.</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the businesses in this segment are experiencing competitive pricing pressures, innovations in Kodak product lines that can command premium prices offset some of the long-term market price erosion. Additionally, Kodak seeks to mitigate the impact of market dynamics on pricing and volume pressures and of increases in manufacturing costs, including aluminum prices, through a combination of price increases, commodity contracts, improved production efficiency and cost reduction initiatives.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Traditional Printing products and services are sold globally to customers through both a direct sales team as well as indirectly through dealers.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Prepress Solutions:</w:t>
      </w:r>
    </w:p>
    <w:p>
      <w:pPr>
        <w:spacing w:after="0" w:line="254" w:lineRule="exact"/>
        <w:rPr>
          <w:sz w:val="20"/>
          <w:szCs w:val="20"/>
          <w:color w:val="auto"/>
        </w:rPr>
      </w:pPr>
    </w:p>
    <w:p>
      <w:pPr>
        <w:ind w:left="920" w:right="220" w:hanging="548"/>
        <w:spacing w:after="0" w:line="266"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offset plates includes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202" w:lineRule="exact"/>
        <w:rPr>
          <w:rFonts w:ascii="Times New Roman" w:cs="Times New Roman" w:eastAsia="Times New Roman" w:hAnsi="Times New Roman"/>
          <w:sz w:val="18"/>
          <w:szCs w:val="18"/>
          <w:color w:val="auto"/>
        </w:rPr>
      </w:pPr>
    </w:p>
    <w:p>
      <w:pPr>
        <w:ind w:left="920" w:hanging="548"/>
        <w:spacing w:after="0" w:line="261"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CTP output devices that are used by customers to transfer images onto aluminum offset printing plates and provide consistent and high-quality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Traditional Printing segment also provides service and support related to these products.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Printing</w:t>
      </w:r>
    </w:p>
    <w:p>
      <w:pPr>
        <w:spacing w:after="0" w:line="22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The Digital Printing segment contains Electrophotographic Printing Solutions, Prosper, Versamark and Software. Digital Printing products include high-quality digital printing solutions using electrically charged toner-based technology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production press systems, consumables (primarily ink), inkjet components, software and services. Digital Printing products are distributed directly by Kodak and indirectly through dealers.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Electrophotographic Printing Solutions:</w:t>
      </w:r>
    </w:p>
    <w:p>
      <w:pPr>
        <w:spacing w:after="0" w:line="119" w:lineRule="exact"/>
        <w:rPr>
          <w:sz w:val="20"/>
          <w:szCs w:val="20"/>
          <w:color w:val="auto"/>
        </w:rPr>
      </w:pPr>
    </w:p>
    <w:p>
      <w:pPr>
        <w:ind w:left="920" w:right="320" w:hanging="548"/>
        <w:spacing w:after="0" w:line="282"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NEXFINITY printers produce high-quality, differentiated printing of short-run, personalized print applications, such as direct mail, books, marketing collateral and photo products.</w:t>
      </w:r>
    </w:p>
    <w:p>
      <w:pPr>
        <w:spacing w:after="0" w:line="296" w:lineRule="exact"/>
        <w:rPr>
          <w:rFonts w:ascii="Times New Roman" w:cs="Times New Roman" w:eastAsia="Times New Roman" w:hAnsi="Times New Roman"/>
          <w:sz w:val="18"/>
          <w:szCs w:val="18"/>
          <w:color w:val="auto"/>
        </w:rPr>
      </w:pPr>
    </w:p>
    <w:p>
      <w:pPr>
        <w:ind w:left="940" w:right="360" w:hanging="568"/>
        <w:spacing w:after="0" w:line="266"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DIGIMASTER printers use monochrome electrophotographic printing technology for transactional printing, short-run books, corporate documentation, manuals and direct mail. Kodak has ceased manufacturing Digimaster printers but continues to sell consumables into the installed base.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Prosper:</w:t>
      </w:r>
    </w:p>
    <w:p>
      <w:pPr>
        <w:spacing w:after="0" w:line="119" w:lineRule="exact"/>
        <w:rPr>
          <w:sz w:val="20"/>
          <w:szCs w:val="20"/>
          <w:color w:val="auto"/>
        </w:rPr>
      </w:pPr>
    </w:p>
    <w:p>
      <w:pPr>
        <w:ind w:left="920" w:right="240" w:hanging="548"/>
        <w:spacing w:after="0" w:line="282" w:lineRule="auto"/>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Prosper business product offerings, including the PROSPER Press systems and PROSPER Components, feature ultrafast inkjet droplet generation.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40" w:name="page41"/>
    <w:bookmarkEnd w:id="40"/>
    <w:p>
      <w:pPr>
        <w:ind w:left="940" w:right="40"/>
        <w:spacing w:after="0" w:line="255" w:lineRule="auto"/>
        <w:rPr>
          <w:sz w:val="20"/>
          <w:szCs w:val="20"/>
          <w:color w:val="auto"/>
        </w:rPr>
      </w:pPr>
      <w:r>
        <w:rPr>
          <w:rFonts w:ascii="Times New Roman" w:cs="Times New Roman" w:eastAsia="Times New Roman" w:hAnsi="Times New Roman"/>
          <w:sz w:val="18"/>
          <w:szCs w:val="18"/>
          <w:color w:val="auto"/>
        </w:rPr>
        <w:t>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(“OEM”)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 The business model is further supplemented by consumption of other consumables including refurbished jetting modules and service.</w:t>
      </w:r>
    </w:p>
    <w:p>
      <w:pPr>
        <w:spacing w:after="0" w:line="324" w:lineRule="exact"/>
        <w:rPr>
          <w:sz w:val="20"/>
          <w:szCs w:val="20"/>
          <w:color w:val="auto"/>
        </w:rPr>
      </w:pPr>
    </w:p>
    <w:p>
      <w:pPr>
        <w:ind w:left="940" w:hanging="568"/>
        <w:spacing w:after="0" w:line="261"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focus of the Prosper business is on developing the next generation platform, Ultrastream, with solutions that place writing systems in OEMs as well as direct sale press products that widens its reach into applications for packaging and décor and expands the substrate range to include plastics. The Prosper business closed on the first sale of an Ultrastream writing system for use in a packaging application in December of 2019 with Uteco Group. Uteco Group has integrated Ultrastream in a packaging press solution.</w:t>
      </w:r>
    </w:p>
    <w:p>
      <w:pPr>
        <w:spacing w:after="0" w:line="314" w:lineRule="exact"/>
        <w:rPr>
          <w:rFonts w:ascii="Times New Roman" w:cs="Times New Roman" w:eastAsia="Times New Roman" w:hAnsi="Times New Roman"/>
          <w:sz w:val="18"/>
          <w:szCs w:val="18"/>
          <w:color w:val="auto"/>
        </w:rPr>
      </w:pPr>
    </w:p>
    <w:p>
      <w:pPr>
        <w:ind w:left="940" w:right="60" w:hanging="568"/>
        <w:spacing w:after="0" w:line="266"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Prosper business includes Kodak Print Services. Kodak Print Services prints the Jersey Evening Post as well as the majority of U.K. national newspapers for distribution in both Jersey and Guernsey islands. The business is used to demonstrate the value of the Kodak Prosper presses to customers around the world.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Versamark:</w:t>
      </w:r>
    </w:p>
    <w:p>
      <w:pPr>
        <w:spacing w:after="0" w:line="119" w:lineRule="exact"/>
        <w:rPr>
          <w:sz w:val="20"/>
          <w:szCs w:val="20"/>
          <w:color w:val="auto"/>
        </w:rPr>
      </w:pPr>
    </w:p>
    <w:p>
      <w:pPr>
        <w:ind w:left="920" w:right="40" w:hanging="548"/>
        <w:spacing w:after="0" w:line="266"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KODAK VERSAMARK Products are the predecessor products to the PROSPER business. Kodak has ceased manufacturing VERSAMARK Press Systems. Users of KODAK VERSAMARK products continue to purchase ink and other consumables as well as related service from Kodak. Applications of the VERSAMARK products include publishing, transactional, commercial print and direct mail.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362" w:lineRule="exact"/>
        <w:rPr>
          <w:sz w:val="20"/>
          <w:szCs w:val="20"/>
          <w:color w:val="auto"/>
        </w:rPr>
      </w:pPr>
    </w:p>
    <w:p>
      <w:pPr>
        <w:ind w:left="940" w:right="200" w:hanging="568"/>
        <w:spacing w:after="0" w:line="256"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Software business offers a leading suite of solutions for print production workflow, including the PRINERGY workflow production software, by providing customer value through automation, web integration and integration with other Kodak products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w:t>
      </w:r>
    </w:p>
    <w:p>
      <w:pPr>
        <w:spacing w:after="0" w:line="214" w:lineRule="exact"/>
        <w:rPr>
          <w:rFonts w:ascii="Times New Roman" w:cs="Times New Roman" w:eastAsia="Times New Roman" w:hAnsi="Times New Roman"/>
          <w:sz w:val="18"/>
          <w:szCs w:val="18"/>
          <w:color w:val="auto"/>
        </w:rPr>
      </w:pPr>
    </w:p>
    <w:p>
      <w:pPr>
        <w:ind w:left="940" w:right="560" w:hanging="568"/>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Software business includes digital front-end controllers which manage the delivery of personalized content to digital presses while controlling color and print consistency.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Materials and Chemicals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Advanced Materials and Chemicals segment is comprised of four lines of business: Industrial Film and Chemicals, Motion Picture, Advanced Materials and Functional Printing and Kodak Services for Business (“KSB”). Kodak’s Advanced Materials and Chemicals products are distributed directly by Kodak and indirectly through dealers. Kodak Alaris, a professional and consumer still photographic film and chemicals customer, represented approximately 25% and 20% of total Advanced Materials and Chemicals segment revenues for the nine months ending September 30, 2020 and the year ending December 31, 2019,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Film and Chemicals:</w:t>
      </w:r>
    </w:p>
    <w:p>
      <w:pPr>
        <w:spacing w:after="0" w:line="362" w:lineRule="exact"/>
        <w:rPr>
          <w:sz w:val="20"/>
          <w:szCs w:val="20"/>
          <w:color w:val="auto"/>
        </w:rPr>
      </w:pPr>
    </w:p>
    <w:p>
      <w:pPr>
        <w:ind w:left="940" w:right="100" w:hanging="568"/>
        <w:spacing w:after="0" w:line="282" w:lineRule="auto"/>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industrial film, including films used by the electronics industry to produce printed circuit boards, as well as professional and consumer still photographic film.</w:t>
      </w:r>
    </w:p>
    <w:p>
      <w:pPr>
        <w:spacing w:after="0" w:line="296" w:lineRule="exact"/>
        <w:rPr>
          <w:rFonts w:ascii="Times New Roman" w:cs="Times New Roman" w:eastAsia="Times New Roman" w:hAnsi="Times New Roman"/>
          <w:sz w:val="18"/>
          <w:szCs w:val="18"/>
          <w:color w:val="auto"/>
        </w:rPr>
      </w:pPr>
    </w:p>
    <w:p>
      <w:pPr>
        <w:ind w:left="940" w:hanging="56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component businesses: Polyester Film; Solvent Recovery; and Specialty Chemicals.</w:t>
      </w:r>
    </w:p>
    <w:p>
      <w:pPr>
        <w:spacing w:after="0" w:line="360" w:lineRule="exact"/>
        <w:rPr>
          <w:rFonts w:ascii="Times New Roman" w:cs="Times New Roman" w:eastAsia="Times New Roman" w:hAnsi="Times New Roman"/>
          <w:sz w:val="18"/>
          <w:szCs w:val="18"/>
          <w:color w:val="auto"/>
        </w:rPr>
      </w:pPr>
    </w:p>
    <w:p>
      <w:pPr>
        <w:ind w:left="940" w:hanging="56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specialty inks and dispersions to third parties.</w:t>
      </w:r>
    </w:p>
    <w:p>
      <w:pPr>
        <w:spacing w:after="0" w:line="360" w:lineRule="exact"/>
        <w:rPr>
          <w:rFonts w:ascii="Times New Roman" w:cs="Times New Roman" w:eastAsia="Times New Roman" w:hAnsi="Times New Roman"/>
          <w:sz w:val="18"/>
          <w:szCs w:val="18"/>
          <w:color w:val="auto"/>
        </w:rPr>
      </w:pPr>
    </w:p>
    <w:p>
      <w:pPr>
        <w:ind w:left="940" w:right="140" w:hanging="568"/>
        <w:spacing w:after="0" w:line="282" w:lineRule="auto"/>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Consumer Inkjet Solutions. Starting in 2013, Kodak stopped manufacturing consumer inkjet printers and focused on the sale of ink to its installed printer base. Kodak’s final build of ink inventory was depleted in the second quarter of 2020.</w:t>
      </w:r>
    </w:p>
    <w:p>
      <w:pPr>
        <w:sectPr>
          <w:pgSz w:w="11900" w:h="16838" w:orient="portrait"/>
          <w:cols w:equalWidth="0" w:num="1">
            <w:col w:w="11220"/>
          </w:cols>
          <w:pgMar w:left="320" w:top="229"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Motion Picture:</w:t>
      </w:r>
    </w:p>
    <w:p>
      <w:pPr>
        <w:spacing w:after="0" w:line="362" w:lineRule="exact"/>
        <w:rPr>
          <w:sz w:val="20"/>
          <w:szCs w:val="20"/>
          <w:color w:val="auto"/>
        </w:rPr>
      </w:pPr>
    </w:p>
    <w:p>
      <w:pPr>
        <w:ind w:left="940" w:right="300" w:hanging="568"/>
        <w:spacing w:after="0" w:line="282" w:lineRule="auto"/>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motion picture film business serving the entertainment industry. Motion picture products are sold directly to studios, external laboratories and independent filmmakers.</w:t>
      </w:r>
    </w:p>
    <w:p>
      <w:pPr>
        <w:spacing w:after="0" w:line="296" w:lineRule="exact"/>
        <w:rPr>
          <w:rFonts w:ascii="Times New Roman" w:cs="Times New Roman" w:eastAsia="Times New Roman" w:hAnsi="Times New Roman"/>
          <w:sz w:val="18"/>
          <w:szCs w:val="18"/>
          <w:color w:val="auto"/>
        </w:rPr>
      </w:pPr>
    </w:p>
    <w:p>
      <w:pPr>
        <w:ind w:left="940" w:hanging="56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 motion picture film processing laboratories offering onsite processing services at strategic locations in the U.S. and Europe.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Materials and Functional Printing</w:t>
      </w:r>
    </w:p>
    <w:p>
      <w:pPr>
        <w:spacing w:after="0" w:line="252"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Advanced Materials</w:t>
      </w:r>
    </w:p>
    <w:p>
      <w:pPr>
        <w:spacing w:after="0" w:line="254" w:lineRule="exact"/>
        <w:rPr>
          <w:rFonts w:ascii="Times New Roman" w:cs="Times New Roman" w:eastAsia="Times New Roman" w:hAnsi="Times New Roman"/>
          <w:sz w:val="18"/>
          <w:szCs w:val="18"/>
          <w:color w:val="auto"/>
        </w:rPr>
      </w:pPr>
    </w:p>
    <w:p>
      <w:pPr>
        <w:ind w:left="940" w:hanging="365"/>
        <w:spacing w:after="0" w:line="261" w:lineRule="auto"/>
        <w:tabs>
          <w:tab w:leader="none" w:pos="9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Materials develops solutions for component smart materials based on the materials science inventions and innovations from the research laboratories. There are multiple applications that Kodak contemplates addressing in this category. Currently, the primary focus is on light blocking particles (Kodalux) for the textile market. In addition, a specialty material is manufactured by this group for use by a 3D printing customer.</w:t>
      </w:r>
    </w:p>
    <w:p>
      <w:pPr>
        <w:spacing w:after="0" w:line="20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Functional Printing:</w:t>
      </w:r>
    </w:p>
    <w:p>
      <w:pPr>
        <w:spacing w:after="0" w:line="254" w:lineRule="exact"/>
        <w:rPr>
          <w:rFonts w:ascii="Times New Roman" w:cs="Times New Roman" w:eastAsia="Times New Roman" w:hAnsi="Times New Roman"/>
          <w:sz w:val="18"/>
          <w:szCs w:val="18"/>
          <w:color w:val="auto"/>
        </w:rPr>
      </w:pPr>
    </w:p>
    <w:p>
      <w:pPr>
        <w:ind w:left="940" w:right="60" w:hanging="365"/>
        <w:spacing w:after="0" w:line="312" w:lineRule="auto"/>
        <w:tabs>
          <w:tab w:leader="none" w:pos="94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Functional Printing concentrates on contract manufacturing, development partnerships, and/or licensing opportunities in very high-resolution 3D printing solutions such as printed electronics. Also, a portfolio of products is offered to enable others to utilize functional printing.</w:t>
      </w:r>
    </w:p>
    <w:p>
      <w:pPr>
        <w:spacing w:after="0" w:line="164" w:lineRule="exact"/>
        <w:rPr>
          <w:rFonts w:ascii="Times New Roman" w:cs="Times New Roman" w:eastAsia="Times New Roman" w:hAnsi="Times New Roman"/>
          <w:sz w:val="17"/>
          <w:szCs w:val="17"/>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IP Licensing:</w:t>
      </w:r>
    </w:p>
    <w:p>
      <w:pPr>
        <w:spacing w:after="0" w:line="254" w:lineRule="exact"/>
        <w:rPr>
          <w:rFonts w:ascii="Times New Roman" w:cs="Times New Roman" w:eastAsia="Times New Roman" w:hAnsi="Times New Roman"/>
          <w:sz w:val="18"/>
          <w:szCs w:val="18"/>
          <w:color w:val="auto"/>
        </w:rPr>
      </w:pPr>
    </w:p>
    <w:p>
      <w:pPr>
        <w:ind w:left="940" w:right="100" w:hanging="365"/>
        <w:spacing w:after="0" w:line="266" w:lineRule="auto"/>
        <w:tabs>
          <w:tab w:leader="none" w:pos="9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still carries the potential for revenue generation from intellectual property licensing and new materials businesses.</w:t>
      </w:r>
    </w:p>
    <w:p>
      <w:pPr>
        <w:spacing w:after="0" w:line="20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Kodak Services for Business</w:t>
      </w:r>
      <w:r>
        <w:rPr>
          <w:rFonts w:ascii="Times New Roman" w:cs="Times New Roman" w:eastAsia="Times New Roman" w:hAnsi="Times New Roman"/>
          <w:sz w:val="18"/>
          <w:szCs w:val="18"/>
          <w:color w:val="auto"/>
        </w:rPr>
        <w:t>:</w:t>
      </w:r>
    </w:p>
    <w:p>
      <w:pPr>
        <w:spacing w:after="0" w:line="254" w:lineRule="exact"/>
        <w:rPr>
          <w:rFonts w:ascii="Times New Roman" w:cs="Times New Roman" w:eastAsia="Times New Roman" w:hAnsi="Times New Roman"/>
          <w:sz w:val="18"/>
          <w:szCs w:val="18"/>
          <w:color w:val="auto"/>
        </w:rPr>
      </w:pPr>
    </w:p>
    <w:p>
      <w:pPr>
        <w:ind w:left="940" w:right="40" w:hanging="365"/>
        <w:spacing w:after="0" w:line="256" w:lineRule="auto"/>
        <w:tabs>
          <w:tab w:leader="none" w:pos="9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KSB assists organizations with challenges and opportunities created by the worldwide digital transformation. It provides business process outsourcing services, scan and capture solutions, records conversion services, workflow solutions, content management, and print and managed media services that assist customers with solutions that meet their business requirements. KSB has expertise in the capture, archiving, retrieval and delivery of documents including in depth knowledge of handling legacy media. KSB serves enterprise customers primarily in the banking, insurance and government sectors. Sales in KSB are project-based and can vary from year to year depending on the nature and number of projects in existence that year. KSB currently operates exclusively in Asia, primarily in China and Hong Kong.</w:t>
      </w:r>
    </w:p>
    <w:p>
      <w:pPr>
        <w:spacing w:after="0" w:line="214" w:lineRule="exact"/>
        <w:rPr>
          <w:rFonts w:ascii="Times New Roman" w:cs="Times New Roman" w:eastAsia="Times New Roman" w:hAnsi="Times New Roman"/>
          <w:sz w:val="18"/>
          <w:szCs w:val="18"/>
          <w:color w:val="auto"/>
        </w:rPr>
      </w:pPr>
    </w:p>
    <w:p>
      <w:pPr>
        <w:ind w:left="940" w:hanging="365"/>
        <w:spacing w:after="0"/>
        <w:tabs>
          <w:tab w:leader="none" w:pos="9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KSB is under contract for sale to Swiss Post Solutions.</w:t>
      </w:r>
    </w:p>
    <w:p>
      <w:pPr>
        <w:spacing w:after="0" w:line="25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Kodakit</w:t>
      </w:r>
    </w:p>
    <w:p>
      <w:pPr>
        <w:spacing w:after="0" w:line="254" w:lineRule="exact"/>
        <w:rPr>
          <w:rFonts w:ascii="Times New Roman" w:cs="Times New Roman" w:eastAsia="Times New Roman" w:hAnsi="Times New Roman"/>
          <w:sz w:val="18"/>
          <w:szCs w:val="18"/>
          <w:color w:val="auto"/>
        </w:rPr>
      </w:pPr>
    </w:p>
    <w:p>
      <w:pPr>
        <w:ind w:left="940" w:right="200" w:hanging="365"/>
        <w:spacing w:after="0" w:line="282" w:lineRule="auto"/>
        <w:tabs>
          <w:tab w:leader="none" w:pos="9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Kodakit was a platform that connected businesses with professional photographers to cater to their photography needs. Customers included global hotels and online travel agencies, real estate companies, marketplaces, advertising agencies and global brands.</w:t>
      </w:r>
    </w:p>
    <w:p>
      <w:pPr>
        <w:spacing w:after="0" w:line="188" w:lineRule="exact"/>
        <w:rPr>
          <w:rFonts w:ascii="Times New Roman" w:cs="Times New Roman" w:eastAsia="Times New Roman" w:hAnsi="Times New Roman"/>
          <w:sz w:val="18"/>
          <w:szCs w:val="18"/>
          <w:color w:val="auto"/>
        </w:rPr>
      </w:pPr>
    </w:p>
    <w:p>
      <w:pPr>
        <w:ind w:left="940" w:hanging="365"/>
        <w:spacing w:after="0"/>
        <w:tabs>
          <w:tab w:leader="none" w:pos="9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 decided to discontinue the operations of Kodakit in October 2019.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Brand segment Includes licensing of the Kodak brand to third parties. Kodak currently licenses its brand for use with a range of products including batteries, digital and instant print cameras and camera accessories, printers, and apparel. Kodak intends to continue efforts to grow its portfolio of brand licenses to generate both ongoing royalty streams and upfront payments. Brand licensees use the Kodak brand on their products and use their own distribution channels.</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227" w:right="4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960" w:type="dxa"/>
            <w:vAlign w:val="bottom"/>
            <w:gridSpan w:val="4"/>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8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Traditional Printing</w:t>
            </w:r>
          </w:p>
        </w:tc>
        <w:tc>
          <w:tcPr>
            <w:tcW w:w="700" w:type="dxa"/>
            <w:vAlign w:val="bottom"/>
            <w:shd w:val="clear" w:color="auto" w:fill="CFF0FC"/>
          </w:tcPr>
          <w:p>
            <w:pPr>
              <w:jc w:val="right"/>
              <w:ind w:right="5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Digital Printing</w:t>
            </w:r>
          </w:p>
        </w:tc>
        <w:tc>
          <w:tcPr>
            <w:tcW w:w="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Materials and Chemicals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w:t>
            </w:r>
          </w:p>
        </w:tc>
        <w:tc>
          <w:tcPr>
            <w:tcW w:w="7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 total</w:t>
            </w:r>
          </w:p>
        </w:tc>
        <w:tc>
          <w:tcPr>
            <w:tcW w:w="7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315</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1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99"/>
              </w:rPr>
              <w:t>Segment Operational EBITDA and Consolidated Loss from Continuing Operations Before Income Taxes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4"/>
        </w:trPr>
        <w:tc>
          <w:tcPr>
            <w:tcW w:w="1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1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Traditional Printing</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Digital Printing</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114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Materials and Chemicals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11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11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114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11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114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Consulting and other costs </w:t>
            </w:r>
            <w:r>
              <w:rPr>
                <w:rFonts w:ascii="Times New Roman" w:cs="Times New Roman" w:eastAsia="Times New Roman" w:hAnsi="Times New Roman"/>
                <w:sz w:val="15"/>
                <w:szCs w:val="15"/>
                <w:color w:val="auto"/>
              </w:rPr>
              <w:t>(1)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11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Idle costs </w:t>
            </w:r>
            <w:r>
              <w:rPr>
                <w:rFonts w:ascii="Times New Roman" w:cs="Times New Roman" w:eastAsia="Times New Roman" w:hAnsi="Times New Roman"/>
                <w:sz w:val="15"/>
                <w:szCs w:val="15"/>
                <w:color w:val="auto"/>
              </w:rPr>
              <w:t>(2)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114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Former CEO separation agreement compensation</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1"/>
        </w:trPr>
        <w:tc>
          <w:tcPr>
            <w:tcW w:w="11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 income, net, excluding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from transition services agreement </w:t>
            </w:r>
            <w:r>
              <w:rPr>
                <w:rFonts w:ascii="Times New Roman" w:cs="Times New Roman" w:eastAsia="Times New Roman" w:hAnsi="Times New Roman"/>
                <w:sz w:val="15"/>
                <w:szCs w:val="15"/>
                <w:color w:val="auto"/>
              </w:rPr>
              <w:t>(3)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114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11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Pension income excluding service cost component </w:t>
            </w:r>
            <w:r>
              <w:rPr>
                <w:rFonts w:ascii="Times New Roman" w:cs="Times New Roman" w:eastAsia="Times New Roman" w:hAnsi="Times New Roman"/>
                <w:sz w:val="15"/>
                <w:szCs w:val="15"/>
                <w:color w:val="auto"/>
              </w:rPr>
              <w:t>(4)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Loss on early extinguishment of debt </w:t>
            </w:r>
            <w:r>
              <w:rPr>
                <w:rFonts w:ascii="Times New Roman" w:cs="Times New Roman" w:eastAsia="Times New Roman" w:hAnsi="Times New Roman"/>
                <w:sz w:val="15"/>
                <w:szCs w:val="15"/>
                <w:color w:val="auto"/>
              </w:rPr>
              <w:t>(4)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1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charges, net </w:t>
            </w:r>
            <w:r>
              <w:rPr>
                <w:rFonts w:ascii="Times New Roman" w:cs="Times New Roman" w:eastAsia="Times New Roman" w:hAnsi="Times New Roman"/>
                <w:sz w:val="15"/>
                <w:szCs w:val="15"/>
                <w:color w:val="auto"/>
              </w:rPr>
              <w:t>(4)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05"/>
        </w:trPr>
        <w:tc>
          <w:tcPr>
            <w:tcW w:w="1140" w:type="dxa"/>
            <w:vAlign w:val="bottom"/>
          </w:tcPr>
          <w:p>
            <w:pPr>
              <w:spacing w:after="0"/>
              <w:rPr>
                <w:sz w:val="17"/>
                <w:szCs w:val="17"/>
                <w:color w:val="auto"/>
              </w:rPr>
            </w:pPr>
          </w:p>
        </w:tc>
        <w:tc>
          <w:tcPr>
            <w:tcW w:w="43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Consolidated loss from continuing operations</w:t>
            </w: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before income taxes</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1140" w:type="dxa"/>
            <w:vAlign w:val="bottom"/>
          </w:tcPr>
          <w:p>
            <w:pPr>
              <w:spacing w:after="0" w:line="20" w:lineRule="exact"/>
              <w:rPr>
                <w:sz w:val="1"/>
                <w:szCs w:val="1"/>
                <w:color w:val="auto"/>
              </w:rPr>
            </w:pPr>
          </w:p>
        </w:tc>
        <w:tc>
          <w:tcPr>
            <w:tcW w:w="43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Kodak increased workers’ compensation reserves by approximately $9 million and $2 million in the third quarters of 2020 and 2019, respectively, driven by changes in discount rates The increase in reserves in the third quarter of 2020 impacted gross profit by approximately $5 million, SG&amp;A by approximately $3 million and R&amp;D by approximately $1 million. The increase in reserves in the third quarter of 2019 impacted gross profit by approximately $1 million and SG&amp;A by approximately $1 million.</w:t>
      </w:r>
    </w:p>
    <w:p>
      <w:pPr>
        <w:spacing w:after="0" w:line="315" w:lineRule="exact"/>
        <w:rPr>
          <w:sz w:val="20"/>
          <w:szCs w:val="20"/>
          <w:color w:val="auto"/>
        </w:rPr>
      </w:pPr>
    </w:p>
    <w:p>
      <w:pPr>
        <w:ind w:left="500" w:right="660" w:hanging="492"/>
        <w:spacing w:after="0" w:line="282" w:lineRule="auto"/>
        <w:tabs>
          <w:tab w:leader="none" w:pos="5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Consulting and other costs are primarily professional services and internal costs associated with certain corporate strategic initiatives and investigations.</w:t>
      </w:r>
    </w:p>
    <w:p>
      <w:pPr>
        <w:spacing w:after="0" w:line="53" w:lineRule="exact"/>
        <w:rPr>
          <w:rFonts w:ascii="Times New Roman" w:cs="Times New Roman" w:eastAsia="Times New Roman" w:hAnsi="Times New Roman"/>
          <w:sz w:val="15"/>
          <w:szCs w:val="15"/>
          <w:color w:val="auto"/>
        </w:rPr>
      </w:pPr>
    </w:p>
    <w:p>
      <w:pPr>
        <w:ind w:left="500" w:right="300" w:hanging="492"/>
        <w:spacing w:after="0" w:line="282" w:lineRule="auto"/>
        <w:tabs>
          <w:tab w:leader="none" w:pos="5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53" w:lineRule="exact"/>
        <w:rPr>
          <w:rFonts w:ascii="Times New Roman" w:cs="Times New Roman" w:eastAsia="Times New Roman" w:hAnsi="Times New Roman"/>
          <w:sz w:val="15"/>
          <w:szCs w:val="15"/>
          <w:color w:val="auto"/>
        </w:rPr>
      </w:pPr>
    </w:p>
    <w:p>
      <w:pPr>
        <w:ind w:left="560" w:right="20" w:hanging="552"/>
        <w:spacing w:after="0" w:line="258" w:lineRule="auto"/>
        <w:tabs>
          <w:tab w:leader="none" w:pos="5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$1 million and $2 million of income from the transition services agreement with the Purchaser was recognized in the three months ended September 30, 2020 and 2019, respectively. Transition services income of $5 million and $4 million was recognized in the nine months ended September 30, 2020 and 2019, respectively. The income was reported in Other operating (expense) income, net in the Consolidated Statement of Operations. Other operating income (expense), net is typically excluded from the segment measure. However, the income from the transition services agreement was included in the segment measure.</w:t>
      </w:r>
    </w:p>
    <w:p>
      <w:pPr>
        <w:spacing w:after="0" w:line="75" w:lineRule="exact"/>
        <w:rPr>
          <w:rFonts w:ascii="Times New Roman" w:cs="Times New Roman" w:eastAsia="Times New Roman" w:hAnsi="Times New Roman"/>
          <w:sz w:val="15"/>
          <w:szCs w:val="15"/>
          <w:color w:val="auto"/>
        </w:rPr>
      </w:pPr>
    </w:p>
    <w:p>
      <w:pPr>
        <w:ind w:left="560" w:hanging="552"/>
        <w:spacing w:after="0"/>
        <w:tabs>
          <w:tab w:leader="none" w:pos="5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reported in the Consolidated Statement of Operations.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Segment Measure of Profit and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Kodak’s segment measure of profit and loss is an adjusted earnings before interest, taxes, depreciation and amortization (“Operational</w:t>
      </w:r>
    </w:p>
    <w:p>
      <w:pPr>
        <w:spacing w:after="0" w:line="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EBITDA”).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former CEO separation agreement compensation; other operating (expense) income, net (unless otherwise indicated); interest expense; loss on early extinguishment of debt and other charges, net.</w:t>
      </w:r>
    </w:p>
    <w:p>
      <w:pPr>
        <w:spacing w:after="0" w:line="18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Kodak’s segments are measured using Operational EBITDA both before and after the allocation of corporate SG&amp;A expenses.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COMPARED WITH 2019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6"/>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gridSpan w:val="11"/>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Loss from continuing operations before</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 other charges, net and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Pension income excluding service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component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charges, net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Loss from continuing operations before</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(394)</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(445)</w:t>
            </w:r>
          </w:p>
        </w:tc>
        <w:tc>
          <w:tcPr>
            <w:tcW w:w="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(561)</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CFF0FC"/>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CFF0FC"/>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9"/>
              </w:rPr>
              <w:t>[44]</w:t>
            </w: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2020 revenues declined $63 million compared with the same period in 2019, driven by volume declines and unfavorable pricing within Traditional Printing ($28 million and $4 million, respectively) and volume declines in Digital Printing and Advanced Materials and Chemicals ($16 million and $11 million, respectively). The revenue declines were offset by improved pricing and product mix in Advanced Materials and Chemicals ($3 million) and favorable foreign currency ($4 million). The prior year period also included intellectual property licensing revenue ($13 million) associated with the HuaGuang relationship entered into in September 2019. See segment discussions for additional details.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2020 revenues declined $181 million compared with the same period in 2019, driven by volume declines and unfavorable pricing and product mix within Traditional Printing ($90 million and $11 million, respectively), volume declines in Digital Printing and Advanced Materials and Chemicals ($43 million and $40 million, respectively) and unfavorable foreign currency ($1 million). The revenue declines were offset by improved pricing and product mix in Advanced Materials and Chemicals ($11 million) and favorable mix of products in Digital Printing ($5 million). The prior year period also included intellectual property licensing revenue ($13 million) associated with the HuaGuang relationship entered into in September 2019. See segment discussions for additional details.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Gross profit for the three months ended September 30, 2020 declined approximately $22 million compared with the same period in 2019 reflecting volume declines, unfavorable pricing and product mix in Traditional Printing (each $4 million), volume declines in Advanced Materials and Chemicals and Digital Printing (each $3 million) and an increase in workers’ compensation reserves ($4 million) partially offset by favorable pricing and product mix in Advanced Materials and Chemicals ($4 million) and lower depreciation and amortization expenses ($5 million) across all segments. The prior year period also included intellectual property licensing revenue ($13 million) associated with the HuaGuang relationship entered into in September 2019. See segment discussions for additional details.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Gross profit for the nine months ended September 30, 2020 declined approximately $47 million compared with the same period in 2019 reflecting volume declines, unfavorable pricing and product mix as well as increased costs in Traditional Printing ($11 million, $13 million and $8 million, respectively), volume declines and increased costs Advanced Materials and Chemicals ($11 million and $8 million, respectively), volume declines and unfavorable costs in Digital Printing ($3 million and $5 million) and an increase in workers’ compensation reserves ($4 million) partially offset by favorable pricing and product mix in Advanced Materials and Chemicals ($11 million), favorable mix of products in Digital Printing ($3 million) and lower depreciation and amortization expenses ($14 million). The prior year period also included intellectual property licensing revenue ($13 million) associated with the HuaGuang relationship entered into in September 2019. See segment discussions for additional details.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Consolidated SG&amp;A increased $8 million and decreased $23 million for the three-and nine-month periods ended September 30, 2020, respectively. The increase in Consolidated SG&amp;A for the three months ended September 30, 2020 was driven by increased stock compensation expense ($17 million) as discussed in Note 20, Stock-Based Compensation, an increase of $4 million in consulting and project costs with the internal and external investigations that started in the quarter as well as the $2 million impact to SG&amp;A of the increase in workers’ compensation reserves. These increases were partially offset by lower investment in segment selling and marketing activities driven by cost reduction efforts ($12 million for the quarter and $34 million year-to-</w:t>
      </w:r>
    </w:p>
    <w:p>
      <w:pPr>
        <w:spacing w:after="0" w:line="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date). The temporary furloughs and pay cuts in the current quarter provided approximately $7 million of the $17 million savings in the three months ending September 30, 2020 and $18 million of the $34 million in the nine months ending September 30, 2020. The nine-month period ended September 30, 2019 also included $2 million of compensation related to the former CEO separation agreement while the nine-month period ending September 30, 2020 included increased bad debt expense primarily attributed to increased collection risk related to the COVID-19 pandemic ($3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3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Consolidated R&amp;D expenses decreased $3 million and $8 million for the quarter and year-to-date periods ended September 30, 2020, respectively, primarily due to cost reduction efforts.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Charges, Net</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change in Other charges, net was primarily driven by the embedded conversion features derivative liability associated with the Notes. Refer to Note 15, “Other Charges, Net” and Note 25, “Financial Instruments”.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3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The Provision for income taxes in the year-to-date period was primarily driven by the $167 million provision associated with the establishment of a valuation allowance on deferred tax assets outside the U.S. Refer to Note 16, “Income Taxes”.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Income from Discontinued Operations</w:t>
      </w:r>
    </w:p>
    <w:p>
      <w:pPr>
        <w:spacing w:after="0" w:line="3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The Income from discontinued operations in the prior year periods primarily represents the gain recognized on the sale of the FPD business in April 2019. Refer to Note 24, “Discontinued Operations”.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TRADITIONAL PRINTING SEGMENT</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9"/>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79"/>
              </w:rPr>
              <w:t>(41)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Operational EBITDA</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Operational EBITDA as a % of revenues</w:t>
            </w:r>
          </w:p>
        </w:tc>
        <w:tc>
          <w:tcPr>
            <w:tcW w:w="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The decrease in Traditional Printing revenues for the three months ended September 30, 2020 of approximately $41 million reflected volume and pricing declines ($22 million and $4 million, respectively) in Prepress Solutions consumables and volume declines in Prepress Solutions service ($2 million) and Prepress equipment ($4 million), partially offset by favorable foreign currency ($3 million). In addition, the prior year period included $13 million of intellectual property licensing revenue associated with the HuaGuang relationship. The volume declines were primarily driven by COVID-19 pandemic related declines in customer demand.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decrease in Traditional Printing revenues for the nine months ended September 30, 2020 of approximately $115 million primarily reflected volume and pricing declines ($76 million and $14 million, respectively) in Prepress Solutions consumables and volume declines in Prepress Solutions service ($5 million) and Prepress equipment ($9 million) offset by favorable pricing and product mix ($3 million) in Prepress equipment. In addition, the prior year period included $13 million of intellectual property licensing revenue associated with the HuaGuang relationship. The volume declines were primarily driven by COVID-19 pandemic related declines in customer demand.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Traditional Printing Operational EBITDA for the three months ended September 30, 2020 declined $16 million reflecting volume and pricing declines ($2 million and $4 million, respectively) in Prepress Solutions consumables, volume declines in Prepress service ($1 million), and higher manufacturing costs ($3 million) driven by unfavorable cost absorption from the volume declines partially offset by lower SG&amp;A expenses ($6 million) and lower aluminum costs in the current year ($2 million). In addition, the prior year period included $13 million of intellectual property licensing revenue associated with the HuaGuang relationship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Traditional Printing Operational EBITDA for the nine months ended September 30, 2020 declined $29 million primarily due to volume and pricing declines ($8 million and $14 million, respectively) in Prepress Solutions consumables, volume declines in Prepress service ($2 million), higher manufacturing costs driven by unfavorable cost absorption from the volume declines ($9 million), aluminum tariff refunds received in 2019 ($2 million) and an increase in bad debt expense ($1 million) partially offset by lower SG&amp;A expenses ($17 million) and lower aluminum costs in the current year ($6 million). In addition, the prior year period included $13 million of intellectual property licensing revenue associated with the HuaGuang relationship.</w:t>
      </w:r>
    </w:p>
    <w:p>
      <w:pPr>
        <w:spacing w:after="0" w:line="21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2018 U.S. tariffs imposed on aluminum purchases were included as part of the cost of printing plates sold. In January 2019, Kodak received retroactive exemptions from U.S. tariffs on aluminum. Due to the exemptions, all aluminum tariffs paid by Kodak in prior periods were recognized as a cost reduction in the prior year-to-date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DIGITAL PRINTING SEGMENT</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Operational EBITDA</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Operational EBITDA as a % of revenues</w:t>
            </w:r>
          </w:p>
        </w:tc>
        <w:tc>
          <w:tcPr>
            <w:tcW w:w="7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3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decline in Digital Printing revenues for the three months ended September 30, 2020 of approximately $14 million primarily reflected volume declines in Electrophotographic Printing Solutions consumables and service ($7 million) and Electrophotographic Printing Solutions equipment ($4 million) which were driven by the decline in customer demand with the COVID-19 pandemic. There were also volume declines in VERSAMARK service and consumables ($2 million) due to both declines in the installed base of VERSAMARK systems and the COVID 19 pandemic.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decline in Digital Printing revenues for the nine months ended September 30, 2020 of approximately $38 million primarily reflected volume declines in Electrophotographic Printing Solutions consumables and service ($22 million), Electrophotographic Printing Solutions equipment ($8 million), PROSPER consumables and service ($5 million), PROSPER systems ($3 million) and Software ($3 million) which were driven by the decline in customer demand with the COVID-19 pandemic. There were also volume declines in VERSAMARK service and consumables ($8 million) due to both declines in the installed base of VERSAMARK systems and the COVID 19 pandemic. The impact of the volume declines was partially offset by improved volume in PROSPER components ($7 million) and improved pricing in PROSPER components and PROSPER systems ($2 million and $1 million,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Digital Printing Operational EBITDA for the three months ended September 30, 2020 was flat reflecting higher manufacturing costs in Electrophotographic Printing Solutions ($2 million), volume declines in Electrophotographic Printing Solutions consumables and service ($1 million), volume declines in VERSAMARK service and consumables ($1 million) and an increase in workers’ compensation reserves ($2 million) offset by improved volume in PROSPER components ($1 million), inventory write-downs driven by pricing declines in PROSPER systems in the prior year quarter ($1 million) and lower SG&amp;A costs ($3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Digital Printing Operational EBITDA for the nine months ended September 30, 2020 improved $1 million driven by improved volume in PROSPER components ($4 million), volume changes in Electrophotographic Printing Solutions equipment ($2 million) and Prosper Systems ($1 million), improved pricing in PROSPER systems ($1 million) and PROSPER components ($1 million) and lower SG&amp;A costs ($9 million) offset by higher manufacturing costs in Electrophotographic Printing Solutions ($9 million), volume declines in Electrophotographic Printing Solutions consumables and service ($4 million), PROSPER consumables and service ($2 million), VERSAMARK service and consumables ($3 million) and an increase in workers’ compensation reserves ($2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MATERIALS AND CHEMICALS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10"/>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7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Operational EBITDA</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Operational EBITDA as a % of revenues</w:t>
            </w:r>
          </w:p>
        </w:tc>
        <w:tc>
          <w:tcPr>
            <w:tcW w:w="7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Advanced Materials and Chemicals revenues for the three months ended September 30, 2020 declined $9 million primarily from volume declines in Motion Picture ($5 million) driven by productions halted as a result of the COVID 19 pandemic, Industrial Film and Chemicals ($3 million) primarily due to the COVID-19 pandemic’s impacts on its customers and Consumer Inkjet Solutions ($2 million) driven by lower sales of ink to the existing installed base of printers.</w:t>
      </w:r>
    </w:p>
    <w:p>
      <w:pPr>
        <w:spacing w:after="0" w:line="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Additionally, current year revenues for Kodak Services for Business declined ($1 million) primarily due to operations in Asia being impacted by the COVID-19 pandemic, and the prior year period included revenues from Kodakit ($1 million) which ceased operating in January 2020. Partially offsetting these impacts was improved pricing in Industrial Film and Chemicals ($3 million) driven by higher pricing for professional and consumer still photographic film.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Advanced Materials and Chemicals revenues for the nine months ended September 30, 2020 declined $29 million primarily from volume declines in Motion Picture ($17 million) driven by productions halted as a result of the pandemic, Industrial Film and Chemicals ($9 million) primarily due to COVID-19 pandemic’s impacts on its customers, and Consumer Inkjet Solutions ($6 million) driven by lower sales of ink to the existing installed base of printers. Additionally, current year revenues for Kodak Services for Business declined ($5 million) primarily due to operations in Asia being impacted by the COVID-19 pandemic, and the prior year period included revenues from Kodakit ($3 million) which ceased operations in January 2020. Partially offsetting these impacts was improved pricing and improved product mix in Industrial Film and Chemicals ($11 million) driven by higher pricing and favorable product mix in professional and consumer still photographic film and higher pricing for solvents.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Advanced Materials and Chemicals Operational EBITDA remained flat for the three months ended September 30, 2020 as lower selling and administrative expenses ($4 million), favorable pricing ($3 million) in Industrial Film and Chemicals, and lower R&amp;D costs ($1 million) offset volume declines in Motion Picture ($2 million) and Consumer Inkjet Solutions ($1 million), unfavorable cost impacts in Motion Picture ($1 million) and an increase in workers’ compensation reserves ($2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Advanced Materials and Chemicals Operational EBITDA improved $2 million for the nine months ended September 30, 2020 primarily due to favorable pricing ($11 million) in Industrial Film and Chemicals. Also contributing to the improvement were lower selling and administrative expenses ($11 million) and lower R&amp;D costs ($3 million). Partially offsetting were volumes declines in Motion Picture ($6 million), Industrial Film and Chemicals ($2 million) and Consumer Inkjet Solutions ($3 million) as well as unfavorable cost impacts in Industrial Film and Chemicals ($5 million) and Motion Picture ($2 million) driven by unfavorable cost absorption and an increase in workers’ compensation reserves ($2 million).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BRAND SEGMENT</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Operational EBITDA</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Operational EBITDA as a % of revenues</w:t>
            </w:r>
          </w:p>
        </w:tc>
        <w:tc>
          <w:tcPr>
            <w:tcW w:w="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Brand revenues for the three and nine months ended September 30, 2020 remained flat compared to the prior year quarter and year-to-date periods. The $2 million improvement in Brand EBITDA for the nine months ended September 30, 2020 was primarily driven by lower selling and marketing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 AND OTHER</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Kodak recorded $1 million and $9 million of charges for the three and nine months ended September 30, 2020, respectively, in Restructuring costs and other in the Consolidated Statement of Operations.</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Kodak made cash payments related to restructuring of approximately $3 million and $13 million during the three and nine months ended September 30, 2020, respectively.</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restructuring actions implemented in the first nine months of 2020 are expected to generate future annual cash savings of approximately $13 million. These savings are expected to reduce future annual Cost of revenues and SG&amp;A expenses by $2 million and $11 million, respectively. Kodak began realizing a portion of these savings in the first nine months of 2020 and expects the majority of the annual savings to be in effect by the end of the year as actions are completed.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 UPDATE</w:t>
      </w:r>
    </w:p>
    <w:p>
      <w:pPr>
        <w:spacing w:after="0" w:line="25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Updates to critical accounting policies and estimates in Kodak’s 2019 Annual Report on Form 10-K are presented in this section. Refer to Item 7. “Management’s Discussion and Analysis of Financial Condition and Results of Operations” in the 2019 Annual Report on Form 10-K for a complete discussion of all Kodak’s critical accounting policies.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Useful Lives of Long-Lived Assets, Including Goodwill and Intangible Assets</w:t>
      </w:r>
    </w:p>
    <w:p>
      <w:pPr>
        <w:spacing w:after="0" w:line="31"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Goodwill is tested for impairment at a level of reporting referred to as a reporting unit, which is an operating segment or one level below an operating segment (a component) if the component constitutes a business for which discrete financial information is available and regularly reviewed by segment management. As a result of the change in segments that became effective as of January 1, 2020, Kodak’s goodwill reporting units changed. The Digital Printing segment has three goodwill reporting units: Electrophotographic Printing Solutions, Prosper and Versamark, and Software. The Advanced Materials and Chemicals segment has three goodwill reporting units: Motion Picture and Industrial Films and Chemicals, Advanced Materials and Functional Printing and Kodak Services for Business. The Traditional Printing segment, Brand segment and Eastman Business Park segment each have one goodwill reporting unit.</w:t>
      </w:r>
    </w:p>
    <w:p>
      <w:pPr>
        <w:spacing w:after="0" w:line="21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2019, the goodwill balance of $12 million under the prior year segment reporting structure was comprised of $6 million for the Brand, Film and Imaging segment and $6 million for the Kodak Software segment, which had only one reporting unit (Software). The goodwill in the Brand, Film and Imaging segment was reported in the Consumer Products reporting unit.</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goodwill previously reported in the Consumer Products goodwill reporting unit was transferred to the Brand goodwill reporting unit using a relative fair value allocation to affected reporting units. Goodwill previously reported in the Software reporting unit was transferred to the Digital Printing segment and continues to remain its own reporting unit.</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Kodak performed interim tests of impairment for goodwill as of June 30, 2020 due to the continued uncertainty regarding the negative impact of the COVID-19 pandemic on its operations, and as of March 31, 2020, due to the decline in market capitalization as of that date since the last goodwill impairment test (December 31, 2019) and the uncertainty regarding the negative impact of the COVID-19 pandemic at that time. Kodak utilized the discounted cash flow method to estimate the fair value of all reporting units for both tests. Kodak established an estimate of future cash flows for the period ranging from July 1, 2020 to December 31, 2024 for the June 30, 2020 interim test, and April 1, 2020 to December 31, 2024 for the March 31, 2020 interim test. The future cash flows were discounted to present value. The expected cash flows were derived from earnings forecasts and assumptions regarding the timing and impact of the COVID-19 pandemic on each reporting unit as of each applicable interim test date. The discount rates are estimated based on an after-tax 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16% to 55% were utilized in the June 30, 2020 valuation, and 21% to 55% for the March 31, 2020 valuation, both based on Kodak’s best estimates of the after-tax weighted-average cost of capital of each reporting unit as of the applicable valuation date.</w:t>
      </w:r>
    </w:p>
    <w:p>
      <w:pPr>
        <w:spacing w:after="0" w:line="2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 terminal value was included for all reporting units at the end of the cash flow projection period to reflect the remaining value that the reporting unit is expected to generate. The terminal value was calculated using either the constant growth method based on the cash flows of the final year of the discrete period or the H-model, which assumes the growth during the terminal period starts at a higher rate and declines in a linear manner over a specified transition period toward a stable growth rate.</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Based upon the results of Kodak’s June 30, 2020 and March 31, 2020 analyses, no impairment of goodwill was indicated. No interim impairment test for goodwill was deemed necessary as of September 30, 2020. Impairment of goodwill could occur in the future if a reporting unit’s fair value changes significantly, if Kodak’s market capitalization significantly declines, if a reporting unit’s carrying value changes materially compared with changes in its fair value, or as a result of changes in operating segments or reporting units.</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Kodak updated the fair value of the Kodak trade name as of June 30, 2020 and March 31, 2020. The fair value of the Kodak trade name was valued using the income approach, specifically the relief from royalty method based on the following significant assumptions: (a) forecasted revenues ranging from July 1, 2020 to December 31, 2024 for the June 30, 2020 interim test, and April 1, 2020 to December 31, 2024 for the March 31, 2020 interim test, both valuations included a terminal year with growth rates ranging from -3% to 2.5% (b) an after-tax royalty rate of 0.4% of expected net sales, and (c) discount rates ranging from 16% to 25% for the June 30, 2020 interim test, and 23% to 32% for the March 31, 2020 interim test. The discount rates are based on the after-tax weighted-average cost of capital.</w:t>
      </w:r>
    </w:p>
    <w:p>
      <w:pPr>
        <w:spacing w:after="0" w:line="21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the results of Kodak’s March 31, 2020 assessment, the carrying value of the Kodak trade name exceeded its fair value and Kodak recorded a pre-tax impairment charge of $3 million.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ind w:right="60"/>
        <w:spacing w:after="0" w:line="255" w:lineRule="auto"/>
        <w:rPr>
          <w:sz w:val="20"/>
          <w:szCs w:val="20"/>
          <w:color w:val="auto"/>
        </w:rPr>
      </w:pPr>
      <w:r>
        <w:rPr>
          <w:rFonts w:ascii="Times New Roman" w:cs="Times New Roman" w:eastAsia="Times New Roman" w:hAnsi="Times New Roman"/>
          <w:sz w:val="18"/>
          <w:szCs w:val="18"/>
          <w:color w:val="auto"/>
        </w:rPr>
        <w:t>Based on the results of Kodak’s June 30, 2020 assessment, the fair value of the Kodak trade name exceeded its’ carrying value. No interim impairment test for the Kodak tradename was deemed necessary as of September 30, 2020. Impairment of the Kodak trade name could occur in the future if estimated revenues decline or if there are significant changes in the discount or royalty rates. A one percent increase in the discount rate and a 10 percent miss in expected revenues would impact the fair value of the Kodak trade name by $2 million as of June 30, 2020.</w:t>
      </w:r>
    </w:p>
    <w:p>
      <w:pPr>
        <w:spacing w:after="0" w:line="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Long-lived assets other than goodwill and indefinite-lived intangible assets are evaluated for impairment whenever events or changes in circumstances indicate the carrying value may not be recoverable. When evaluating long-lived assets for impairment, the carrying value of an asset group is compared to its estimated undiscounted future cash flows. An impairment is indicated if the estimated future cash flows are less than the carrying value of the asset group. The impairment is the excess of the carrying value over the fair value of the long-lived asset group.</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Kodak updated its estimate of undiscounted cash flows for each asset group as of June 30, 2020 and March 31, 2020 using a probability weighted approach in determining the likelihood of possible adverse impacts from the COVID-19 pandemic as of each applicable interim test date. Based on the results of the interim impairment tests, no impairment indicators were noted. Impairment of long-lived assets other than goodwill and indefinite lived intangible assets could occur in the future if expected estimated future cash flows decline or if there are significant changes in the estimated useful life of the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Kodak is facing liquidity challenges due to operating losses and low or negative cash flow from operations and collateral needs. Kodak has $87 million of letters of credit issued under the ABL Credit Agreement which matures on May 26, 2021. The Series A Preferred Stock must be redeemed on November 15, 2021 if not converted prior to then. Kodak has ongoing significant cash requirements to fund operations, restructuring programs, pension and other postretirement obligations, and other obligations. Kodak’s plans to return to sustainable positive cash flow include growing revenues profitably, reducing operating expenses, continuing to simplify the organizational structure, generating cash from selling and leasing underutilized assets and paring investment in new technology by eliminating or delaying product development programs. Additionally, the Company looks to implement ways to reduce collateral needs in the U.S.</w:t>
      </w:r>
    </w:p>
    <w:p>
      <w:pPr>
        <w:spacing w:after="0" w:line="2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Kodak’s products are sold and serviced in numerous countries across the globe with more than half of sales generated outside the U.S. Current global economic conditions are highly volatile due to the COVID-19 pandemic. The conversion of accounts receivable to cash is taking longer and collection risk has increased since before the pandemic. The economic uncertainty surrounding the COVID-19 pandemic is an additional complexity in Kodak’s plans to return to sustainable positive cash flow. To mitigate the economic impacts of the pandemic Kodak is employing temporary furloughs and pay reductions and adjusting manufacturing volumes to meet changing expectations around production requirements. The Company is also seeking to take advantage of any available government incentives around the world in response to the COVID-19 pandemic such as employee related tax deferrals or holidays, wage subsidies and loan programs including those under the U.S. CARES Act, although the Company has not yet been able to take advantage of any loan programs and may not qualify for any loans under the programs created under the U.S. CARES Act. Many of the available government incentives for which the Company qualifies are in the form of deferrals of payments that will be required to be paid in the future.</w:t>
      </w:r>
    </w:p>
    <w:p>
      <w:pPr>
        <w:spacing w:after="0" w:line="21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recent history of negative operating cash flow, maturity of the ABL Credit Agreement in 2021, redemption date in 2021 for the Series A Preferred Stock, increased challenges in managing cash during the COVID-19 pandemic and general lack of certainty regarding the return to positive cash flow raise substantial doubt about Kodak’s ability to continue as a going concern</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Refer to the Going Concern section of Note 1, “Basis of Presentation and Recent Accounting Pronouncements”; Note 8, "Debt and Finance Leases," and Note 9, “Redeemable, Convertible Series A Preferred Stock” in the Notes to Financial Statements for further discussion. Refer to Note 2, “Cash, Cash Equivalents and Restricted Cash” for a reconciliation of cash, cash equivalents and restricted cash.</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10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(in millions)</w:t>
            </w: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5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20" w:type="dxa"/>
            <w:vAlign w:val="bottom"/>
            <w:gridSpan w:val="5"/>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top w:val="single" w:sz="8" w:color="CFF0FC"/>
            </w:tcBorders>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5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120" w:type="dxa"/>
            <w:vAlign w:val="bottom"/>
            <w:tcBorders>
              <w:top w:val="single" w:sz="8" w:color="CFF0FC"/>
            </w:tcBorders>
          </w:tcPr>
          <w:p>
            <w:pPr>
              <w:spacing w:after="0"/>
              <w:rPr>
                <w:sz w:val="19"/>
                <w:szCs w:val="19"/>
                <w:color w:val="auto"/>
              </w:rPr>
            </w:pPr>
          </w:p>
        </w:tc>
        <w:tc>
          <w:tcPr>
            <w:tcW w:w="72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tcBorders>
              <w:top w:val="single" w:sz="8" w:color="CFF0FC"/>
            </w:tcBorders>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5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62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tcBorders>
              <w:top w:val="single" w:sz="8" w:color="CFF0FC"/>
            </w:tcBorders>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5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62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auto"/>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restricted cash</w:t>
            </w:r>
          </w:p>
        </w:tc>
        <w:tc>
          <w:tcPr>
            <w:tcW w:w="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920" w:type="dxa"/>
            <w:vAlign w:val="bottom"/>
            <w:gridSpan w:val="5"/>
          </w:tcPr>
          <w:p>
            <w:pPr>
              <w:ind w:left="1140"/>
              <w:spacing w:after="0" w:line="205" w:lineRule="exact"/>
              <w:rPr>
                <w:sz w:val="20"/>
                <w:szCs w:val="20"/>
                <w:color w:val="auto"/>
              </w:rPr>
            </w:pPr>
            <w:r>
              <w:rPr>
                <w:rFonts w:ascii="Times New Roman" w:cs="Times New Roman" w:eastAsia="Times New Roman" w:hAnsi="Times New Roman"/>
                <w:sz w:val="18"/>
                <w:szCs w:val="18"/>
                <w:color w:val="auto"/>
              </w:rPr>
              <w:t>Net (decrease) increase in cash, cash equivalents, restricted</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cash and cash in assets held for sale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Net cash used in operating activities increased $44 million for the nine months ended September 30, 2020 as compared with the corresponding period in 2019 primarily due to increased cash use for accounts payable and other liabilities, including the payment of $6 million of interest upon the conversion of the Notes, partially offset by higher reductions of accounts receivable in 2020. Additionally, cash used in operations in 2019 benefitted from the allocation of $10 million of the proceeds from the divestiture of FPD as consideration for a brand license, the allocation of $13 million of the proceeds from entering the relationship with HuaGuang as consideration for an intellectual property license receipt and the receipt of a $15 million prepayment for transition services, products, and other services as a part of the divestiture of FPD.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Net cash provided by investing activities decreased $324 million for the nine months ended September 30, 2020 as compared with the corresponding period in 2019 due to the proceeds from the sale of FPD in the prior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3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in the nine months ended September 30, 2020 improved $305 million favorably to the corresponding period in 2019 driven by the current year proceeds received from option exercises, the prior year repayment of the Term Credit Agreement and the prior year payment of contingent consideration partially offset by the issuance of the Notes and the proceeds from the RED – Rochester borrowing and the current year payment of preferred stock dividends.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3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Available liquidity includes cash balances and the unused portion of the ABL Credit Agreement. The amount of available liquidity is subject to fluctuations and includes cash balances held by various entities worldwide. At September 30, 2020 and December 31, 2019 approximately $108 million and</w:t>
      </w:r>
    </w:p>
    <w:p>
      <w:pPr>
        <w:ind w:right="20"/>
        <w:spacing w:after="0" w:line="251" w:lineRule="auto"/>
        <w:rPr>
          <w:sz w:val="20"/>
          <w:szCs w:val="20"/>
          <w:color w:val="auto"/>
        </w:rPr>
      </w:pPr>
      <w:r>
        <w:rPr>
          <w:rFonts w:ascii="Times New Roman" w:cs="Times New Roman" w:eastAsia="Times New Roman" w:hAnsi="Times New Roman"/>
          <w:sz w:val="18"/>
          <w:szCs w:val="18"/>
          <w:color w:val="auto"/>
        </w:rPr>
        <w:t>$72 million, respectively, of cash and cash equivalents were held within the U.S. and approximately $85 million and $161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 As of September 30, 2020 and December 31, 2019, outstanding inter-company loans to the U.S. were $436 million and $408 million, respectively, which includes short-term inter-company loans from Kodak’s international finance center of $138 million and $110 million, respectively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China, where approximately $22 million and $89 million of cash and cash equivalents was held as of September 30, 2020 and December 31, 2019, respectively, there are limitations related to net asset balances that may impact the ability to make cash available to other jurisdictions in the world. On May 12, 2020, a Chinese subsidiary of Kodak transferred approximately $70 million to a U.S. subsidiary of Kodak that was used in an inter-company transaction. Under the terms of the ABL Credit Agreement, the Company is permitted to invest up to $100 million in subsidiaries and joint ventures that are not party to the ABL Credit Agreement.</w:t>
      </w:r>
    </w:p>
    <w:p>
      <w:pPr>
        <w:spacing w:after="0" w:line="22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January 27, 2020 Kodak exercised its right under the ABL Credit Agreement to permanently reduce lender commitments, reducing the commitments from $150 million to $120 million. As a result, the minimum Excess Availability decreased to $15 million from the previous minimum of $18.75 million.</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March 27, 2020, the Company and the Subsidiary Guarantors entered into the Amendment with the Lenders and Bank of America, N.A., as administrative and collateral agent. The Amendment decreased the available asset-based revolving loans (the “ABL Loans”) and letters of credit from an aggregate amount of up to $120 million to $110 million, subject to the Borrowing Base.</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a result of the additional reduction in lender commitments, the minimum Excess Availability decreased to $13.75 million from the previous amount of $15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1" w:name="page52"/>
    <w:bookmarkEnd w:id="51"/>
    <w:p>
      <w:pPr>
        <w:ind w:right="80"/>
        <w:spacing w:after="0" w:line="266" w:lineRule="auto"/>
        <w:rPr>
          <w:sz w:val="20"/>
          <w:szCs w:val="20"/>
          <w:color w:val="auto"/>
        </w:rPr>
      </w:pPr>
      <w:r>
        <w:rPr>
          <w:rFonts w:ascii="Times New Roman" w:cs="Times New Roman" w:eastAsia="Times New Roman" w:hAnsi="Times New Roman"/>
          <w:sz w:val="18"/>
          <w:szCs w:val="18"/>
          <w:color w:val="auto"/>
        </w:rPr>
        <w:t>The changes provided by the Amendment to the Excess Availability and Equipment Availability combined with increases in Eligible Receivables and Eligible Inventory allowed the Company to decrease Eligible Cash by $13 million at the time of the amendment without causing Excess Availability to fall below 12.5% of lender commitments.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also changed Equipment Availability from (i) the lesser of 75% of Net Orderly Liquidation Value of Eligible Equipment or $6 million to</w:t>
      </w:r>
    </w:p>
    <w:p>
      <w:pPr>
        <w:spacing w:after="0" w:line="27" w:lineRule="exact"/>
        <w:rPr>
          <w:sz w:val="20"/>
          <w:szCs w:val="20"/>
          <w:color w:val="auto"/>
        </w:rPr>
      </w:pPr>
    </w:p>
    <w:p>
      <w:pPr>
        <w:ind w:right="300" w:firstLine="8"/>
        <w:spacing w:after="0" w:line="255"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lesser of 70% of Net Orderly Liquidation Value of Eligible Equipment or $14.75 million as of March 31, 2020. The Equipment Availability was $14.75 million for September 30, 2020. The $14.75 million amount decreases by $1 million per quarter starting on July 1, 2020 until maturity or the amount is decreased to $0, whichever comes first.</w:t>
      </w:r>
    </w:p>
    <w:p>
      <w:pPr>
        <w:spacing w:after="0" w:line="21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Company had issued approximately $87 million and $80 million of letters of credit under the ABL Credit Agreement as of September 30, 2020 and December 31, 2019, respectively. Under the ABL Credit Agreement the Company is required to maintain Excess Availability above 12.5% of lender commitments ($13.75 million at September 30, 2020). If Excess Availability is below 12.5% of lender commitments the Company has the ability to fund amounts into the Eligible Cash account which will increase Excess Availability for purposes of the previous month-end compliance reporting. The Company had approximately $20 million of Excess Availability under the ABL Credit Agreement for the September 30, 2020 compliance reporting and $22 million of Excess Availability under the ABL Credit Agreement as of December 31, 2019. To maintain Excess Availability of greater than 12.5% of lender commitments ($13.75 million and $18.75 million as of September 30, 2020 and December 31, 2019, respectively), Kodak funded $21 million and $22 million to the Eligible Cash account held with the ABL Credit Agreement Administrative Agent as of September 30, 2020 and December 31, 2019, respectively, which is classified as Restricted Cash in the Consolidated Statement of Financial Position.</w:t>
      </w:r>
    </w:p>
    <w:p>
      <w:pPr>
        <w:spacing w:after="0" w:line="2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ABL Credit Agreement, if Excess Availability falls below 12.5% of lender commitments), Kodak would be required to be in compliance with the minimum Fixed Charge Coverage Ratio (the only financial covenant in the ABL Credit Agreement) and could become subject to cash dominion control. In addition to Eligible Cash, the borrowing base is supported by Eligible Receivables, Eligible Inventory and Eligible Equipment. To the extent the assets supporting the borrowing base decline and/or letters of credit issued under the ABL Credit Agreement increase, if the remaining assets included in the borrowing base are not sufficient to support the required Excess Availability amount, funding of Eligible Cash may be required. Eligible Receivables, Eligible Inventory and Eligible Equipment have the meaning ascribed to these terms in the ABL Credit Agreement. Kodak intends to maintain Excess Availability above the minimum threshold. Since Excess Availability was greater than 12.5% of lender commitments the September 30, 2020 month-end compliance reporting date, Kodak is not required to have a minimum Fixed Charge Coverage Ratio of 1.0 to 1.0. As of September 30, 2020 Fixed Charges exceeded EBITDA (as defined in the ABL Credit Agreement) by approximately $39 million, therefore, the Fixed Charge Coverage Ratio was less than 1.0 to 1.0.</w:t>
      </w:r>
    </w:p>
    <w:p>
      <w:pPr>
        <w:spacing w:after="0" w:line="19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a result of the Company’s current credit ratings, during the second quarter of 2020 two surety bond holders notified the Company they required approximately $9 million of incremental collateral. The Company reduced the surety bond value by approximately $9 million in July 2020 with an equivalent increase to an existing letter of credit with the New York Workers’ Compensation board. The Company could be required to provide up to $3 million of letters of credit to the issuers of certain surety bonds in the future to fully collateralize the bonds.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holders of Series A Preferred Stock are entitled to cumulative dividends payable quarterly in cash at a rate of 5.5% per annum. Until the third quarter of 2018 all dividends owed on the Series A Preferred Stock were declared and paid when due. No quarterly dividend was declared in the third or fourth quarters of 2018 or the first and second quarters of 2019. The Company declared quarterly cash dividends in the third and fourth quarters of 2019 and the first and second quarters of 2020 that were paid when due. In July 2020, the Company declared and paid the four quarterly dividends that were in arrears in the aggregate amount of $11 million. The Company declared a quarterly dividend in the third quarter of 2020 that was paid in October 2020.</w:t>
      </w:r>
    </w:p>
    <w:p>
      <w:pPr>
        <w:spacing w:after="0" w:line="210"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 xml:space="preserve">On July 28, 2020 the </w:t>
      </w:r>
      <w:r>
        <w:rPr>
          <w:rFonts w:ascii="Times New Roman" w:cs="Times New Roman" w:eastAsia="Times New Roman" w:hAnsi="Times New Roman"/>
          <w:sz w:val="18"/>
          <w:szCs w:val="18"/>
          <w:color w:val="434343"/>
        </w:rPr>
        <w:t>U.S. International Development Finance Corporation signed a non-binding letter of interest to provide up to a $765 million loan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34343"/>
        </w:rPr>
        <w:t xml:space="preserve">Kodak Pharmaceuticals, Inc. (“KPI”), which would be a wholly owned subsidiary of the Company that would produce pharmaceutical ingredients. The loan would be for facility upgrades and construction, provide working capital, and finance </w:t>
      </w:r>
      <w:r>
        <w:rPr>
          <w:rFonts w:ascii="Times New Roman" w:cs="Times New Roman" w:eastAsia="Times New Roman" w:hAnsi="Times New Roman"/>
          <w:sz w:val="18"/>
          <w:szCs w:val="18"/>
          <w:color w:val="000000"/>
        </w:rPr>
        <w:t>other necessary direct expenditures supporting the launch of</w:t>
      </w:r>
      <w:r>
        <w:rPr>
          <w:rFonts w:ascii="Times New Roman" w:cs="Times New Roman" w:eastAsia="Times New Roman" w:hAnsi="Times New Roman"/>
          <w:sz w:val="18"/>
          <w:szCs w:val="18"/>
          <w:color w:val="434343"/>
        </w:rPr>
        <w:t xml:space="preserve"> </w:t>
      </w:r>
      <w:r>
        <w:rPr>
          <w:rFonts w:ascii="Times New Roman" w:cs="Times New Roman" w:eastAsia="Times New Roman" w:hAnsi="Times New Roman"/>
          <w:sz w:val="18"/>
          <w:szCs w:val="18"/>
          <w:color w:val="000000"/>
        </w:rPr>
        <w:t>KPI. As further described under Part II, Item 1A. Risk Factors, there can be no assurances that the DFC Loan will be approved or made.</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434343"/>
        </w:rPr>
        <w:t>Due to exercises of stock options primarily by ex-employees, the Company received approximately $29 million, net of tax payments, in July and August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and Postretirement Plans</w:t>
      </w:r>
    </w:p>
    <w:p>
      <w:pPr>
        <w:spacing w:after="0" w:line="31"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Kodak made net contributions (funded plans) or paid benefits (unfunded plans) totaling approximately $9 million to its defined benefit pension and postretirement benefit plans in the first nine months of 2020. For the balance of 2020, the forecasted contribution (funded plans) and benefit payment (unfunded plans) requirements for its pension and postretirement plans are approximately $8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31" w:lineRule="exact"/>
        <w:rPr>
          <w:sz w:val="20"/>
          <w:szCs w:val="20"/>
          <w:color w:val="auto"/>
        </w:rPr>
      </w:pPr>
    </w:p>
    <w:p>
      <w:pPr>
        <w:ind w:right="860"/>
        <w:spacing w:after="0" w:line="260" w:lineRule="auto"/>
        <w:rPr>
          <w:sz w:val="20"/>
          <w:szCs w:val="20"/>
          <w:color w:val="auto"/>
        </w:rPr>
      </w:pPr>
      <w:r>
        <w:rPr>
          <w:rFonts w:ascii="Times New Roman" w:cs="Times New Roman" w:eastAsia="Times New Roman" w:hAnsi="Times New Roman"/>
          <w:sz w:val="18"/>
          <w:szCs w:val="18"/>
          <w:color w:val="auto"/>
        </w:rPr>
        <w:t>Cash flow from investing activities included $13 million of capital expenditures for the nine months ended September 30, 2020. Kodak expects approximately $15 million of total capital expenditures for 2020.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have concluded that, as of the end of the period covered by this Quarterly Report on Form 10-Q, Kodak’s disclosure controls and procedures (as defined in Rules 13a-15(e) and 15d-15(e) under the Exchange Act) were not effective as a result of a material weakness that existed in Kodak’s internal control over financial reporting described below.</w:t>
      </w:r>
    </w:p>
    <w:p>
      <w:pPr>
        <w:spacing w:after="0" w:line="22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Notwithstanding the material weakness discussed below, Kodak’s management, including Kodak’s Executive Chairman and Chief Executive Officer and Chief Financial Officer, has concluded that the consolidated financial statements included in this report fairly present, in all material respects, Kodak’s financial condition, results of operations and cash flows for the periods presented, and all prior periods, in conformity with accounting principles generally accepted in the United States.</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quarter ended September 30, 2020 the Company discovered deficiencies in controls required to safeguard Company assets. The Company did not prevent the unauthorized issuance of the Company’s common stock when previously forfeited non-qualified stock options were exercised by five former officers and employees in July 2020. Errors existed in employee equity accounts for the five former officers and employees as well as other current and former officers and employees which could have resulted in additional inappropriate exercises. Controls were inadequate with regard to the timely input and verification of master data updates for equity grants, the maintenance of audit documentation of grant activity in the repository of grants serviced by a third-party administrator, and the performance of independent reconciliations of the repository to supporting company records for the detection of errors or misstatements in employee equity account balances.</w:t>
      </w:r>
    </w:p>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made progress towards remediation of the material weakness as of November 10, 2020 and expects to have these deficiencies remediated by December 31, 2020. Documentation and supervisory review controls around master data are being strengthened and an audit trail of stock-based compensation award additions and modifications is now being maintained. A complete reconciliation of the repository of equity grants is being performed and controls are being strengthened by employing an independent reconciliation process and ensuring appropriate segregation of duties. The Company is also working to correct the transactions and recover value for the options exercised in error.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 As noted above, the Company is in the process of strengthening controls to address a material weakness.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August 13, 2020 Tiandong Tang commenced a class action lawsuit against the Company, its Executive Chairman and Chief Executive Officer and its Chief Financial Officer in Federal District Court in the District of New Jersey, and on August 26, 2020 Jimmie A. McAdams and Judy P. McAdams commenced a class action lawsuit against the Company and its Executive Chairman and Chief Executive Officer in Federal District Court in the Southern District of New York (collectively, the “Securities Class Actions”). The Securities Class Actions seek damages and other relief based on alleged violations of federal securities laws in the context of the announcement of the potential DFC Loan and Pharmaceutical Initiative discussed under Item 1A. Risk Factors below (the “Pharmaceutical Announcement”). The Company intends to vigorously defend itself against the Securities Class Actions.</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the Securities Class Actions, the Company has received two requests under New Jersey law demanding, among other things, that the Company take certain actions in response to alleged breaches of fiduciary duty relating to option grants and securities transactions in the context of the Pharmaceutical Announcement and alleged proxy disclosure deficiencies. The Company is in the process of responding to these requests, and its response may serve as the basis for the requestors to bring shareholder derivative lawsuits which the Company intends to vigorously defend.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Pharmaceutical Announcement has also given rise to investigations by several congressional committees and the SEC. The Company is cooperating in those investigations.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September 30, 2020, Kodak’s Brazilian Operations maintained accruals of approximately $2 million for claims aggregating approximately $107 million inclusive of interest and penalties where appropriate. In connection with assessments and litigation in Brazil, local regulations may require Kodak’s Brazilian Operations to post security for a portion of the amounts in dispute. Generally, any encumbrances on the Brazilian assets would be removed to the extent the matter is resolved in Kodak’s favor.</w:t>
      </w:r>
    </w:p>
    <w:p>
      <w:pPr>
        <w:spacing w:after="0" w:line="2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21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to matters relating to Kodak’s operations, Kodak is involved in investigations being conducted by several congressional committees and the SEC stemming from events related to the announcement of the potential DFC Loan and Pharmaceutical Initiative discussed under Item 1A. Risk Factors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Reference is made to the Risk Factors set forth in Part I, Item 1A. of the 2019 Form 10-K. The Risk Factors remain applicable from the 2019 Form 10-K. In particular, Kodak continues to face risks associated with the COVID-19 pandemic as described in the 2019 Form 10-K under the captions “Risk Factors —Risks Relating to Kodak’s Business—Weakness or worsening of global economic conditions could adversely affect Kodak’s financial performance and liquidity” and “—Business disruptions could seriously harm Kodak’s future revenue and financial condition and increase its costs and expenses”. Certain known consequences to Kodak from the COVID-19 pandemic are disclosed in the financial statements contained in this Form 10-Q and under the caption “Management’s Discussion and Analysis of Financial Condition and Results of Operation.” The full extent to which the COVID-19 pandemic will impact Kodak’s results will depend on future developments, which are highly uncertain and cannot be predicted at the time of this filing, including new information which may emerge concerning the scope and duration of the pandemic and the restrictions and other actions implemented to fight it, among others. Direct and indirect effects from the COVID-19 pandemic could have a material adverse effect on the continuity of Kodak’s business operations and its results of operations and financial position, particularly if such effects have an extended duration.</w:t>
      </w:r>
    </w:p>
    <w:p>
      <w:pPr>
        <w:spacing w:after="0" w:line="2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July 28, 2020, the U.S. International Development Finance Corporation (the “DFC”) announced the signing of a non-binding letter of interest to provide a subsidiary of the Company with a potential $765 million loan (the “DFC Loan”) to support the launch of Kodak Pharmaceuticals, an initiative that would manufacture pharmaceutical ingredients for essential generic drugs (the “Pharmaceutical Initiative”).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ind w:right="80"/>
        <w:spacing w:after="0" w:line="254" w:lineRule="auto"/>
        <w:rPr>
          <w:sz w:val="20"/>
          <w:szCs w:val="20"/>
          <w:color w:val="auto"/>
        </w:rPr>
      </w:pPr>
      <w:r>
        <w:rPr>
          <w:rFonts w:ascii="Times New Roman" w:cs="Times New Roman" w:eastAsia="Times New Roman" w:hAnsi="Times New Roman"/>
          <w:sz w:val="18"/>
          <w:szCs w:val="18"/>
          <w:color w:val="auto"/>
        </w:rPr>
        <w:t>As referenced in the DFC’s announcement, the signing of the letter of interest indicates Kodak’s successful completion of the DFC’s initial screening and will be followed by standard due diligence conducted by the DFC before financing is formally committed. The letter of interest is non-binding, and there can be no assurance that the DFC’s standard due diligence will be successfully completed or that, even if the due diligence is successfully completed, the DFC will proceed with the potential DFC Loan. Congressional investigations and an SEC investigation have been commenced which could affect the likelihood of the consummation of the DFC Loan. The DFC has tweeted that it will not proceed any further with the potential DFC Loan unless the recent allegations raised in the context of the potential DFC Loan have been cleared and has reported that its inspector general is conducting an internal investigation with respect to the potential DFC Loan. The potential DFC Loan has sparked intense media interest and coverage. If the DFC Loan is not made or if the findings of the investigations are unfavorable, Kodak’s reputation could be damaged and its existing business could be adversely affected.</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the DFC Loan is ultimately consummated or Kodak proceeds with the Pharmaceutical Initiative by raising alternative capital, the Pharmaceutical Initiative will be subject to the risks associated with Kodak’s business generally as described in the 2019 Form 10-K under the caption “Risk Factors— Risks Relating to Kodak’s Business”. Based on the developmental nature of the Pharmaceutical Initiative, if the project proceeds Kodak will face heightened risks relating to talent acquisition, construction, obtaining regulatory approvals, cost overruns, delays, product development and market development, among others. In particular, the economic success of the Pharmaceutical Initiative will depend in large part on products produced by the Pharmaceutical Initiative being able to successfully compete with pharmaceutical ingredients supplied by low-cost countries such as China and India through manufacturing and operating efficiencies, “buy American” initiatives or mandates, or otherwise. If the Pharmaceutical Initiative is not able to compete effectively or otherwise generate positive cash flow, the subsidiary operating the Pharmaceutical Initiative (the “Pharmaceutical Subsidiary”) may not be able to distribute profits to the Company or repay the DFC Loan. It is contemplated that if the Pharmaceutical Subsidiary defaults on the DFC Loan, the Company will lose its equity interest in the Pharmaceutical Subsidiary (and, indirectly, the buildings and assets contributed by Kodak to the Pharmaceutical Subsidiary in connection with the Pharmaceutical Initiative). It is not contemplated that the Company will be a guarantor of the DFC Loan or responsible to repay the DFC Loan should the Pharmaceutical Subsidiary default on the DFC Loan.</w:t>
      </w:r>
    </w:p>
    <w:p>
      <w:pPr>
        <w:spacing w:after="0" w:line="2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described in the 2019 Form 10-K under the caption “Risk Factors—Risks Related to the Company’s Common Stock—The Company’s stock price has been and may continue to be volatile”, there have been and may continue to be significant fluctuations in the market price of the Company’s common stock. For example, there have been significant market price fluctuations following the recent announcement of the potential DFC Loan and Pharmaceutical Initiative. The market price of the Company’s common stock may be particularly susceptible to additional significant fluctuations based on future announcements or disclosures concerning the potential DFC Loan, the Pharmaceutical Initiative, the related congressional and SEC investigations and the related litigations and claims.</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described in the 2019 Form 10-K under the caption “Risk Factors—Risks Related to the Company’s Common Stock—The Company has registered the resale of a large portion of its outstanding securities. The resale of the Company’s common stock, or the perception that such resale may occur, may adversely affect the price of its common stock, the resale of a substantial number of shares of common stock in the public market, or the perception that such resale might occur, could cause the market price of the Company’s common stock to decline. On August 3, 2020, the Company issued the 29,922,956 Conversion Shares to the holders of the Converted Notes (the “Converting Holders”). Based on filings made by the Converting Holders with the SEC, the Converting Holders have sold into the market all of the 29,922,956 Conversion Shares as well as an additional 4,000,000 shares of common stock previously registered for resale by one of the Converting 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60" w:lineRule="exact"/>
        <w:rPr>
          <w:sz w:val="20"/>
          <w:szCs w:val="20"/>
          <w:color w:val="auto"/>
        </w:rPr>
      </w:pPr>
    </w:p>
    <w:p>
      <w:pPr>
        <w:ind w:left="560" w:right="4760" w:hanging="552"/>
        <w:spacing w:after="0" w:line="568" w:lineRule="auto"/>
        <w:tabs>
          <w:tab w:leader="none" w:pos="55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Sales of unregistered securities during the quarter ended September 30, 2020 </w:t>
      </w:r>
      <w:r>
        <w:rPr>
          <w:rFonts w:ascii="Times New Roman" w:cs="Times New Roman" w:eastAsia="Times New Roman" w:hAnsi="Times New Roman"/>
          <w:sz w:val="18"/>
          <w:szCs w:val="18"/>
          <w:color w:val="auto"/>
        </w:rPr>
        <w:t>None</w:t>
      </w:r>
    </w:p>
    <w:p>
      <w:pPr>
        <w:spacing w:after="0" w:line="46" w:lineRule="exact"/>
        <w:rPr>
          <w:rFonts w:ascii="Times New Roman" w:cs="Times New Roman" w:eastAsia="Times New Roman" w:hAnsi="Times New Roman"/>
          <w:sz w:val="18"/>
          <w:szCs w:val="18"/>
          <w:b w:val="1"/>
          <w:bCs w:val="1"/>
          <w:color w:val="auto"/>
        </w:rPr>
      </w:pPr>
    </w:p>
    <w:p>
      <w:pPr>
        <w:ind w:left="560" w:hanging="552"/>
        <w:spacing w:after="0"/>
        <w:tabs>
          <w:tab w:leader="none" w:pos="5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during the quarter ended September 30, 2020 </w:t>
      </w:r>
      <w:r>
        <w:rPr>
          <w:rFonts w:ascii="Times New Roman" w:cs="Times New Roman" w:eastAsia="Times New Roman" w:hAnsi="Times New Roman"/>
          <w:sz w:val="15"/>
          <w:szCs w:val="15"/>
          <w:b w:val="1"/>
          <w:bCs w:val="1"/>
          <w:color w:val="auto"/>
        </w:rPr>
        <w:t>(1)</w:t>
      </w:r>
    </w:p>
    <w:p>
      <w:pPr>
        <w:spacing w:after="0" w:line="53" w:lineRule="exact"/>
        <w:rPr>
          <w:rFonts w:ascii="Times New Roman" w:cs="Times New Roman" w:eastAsia="Times New Roman" w:hAnsi="Times New Roman"/>
          <w:sz w:val="18"/>
          <w:szCs w:val="18"/>
          <w:b w:val="1"/>
          <w:bCs w:val="1"/>
          <w:color w:val="auto"/>
        </w:rPr>
      </w:pPr>
    </w:p>
    <w:p>
      <w:pPr>
        <w:ind w:left="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0" w:type="dxa"/>
            <w:vAlign w:val="bottom"/>
          </w:tcPr>
          <w:p>
            <w:pPr>
              <w:spacing w:after="0"/>
              <w:rPr>
                <w:sz w:val="12"/>
                <w:szCs w:val="12"/>
                <w:color w:val="auto"/>
              </w:rPr>
            </w:pPr>
          </w:p>
        </w:tc>
        <w:tc>
          <w:tcPr>
            <w:tcW w:w="1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12"/>
                <w:szCs w:val="12"/>
                <w:b w:val="1"/>
                <w:bCs w:val="1"/>
                <w:color w:val="auto"/>
              </w:rPr>
              <w:t>(2)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through 31</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August 1 through 31</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n/a</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through 30</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n/a</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740" w:hanging="368"/>
        <w:spacing w:after="0"/>
        <w:tabs>
          <w:tab w:leader="none" w:pos="740" w:val="left"/>
        </w:tabs>
        <w:numPr>
          <w:ilvl w:val="0"/>
          <w:numId w:val="3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These purchases were made to satisfy tax withholding obligations in connection with the vesting of restricted stock units issued to employees.</w:t>
      </w:r>
    </w:p>
    <w:p>
      <w:pPr>
        <w:spacing w:after="0" w:line="10" w:lineRule="exact"/>
        <w:rPr>
          <w:rFonts w:ascii="Times New Roman" w:cs="Times New Roman" w:eastAsia="Times New Roman" w:hAnsi="Times New Roman"/>
          <w:sz w:val="28"/>
          <w:szCs w:val="28"/>
          <w:color w:val="auto"/>
          <w:vertAlign w:val="superscript"/>
        </w:rPr>
      </w:pPr>
    </w:p>
    <w:p>
      <w:pPr>
        <w:ind w:left="740" w:hanging="368"/>
        <w:spacing w:after="0" w:line="182" w:lineRule="auto"/>
        <w:tabs>
          <w:tab w:leader="none" w:pos="74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Kodak does not have a publicly announced repurchase plan or program.</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80"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20" w:type="dxa"/>
            <w:vAlign w:val="bottom"/>
            <w:gridSpan w:val="11"/>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9"/>
              </w:rPr>
              <w:t>Eastman Kodak Company</w:t>
            </w:r>
          </w:p>
        </w:tc>
      </w:tr>
      <w:tr>
        <w:trPr>
          <w:trHeight w:val="238"/>
        </w:trPr>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20" w:type="dxa"/>
            <w:vAlign w:val="bottom"/>
            <w:gridSpan w:val="11"/>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418"/>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w:t>
            </w:r>
          </w:p>
        </w:tc>
        <w:tc>
          <w:tcPr>
            <w:tcW w:w="97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Second Amended and Restated Certificate of Incorporation of Eastman Kodak Company (Incorporated by reference to Exhibit (4.1) of</w:t>
              </w:r>
            </w:hyperlink>
          </w:p>
        </w:tc>
        <w:tc>
          <w:tcPr>
            <w:tcW w:w="140" w:type="dxa"/>
            <w:vAlign w:val="bottom"/>
            <w:gridSpan w:val="2"/>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60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the Company’s Registration Statement on Form S-8 as filed on September 3, 2013).</w:t>
              </w:r>
            </w:hyperlink>
          </w:p>
        </w:tc>
        <w:tc>
          <w:tcPr>
            <w:tcW w:w="3820" w:type="dxa"/>
            <w:vAlign w:val="bottom"/>
            <w:gridSpan w:val="10"/>
          </w:tcPr>
          <w:p>
            <w:pPr>
              <w:spacing w:after="0"/>
              <w:rPr>
                <w:sz w:val="17"/>
                <w:szCs w:val="17"/>
                <w:color w:val="auto"/>
              </w:rPr>
            </w:pPr>
          </w:p>
        </w:tc>
      </w:tr>
      <w:tr>
        <w:trPr>
          <w:trHeight w:val="43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w:t>
            </w:r>
          </w:p>
        </w:tc>
        <w:tc>
          <w:tcPr>
            <w:tcW w:w="9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Certificate of Amendment to the Second Amended and Restated Certificate of Incorporation of Eastman Kodak Company (Incorporated</w:t>
              </w:r>
            </w:hyperlink>
          </w:p>
        </w:tc>
        <w:tc>
          <w:tcPr>
            <w:tcW w:w="4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7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by reference to Exhibit (3.1) of the Company’s Current Report on Form 8-K as filed November 16, 2016).</w:t>
              </w:r>
            </w:hyperlink>
          </w:p>
        </w:tc>
        <w:tc>
          <w:tcPr>
            <w:tcW w:w="2200" w:type="dxa"/>
            <w:vAlign w:val="bottom"/>
            <w:gridSpan w:val="8"/>
          </w:tcPr>
          <w:p>
            <w:pPr>
              <w:spacing w:after="0"/>
              <w:rPr>
                <w:sz w:val="17"/>
                <w:szCs w:val="17"/>
                <w:color w:val="auto"/>
              </w:rPr>
            </w:pPr>
          </w:p>
        </w:tc>
      </w:tr>
      <w:tr>
        <w:trPr>
          <w:trHeight w:val="43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w:t>
            </w:r>
          </w:p>
        </w:tc>
        <w:tc>
          <w:tcPr>
            <w:tcW w:w="9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Certificate of Amendment to the Second Amended and Restated Certificate of Incorporation of Eastman Kodak Company (Incorporated</w:t>
              </w:r>
            </w:hyperlink>
          </w:p>
        </w:tc>
        <w:tc>
          <w:tcPr>
            <w:tcW w:w="4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7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by reference to Exhibit (3.1) of the Company’s Current Report on Form 8-K as filed September 12, 2019).</w:t>
              </w:r>
            </w:hyperlink>
          </w:p>
        </w:tc>
        <w:tc>
          <w:tcPr>
            <w:tcW w:w="2200" w:type="dxa"/>
            <w:vAlign w:val="bottom"/>
            <w:gridSpan w:val="8"/>
          </w:tcPr>
          <w:p>
            <w:pPr>
              <w:spacing w:after="0"/>
              <w:rPr>
                <w:sz w:val="17"/>
                <w:szCs w:val="17"/>
                <w:color w:val="auto"/>
              </w:rPr>
            </w:pPr>
          </w:p>
        </w:tc>
      </w:tr>
      <w:tr>
        <w:trPr>
          <w:trHeight w:val="43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w:t>
            </w:r>
          </w:p>
        </w:tc>
        <w:tc>
          <w:tcPr>
            <w:tcW w:w="9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Certificate of Amendment to the Second Amended and Restated Certificate of Incorporation of Eastman Kodak Company (Incorporated</w:t>
              </w:r>
            </w:hyperlink>
          </w:p>
        </w:tc>
        <w:tc>
          <w:tcPr>
            <w:tcW w:w="4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7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by reference to Exhibit (3.2) of the Company’s Current Report on Form 8-K as filed September 12, 2019).</w:t>
              </w:r>
            </w:hyperlink>
          </w:p>
        </w:tc>
        <w:tc>
          <w:tcPr>
            <w:tcW w:w="2200" w:type="dxa"/>
            <w:vAlign w:val="bottom"/>
            <w:gridSpan w:val="8"/>
          </w:tcPr>
          <w:p>
            <w:pPr>
              <w:spacing w:after="0"/>
              <w:rPr>
                <w:sz w:val="17"/>
                <w:szCs w:val="17"/>
                <w:color w:val="auto"/>
              </w:rPr>
            </w:pPr>
          </w:p>
        </w:tc>
      </w:tr>
      <w:tr>
        <w:trPr>
          <w:trHeight w:val="43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w:t>
            </w:r>
          </w:p>
        </w:tc>
        <w:tc>
          <w:tcPr>
            <w:tcW w:w="9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Fourth Amended and Restated By-Laws of Eastman Kodak Company, (Incorporated by reference to Exhibit (3.5) of the Company’s</w:t>
              </w:r>
            </w:hyperlink>
          </w:p>
        </w:tc>
        <w:tc>
          <w:tcPr>
            <w:tcW w:w="340" w:type="dxa"/>
            <w:vAlign w:val="bottom"/>
            <w:gridSpan w:val="4"/>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40" w:type="dxa"/>
            <w:vAlign w:val="bottom"/>
            <w:gridSpan w:val="15"/>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Quarterly Report on Form 10-Q for the quarterly period ended March 31, 2020 as filed on May 12, 2020).</w:t>
              </w:r>
            </w:hyperlink>
          </w:p>
        </w:tc>
      </w:tr>
      <w:tr>
        <w:trPr>
          <w:trHeight w:val="480"/>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7620" w:type="dxa"/>
            <w:vAlign w:val="bottom"/>
            <w:tcBorders>
              <w:top w:val="single" w:sz="8" w:color="0000EE"/>
            </w:tcBorders>
            <w:gridSpan w:val="6"/>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James V. Continenza Nonqualified Stock Option Award Agreement, dated July 27, 2020, filed herewith.</w:t>
              </w:r>
            </w:hyperlink>
          </w:p>
        </w:tc>
        <w:tc>
          <w:tcPr>
            <w:tcW w:w="2220" w:type="dxa"/>
            <w:vAlign w:val="bottom"/>
            <w:gridSpan w:val="9"/>
          </w:tcPr>
          <w:p>
            <w:pPr>
              <w:spacing w:after="0"/>
              <w:rPr>
                <w:sz w:val="24"/>
                <w:szCs w:val="24"/>
                <w:color w:val="auto"/>
              </w:rPr>
            </w:pPr>
          </w:p>
        </w:tc>
      </w:tr>
      <w:tr>
        <w:trPr>
          <w:trHeight w:val="418"/>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Eastman Kodak Company 2013 Omnibus Incentive Plan Form of Executive Nonqualifed Stock Option Award Agreement (multiple</w:t>
              </w:r>
            </w:hyperlink>
          </w:p>
        </w:tc>
        <w:tc>
          <w:tcPr>
            <w:tcW w:w="360" w:type="dxa"/>
            <w:vAlign w:val="bottom"/>
            <w:gridSpan w:val="5"/>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40" w:type="dxa"/>
            <w:vAlign w:val="bottom"/>
            <w:gridSpan w:val="15"/>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tranches), filed herewith</w:t>
              </w:r>
              <w:r>
                <w:rPr>
                  <w:rFonts w:ascii="Times New Roman" w:cs="Times New Roman" w:eastAsia="Times New Roman" w:hAnsi="Times New Roman"/>
                  <w:sz w:val="18"/>
                  <w:szCs w:val="18"/>
                  <w:color w:val="000000"/>
                </w:rPr>
                <w:t>.</w:t>
              </w:r>
            </w:hyperlink>
          </w:p>
        </w:tc>
      </w:tr>
      <w:tr>
        <w:trPr>
          <w:trHeight w:val="20"/>
        </w:trPr>
        <w:tc>
          <w:tcPr>
            <w:tcW w:w="14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43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w:t>
            </w:r>
          </w:p>
        </w:tc>
        <w:tc>
          <w:tcPr>
            <w:tcW w:w="93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Eastman Kodak Company 2013 Omnibus Incentive Plan Form of Director Nonqualifed Stock Option Award Agreement (multiple</w:t>
              </w:r>
            </w:hyperlink>
          </w:p>
        </w:tc>
        <w:tc>
          <w:tcPr>
            <w:tcW w:w="480" w:type="dxa"/>
            <w:vAlign w:val="bottom"/>
            <w:gridSpan w:val="7"/>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1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69">
              <w:r>
                <w:rPr>
                  <w:rFonts w:ascii="Times New Roman" w:cs="Times New Roman" w:eastAsia="Times New Roman" w:hAnsi="Times New Roman"/>
                  <w:sz w:val="18"/>
                  <w:szCs w:val="18"/>
                  <w:color w:val="0000EE"/>
                  <w:w w:val="98"/>
                </w:rPr>
                <w:t>tranches), filed herewith.</w:t>
              </w:r>
            </w:hyperlink>
          </w:p>
        </w:tc>
        <w:tc>
          <w:tcPr>
            <w:tcW w:w="8040" w:type="dxa"/>
            <w:vAlign w:val="bottom"/>
            <w:gridSpan w:val="13"/>
          </w:tcPr>
          <w:p>
            <w:pPr>
              <w:spacing w:after="0"/>
              <w:rPr>
                <w:sz w:val="17"/>
                <w:szCs w:val="17"/>
                <w:color w:val="auto"/>
              </w:rPr>
            </w:pPr>
          </w:p>
        </w:tc>
      </w:tr>
      <w:tr>
        <w:trPr>
          <w:trHeight w:val="47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(31.1)</w:t>
            </w:r>
          </w:p>
        </w:tc>
        <w:tc>
          <w:tcPr>
            <w:tcW w:w="9840" w:type="dxa"/>
            <w:vAlign w:val="bottom"/>
            <w:gridSpan w:val="15"/>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u w:val="single" w:color="auto"/>
                  <w:color w:val="0000EE"/>
                </w:rPr>
                <w:t>Certification signed by James V. Continenza, filed herewith</w:t>
              </w:r>
            </w:hyperlink>
            <w:r>
              <w:rPr>
                <w:rFonts w:ascii="Times New Roman" w:cs="Times New Roman" w:eastAsia="Times New Roman" w:hAnsi="Times New Roman"/>
                <w:sz w:val="18"/>
                <w:szCs w:val="18"/>
                <w:color w:val="000000"/>
              </w:rPr>
              <w:t>.</w:t>
            </w:r>
          </w:p>
        </w:tc>
      </w:tr>
      <w:tr>
        <w:trPr>
          <w:trHeight w:val="45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(31.2)</w:t>
            </w:r>
          </w:p>
        </w:tc>
        <w:tc>
          <w:tcPr>
            <w:tcW w:w="9840" w:type="dxa"/>
            <w:vAlign w:val="bottom"/>
            <w:gridSpan w:val="15"/>
          </w:tcPr>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Certification signed by David E. Bullwinkle, filed herewith.</w:t>
              </w:r>
            </w:hyperlink>
          </w:p>
        </w:tc>
      </w:tr>
      <w:tr>
        <w:trPr>
          <w:trHeight w:val="418"/>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95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Certification Pursuant to 18 U.S.C. Section 1350, as Adopted Pursuant to Section 906 of the Sarbanes-Oxley Act of 2002, signed by</w:t>
              </w:r>
            </w:hyperlink>
          </w:p>
        </w:tc>
        <w:tc>
          <w:tcPr>
            <w:tcW w:w="320" w:type="dxa"/>
            <w:vAlign w:val="bottom"/>
            <w:gridSpan w:val="3"/>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40" w:type="dxa"/>
            <w:vAlign w:val="bottom"/>
            <w:gridSpan w:val="15"/>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James V. Continenza, filed herewith</w:t>
              </w:r>
              <w:r>
                <w:rPr>
                  <w:rFonts w:ascii="Times New Roman" w:cs="Times New Roman" w:eastAsia="Times New Roman" w:hAnsi="Times New Roman"/>
                  <w:sz w:val="18"/>
                  <w:szCs w:val="18"/>
                  <w:color w:val="000000"/>
                </w:rPr>
                <w:t>.</w:t>
              </w:r>
            </w:hyperlink>
          </w:p>
        </w:tc>
      </w:tr>
      <w:tr>
        <w:trPr>
          <w:trHeight w:val="20"/>
        </w:trPr>
        <w:tc>
          <w:tcPr>
            <w:tcW w:w="142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4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r>
      <w:tr>
        <w:trPr>
          <w:trHeight w:val="43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9840" w:type="dxa"/>
            <w:vAlign w:val="bottom"/>
            <w:gridSpan w:val="15"/>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Certification Pursuant to 18 U.S.C. Section 1350, as Adopted Pursuant to Section 906 of the Sarbanes-Oxley Act of 2002 signed by</w:t>
              </w:r>
            </w:hyperlink>
          </w:p>
        </w:tc>
      </w:tr>
      <w:tr>
        <w:trPr>
          <w:trHeight w:val="196"/>
        </w:trPr>
        <w:tc>
          <w:tcPr>
            <w:tcW w:w="142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David E. Bullwinkle, filed herewith.</w:t>
              </w:r>
            </w:hyperlink>
          </w:p>
        </w:tc>
        <w:tc>
          <w:tcPr>
            <w:tcW w:w="6840" w:type="dxa"/>
            <w:vAlign w:val="bottom"/>
            <w:tcBorders>
              <w:top w:val="single" w:sz="8" w:color="0000EE"/>
            </w:tcBorders>
            <w:gridSpan w:val="5"/>
          </w:tcPr>
          <w:p>
            <w:pPr>
              <w:spacing w:after="0"/>
              <w:rPr>
                <w:sz w:val="17"/>
                <w:szCs w:val="17"/>
                <w:color w:val="auto"/>
              </w:rPr>
            </w:pPr>
          </w:p>
        </w:tc>
        <w:tc>
          <w:tcPr>
            <w:tcW w:w="380" w:type="dxa"/>
            <w:vAlign w:val="bottom"/>
            <w:gridSpan w:val="6"/>
          </w:tcPr>
          <w:p>
            <w:pPr>
              <w:spacing w:after="0"/>
              <w:rPr>
                <w:sz w:val="17"/>
                <w:szCs w:val="17"/>
                <w:color w:val="auto"/>
              </w:rPr>
            </w:pPr>
          </w:p>
        </w:tc>
      </w:tr>
      <w:tr>
        <w:trPr>
          <w:trHeight w:val="480"/>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(101.CAL)</w:t>
            </w:r>
          </w:p>
        </w:tc>
        <w:tc>
          <w:tcPr>
            <w:tcW w:w="98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45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5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(101.LAB)</w:t>
            </w:r>
          </w:p>
        </w:tc>
        <w:tc>
          <w:tcPr>
            <w:tcW w:w="98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45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45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98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Linkbase.</w:t>
            </w:r>
          </w:p>
        </w:tc>
      </w:tr>
      <w:tr>
        <w:trPr>
          <w:trHeight w:val="45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918"/>
        </w:trPr>
        <w:tc>
          <w:tcPr>
            <w:tcW w:w="1420" w:type="dxa"/>
            <w:vAlign w:val="bottom"/>
          </w:tcPr>
          <w:p>
            <w:pPr>
              <w:spacing w:after="0"/>
              <w:rPr>
                <w:sz w:val="24"/>
                <w:szCs w:val="24"/>
                <w:color w:val="auto"/>
              </w:rPr>
            </w:pPr>
          </w:p>
        </w:tc>
        <w:tc>
          <w:tcPr>
            <w:tcW w:w="6020" w:type="dxa"/>
            <w:vAlign w:val="bottom"/>
            <w:gridSpan w:val="5"/>
          </w:tcPr>
          <w:p>
            <w:pPr>
              <w:jc w:val="center"/>
              <w:ind w:left="2310"/>
              <w:spacing w:after="0"/>
              <w:rPr>
                <w:sz w:val="20"/>
                <w:szCs w:val="20"/>
                <w:color w:val="auto"/>
              </w:rPr>
            </w:pPr>
            <w:r>
              <w:rPr>
                <w:rFonts w:ascii="Times New Roman" w:cs="Times New Roman" w:eastAsia="Times New Roman" w:hAnsi="Times New Roman"/>
                <w:sz w:val="18"/>
                <w:szCs w:val="18"/>
                <w:color w:val="auto"/>
                <w:w w:val="99"/>
              </w:rPr>
              <w:t>[57]</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891"/>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November 10, 2020</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Eric Samuels</w:t>
            </w:r>
          </w:p>
        </w:tc>
      </w:tr>
      <w:tr>
        <w:trPr>
          <w:trHeight w:val="187"/>
        </w:trPr>
        <w:tc>
          <w:tcPr>
            <w:tcW w:w="6200" w:type="dxa"/>
            <w:vAlign w:val="bottom"/>
          </w:tcPr>
          <w:p>
            <w:pPr>
              <w:spacing w:after="0"/>
              <w:rPr>
                <w:sz w:val="16"/>
                <w:szCs w:val="16"/>
                <w:color w:val="auto"/>
              </w:rPr>
            </w:pPr>
          </w:p>
        </w:tc>
        <w:tc>
          <w:tcPr>
            <w:tcW w:w="50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Eric Samuels</w:t>
            </w:r>
          </w:p>
        </w:tc>
      </w:tr>
      <w:tr>
        <w:trPr>
          <w:trHeight w:val="216"/>
        </w:trPr>
        <w:tc>
          <w:tcPr>
            <w:tcW w:w="6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Accounting Officer and Corporate Controller</w:t>
            </w:r>
          </w:p>
        </w:tc>
      </w:tr>
      <w:tr>
        <w:trPr>
          <w:trHeight w:val="238"/>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EASTMAN KODAK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2013 OMNIBUS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Award Agreement</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“Award Agreement” evidences an award of Nonqualified Stock Options (the “</w:t>
      </w: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by the Company under the Eastman Kodak Company 2013 Omnibus Incentive Plan, as indicated below. The Options are subject to all other terms set forth in the Plan and this Award Agreement. Capitalized terms not defined in this Award Agreement have the meanings given to them in the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Name of Grantee:</w:t>
            </w:r>
          </w:p>
        </w:tc>
        <w:tc>
          <w:tcPr>
            <w:tcW w:w="500" w:type="dxa"/>
            <w:vAlign w:val="bottom"/>
          </w:tcPr>
          <w:p>
            <w:pPr>
              <w:spacing w:after="0"/>
              <w:rPr>
                <w:sz w:val="19"/>
                <w:szCs w:val="19"/>
                <w:color w:val="auto"/>
              </w:rPr>
            </w:pPr>
          </w:p>
        </w:tc>
        <w:tc>
          <w:tcPr>
            <w:tcW w:w="32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James V. Continenza</w:t>
            </w:r>
          </w:p>
        </w:tc>
        <w:tc>
          <w:tcPr>
            <w:tcW w:w="0" w:type="dxa"/>
            <w:vAlign w:val="bottom"/>
          </w:tcPr>
          <w:p>
            <w:pPr>
              <w:spacing w:after="0"/>
              <w:rPr>
                <w:sz w:val="1"/>
                <w:szCs w:val="1"/>
                <w:color w:val="auto"/>
              </w:rPr>
            </w:pPr>
          </w:p>
        </w:tc>
      </w:tr>
      <w:tr>
        <w:trPr>
          <w:trHeight w:val="20"/>
        </w:trPr>
        <w:tc>
          <w:tcPr>
            <w:tcW w:w="1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80" w:type="dxa"/>
            <w:vAlign w:val="bottom"/>
            <w:vMerge w:val="continue"/>
          </w:tcPr>
          <w:p>
            <w:pPr>
              <w:spacing w:after="0"/>
              <w:rPr>
                <w:sz w:val="24"/>
                <w:szCs w:val="24"/>
                <w:color w:val="auto"/>
              </w:rPr>
            </w:pPr>
          </w:p>
        </w:tc>
        <w:tc>
          <w:tcPr>
            <w:tcW w:w="1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7"/>
              </w:rPr>
              <w:t>July 27, 2020</w:t>
            </w:r>
          </w:p>
        </w:tc>
        <w:tc>
          <w:tcPr>
            <w:tcW w:w="2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Number of Options:</w:t>
            </w:r>
          </w:p>
        </w:tc>
        <w:tc>
          <w:tcPr>
            <w:tcW w:w="180" w:type="dxa"/>
            <w:vAlign w:val="bottom"/>
          </w:tcPr>
          <w:p>
            <w:pPr>
              <w:spacing w:after="0"/>
              <w:rPr>
                <w:sz w:val="24"/>
                <w:szCs w:val="24"/>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w w:val="98"/>
              </w:rPr>
              <w:t>981,707 with an Option Price of $3.03</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u w:val="single" w:color="auto"/>
          <w:color w:val="auto"/>
        </w:rPr>
        <w:t>298,780</w:t>
      </w:r>
      <w:r>
        <w:rPr>
          <w:rFonts w:ascii="Times New Roman" w:cs="Times New Roman" w:eastAsia="Times New Roman" w:hAnsi="Times New Roman"/>
          <w:sz w:val="20"/>
          <w:szCs w:val="20"/>
          <w:color w:val="auto"/>
        </w:rPr>
        <w:t xml:space="preserve"> with an Option Price of </w:t>
      </w:r>
      <w:r>
        <w:rPr>
          <w:rFonts w:ascii="Times New Roman" w:cs="Times New Roman" w:eastAsia="Times New Roman" w:hAnsi="Times New Roman"/>
          <w:sz w:val="20"/>
          <w:szCs w:val="20"/>
          <w:u w:val="single" w:color="auto"/>
          <w:color w:val="auto"/>
        </w:rPr>
        <w:t>$4.53</w:t>
      </w:r>
    </w:p>
    <w:p>
      <w:pPr>
        <w:spacing w:after="0" w:line="2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u w:val="single" w:color="auto"/>
          <w:color w:val="auto"/>
        </w:rPr>
        <w:t>298,780</w:t>
      </w:r>
      <w:r>
        <w:rPr>
          <w:rFonts w:ascii="Times New Roman" w:cs="Times New Roman" w:eastAsia="Times New Roman" w:hAnsi="Times New Roman"/>
          <w:sz w:val="20"/>
          <w:szCs w:val="20"/>
          <w:color w:val="auto"/>
        </w:rPr>
        <w:t xml:space="preserve"> with an Option Price of </w:t>
      </w:r>
      <w:r>
        <w:rPr>
          <w:rFonts w:ascii="Times New Roman" w:cs="Times New Roman" w:eastAsia="Times New Roman" w:hAnsi="Times New Roman"/>
          <w:sz w:val="20"/>
          <w:szCs w:val="20"/>
          <w:u w:val="single" w:color="auto"/>
          <w:color w:val="auto"/>
        </w:rPr>
        <w:t>$6.03</w:t>
      </w:r>
    </w:p>
    <w:p>
      <w:pPr>
        <w:spacing w:after="0" w:line="2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u w:val="single" w:color="auto"/>
          <w:color w:val="auto"/>
        </w:rPr>
        <w:t>170,733</w:t>
      </w:r>
      <w:r>
        <w:rPr>
          <w:rFonts w:ascii="Times New Roman" w:cs="Times New Roman" w:eastAsia="Times New Roman" w:hAnsi="Times New Roman"/>
          <w:sz w:val="20"/>
          <w:szCs w:val="20"/>
          <w:color w:val="auto"/>
        </w:rPr>
        <w:t xml:space="preserve"> with an Option Price of </w:t>
      </w:r>
      <w:r>
        <w:rPr>
          <w:rFonts w:ascii="Times New Roman" w:cs="Times New Roman" w:eastAsia="Times New Roman" w:hAnsi="Times New Roman"/>
          <w:sz w:val="20"/>
          <w:szCs w:val="20"/>
          <w:u w:val="single" w:color="auto"/>
          <w:color w:val="auto"/>
        </w:rPr>
        <w:t>$12.00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22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28.57% of the Options of each tranche will be vested immediately. 71.43% of the Options of each tranche (the “Conversion Vesting Options”) will vest upon the conversion of the Company’s $100,000,000 of outstanding 5% Secured Convertible Promissory Notes due 2021 (the “Notes”). In the event a portion of the Notes is converted, a corresponding pro rata portion of the Conversion Vesting Options of each tranche will vest upon such conversion. If any of the Notes are repaid or otherwise extinguished without being converted, the corresponding pro rata portion of the Conversion Vesting Options of each tranche will be forfeited upon such repayment.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Vesting:</w:t>
      </w:r>
    </w:p>
    <w:p>
      <w:pPr>
        <w:spacing w:after="0" w:line="200" w:lineRule="exact"/>
        <w:rPr>
          <w:sz w:val="20"/>
          <w:szCs w:val="20"/>
          <w:color w:val="auto"/>
        </w:rPr>
      </w:pP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Vesting Schedule for any Options awarded is set forth above under “Vesting Schedule.” Upon termination of employment, vested Options shall remain exercisable until they expire as set forth below under “Expiration Date” and unvested Options shall survive such termination and shall continue to vest (or be forfeited) in accordance with the Vesting Schedule above following the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Exercise:</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 Option will be exercisable prior to the date on which it vests. Upon Vesting, the Options will allow the purchase of Shares at the Option Price noted above. Each Option provides for the ability to purchase a single Share.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spacing w:after="0" w:line="268" w:lineRule="auto"/>
        <w:rPr>
          <w:sz w:val="20"/>
          <w:szCs w:val="20"/>
          <w:color w:val="auto"/>
        </w:rPr>
      </w:pPr>
      <w:r>
        <w:rPr>
          <w:rFonts w:ascii="Times New Roman" w:cs="Times New Roman" w:eastAsia="Times New Roman" w:hAnsi="Times New Roman"/>
          <w:sz w:val="20"/>
          <w:szCs w:val="20"/>
          <w:color w:val="auto"/>
        </w:rPr>
        <w:t>Subject to the “Withholding” provision below, the Options shall be exercised by written notice or by any other method permitted by the Committee stating the number of Options to be exercised, with payment of the aggregate Option Price for the number of Options exercised.</w:t>
      </w:r>
    </w:p>
    <w:p>
      <w:pPr>
        <w:spacing w:after="0" w:line="16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aggregate Option Price for the Shares as to which an Option is exercised shall be paid to the Company in full at the time of exercise at the election of the Grantee:</w:t>
      </w:r>
    </w:p>
    <w:p>
      <w:pPr>
        <w:spacing w:after="0" w:line="159" w:lineRule="exact"/>
        <w:rPr>
          <w:sz w:val="20"/>
          <w:szCs w:val="20"/>
          <w:color w:val="auto"/>
        </w:rPr>
      </w:pPr>
    </w:p>
    <w:p>
      <w:pPr>
        <w:ind w:left="1700" w:hanging="842"/>
        <w:spacing w:after="0"/>
        <w:tabs>
          <w:tab w:leader="none" w:pos="17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cash or its equivalent (e.g., by cashier’s check);</w:t>
      </w:r>
    </w:p>
    <w:p>
      <w:pPr>
        <w:spacing w:after="0" w:line="215" w:lineRule="exact"/>
        <w:rPr>
          <w:rFonts w:ascii="Times New Roman" w:cs="Times New Roman" w:eastAsia="Times New Roman" w:hAnsi="Times New Roman"/>
          <w:sz w:val="20"/>
          <w:szCs w:val="20"/>
          <w:color w:val="auto"/>
        </w:rPr>
      </w:pPr>
    </w:p>
    <w:p>
      <w:pPr>
        <w:jc w:val="both"/>
        <w:ind w:left="1700" w:hanging="842"/>
        <w:spacing w:after="0" w:line="254" w:lineRule="auto"/>
        <w:tabs>
          <w:tab w:leader="none" w:pos="17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Committee, in Shares previously owned by the Grantee having a Fair Market Value equal to the aggregate Option Price for the Shares being purchased and satisfying such other requirements as may be imposed by the Committee,</w:t>
      </w:r>
    </w:p>
    <w:p>
      <w:pPr>
        <w:spacing w:after="0" w:line="174" w:lineRule="exact"/>
        <w:rPr>
          <w:rFonts w:ascii="Times New Roman" w:cs="Times New Roman" w:eastAsia="Times New Roman" w:hAnsi="Times New Roman"/>
          <w:sz w:val="20"/>
          <w:szCs w:val="20"/>
          <w:color w:val="auto"/>
        </w:rPr>
      </w:pPr>
    </w:p>
    <w:p>
      <w:pPr>
        <w:ind w:left="1700" w:hanging="842"/>
        <w:spacing w:after="0"/>
        <w:tabs>
          <w:tab w:leader="none" w:pos="17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foregoing; or</w:t>
      </w:r>
    </w:p>
    <w:p>
      <w:pPr>
        <w:spacing w:after="0" w:line="215" w:lineRule="exact"/>
        <w:rPr>
          <w:rFonts w:ascii="Times New Roman" w:cs="Times New Roman" w:eastAsia="Times New Roman" w:hAnsi="Times New Roman"/>
          <w:sz w:val="20"/>
          <w:szCs w:val="20"/>
          <w:color w:val="auto"/>
        </w:rPr>
      </w:pPr>
    </w:p>
    <w:p>
      <w:pPr>
        <w:ind w:left="1700" w:right="20" w:hanging="842"/>
        <w:spacing w:after="0" w:line="269" w:lineRule="auto"/>
        <w:tabs>
          <w:tab w:leader="none" w:pos="17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received by the Company under a cashless exercise program (whether through a broker or otherwise) implemented by the Company in connection with the Plan.</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no circumstances will fractional Shares be issued; if the Grantee elects to pay the Option Price for the Shares using Shares already owned by him, or Shares to be received from his exercise of this Option and such payment involves a fraction of a Share, the remaining fraction of such Share shall be redeemed by the Company and the Company shall pay the Grantee the Fair Market Value of such fractional Share in cash in lieu of issuing such fractional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Expiration Date:</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Each Option will expire at the close of business on February 19, 2026, unless sooner forfeited in accordance with the terms and conditions of this Award Agreement or the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Withholding:</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Section 16.4 of the Plan, the Company shall have the power and the right to deduct or withhold (or cause to be deducted or withheld) from any amount deliverable under the Options or otherwise (including Shares otherwise deliverable), or require the Grantee to remit to the Company, the minimum statutory amount to satisfy federal, state, and local taxes, domestic or foreign, required by law or regulation to be withheld with respect to any taxable event arising in connection with the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line="268" w:lineRule="auto"/>
        <w:rPr>
          <w:sz w:val="20"/>
          <w:szCs w:val="20"/>
          <w:color w:val="auto"/>
        </w:rPr>
      </w:pPr>
      <w:r>
        <w:rPr>
          <w:rFonts w:ascii="Times New Roman" w:cs="Times New Roman" w:eastAsia="Times New Roman" w:hAnsi="Times New Roman"/>
          <w:sz w:val="20"/>
          <w:szCs w:val="20"/>
          <w:color w:val="auto"/>
        </w:rPr>
        <w:t>Subject to the Company’s automatic withholding right set out above, the Grantee may elect to satisfy the withholding requirement, in whole or in part:</w:t>
      </w:r>
    </w:p>
    <w:p>
      <w:pPr>
        <w:spacing w:after="0" w:line="161" w:lineRule="exact"/>
        <w:rPr>
          <w:sz w:val="20"/>
          <w:szCs w:val="20"/>
          <w:color w:val="auto"/>
        </w:rPr>
      </w:pPr>
    </w:p>
    <w:p>
      <w:pPr>
        <w:ind w:left="1700" w:hanging="842"/>
        <w:spacing w:after="0"/>
        <w:tabs>
          <w:tab w:leader="none" w:pos="17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having the Company withhold Shares; or</w:t>
      </w:r>
    </w:p>
    <w:p>
      <w:pPr>
        <w:spacing w:after="0" w:line="215" w:lineRule="exact"/>
        <w:rPr>
          <w:rFonts w:ascii="Times New Roman" w:cs="Times New Roman" w:eastAsia="Times New Roman" w:hAnsi="Times New Roman"/>
          <w:sz w:val="20"/>
          <w:szCs w:val="20"/>
          <w:color w:val="auto"/>
        </w:rPr>
      </w:pPr>
    </w:p>
    <w:p>
      <w:pPr>
        <w:ind w:left="1700" w:hanging="842"/>
        <w:spacing w:after="0"/>
        <w:tabs>
          <w:tab w:leader="none" w:pos="17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an independent broker-dealer arrangement to sell a sufficient number of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each case, having a Fair Market Value on the date the tax is to be determined equal to the minimum tax required to be withheld.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Grantee Rights: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Grantee will not have any of the rights of a shareholder with respect to the Shares underlying or covered by the Options, whether or not vested, until such Shares are actually issued and delivered to the Grantee.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Change of Control:</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Upon the occurrence of a Change of Control, the Committee may, but shall not be required, to make one or more of the adjustments set forth in Section 14.2 of the Plan to the Options if and to the extent that the Options are outstanding at the time of the Change of Control.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Transferability:</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Except as otherwise provided by the Plan, the Options are not in any manner subject to alteration, anticipation, sale, transfer, assignment, pledge or encumbrance.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Right to Continued Employment: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Grantee’s receipt of the Options does not give the Grantee a right to remain in the employment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Data Privacy: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By accepting the Options, the Grantee agrees that any data, including the Grantee’s personal data, may be exchanged among the Company and its Affiliates to the extent the Company determines necessary or advisable to administer the Plan and the Options, as well as with any third-party engaged by the Company to administer the Plan and the Options granted under the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Amendment:</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Pursuant to Section 15.2 of the Plan, the Committee may from time to time amend this Award Agreement; provided, however, no amendment shall materially adversely impair the rights of the Grantee under this Award Agreement without the Grantee’s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Options described in this Award Agreement are intended to be exempt from Section 409A under the stock rights exemption thereto, and the Plan and this Award Agreement shall be interpreted and administered consistent with such intention, and in accordance with Eastman Kodak Company’s Policy Regarding Section 409A Compliance. The Company may unilaterally amend this Award Agreement for purposes of exemption from or compliance with Section 409A if, in its sole discretion, the Company determines that such amendment would not have a material adverse effect with respect to the Grantee’s rights under this Award Agreement.</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the foregoing, no person connected with the Plan or the Options in any capacity, including, but not limited to, the Company and its directors, officers, agents and employees makes any representation, commitment, or guarantee that any tax treatment will be applicable with respect to the Options or payments made under this Award Agreement, or that such tax treatment will apply to or be available to the Grantee.</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Options (either at the time of vesting or exercise, or otherwise) will not be includible as compensation or earnings for purposes of any benefit or compensation plan offered by the Company or its Affiliates.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Options.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Option is subject to the Plan and any interpretations by the Committee under the Plan, which are hereby incorporated into this Award Agreement by reference and made a part hereof. In the event of any conflict between this Award Agreement and the Plan, the terms of the Plan shall control.</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Award Agreement, together with the Plan and the employment agreement between the Company and the Grantee, contains the entire agreement between the Grantee and the Company with respect to the subject matter of this Award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accepting the Options, the Grantee agrees to be subject to the terms and conditions of the Plan and this Award Agreement.</w:t>
      </w:r>
    </w:p>
    <w:p>
      <w:pPr>
        <w:spacing w:after="0" w:line="216" w:lineRule="exact"/>
        <w:rPr>
          <w:sz w:val="20"/>
          <w:szCs w:val="20"/>
          <w:color w:val="auto"/>
        </w:rPr>
      </w:pPr>
    </w:p>
    <w:p>
      <w:pPr>
        <w:ind w:left="5800" w:hanging="747"/>
        <w:spacing w:after="0"/>
        <w:tabs>
          <w:tab w:leader="none" w:pos="58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25"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u w:val="single" w:color="auto"/>
          <w:color w:val="auto"/>
        </w:rPr>
        <w:t>Appendix:</w:t>
      </w:r>
    </w:p>
    <w:p>
      <w:pPr>
        <w:spacing w:after="0" w:line="200" w:lineRule="exact"/>
        <w:rPr>
          <w:sz w:val="20"/>
          <w:szCs w:val="20"/>
          <w:color w:val="auto"/>
        </w:rPr>
      </w:pPr>
    </w:p>
    <w:p>
      <w:pPr>
        <w:spacing w:after="0" w:line="222" w:lineRule="exact"/>
        <w:rPr>
          <w:sz w:val="20"/>
          <w:szCs w:val="20"/>
          <w:color w:val="auto"/>
        </w:rPr>
      </w:pPr>
    </w:p>
    <w:p>
      <w:pPr>
        <w:ind w:left="880" w:hanging="440"/>
        <w:spacing w:after="0"/>
        <w:tabs>
          <w:tab w:leader="none" w:pos="8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any of the following:</w:t>
      </w:r>
    </w:p>
    <w:p>
      <w:pPr>
        <w:spacing w:after="0" w:line="202" w:lineRule="exact"/>
        <w:rPr>
          <w:rFonts w:ascii="Times New Roman" w:cs="Times New Roman" w:eastAsia="Times New Roman" w:hAnsi="Times New Roman"/>
          <w:sz w:val="20"/>
          <w:szCs w:val="20"/>
          <w:color w:val="auto"/>
        </w:rPr>
      </w:pPr>
    </w:p>
    <w:p>
      <w:pPr>
        <w:ind w:left="1740" w:hanging="436"/>
        <w:spacing w:after="0" w:line="295" w:lineRule="auto"/>
        <w:tabs>
          <w:tab w:leader="none" w:pos="1740"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Grantee’s continued failure, for a period of at least 30 calendar days following a written warning, to perform his or her duties in a manner deemed satisfactory by his or her supervisor, in the exercise of the supervisor’s sole discretion.</w:t>
      </w:r>
    </w:p>
    <w:p>
      <w:pPr>
        <w:spacing w:after="0" w:line="124" w:lineRule="exact"/>
        <w:rPr>
          <w:rFonts w:ascii="Times New Roman" w:cs="Times New Roman" w:eastAsia="Times New Roman" w:hAnsi="Times New Roman"/>
          <w:sz w:val="19"/>
          <w:szCs w:val="19"/>
          <w:color w:val="auto"/>
        </w:rPr>
      </w:pPr>
    </w:p>
    <w:p>
      <w:pPr>
        <w:ind w:left="1740" w:right="20" w:hanging="436"/>
        <w:spacing w:after="0" w:line="269" w:lineRule="auto"/>
        <w:tabs>
          <w:tab w:leader="none" w:pos="17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Grantee’s failure to follow a lawful written directive of the Chief Executive Officer, the Grantee’s supervisor or the Board.</w:t>
      </w:r>
    </w:p>
    <w:p>
      <w:pPr>
        <w:spacing w:after="0" w:line="145" w:lineRule="exact"/>
        <w:rPr>
          <w:rFonts w:ascii="Times New Roman" w:cs="Times New Roman" w:eastAsia="Times New Roman" w:hAnsi="Times New Roman"/>
          <w:sz w:val="20"/>
          <w:szCs w:val="20"/>
          <w:color w:val="auto"/>
        </w:rPr>
      </w:pPr>
    </w:p>
    <w:p>
      <w:pPr>
        <w:ind w:left="1740" w:hanging="436"/>
        <w:spacing w:after="0" w:line="269" w:lineRule="auto"/>
        <w:tabs>
          <w:tab w:leader="none" w:pos="17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Grantee’s willful violation of any material rule, regulation, or policy that may be established from time to time for the conduct of the Company’s business.</w:t>
      </w:r>
    </w:p>
    <w:p>
      <w:pPr>
        <w:spacing w:after="0" w:line="145" w:lineRule="exact"/>
        <w:rPr>
          <w:rFonts w:ascii="Times New Roman" w:cs="Times New Roman" w:eastAsia="Times New Roman" w:hAnsi="Times New Roman"/>
          <w:sz w:val="20"/>
          <w:szCs w:val="20"/>
          <w:color w:val="auto"/>
        </w:rPr>
      </w:pPr>
    </w:p>
    <w:p>
      <w:pPr>
        <w:ind w:left="1740" w:hanging="436"/>
        <w:spacing w:after="0" w:line="269" w:lineRule="auto"/>
        <w:tabs>
          <w:tab w:leader="none" w:pos="17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Grantee’s unlawful possession, use or sale of narcotics or other controlled substances, or performing job duties while illegally used controlled substances are present in his or her system.</w:t>
      </w:r>
    </w:p>
    <w:p>
      <w:pPr>
        <w:spacing w:after="0" w:line="145" w:lineRule="exact"/>
        <w:rPr>
          <w:rFonts w:ascii="Times New Roman" w:cs="Times New Roman" w:eastAsia="Times New Roman" w:hAnsi="Times New Roman"/>
          <w:sz w:val="20"/>
          <w:szCs w:val="20"/>
          <w:color w:val="auto"/>
        </w:rPr>
      </w:pPr>
    </w:p>
    <w:p>
      <w:pPr>
        <w:jc w:val="both"/>
        <w:ind w:left="1740" w:hanging="436"/>
        <w:spacing w:after="0" w:line="249" w:lineRule="auto"/>
        <w:tabs>
          <w:tab w:leader="none" w:pos="17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 or omission or commission by the Grantee in the scope of his or her employment (a) which results in the assessment of a civil or criminal penalty against the Grantee or the Company, or (b) which in the reasonable judgment of the Grantee’s supervisor could result in a material violation of any foreign or U.S. federal, state or local law or regulation having the force of law.</w:t>
      </w:r>
    </w:p>
    <w:p>
      <w:pPr>
        <w:spacing w:after="0" w:line="16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Grantee’s conviction of or plea of guilty or no contest to any crime involving moral turpitude.</w:t>
      </w:r>
    </w:p>
    <w:p>
      <w:pPr>
        <w:spacing w:after="0" w:line="202" w:lineRule="exact"/>
        <w:rPr>
          <w:rFonts w:ascii="Times New Roman" w:cs="Times New Roman" w:eastAsia="Times New Roman" w:hAnsi="Times New Roman"/>
          <w:sz w:val="20"/>
          <w:szCs w:val="20"/>
          <w:color w:val="auto"/>
        </w:rPr>
      </w:pPr>
    </w:p>
    <w:p>
      <w:pPr>
        <w:ind w:left="1740" w:hanging="436"/>
        <w:spacing w:after="0" w:line="269" w:lineRule="auto"/>
        <w:tabs>
          <w:tab w:leader="none" w:pos="17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misrepresentation of a material fact to, or concealment of a material fact from, the Grantee’s supervisor or any other person in the Company to whom the Grantee has a reporting relationship in any capacity.</w:t>
      </w:r>
    </w:p>
    <w:p>
      <w:pPr>
        <w:spacing w:after="0" w:line="145" w:lineRule="exact"/>
        <w:rPr>
          <w:rFonts w:ascii="Times New Roman" w:cs="Times New Roman" w:eastAsia="Times New Roman" w:hAnsi="Times New Roman"/>
          <w:sz w:val="20"/>
          <w:szCs w:val="20"/>
          <w:color w:val="auto"/>
        </w:rPr>
      </w:pPr>
    </w:p>
    <w:p>
      <w:pPr>
        <w:ind w:left="1740" w:hanging="436"/>
        <w:spacing w:after="0" w:line="269" w:lineRule="auto"/>
        <w:tabs>
          <w:tab w:leader="none" w:pos="17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Grantee’s breach of the Company’s Business Conduct Guide or the Eastman Kodak Company Employee’s Agreement.</w:t>
      </w:r>
    </w:p>
    <w:p>
      <w:pPr>
        <w:spacing w:after="0" w:line="14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any of the following:</w:t>
      </w:r>
    </w:p>
    <w:p>
      <w:pPr>
        <w:spacing w:after="0" w:line="202" w:lineRule="exact"/>
        <w:rPr>
          <w:rFonts w:ascii="Times New Roman" w:cs="Times New Roman" w:eastAsia="Times New Roman" w:hAnsi="Times New Roman"/>
          <w:sz w:val="20"/>
          <w:szCs w:val="20"/>
          <w:color w:val="auto"/>
        </w:rPr>
      </w:pPr>
    </w:p>
    <w:p>
      <w:pPr>
        <w:ind w:left="1740" w:hanging="436"/>
        <w:spacing w:after="0" w:line="269" w:lineRule="auto"/>
        <w:tabs>
          <w:tab w:leader="none" w:pos="17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Grantee’s total target cash compensation, comprised of his or her Salary and target Annual Incentive.</w:t>
      </w:r>
    </w:p>
    <w:p>
      <w:pPr>
        <w:spacing w:after="0" w:line="14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Grantee’s authority or responsibilities.</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breach of the Grantee’s Employment Agreement by the Company.</w:t>
      </w:r>
    </w:p>
    <w:p>
      <w:pPr>
        <w:spacing w:after="0" w:line="202" w:lineRule="exact"/>
        <w:rPr>
          <w:rFonts w:ascii="Times New Roman" w:cs="Times New Roman" w:eastAsia="Times New Roman" w:hAnsi="Times New Roman"/>
          <w:sz w:val="20"/>
          <w:szCs w:val="20"/>
          <w:color w:val="auto"/>
        </w:rPr>
      </w:pPr>
    </w:p>
    <w:p>
      <w:pPr>
        <w:ind w:left="1740" w:right="20" w:hanging="436"/>
        <w:spacing w:after="0" w:line="269" w:lineRule="auto"/>
        <w:tabs>
          <w:tab w:leader="none" w:pos="17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purported termination by the Company of the Grantee’s employment other than as expressly permitted by his or her Employment Agreement.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558"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EASTMAN KODAK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2013 OMNIBUS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Award Agreement</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“Award Agreement” evidences an award of Nonqualified Stock Options (the “</w:t>
      </w: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by the Company under the Eastman Kodak Company 2013 Omnibus Incentive Plan, as indicated below. The Options are subject to all other terms set forth in the Plan and this Award Agreement. Capitalized terms not defined in this Award Agreement have the meanings given to them in the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 of Grantee: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16"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0"/>
          <w:szCs w:val="20"/>
          <w:b w:val="1"/>
          <w:bCs w:val="1"/>
          <w:color w:val="auto"/>
        </w:rPr>
        <w:t>Number of Options:</w:t>
      </w:r>
      <w:r>
        <w:rPr>
          <w:sz w:val="20"/>
          <w:szCs w:val="20"/>
          <w:color w:val="auto"/>
        </w:rPr>
        <w:tab/>
      </w:r>
      <w:r>
        <w:rPr>
          <w:rFonts w:ascii="Times New Roman" w:cs="Times New Roman" w:eastAsia="Times New Roman" w:hAnsi="Times New Roman"/>
          <w:sz w:val="19"/>
          <w:szCs w:val="19"/>
          <w:u w:val="single" w:color="auto"/>
          <w:color w:val="auto"/>
        </w:rPr>
        <w:t xml:space="preserve">XX,XXX </w:t>
      </w:r>
      <w:r>
        <w:rPr>
          <w:rFonts w:ascii="Times New Roman" w:cs="Times New Roman" w:eastAsia="Times New Roman" w:hAnsi="Times New Roman"/>
          <w:sz w:val="19"/>
          <w:szCs w:val="19"/>
          <w:color w:val="auto"/>
        </w:rPr>
        <w:t>with an Option Price of $</w:t>
      </w:r>
      <w:r>
        <w:rPr>
          <w:rFonts w:ascii="Times New Roman" w:cs="Times New Roman" w:eastAsia="Times New Roman" w:hAnsi="Times New Roman"/>
          <w:sz w:val="19"/>
          <w:szCs w:val="19"/>
          <w:u w:val="single" w:color="auto"/>
          <w:color w:val="auto"/>
        </w:rPr>
        <w:t>3.03</w:t>
      </w:r>
    </w:p>
    <w:p>
      <w:pPr>
        <w:spacing w:after="0" w:line="2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color w:val="auto"/>
        </w:rPr>
        <w:t xml:space="preserve">XX,XXX with an Option Price of </w:t>
      </w:r>
      <w:r>
        <w:rPr>
          <w:rFonts w:ascii="Times New Roman" w:cs="Times New Roman" w:eastAsia="Times New Roman" w:hAnsi="Times New Roman"/>
          <w:sz w:val="20"/>
          <w:szCs w:val="20"/>
          <w:u w:val="single" w:color="auto"/>
          <w:color w:val="auto"/>
        </w:rPr>
        <w:t>$4.53</w:t>
      </w:r>
    </w:p>
    <w:p>
      <w:pPr>
        <w:spacing w:after="0" w:line="2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color w:val="auto"/>
        </w:rPr>
        <w:t xml:space="preserve">XX,XXX with an Option Price of </w:t>
      </w:r>
      <w:r>
        <w:rPr>
          <w:rFonts w:ascii="Times New Roman" w:cs="Times New Roman" w:eastAsia="Times New Roman" w:hAnsi="Times New Roman"/>
          <w:sz w:val="20"/>
          <w:szCs w:val="20"/>
          <w:u w:val="single" w:color="auto"/>
          <w:color w:val="auto"/>
        </w:rPr>
        <w:t>$6.03</w:t>
      </w:r>
    </w:p>
    <w:p>
      <w:pPr>
        <w:spacing w:after="0" w:line="2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color w:val="auto"/>
        </w:rPr>
        <w:t xml:space="preserve">XX,XXX with an Option Price of </w:t>
      </w:r>
      <w:r>
        <w:rPr>
          <w:rFonts w:ascii="Times New Roman" w:cs="Times New Roman" w:eastAsia="Times New Roman" w:hAnsi="Times New Roman"/>
          <w:sz w:val="20"/>
          <w:szCs w:val="20"/>
          <w:u w:val="single" w:color="auto"/>
          <w:color w:val="auto"/>
        </w:rPr>
        <w:t>$12.00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071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480" w:type="dxa"/>
            <w:vAlign w:val="bottom"/>
            <w:tcBorders>
              <w:top w:val="single" w:sz="8" w:color="auto"/>
            </w:tcBorders>
            <w:shd w:val="clear" w:color="auto" w:fill="C6D9F1"/>
          </w:tcPr>
          <w:p>
            <w:pPr>
              <w:ind w:left="2280"/>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5740" w:type="dxa"/>
            <w:vAlign w:val="bottom"/>
            <w:tcBorders>
              <w:top w:val="single" w:sz="8" w:color="auto"/>
            </w:tcBorders>
            <w:shd w:val="clear" w:color="auto" w:fill="C6D9F1"/>
          </w:tcPr>
          <w:p>
            <w:pPr>
              <w:ind w:left="2140"/>
              <w:spacing w:after="0"/>
              <w:rPr>
                <w:sz w:val="20"/>
                <w:szCs w:val="20"/>
                <w:color w:val="auto"/>
              </w:rPr>
            </w:pPr>
            <w:r>
              <w:rPr>
                <w:rFonts w:ascii="Times New Roman" w:cs="Times New Roman" w:eastAsia="Times New Roman" w:hAnsi="Times New Roman"/>
                <w:sz w:val="20"/>
                <w:szCs w:val="20"/>
                <w:b w:val="1"/>
                <w:bCs w:val="1"/>
                <w:color w:val="auto"/>
              </w:rPr>
              <w:t>Percentage Vesting</w:t>
            </w:r>
          </w:p>
        </w:tc>
        <w:tc>
          <w:tcPr>
            <w:tcW w:w="20" w:type="dxa"/>
            <w:vAlign w:val="bottom"/>
            <w:tcBorders>
              <w:top w:val="single" w:sz="8" w:color="auto"/>
            </w:tcBorders>
          </w:tcPr>
          <w:p>
            <w:pPr>
              <w:spacing w:after="0"/>
              <w:rPr>
                <w:sz w:val="23"/>
                <w:szCs w:val="23"/>
                <w:color w:val="auto"/>
              </w:rPr>
            </w:pPr>
          </w:p>
        </w:tc>
      </w:tr>
      <w:tr>
        <w:trPr>
          <w:trHeight w:val="143"/>
        </w:trPr>
        <w:tc>
          <w:tcPr>
            <w:tcW w:w="5480" w:type="dxa"/>
            <w:vAlign w:val="bottom"/>
            <w:shd w:val="clear" w:color="auto" w:fill="C6D9F1"/>
          </w:tcPr>
          <w:p>
            <w:pPr>
              <w:spacing w:after="0"/>
              <w:rPr>
                <w:sz w:val="12"/>
                <w:szCs w:val="12"/>
                <w:color w:val="auto"/>
              </w:rPr>
            </w:pPr>
          </w:p>
        </w:tc>
        <w:tc>
          <w:tcPr>
            <w:tcW w:w="5740" w:type="dxa"/>
            <w:vAlign w:val="bottom"/>
            <w:shd w:val="clear" w:color="auto" w:fill="C6D9F1"/>
          </w:tcPr>
          <w:p>
            <w:pPr>
              <w:spacing w:after="0"/>
              <w:rPr>
                <w:sz w:val="12"/>
                <w:szCs w:val="12"/>
                <w:color w:val="auto"/>
              </w:rPr>
            </w:pPr>
          </w:p>
        </w:tc>
        <w:tc>
          <w:tcPr>
            <w:tcW w:w="20" w:type="dxa"/>
            <w:vAlign w:val="bottom"/>
          </w:tcPr>
          <w:p>
            <w:pPr>
              <w:spacing w:after="0"/>
              <w:rPr>
                <w:sz w:val="12"/>
                <w:szCs w:val="12"/>
                <w:color w:val="auto"/>
              </w:rPr>
            </w:pPr>
          </w:p>
        </w:tc>
      </w:tr>
    </w:tbl>
    <w:p>
      <w:pPr>
        <w:ind w:left="8100"/>
        <w:spacing w:after="0"/>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16"/>
          <w:szCs w:val="16"/>
          <w:color w:val="auto"/>
        </w:rPr>
        <w:t>1</w:t>
      </w: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3</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16"/>
          <w:szCs w:val="16"/>
          <w:color w:val="auto"/>
        </w:rPr>
        <w:t>1</w:t>
      </w: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16"/>
          <w:szCs w:val="16"/>
          <w:color w:val="auto"/>
        </w:rPr>
        <w:t>1</w:t>
      </w: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Vesting:</w:t>
      </w:r>
    </w:p>
    <w:p>
      <w:pPr>
        <w:spacing w:after="0" w:line="200" w:lineRule="exact"/>
        <w:rPr>
          <w:sz w:val="20"/>
          <w:szCs w:val="20"/>
          <w:color w:val="auto"/>
        </w:rPr>
      </w:pP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Vesting Schedule for any Options awarded is set forth above under “Vesting Schedule.” The Options will only vest if the Grantee is continuously employed by the Company or any of its Affiliates from the Grant Date through the applicable Vesting Date, and except as otherwise provided by this Award Agreement or determined by the Committee, any unvested Options will be forfeited upon any termination of employment. Upon termination of employment, vested Options shall remain exercisable until they expire as set forth below under “Expiration Date.”</w:t>
      </w:r>
    </w:p>
    <w:p>
      <w:pPr>
        <w:spacing w:after="0" w:line="3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the Company terminates the Grantee’s employment without Cause or the Grantee terminates his or her employment for Good Reason, on or after [•], the unvested Options which would otherwise vest on the Vesting Date immediately following the date of the termination of the Grantee’s employment, will vest as of the date of termination of employment and any unvested Options which would otherwise vest on a Vesting Date after the Vesting Date immediately following the termination of the Grantee’s employment will be forfeited upon the termination of employment (“</w:t>
      </w: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line="268" w:lineRule="auto"/>
        <w:rPr>
          <w:sz w:val="20"/>
          <w:szCs w:val="20"/>
          <w:color w:val="auto"/>
        </w:rPr>
      </w:pPr>
      <w:r>
        <w:rPr>
          <w:rFonts w:ascii="Times New Roman" w:cs="Times New Roman" w:eastAsia="Times New Roman" w:hAnsi="Times New Roman"/>
          <w:sz w:val="20"/>
          <w:szCs w:val="20"/>
          <w:color w:val="auto"/>
        </w:rPr>
        <w:t>If the Company terminates the Grantee’s employment for Cause or the Grantee terminates his or her employment without Good Reason, on or after [•], any unvested Options will be forfeited upon the termination of employment.</w:t>
      </w:r>
    </w:p>
    <w:p>
      <w:pPr>
        <w:spacing w:after="0" w:line="35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If the Grantee’s employment terminates as a result of his or her Disability or death, on or after [•], the Company will provide Accelerated Vesting treatment to the unvested Options.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Exercise:</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 Option will be exercisable prior to the date on which it vests. Upon Vesting, the Options will allow the purchase of Shares at the Option Price noted above. Each Option provides for the ability to purchase a single Share.</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Subject to the “Withholding” provision below, the Options shall be exercised by written notice or by any other method permitted by the Committee stating the number of Options to be exercised, with payment of the aggregate Option Price for the number of Options exercised.</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aggregate Option Price for the Shares as to which an Option is exercised shall be paid to the Company in full at the time of exercise at the election of the Grantee:</w:t>
      </w:r>
    </w:p>
    <w:p>
      <w:pPr>
        <w:spacing w:after="0" w:line="159" w:lineRule="exact"/>
        <w:rPr>
          <w:sz w:val="20"/>
          <w:szCs w:val="20"/>
          <w:color w:val="auto"/>
        </w:rPr>
      </w:pPr>
    </w:p>
    <w:p>
      <w:pPr>
        <w:ind w:left="1700" w:hanging="842"/>
        <w:spacing w:after="0"/>
        <w:tabs>
          <w:tab w:leader="none" w:pos="17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cash or its equivalent (e.g., by cashier’s check);</w:t>
      </w:r>
    </w:p>
    <w:p>
      <w:pPr>
        <w:spacing w:after="0" w:line="215" w:lineRule="exact"/>
        <w:rPr>
          <w:rFonts w:ascii="Times New Roman" w:cs="Times New Roman" w:eastAsia="Times New Roman" w:hAnsi="Times New Roman"/>
          <w:sz w:val="20"/>
          <w:szCs w:val="20"/>
          <w:color w:val="auto"/>
        </w:rPr>
      </w:pPr>
    </w:p>
    <w:p>
      <w:pPr>
        <w:jc w:val="both"/>
        <w:ind w:left="1700" w:hanging="842"/>
        <w:spacing w:after="0" w:line="254" w:lineRule="auto"/>
        <w:tabs>
          <w:tab w:leader="none" w:pos="17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Committee, in Shares previously owned by the Grantee having a Fair Market Value equal to the aggregate Option Price for the Shares being purchased and satisfying such other requirements as may be imposed by the Committee,</w:t>
      </w:r>
    </w:p>
    <w:p>
      <w:pPr>
        <w:spacing w:after="0" w:line="174" w:lineRule="exact"/>
        <w:rPr>
          <w:rFonts w:ascii="Times New Roman" w:cs="Times New Roman" w:eastAsia="Times New Roman" w:hAnsi="Times New Roman"/>
          <w:sz w:val="20"/>
          <w:szCs w:val="20"/>
          <w:color w:val="auto"/>
        </w:rPr>
      </w:pPr>
    </w:p>
    <w:p>
      <w:pPr>
        <w:ind w:left="1700" w:hanging="842"/>
        <w:spacing w:after="0"/>
        <w:tabs>
          <w:tab w:leader="none" w:pos="17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foregoing; or</w:t>
      </w:r>
    </w:p>
    <w:p>
      <w:pPr>
        <w:spacing w:after="0" w:line="215" w:lineRule="exact"/>
        <w:rPr>
          <w:rFonts w:ascii="Times New Roman" w:cs="Times New Roman" w:eastAsia="Times New Roman" w:hAnsi="Times New Roman"/>
          <w:sz w:val="20"/>
          <w:szCs w:val="20"/>
          <w:color w:val="auto"/>
        </w:rPr>
      </w:pPr>
    </w:p>
    <w:p>
      <w:pPr>
        <w:ind w:left="1700" w:right="20" w:hanging="842"/>
        <w:spacing w:after="0" w:line="269" w:lineRule="auto"/>
        <w:tabs>
          <w:tab w:leader="none" w:pos="17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received by the Company under a cashless exercise program (whether through a broker or otherwise) implemented by the Company in connection with the Plan.</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no circumstances will fractional Shares be issued; if the Grantee elects to pay the Option Price for the Shares using Shares already owned by him, or Shares to be received from his exercise of this Option and such payment involves a fraction of a Share, the remaining fraction of such Share shall be redeemed by the Company and the Company shall pay the Grantee the Fair Market Value of such fractional Share in cash in lieu of issuing such fractional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Expiration Date:</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Each Option will expire at the close of business on the day immediately prior to the seventh (7th) anniversary of the Grant Date, unless sooner forfeited in accordance with the terms and conditions of this Award Agreement or the Plan.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u w:val="single" w:color="auto"/>
          <w:color w:val="auto"/>
        </w:rPr>
        <w:t>Withholding:</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Section 16.4 of the Plan, the Company shall have the power and the right to deduct or withhold (or cause to be deducted or withheld) from any amount deliverable under the Options or otherwise (including Shares otherwise deliverable), or require the Grantee to remit to the Company, the minimum statutory amount to satisfy federal, state, and local taxes, domestic or foreign, required by law or regulation to be withheld with respect to any taxable event arising in connection with the Options.</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Subject to the Company’s automatic withholding right set out above, the Grantee may elect to satisfy the withholding requirement, in whole or in part:</w:t>
      </w:r>
    </w:p>
    <w:p>
      <w:pPr>
        <w:spacing w:after="0" w:line="159" w:lineRule="exact"/>
        <w:rPr>
          <w:sz w:val="20"/>
          <w:szCs w:val="20"/>
          <w:color w:val="auto"/>
        </w:rPr>
      </w:pPr>
    </w:p>
    <w:p>
      <w:pPr>
        <w:ind w:left="1700" w:hanging="842"/>
        <w:spacing w:after="0"/>
        <w:tabs>
          <w:tab w:leader="none" w:pos="17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having the Company withhold Shares; or</w:t>
      </w:r>
    </w:p>
    <w:p>
      <w:pPr>
        <w:spacing w:after="0" w:line="215" w:lineRule="exact"/>
        <w:rPr>
          <w:rFonts w:ascii="Times New Roman" w:cs="Times New Roman" w:eastAsia="Times New Roman" w:hAnsi="Times New Roman"/>
          <w:sz w:val="20"/>
          <w:szCs w:val="20"/>
          <w:color w:val="auto"/>
        </w:rPr>
      </w:pPr>
    </w:p>
    <w:p>
      <w:pPr>
        <w:ind w:left="1700" w:hanging="842"/>
        <w:spacing w:after="0"/>
        <w:tabs>
          <w:tab w:leader="none" w:pos="17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an independent broker-dealer arrangement to sell a sufficient number of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each case, having a Fair Market Value on the date the tax is to be determined equal to the minimum tax required to be withheld.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Grantee Rights: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Grantee will not have any of the rights of a shareholder with respect to the Shares underlying or covered by the Options, whether or not vested, until such Shares are actually issued and delivered to the Grantee.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Change of Control:</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Upon the occurrence of a Change of Control, the Committee may, but shall not be required, to make one or more of the adjustments set forth in Section 14.2 of the Plan to the Options if and to the extent that the Options are outstanding at the time of the Change of Control.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Transferability:</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Except as otherwise provided by the Plan, the Options are not in any manner subject to alteration, anticipation, sale, transfer, assignment, pledge or encumbrance.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Right to Continued Employment: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Grantee’s receipt of the Options does not give the Grantee a right to remain in the employment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Data Privacy: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By accepting the Options, the Grantee agrees that any data, including the Grantee’s personal data, may be exchanged among the Company and its Affiliates to the extent the Company determines necessary or advisable to administer the Plan and the Options, as well as with any third-party engaged by the Company to administer the Plan and the Options granted under the Plan.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u w:val="single" w:color="auto"/>
          <w:color w:val="auto"/>
        </w:rPr>
        <w:t>Amendment:</w:t>
      </w: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Pursuant to Section 15.2 of the Plan, the Committee may from time to time amend this Award Agreement; provided, however, no amendment shall materially adversely impair the rights of the Grantee under this Award Agreement without the Grantee’s consent.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Options described in this Award Agreement are intended to be exempt from Section 409A under the stock rights exemption thereto, and the Plan and this Award Agreement shall be interpreted and administered consistent with such intention, and in accordance with Eastman Kodak Company’s Policy Regarding Section 409A Compliance. The Company may unilaterally amend this Award Agreement for purposes of exemption from or compliance with Section 409A if, in its sole discretion, the Company determines that such amendment would not have a material adverse effect with respect to the Grantee’s rights under this Award Agreement. Notwithstanding the foregoing, no person connected with the Plan or the Options in any capacity, including, but not limited to, the Company and its directors, officers, agents and employees makes any representation, commitment, or guarantee that any tax treatment will be applicable with respect to the Options or payments made under this Award Agreement, or that such tax treatment will apply to or be available to the Grantee.</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Options (either at the time of vesting or exercise, or otherwise) will not be includible as compensation or earnings for purposes of any benefit or compensation plan offered by the Company or its Affiliates.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Options.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Option is subject to the Plan and any interpretations by the Committee under the Plan, which are hereby incorporated into this Award Agreement by reference and made a part hereof. In the event of any conflict between this Award Agreement and the Plan, the terms of the Plan shall control.</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Award Agreement, together with the Plan and the employment agreement between the Company and the Grantee, contains the entire agreement between the Grantee and the Company with respect to the subject matter of this Award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accepting the Options, the Grantee agrees to be subject to the terms and conditions of the Plan and this Award Agreement.</w:t>
      </w:r>
    </w:p>
    <w:p>
      <w:pPr>
        <w:spacing w:after="0" w:line="216" w:lineRule="exact"/>
        <w:rPr>
          <w:sz w:val="20"/>
          <w:szCs w:val="20"/>
          <w:color w:val="auto"/>
        </w:rPr>
      </w:pPr>
    </w:p>
    <w:p>
      <w:pPr>
        <w:ind w:left="5800" w:hanging="747"/>
        <w:spacing w:after="0"/>
        <w:tabs>
          <w:tab w:leader="none" w:pos="58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38"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u w:val="single" w:color="auto"/>
          <w:color w:val="auto"/>
        </w:rPr>
        <w:t>Appendix:</w:t>
      </w:r>
    </w:p>
    <w:p>
      <w:pPr>
        <w:spacing w:after="0" w:line="200" w:lineRule="exact"/>
        <w:rPr>
          <w:sz w:val="20"/>
          <w:szCs w:val="20"/>
          <w:color w:val="auto"/>
        </w:rPr>
      </w:pPr>
    </w:p>
    <w:p>
      <w:pPr>
        <w:spacing w:after="0" w:line="221" w:lineRule="exact"/>
        <w:rPr>
          <w:sz w:val="20"/>
          <w:szCs w:val="20"/>
          <w:color w:val="auto"/>
        </w:rPr>
      </w:pPr>
    </w:p>
    <w:p>
      <w:pPr>
        <w:ind w:left="880" w:hanging="440"/>
        <w:spacing w:after="0"/>
        <w:tabs>
          <w:tab w:leader="none" w:pos="8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any of the following:</w:t>
      </w:r>
    </w:p>
    <w:p>
      <w:pPr>
        <w:spacing w:after="0" w:line="202" w:lineRule="exact"/>
        <w:rPr>
          <w:rFonts w:ascii="Times New Roman" w:cs="Times New Roman" w:eastAsia="Times New Roman" w:hAnsi="Times New Roman"/>
          <w:sz w:val="20"/>
          <w:szCs w:val="20"/>
          <w:color w:val="auto"/>
        </w:rPr>
      </w:pPr>
    </w:p>
    <w:p>
      <w:pPr>
        <w:ind w:left="1740" w:hanging="436"/>
        <w:spacing w:after="0" w:line="295" w:lineRule="auto"/>
        <w:tabs>
          <w:tab w:leader="none" w:pos="1740"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Grantee’s continued failure, for a period of at least 30 calendar days following a written warning, to perform his or her duties in a manner deemed satisfactory by his or her supervisor, in the exercise of the supervisor’s sole discretion.</w:t>
      </w:r>
    </w:p>
    <w:p>
      <w:pPr>
        <w:spacing w:after="0" w:line="124" w:lineRule="exact"/>
        <w:rPr>
          <w:rFonts w:ascii="Times New Roman" w:cs="Times New Roman" w:eastAsia="Times New Roman" w:hAnsi="Times New Roman"/>
          <w:sz w:val="19"/>
          <w:szCs w:val="19"/>
          <w:color w:val="auto"/>
        </w:rPr>
      </w:pPr>
    </w:p>
    <w:p>
      <w:pPr>
        <w:ind w:left="1740" w:right="20" w:hanging="436"/>
        <w:spacing w:after="0" w:line="269" w:lineRule="auto"/>
        <w:tabs>
          <w:tab w:leader="none" w:pos="17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Grantee’s failure to follow a lawful written directive of the Chief Executive Officer, the Grantee’s supervisor or the Board.</w:t>
      </w:r>
    </w:p>
    <w:p>
      <w:pPr>
        <w:spacing w:after="0" w:line="145" w:lineRule="exact"/>
        <w:rPr>
          <w:rFonts w:ascii="Times New Roman" w:cs="Times New Roman" w:eastAsia="Times New Roman" w:hAnsi="Times New Roman"/>
          <w:sz w:val="20"/>
          <w:szCs w:val="20"/>
          <w:color w:val="auto"/>
        </w:rPr>
      </w:pPr>
    </w:p>
    <w:p>
      <w:pPr>
        <w:ind w:left="1740" w:hanging="436"/>
        <w:spacing w:after="0" w:line="269" w:lineRule="auto"/>
        <w:tabs>
          <w:tab w:leader="none" w:pos="17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Grantee’s willful violation of any material rule, regulation, or policy that may be established from time to time for the conduct of the Company’s business.</w:t>
      </w:r>
    </w:p>
    <w:p>
      <w:pPr>
        <w:spacing w:after="0" w:line="145" w:lineRule="exact"/>
        <w:rPr>
          <w:rFonts w:ascii="Times New Roman" w:cs="Times New Roman" w:eastAsia="Times New Roman" w:hAnsi="Times New Roman"/>
          <w:sz w:val="20"/>
          <w:szCs w:val="20"/>
          <w:color w:val="auto"/>
        </w:rPr>
      </w:pPr>
    </w:p>
    <w:p>
      <w:pPr>
        <w:ind w:left="1740" w:hanging="436"/>
        <w:spacing w:after="0" w:line="269" w:lineRule="auto"/>
        <w:tabs>
          <w:tab w:leader="none" w:pos="17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Grantee’s unlawful possession, use or sale of narcotics or other controlled substances, or performing job duties while illegally used controlled substances are present in his or her system.</w:t>
      </w:r>
    </w:p>
    <w:p>
      <w:pPr>
        <w:spacing w:after="0" w:line="145" w:lineRule="exact"/>
        <w:rPr>
          <w:rFonts w:ascii="Times New Roman" w:cs="Times New Roman" w:eastAsia="Times New Roman" w:hAnsi="Times New Roman"/>
          <w:sz w:val="20"/>
          <w:szCs w:val="20"/>
          <w:color w:val="auto"/>
        </w:rPr>
      </w:pPr>
    </w:p>
    <w:p>
      <w:pPr>
        <w:jc w:val="both"/>
        <w:ind w:left="1740" w:hanging="436"/>
        <w:spacing w:after="0" w:line="249" w:lineRule="auto"/>
        <w:tabs>
          <w:tab w:leader="none" w:pos="17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 or omission or commission by the Grantee in the scope of his or her employment (a) which results in the assessment of a civil or criminal penalty against the Grantee or the Company, or (b) which in the reasonable judgment of the Grantee’s supervisor could result in a material violation of any foreign or U.S. federal, state or local law or regulation having the force of law.</w:t>
      </w:r>
    </w:p>
    <w:p>
      <w:pPr>
        <w:spacing w:after="0" w:line="16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Grantee’s conviction of or plea of guilty or no contest to any crime involving moral turpitude.</w:t>
      </w:r>
    </w:p>
    <w:p>
      <w:pPr>
        <w:spacing w:after="0" w:line="202" w:lineRule="exact"/>
        <w:rPr>
          <w:rFonts w:ascii="Times New Roman" w:cs="Times New Roman" w:eastAsia="Times New Roman" w:hAnsi="Times New Roman"/>
          <w:sz w:val="20"/>
          <w:szCs w:val="20"/>
          <w:color w:val="auto"/>
        </w:rPr>
      </w:pPr>
    </w:p>
    <w:p>
      <w:pPr>
        <w:ind w:left="1740" w:hanging="436"/>
        <w:spacing w:after="0" w:line="269" w:lineRule="auto"/>
        <w:tabs>
          <w:tab w:leader="none" w:pos="17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misrepresentation of a material fact to, or concealment of a material fact from, the Grantee’s supervisor or any other person in the Company to whom the Grantee has a reporting relationship in any capacity.</w:t>
      </w:r>
    </w:p>
    <w:p>
      <w:pPr>
        <w:spacing w:after="0" w:line="145" w:lineRule="exact"/>
        <w:rPr>
          <w:rFonts w:ascii="Times New Roman" w:cs="Times New Roman" w:eastAsia="Times New Roman" w:hAnsi="Times New Roman"/>
          <w:sz w:val="20"/>
          <w:szCs w:val="20"/>
          <w:color w:val="auto"/>
        </w:rPr>
      </w:pPr>
    </w:p>
    <w:p>
      <w:pPr>
        <w:ind w:left="1740" w:hanging="436"/>
        <w:spacing w:after="0" w:line="269" w:lineRule="auto"/>
        <w:tabs>
          <w:tab w:leader="none" w:pos="17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Grantee’s breach of the Company’s Business Conduct Guide or the Eastman Kodak Company Employee’s Agreement.</w:t>
      </w:r>
    </w:p>
    <w:p>
      <w:pPr>
        <w:spacing w:after="0" w:line="14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any of the following:</w:t>
      </w:r>
    </w:p>
    <w:p>
      <w:pPr>
        <w:spacing w:after="0" w:line="202" w:lineRule="exact"/>
        <w:rPr>
          <w:rFonts w:ascii="Times New Roman" w:cs="Times New Roman" w:eastAsia="Times New Roman" w:hAnsi="Times New Roman"/>
          <w:sz w:val="20"/>
          <w:szCs w:val="20"/>
          <w:color w:val="auto"/>
        </w:rPr>
      </w:pPr>
    </w:p>
    <w:p>
      <w:pPr>
        <w:ind w:left="1740" w:hanging="436"/>
        <w:spacing w:after="0" w:line="269" w:lineRule="auto"/>
        <w:tabs>
          <w:tab w:leader="none" w:pos="17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Grantee’s total target cash compensation, comprised of his or her Salary and target Annual Incentive.</w:t>
      </w:r>
    </w:p>
    <w:p>
      <w:pPr>
        <w:spacing w:after="0" w:line="14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Grantee’s authority or responsibilities.</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breach of the Grantee’s Employment Agreement by the Company.</w:t>
      </w:r>
    </w:p>
    <w:p>
      <w:pPr>
        <w:spacing w:after="0" w:line="202" w:lineRule="exact"/>
        <w:rPr>
          <w:rFonts w:ascii="Times New Roman" w:cs="Times New Roman" w:eastAsia="Times New Roman" w:hAnsi="Times New Roman"/>
          <w:sz w:val="20"/>
          <w:szCs w:val="20"/>
          <w:color w:val="auto"/>
        </w:rPr>
      </w:pPr>
    </w:p>
    <w:p>
      <w:pPr>
        <w:ind w:left="1740" w:right="20" w:hanging="436"/>
        <w:spacing w:after="0" w:line="269" w:lineRule="auto"/>
        <w:tabs>
          <w:tab w:leader="none" w:pos="17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purported termination by the Company of the Grantee’s employment other than as expressly permitted by his or her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4"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EASTMAN KODAK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2013 OMNIBUS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Award Agreement</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“Award Agreement” evidences an award of Nonqualified Stock Options (the “</w:t>
      </w: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by the Company under the Eastman Kodak Company 2013 Omnibus Incentive Plan, as indicated below. The Options are subject to all other terms set forth in the Plan and this Award Agreement. Capitalized terms not defined in this Award Agreement have the meanings given to them in the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 of Grantee: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16"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0"/>
          <w:szCs w:val="20"/>
          <w:b w:val="1"/>
          <w:bCs w:val="1"/>
          <w:color w:val="auto"/>
        </w:rPr>
        <w:t>Number of Options:</w:t>
      </w:r>
      <w:r>
        <w:rPr>
          <w:sz w:val="20"/>
          <w:szCs w:val="20"/>
          <w:color w:val="auto"/>
        </w:rPr>
        <w:tab/>
      </w:r>
      <w:r>
        <w:rPr>
          <w:rFonts w:ascii="Times New Roman" w:cs="Times New Roman" w:eastAsia="Times New Roman" w:hAnsi="Times New Roman"/>
          <w:sz w:val="19"/>
          <w:szCs w:val="19"/>
          <w:u w:val="single" w:color="auto"/>
          <w:color w:val="auto"/>
        </w:rPr>
        <w:t xml:space="preserve">XX,XXX </w:t>
      </w:r>
      <w:r>
        <w:rPr>
          <w:rFonts w:ascii="Times New Roman" w:cs="Times New Roman" w:eastAsia="Times New Roman" w:hAnsi="Times New Roman"/>
          <w:sz w:val="19"/>
          <w:szCs w:val="19"/>
          <w:color w:val="auto"/>
        </w:rPr>
        <w:t>with an Option Price of $</w:t>
      </w:r>
      <w:r>
        <w:rPr>
          <w:rFonts w:ascii="Times New Roman" w:cs="Times New Roman" w:eastAsia="Times New Roman" w:hAnsi="Times New Roman"/>
          <w:sz w:val="19"/>
          <w:szCs w:val="19"/>
          <w:u w:val="single" w:color="auto"/>
          <w:color w:val="auto"/>
        </w:rPr>
        <w:t>3.03</w:t>
      </w:r>
    </w:p>
    <w:p>
      <w:pPr>
        <w:spacing w:after="0" w:line="2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u w:val="single" w:color="auto"/>
          <w:color w:val="auto"/>
        </w:rPr>
        <w:t>XX,XXX</w:t>
      </w:r>
      <w:r>
        <w:rPr>
          <w:rFonts w:ascii="Times New Roman" w:cs="Times New Roman" w:eastAsia="Times New Roman" w:hAnsi="Times New Roman"/>
          <w:sz w:val="20"/>
          <w:szCs w:val="20"/>
          <w:color w:val="auto"/>
        </w:rPr>
        <w:t xml:space="preserve"> with an Option Price of </w:t>
      </w:r>
      <w:r>
        <w:rPr>
          <w:rFonts w:ascii="Times New Roman" w:cs="Times New Roman" w:eastAsia="Times New Roman" w:hAnsi="Times New Roman"/>
          <w:sz w:val="20"/>
          <w:szCs w:val="20"/>
          <w:u w:val="single" w:color="auto"/>
          <w:color w:val="auto"/>
        </w:rPr>
        <w:t>$4.53</w:t>
      </w:r>
    </w:p>
    <w:p>
      <w:pPr>
        <w:spacing w:after="0" w:line="2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u w:val="single" w:color="auto"/>
          <w:color w:val="auto"/>
        </w:rPr>
        <w:t>XX,XXX</w:t>
      </w:r>
      <w:r>
        <w:rPr>
          <w:rFonts w:ascii="Times New Roman" w:cs="Times New Roman" w:eastAsia="Times New Roman" w:hAnsi="Times New Roman"/>
          <w:sz w:val="20"/>
          <w:szCs w:val="20"/>
          <w:color w:val="auto"/>
        </w:rPr>
        <w:t xml:space="preserve"> with an Option Price of </w:t>
      </w:r>
      <w:r>
        <w:rPr>
          <w:rFonts w:ascii="Times New Roman" w:cs="Times New Roman" w:eastAsia="Times New Roman" w:hAnsi="Times New Roman"/>
          <w:sz w:val="20"/>
          <w:szCs w:val="20"/>
          <w:u w:val="single" w:color="auto"/>
          <w:color w:val="auto"/>
        </w:rPr>
        <w:t>$6.03</w:t>
      </w:r>
    </w:p>
    <w:p>
      <w:pPr>
        <w:spacing w:after="0" w:line="2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u w:val="single" w:color="auto"/>
          <w:color w:val="auto"/>
        </w:rPr>
        <w:t>XX,XXX</w:t>
      </w:r>
      <w:r>
        <w:rPr>
          <w:rFonts w:ascii="Times New Roman" w:cs="Times New Roman" w:eastAsia="Times New Roman" w:hAnsi="Times New Roman"/>
          <w:sz w:val="20"/>
          <w:szCs w:val="20"/>
          <w:color w:val="auto"/>
        </w:rPr>
        <w:t xml:space="preserve"> with an Option Price of </w:t>
      </w:r>
      <w:r>
        <w:rPr>
          <w:rFonts w:ascii="Times New Roman" w:cs="Times New Roman" w:eastAsia="Times New Roman" w:hAnsi="Times New Roman"/>
          <w:sz w:val="20"/>
          <w:szCs w:val="20"/>
          <w:u w:val="single" w:color="auto"/>
          <w:color w:val="auto"/>
        </w:rPr>
        <w:t>$12.00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Schedule:</w:t>
      </w:r>
    </w:p>
    <w:p>
      <w:pPr>
        <w:sectPr>
          <w:pgSz w:w="11900" w:h="16838" w:orient="portrait"/>
          <w:cols w:equalWidth="0" w:num="1">
            <w:col w:w="11240"/>
          </w:cols>
          <w:pgMar w:left="320" w:top="108" w:right="339" w:bottom="1440" w:gutter="0" w:footer="0" w:header="0"/>
        </w:sectPr>
      </w:pPr>
    </w:p>
    <w:p>
      <w:pPr>
        <w:spacing w:after="0" w:line="22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b w:val="1"/>
          <w:bCs w:val="1"/>
          <w:color w:val="auto"/>
        </w:rPr>
        <w:t>Vesting 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Percentage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-129540</wp:posOffset>
            </wp:positionV>
            <wp:extent cx="7132320" cy="925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62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Vesting: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Vesting Schedule for any Options awarded is set forth above under “Vesting Schedule.”  The Options will only vest if the Grantee</w:t>
      </w:r>
    </w:p>
    <w:p>
      <w:pPr>
        <w:spacing w:after="0" w:line="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continuously serves on the Board from the Grant Date through the applicable Vesting Date, and except as otherwise provided by this Award Agreement, any unvested Options will be forfeited upon any termination of service. Upon termination of service, vested Options shall remain exercisable until they expire as set forth below under “Expiration Date.”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Exercise:</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 Option will be exercisable prior to the date on which it vests. Upon Vesting, the Options will allow the purchase of Shares at the Option Price noted above. Each Option provides for the ability to purchase a single Share.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Options shall be exercised by written notice or by any other method permitted by the Committee stating the number of Options to be exercised, with payment of the aggregate Option Price for the number of Options exercised.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9" w:name="page70"/>
    <w:bookmarkEnd w:id="69"/>
    <w:p>
      <w:pPr>
        <w:spacing w:after="0" w:line="268" w:lineRule="auto"/>
        <w:rPr>
          <w:sz w:val="20"/>
          <w:szCs w:val="20"/>
          <w:color w:val="auto"/>
        </w:rPr>
      </w:pPr>
      <w:r>
        <w:rPr>
          <w:rFonts w:ascii="Times New Roman" w:cs="Times New Roman" w:eastAsia="Times New Roman" w:hAnsi="Times New Roman"/>
          <w:sz w:val="20"/>
          <w:szCs w:val="20"/>
          <w:color w:val="auto"/>
        </w:rPr>
        <w:t>The aggregate Option Price for the Shares as to which an Option is exercised shall be paid to the Company in full at the time of exercise at the election of the Grantee:</w:t>
      </w:r>
    </w:p>
    <w:p>
      <w:pPr>
        <w:spacing w:after="0" w:line="161" w:lineRule="exact"/>
        <w:rPr>
          <w:sz w:val="20"/>
          <w:szCs w:val="20"/>
          <w:color w:val="auto"/>
        </w:rPr>
      </w:pPr>
    </w:p>
    <w:p>
      <w:pPr>
        <w:ind w:left="1700" w:hanging="842"/>
        <w:spacing w:after="0"/>
        <w:tabs>
          <w:tab w:leader="none" w:pos="1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cash or its equivalent (e.g., by cashier’s check);</w:t>
      </w:r>
    </w:p>
    <w:p>
      <w:pPr>
        <w:spacing w:after="0" w:line="215" w:lineRule="exact"/>
        <w:rPr>
          <w:rFonts w:ascii="Times New Roman" w:cs="Times New Roman" w:eastAsia="Times New Roman" w:hAnsi="Times New Roman"/>
          <w:sz w:val="20"/>
          <w:szCs w:val="20"/>
          <w:color w:val="auto"/>
        </w:rPr>
      </w:pPr>
    </w:p>
    <w:p>
      <w:pPr>
        <w:jc w:val="both"/>
        <w:ind w:left="1700" w:hanging="842"/>
        <w:spacing w:after="0" w:line="254" w:lineRule="auto"/>
        <w:tabs>
          <w:tab w:leader="none" w:pos="1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Committee, in Shares previously owned by the Grantee having a Fair Market Value equal to the aggregate Option Price for the Shares being purchased and satisfying such other requirements as may be imposed by the Committee,</w:t>
      </w:r>
    </w:p>
    <w:p>
      <w:pPr>
        <w:spacing w:after="0" w:line="174" w:lineRule="exact"/>
        <w:rPr>
          <w:rFonts w:ascii="Times New Roman" w:cs="Times New Roman" w:eastAsia="Times New Roman" w:hAnsi="Times New Roman"/>
          <w:sz w:val="20"/>
          <w:szCs w:val="20"/>
          <w:color w:val="auto"/>
        </w:rPr>
      </w:pPr>
    </w:p>
    <w:p>
      <w:pPr>
        <w:ind w:left="1700" w:hanging="842"/>
        <w:spacing w:after="0"/>
        <w:tabs>
          <w:tab w:leader="none" w:pos="1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foregoing; or</w:t>
      </w:r>
    </w:p>
    <w:p>
      <w:pPr>
        <w:spacing w:after="0" w:line="215" w:lineRule="exact"/>
        <w:rPr>
          <w:rFonts w:ascii="Times New Roman" w:cs="Times New Roman" w:eastAsia="Times New Roman" w:hAnsi="Times New Roman"/>
          <w:sz w:val="20"/>
          <w:szCs w:val="20"/>
          <w:color w:val="auto"/>
        </w:rPr>
      </w:pPr>
    </w:p>
    <w:p>
      <w:pPr>
        <w:ind w:left="1700" w:right="20" w:hanging="842"/>
        <w:spacing w:after="0" w:line="269" w:lineRule="auto"/>
        <w:tabs>
          <w:tab w:leader="none" w:pos="1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received by the Company under a cashless exercise program (whether through a broker or otherwise) implemented by the Company in connection with the Plan.</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no circumstances will fractional Shares be issued; if the Grantee elects to pay the Option Price for the Shares using Shares already owned by him, or Shares to be received from his exercise of this Option and such payment involves a fraction of a Share, the remaining fraction of such Share shall be redeemed by the Company and the Company shall pay the Grantee the Fair Market Value of such fractional Share in cash in lieu of issuing such fractional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Expiration Date:</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Each Option will expire at the close of business on the day immediately prior to the seventh (7th) anniversary of the Grant Date, unless sooner forfeited in accordance with the terms and conditions of this Award Agreement or the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Grantee Rights: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Grantee will not have any of the rights of a shareholder with respect to the Shares underlying or covered by the Options, whether or not vested, until such Shares are actually issued and delivered to the Grantee.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Change of Control:</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Upon the occurrence of a Change of Control, the Committee may, but shall not be required, to make one or more of the adjustments set forth in Section 14.2 of the Plan to the Options if and to the extent that the Options are outstanding at the time of the Change of Control.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Transferability:</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Except as otherwise provided by the Plan, the Options are not in any manner subject to alteration, anticipation, sale, transfer, assignment, pledge or encumbrance.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Continued Service: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Grantee’s receipt of this Award does not give the Grantee right to remain in the service of the Company or as a member of the Board.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u w:val="single" w:color="auto"/>
          <w:color w:val="auto"/>
        </w:rPr>
        <w:t>Data Privacy:</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By accepting the Options, the Grantee agrees that any data, including the Grantee’s personal data, may be exchanged among the Company and its Affiliates to the extent the Company determines necessary or advisable to administer the Plan and the Options, as well as with any third-party engaged by the Company to administer the Plan and the Options granted under the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Amendment:</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Pursuant to Section 15.2 of the Plan, the Committee may from time to time amend this Award Agreement; provided, however, no amendment shall materially adversely impair the rights of the Grantee under this Award Agreement without the Grantee’s consent.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Options described in this Award Agreement are intended to be exempt from Section 409A under the stock rights exemption thereto, and the Plan and this Award Agreement shall be interpreted and administered consistent with such intention, and in accordance with Eastman Kodak Company’s Policy Regarding Section 409A Compliance. The Company may unilaterally amend this Award Agreement for purposes of exemption from or compliance with Section 409A if, in its sole discretion, the Company determines that such amendment would not have a material adverse effect with respect to the Grantee’s rights under this Award Agreement. Notwithstanding the foregoing, no person connected with the Plan or the Options in any capacity, including, but not limited to, the Company and its directors, officers, agents and employees makes any representation, commitment, or guarantee that any tax treatment will be applicable with respect to the Options or payments made under this Award Agreement, or that such tax treatment will apply to or be available to the Grantee.</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Options.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Plan is incorporated herein by reference, and, by accepting this Award, the Grantee agrees to be subject to the terms and conditions of the Plan. The Award Agreement and the Plan constitute the entire agreement and understanding of the parties with respect to the Options. In the event of any conflict between this Award Agreement and the Plan, the terms of the Plan shall control unless the context indicates otherwise.</w:t>
      </w:r>
    </w:p>
    <w:p>
      <w:pPr>
        <w:spacing w:after="0" w:line="182" w:lineRule="exact"/>
        <w:rPr>
          <w:sz w:val="20"/>
          <w:szCs w:val="20"/>
          <w:color w:val="auto"/>
        </w:rPr>
      </w:pPr>
    </w:p>
    <w:p>
      <w:pPr>
        <w:ind w:left="5800" w:hanging="747"/>
        <w:spacing w:after="0"/>
        <w:tabs>
          <w:tab w:leader="none" w:pos="58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93"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V. Continenza, certify that:</w:t>
      </w:r>
    </w:p>
    <w:p>
      <w:pPr>
        <w:spacing w:after="0" w:line="225"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w:t>
      </w:r>
    </w:p>
    <w:p>
      <w:pPr>
        <w:spacing w:after="0" w:line="225" w:lineRule="exact"/>
        <w:rPr>
          <w:rFonts w:ascii="Times New Roman" w:cs="Times New Roman" w:eastAsia="Times New Roman" w:hAnsi="Times New Roman"/>
          <w:sz w:val="18"/>
          <w:szCs w:val="18"/>
          <w:color w:val="auto"/>
        </w:rPr>
      </w:pPr>
    </w:p>
    <w:p>
      <w:pPr>
        <w:jc w:val="both"/>
        <w:ind w:left="460" w:right="320" w:hanging="452"/>
        <w:spacing w:after="0" w:line="266"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60" w:right="320" w:hanging="452"/>
        <w:spacing w:after="0" w:line="266"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60" w:right="40" w:firstLine="6"/>
        <w:spacing w:after="0" w:line="266" w:lineRule="auto"/>
        <w:tabs>
          <w:tab w:leader="none" w:pos="6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60" w:right="260" w:firstLine="6"/>
        <w:spacing w:after="0" w:line="266" w:lineRule="auto"/>
        <w:tabs>
          <w:tab w:leader="none" w:pos="7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60" w:right="860" w:firstLine="6"/>
        <w:spacing w:after="0" w:line="312" w:lineRule="auto"/>
        <w:tabs>
          <w:tab w:leader="none" w:pos="69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460" w:right="280" w:firstLine="6"/>
        <w:spacing w:after="0" w:line="266" w:lineRule="auto"/>
        <w:tabs>
          <w:tab w:leader="none" w:pos="7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right="220" w:hanging="452"/>
        <w:spacing w:after="0" w:line="282"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60" w:right="240" w:firstLine="6"/>
        <w:spacing w:after="0" w:line="282" w:lineRule="auto"/>
        <w:tabs>
          <w:tab w:leader="none" w:pos="6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220" w:firstLine="6"/>
        <w:spacing w:after="0" w:line="282" w:lineRule="auto"/>
        <w:tabs>
          <w:tab w:leader="none" w:pos="6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James V. Continenza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David E. Bullwinkle, certify that:</w:t>
      </w:r>
    </w:p>
    <w:p>
      <w:pPr>
        <w:spacing w:after="0" w:line="225" w:lineRule="exact"/>
        <w:rPr>
          <w:sz w:val="20"/>
          <w:szCs w:val="20"/>
          <w:color w:val="auto"/>
        </w:rPr>
      </w:pPr>
    </w:p>
    <w:p>
      <w:pPr>
        <w:ind w:left="368" w:hanging="368"/>
        <w:spacing w:after="0"/>
        <w:tabs>
          <w:tab w:leader="none" w:pos="3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w:t>
      </w:r>
    </w:p>
    <w:p>
      <w:pPr>
        <w:spacing w:after="0" w:line="225" w:lineRule="exact"/>
        <w:rPr>
          <w:rFonts w:ascii="Times New Roman" w:cs="Times New Roman" w:eastAsia="Times New Roman" w:hAnsi="Times New Roman"/>
          <w:sz w:val="18"/>
          <w:szCs w:val="18"/>
          <w:color w:val="auto"/>
        </w:rPr>
      </w:pPr>
    </w:p>
    <w:p>
      <w:pPr>
        <w:ind w:left="368" w:right="40" w:hanging="368"/>
        <w:spacing w:after="0" w:line="266" w:lineRule="auto"/>
        <w:tabs>
          <w:tab w:leader="none" w:pos="3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8" w:right="340" w:hanging="368"/>
        <w:spacing w:after="0" w:line="312" w:lineRule="auto"/>
        <w:tabs>
          <w:tab w:leader="none" w:pos="36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368" w:right="200" w:hanging="368"/>
        <w:spacing w:after="0" w:line="276" w:lineRule="auto"/>
        <w:tabs>
          <w:tab w:leader="none" w:pos="36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6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388" w:right="200" w:hanging="3"/>
        <w:spacing w:after="0" w:line="266" w:lineRule="auto"/>
        <w:tabs>
          <w:tab w:leader="none" w:pos="61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8" w:right="100" w:hanging="3"/>
        <w:spacing w:after="0" w:line="266" w:lineRule="auto"/>
        <w:tabs>
          <w:tab w:leader="none" w:pos="62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8" w:right="120" w:hanging="3"/>
        <w:spacing w:after="0" w:line="312" w:lineRule="auto"/>
        <w:tabs>
          <w:tab w:leader="none" w:pos="61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388" w:hanging="3"/>
        <w:spacing w:after="0" w:line="266" w:lineRule="auto"/>
        <w:tabs>
          <w:tab w:leader="none" w:pos="62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68" w:right="280" w:hanging="368"/>
        <w:spacing w:after="0" w:line="266" w:lineRule="auto"/>
        <w:tabs>
          <w:tab w:leader="none" w:pos="3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88" w:right="280" w:hanging="3"/>
        <w:spacing w:after="0" w:line="282" w:lineRule="auto"/>
        <w:tabs>
          <w:tab w:leader="none" w:pos="60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88" w:right="20" w:hanging="3"/>
        <w:spacing w:after="0" w:line="282" w:lineRule="auto"/>
        <w:tabs>
          <w:tab w:leader="none" w:pos="61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8"/>
          <w:szCs w:val="18"/>
          <w:u w:val="single" w:color="auto"/>
          <w:color w:val="auto"/>
        </w:rPr>
        <w:t>/s/ David E. Bullwinkle</w:t>
      </w:r>
    </w:p>
    <w:p>
      <w:pPr>
        <w:spacing w:after="0" w:line="27"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8"/>
          <w:szCs w:val="18"/>
          <w:color w:val="auto"/>
        </w:rPr>
        <w:t>David E. Bullwinkle</w:t>
      </w:r>
    </w:p>
    <w:p>
      <w:pPr>
        <w:spacing w:after="0" w:line="9"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8"/>
          <w:szCs w:val="18"/>
          <w:color w:val="auto"/>
        </w:rPr>
        <w:t>Date: November 10, 2020</w:t>
      </w:r>
    </w:p>
    <w:p>
      <w:pPr>
        <w:sectPr>
          <w:pgSz w:w="11900" w:h="16838" w:orient="portrait"/>
          <w:cols w:equalWidth="0" w:num="1">
            <w:col w:w="10408"/>
          </w:cols>
          <w:pgMar w:left="692" w:top="117" w:right="79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Eastman Kodak Company (the "Company") on Form 10-Q for the period ended September 30, 2020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480" w:hanging="238"/>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40" w:right="520" w:firstLine="2"/>
        <w:spacing w:after="0" w:line="282" w:lineRule="auto"/>
        <w:tabs>
          <w:tab w:leader="none" w:pos="4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James V. Continenza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ectPr>
          <w:pgSz w:w="11900" w:h="16838" w:orient="portrait"/>
          <w:cols w:equalWidth="0" w:num="1">
            <w:col w:w="10660"/>
          </w:cols>
          <w:pgMar w:left="320" w:top="333" w:right="91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Eastman Kodak Company (the "Company") on Form 10-Q for the period ended September 30, 2020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600" w:hanging="242"/>
        <w:spacing w:after="0"/>
        <w:tabs>
          <w:tab w:leader="none" w:pos="6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right="400" w:hanging="2"/>
        <w:spacing w:after="0" w:line="282" w:lineRule="auto"/>
        <w:tabs>
          <w:tab w:leader="none" w:pos="59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David E. Bullwinkle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sectPr>
      <w:pgSz w:w="11900" w:h="16838" w:orient="portrait"/>
      <w:cols w:equalWidth="0" w:num="1">
        <w:col w:w="10660"/>
      </w:cols>
      <w:pgMar w:left="320" w:top="333"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lowerRoman"/>
      <w:start w:val="2"/>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2"/>
    </w:lvl>
  </w:abstractNum>
  <w:abstractNum w:abstractNumId="10">
    <w:nsid w:val="8138641"/>
    <w:multiLevelType w:val="hybridMultilevel"/>
    <w:lvl w:ilvl="0">
      <w:lvlJc w:val="left"/>
      <w:lvlText w:val="(%1)"/>
      <w:numFmt w:val="decimal"/>
      <w:start w:val="2"/>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lowerRoman"/>
      <w:start w:val="2"/>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lvl w:ilvl="1">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lvl w:ilvl="1">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lowerRoman"/>
      <w:start w:val="2"/>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lowerRoman"/>
      <w:start w:val="1"/>
    </w:lvl>
  </w:abstractNum>
  <w:abstractNum w:abstractNumId="36">
    <w:nsid w:val="2A487CB0"/>
    <w:multiLevelType w:val="hybridMultilevel"/>
    <w:lvl w:ilvl="0">
      <w:lvlJc w:val="left"/>
      <w:lvlText w:val="(%1)"/>
      <w:numFmt w:val="lowerRoman"/>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lowerLetter"/>
      <w:start w:val="1"/>
    </w:lvl>
    <w:lvl w:ilvl="1">
      <w:lvlJc w:val="left"/>
      <w:lvlText w:val="%2."/>
      <w:numFmt w:val="decimal"/>
      <w:start w:val="1"/>
    </w:lvl>
  </w:abstractNum>
  <w:abstractNum w:abstractNumId="39">
    <w:nsid w:val="2CD89A32"/>
    <w:multiLevelType w:val="hybridMultilevel"/>
    <w:lvl w:ilvl="0">
      <w:lvlJc w:val="left"/>
      <w:lvlText w:val="(%1)"/>
      <w:numFmt w:val="lowerRoman"/>
      <w:start w:val="1"/>
    </w:lvl>
  </w:abstractNum>
  <w:abstractNum w:abstractNumId="40">
    <w:nsid w:val="57E4CCAF"/>
    <w:multiLevelType w:val="hybridMultilevel"/>
    <w:lvl w:ilvl="0">
      <w:lvlJc w:val="left"/>
      <w:lvlText w:val="(%1)"/>
      <w:numFmt w:val="lowerRoman"/>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Letter"/>
      <w:start w:val="1"/>
    </w:lvl>
    <w:lvl w:ilvl="1">
      <w:lvlJc w:val="left"/>
      <w:lvlText w:val="%2."/>
      <w:numFmt w:val="decimal"/>
      <w:start w:val="1"/>
    </w:lvl>
  </w:abstractNum>
  <w:abstractNum w:abstractNumId="43">
    <w:nsid w:val="542289EC"/>
    <w:multiLevelType w:val="hybridMultilevel"/>
    <w:lvl w:ilvl="0">
      <w:lvlJc w:val="left"/>
      <w:lvlText w:val="(%1)"/>
      <w:numFmt w:val="lowerRoman"/>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91" Type="http://schemas.openxmlformats.org/officeDocument/2006/relationships/hyperlink" Target="http://www.sec.gov/Archives/edgar/data/31235/000119312513354928/d591063dex41.htm" TargetMode="External"/><Relationship Id="rId92" Type="http://schemas.openxmlformats.org/officeDocument/2006/relationships/hyperlink" Target="http://www.sec.gov/Archives/edgar/data/31235/000156459016029358/kodk-ex31_26.htm" TargetMode="External"/><Relationship Id="rId93" Type="http://schemas.openxmlformats.org/officeDocument/2006/relationships/hyperlink" Target="http://www.sec.gov/Archives/edgar/data/31235/000119312519243935/d803063dex32.htm" TargetMode="External"/><Relationship Id="rId94" Type="http://schemas.openxmlformats.org/officeDocument/2006/relationships/hyperlink" Target="http://www.sec.gov/Archives/edgar/data/31235/000156459020024666/kodk-ex35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2020-11-10T15:37:08Z</dcterms:created>
  <dcterms:modified xsi:type="dcterms:W3CDTF">2020-11-10T15:37:08Z</dcterms:modified>
</cp:coreProperties>
</file>