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k-20260507.htm"/>
      <w:bookmarkStart w:id="1" w:name="kskodk20260507"/>
      <w:bookmarkEnd w:id="0"/>
      <w:bookmarkEnd w:id="1"/>
      <w:r>
        <w:rPr/>
        <w:t> </w:t>
      </w:r>
    </w:p>
    <w:p>
      <w:pPr>
        <w:pStyle w:val="TextBody"/>
        <w:bidi w:val="0"/>
        <w:jc w:val="center"/>
        <w:rPr>
          <w:rFonts w:ascii="Times New Roman" w:hAnsi="Times New Roman"/>
          <w:b/>
          <w:color w:val="000000"/>
          <w:sz w:val="32"/>
        </w:rPr>
      </w:pPr>
      <w:bookmarkStart w:id="2" w:name="fis_form"/>
      <w:bookmarkStart w:id="3" w:name="fis_top_of_document"/>
      <w:bookmarkStart w:id="4" w:name="companyofficersannouncement_htm"/>
      <w:bookmarkStart w:id="5" w:name="eolpage1"/>
      <w:bookmarkEnd w:id="2"/>
      <w:bookmarkEnd w:id="3"/>
      <w:bookmarkEnd w:id="4"/>
      <w:bookmarkEnd w:id="5"/>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32"/>
        </w:rPr>
      </w:pPr>
      <w:r>
        <w:rPr>
          <w:rFonts w:ascii="Times New Roman" w:hAnsi="Times New Roman"/>
          <w:b/>
          <w:color w:val="000000"/>
          <w:sz w:val="32"/>
        </w:rPr>
        <w:t>Washington, D.C. 20549</w:t>
      </w:r>
    </w:p>
    <w:tbl>
      <w:tblPr>
        <w:tblW w:w="7623" w:type="dxa"/>
        <w:jc w:val="left"/>
        <w:tblInd w:w="0" w:type="dxa"/>
        <w:tblLayout w:type="fixed"/>
        <w:tblCellMar>
          <w:top w:w="28" w:type="dxa"/>
          <w:left w:w="28" w:type="dxa"/>
          <w:bottom w:w="28" w:type="dxa"/>
          <w:right w:w="28" w:type="dxa"/>
        </w:tblCellMar>
      </w:tblPr>
      <w:tblGrid>
        <w:gridCol w:w="3676"/>
        <w:gridCol w:w="2296"/>
        <w:gridCol w:w="1651"/>
      </w:tblGrid>
      <w:tr>
        <w:trPr/>
        <w:tc>
          <w:tcPr>
            <w:tcW w:w="367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b/>
                <w:color w:val="000000"/>
                <w:sz w:val="24"/>
              </w:rPr>
            </w:pPr>
            <w:r>
              <w:rPr>
                <w:rFonts w:ascii="Times New Roman" w:hAnsi="Times New Roman"/>
                <w:b/>
                <w:color w:val="000000"/>
                <w:sz w:val="24"/>
              </w:rPr>
              <w:t>________________</w:t>
            </w:r>
          </w:p>
          <w:p>
            <w:pPr>
              <w:pStyle w:val="TableContents"/>
              <w:bidi w:val="0"/>
              <w:spacing w:before="80" w:after="240"/>
              <w:jc w:val="center"/>
              <w:rPr>
                <w:rFonts w:ascii="Times New Roman" w:hAnsi="Times New Roman"/>
                <w:sz w:val="24"/>
              </w:rPr>
            </w:pPr>
            <w:r>
              <w:rPr>
                <w:rFonts w:ascii="Times New Roman" w:hAnsi="Times New Roman"/>
                <w:b/>
                <w:color w:val="000000"/>
                <w:sz w:val="32"/>
              </w:rPr>
              <w:t>Form 8-K</w:t>
              <w:br/>
            </w:r>
            <w:r>
              <w:rPr>
                <w:rFonts w:ascii="Times New Roman" w:hAnsi="Times New Roman"/>
                <w:b/>
                <w:color w:val="000000"/>
                <w:sz w:val="24"/>
              </w:rPr>
              <w:t>________________</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CURRENT REPORT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tc>
      </w:tr>
      <w:tr>
        <w:trPr/>
        <w:tc>
          <w:tcPr>
            <w:tcW w:w="762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Date of Report (Date of earliest event reported): May 7, 2026</w:t>
            </w:r>
          </w:p>
          <w:p>
            <w:pPr>
              <w:pStyle w:val="TableContents"/>
              <w:bidi w:val="0"/>
              <w:spacing w:before="0" w:after="283"/>
              <w:jc w:val="left"/>
              <w:rPr/>
            </w:pPr>
            <w:r>
              <w:rPr/>
              <w:t> </w:t>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32"/>
              </w:rPr>
              <w:t>EASTMAN KODAK COMPANY</w:t>
              <w:br/>
            </w:r>
            <w:r>
              <w:rPr>
                <w:rFonts w:ascii="Times New Roman" w:hAnsi="Times New Roman"/>
                <w:color w:val="000000"/>
                <w:sz w:val="20"/>
              </w:rPr>
              <w:t>(Exact name of registrant as specified in its charter)</w:t>
            </w:r>
          </w:p>
        </w:tc>
      </w:tr>
      <w:tr>
        <w:trPr/>
        <w:tc>
          <w:tcPr>
            <w:tcW w:w="367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NEW JERSEY</w:t>
            </w:r>
            <w:r>
              <w:rPr>
                <w:rFonts w:ascii="Times New Roman" w:hAnsi="Times New Roman"/>
                <w:color w:val="000000"/>
                <w:sz w:val="20"/>
              </w:rPr>
              <w:br/>
              <w:t>(State or other jurisdiction of incorporation)</w:t>
            </w:r>
          </w:p>
        </w:tc>
        <w:tc>
          <w:tcPr>
            <w:tcW w:w="22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1-87</w:t>
            </w:r>
            <w:r>
              <w:rPr>
                <w:rFonts w:ascii="Times New Roman" w:hAnsi="Times New Roman"/>
                <w:color w:val="000000"/>
                <w:sz w:val="20"/>
              </w:rPr>
              <w:br/>
              <w:t>(Commission File Number)</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16-0417150</w:t>
            </w:r>
            <w:r>
              <w:rPr>
                <w:rFonts w:ascii="Times New Roman" w:hAnsi="Times New Roman"/>
                <w:color w:val="000000"/>
                <w:sz w:val="20"/>
              </w:rPr>
              <w:br/>
              <w:t xml:space="preserve">(IRS Employer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343 State Street</w:t>
            </w:r>
          </w:p>
          <w:p>
            <w:pPr>
              <w:pStyle w:val="TableContents"/>
              <w:bidi w:val="0"/>
              <w:jc w:val="center"/>
              <w:rPr>
                <w:rFonts w:ascii="Times New Roman" w:hAnsi="Times New Roman"/>
                <w:sz w:val="20"/>
              </w:rPr>
            </w:pPr>
            <w:r>
              <w:rPr>
                <w:rFonts w:ascii="Times New Roman" w:hAnsi="Times New Roman"/>
                <w:b/>
                <w:color w:val="000000"/>
                <w:sz w:val="20"/>
              </w:rPr>
              <w:t>Rochester, NY</w:t>
            </w:r>
            <w:r>
              <w:rPr>
                <w:rFonts w:ascii="Times New Roman" w:hAnsi="Times New Roman"/>
                <w:color w:val="000000"/>
                <w:sz w:val="20"/>
              </w:rPr>
              <w:t xml:space="preserve"> </w:t>
            </w:r>
            <w:r>
              <w:rPr>
                <w:rFonts w:ascii="Times New Roman" w:hAnsi="Times New Roman"/>
                <w:b/>
                <w:color w:val="000000"/>
                <w:sz w:val="20"/>
              </w:rPr>
              <w:t>14650</w:t>
            </w:r>
            <w:r>
              <w:rPr>
                <w:rFonts w:ascii="Times New Roman" w:hAnsi="Times New Roman"/>
                <w:color w:val="000000"/>
                <w:sz w:val="20"/>
              </w:rPr>
              <w:br/>
              <w:t>(Address of principal executive offices with zip code)</w:t>
            </w:r>
          </w:p>
          <w:p>
            <w:pPr>
              <w:pStyle w:val="TableContents"/>
              <w:bidi w:val="0"/>
              <w:spacing w:before="0" w:after="283"/>
              <w:jc w:val="center"/>
              <w:rPr/>
            </w:pPr>
            <w:r>
              <w:rPr/>
              <w:t> </w:t>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(800) 356-3259</w:t>
            </w:r>
            <w:r>
              <w:rPr>
                <w:rFonts w:ascii="Times New Roman" w:hAnsi="Times New Roman"/>
                <w:color w:val="000000"/>
                <w:sz w:val="20"/>
              </w:rPr>
              <w:t xml:space="preserve"> </w:t>
              <w:br/>
              <w:t>(Registrant’s telephone number, including area code)</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93" w:type="dxa"/>
        <w:jc w:val="left"/>
        <w:tblInd w:w="0" w:type="dxa"/>
        <w:tblLayout w:type="fixed"/>
        <w:tblCellMar>
          <w:top w:w="28" w:type="dxa"/>
          <w:left w:w="28" w:type="dxa"/>
          <w:bottom w:w="28" w:type="dxa"/>
          <w:right w:w="28" w:type="dxa"/>
        </w:tblCellMar>
      </w:tblPr>
      <w:tblGrid>
        <w:gridCol w:w="3466"/>
        <w:gridCol w:w="1621"/>
        <w:gridCol w:w="3706"/>
      </w:tblGrid>
      <w:tr>
        <w:trPr/>
        <w:tc>
          <w:tcPr>
            <w:tcW w:w="346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62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Common stock, par value $0.01 per share</w:t>
            </w:r>
          </w:p>
        </w:tc>
        <w:tc>
          <w:tcPr>
            <w:tcW w:w="162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KODK</w:t>
            </w:r>
          </w:p>
        </w:tc>
        <w:tc>
          <w:tcPr>
            <w:tcW w:w="370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 w:after="16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 w:after="160"/>
        <w:jc w:val="left"/>
        <w:rPr>
          <w:rFonts w:ascii="Times New Roman" w:hAnsi="Times New Roman"/>
          <w:color w:val="000000"/>
          <w:sz w:val="20"/>
        </w:rPr>
      </w:pPr>
      <w:bookmarkStart w:id="6" w:name="eolpage2"/>
      <w:bookmarkEnd w:id="6"/>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4"/>
        <w:jc w:val="left"/>
        <w:rPr>
          <w:rFonts w:ascii="sans-serif" w:hAnsi="sans-serif"/>
          <w:b/>
          <w:color w:val="000000"/>
          <w:sz w:val="21"/>
        </w:rPr>
      </w:pPr>
      <w:r>
        <w:rPr>
          <w:rFonts w:ascii="sans-serif" w:hAnsi="sans-serif"/>
          <w:b/>
          <w:color w:val="000000"/>
          <w:sz w:val="21"/>
        </w:rPr>
        <w:t>Item 2.02 Results of Operations and Financial Condition</w:t>
      </w:r>
    </w:p>
    <w:p>
      <w:pPr>
        <w:pStyle w:val="TextBody"/>
        <w:bidi w:val="0"/>
        <w:spacing w:before="0" w:after="184"/>
        <w:jc w:val="left"/>
        <w:rPr>
          <w:rFonts w:ascii="sans-serif" w:hAnsi="sans-serif"/>
          <w:color w:val="000000"/>
          <w:sz w:val="21"/>
        </w:rPr>
      </w:pPr>
      <w:r>
        <w:rPr>
          <w:rFonts w:ascii="sans-serif" w:hAnsi="sans-serif"/>
          <w:color w:val="000000"/>
          <w:sz w:val="21"/>
        </w:rPr>
        <w:t>On May 7, 2026, Eastman Kodak Company (the "Company") issued a press release describing its first quarter 2026 financial results. A copy of the press release is furnished as Exhibit (99.1) to this report.</w:t>
      </w:r>
    </w:p>
    <w:p>
      <w:pPr>
        <w:pStyle w:val="TextBody"/>
        <w:bidi w:val="0"/>
        <w:spacing w:before="0" w:after="160"/>
        <w:jc w:val="left"/>
        <w:rPr/>
      </w:pPr>
      <w:r>
        <w:rPr/>
        <w:t> </w:t>
      </w:r>
    </w:p>
    <w:p>
      <w:pPr>
        <w:pStyle w:val="TextBody"/>
        <w:bidi w:val="0"/>
        <w:spacing w:before="0" w:after="204"/>
        <w:jc w:val="left"/>
        <w:rPr>
          <w:rFonts w:ascii="sans-serif" w:hAnsi="sans-serif"/>
          <w:b/>
          <w:color w:val="000000"/>
          <w:sz w:val="21"/>
        </w:rPr>
      </w:pPr>
      <w:r>
        <w:rPr>
          <w:rFonts w:ascii="sans-serif" w:hAnsi="sans-serif"/>
          <w:b/>
          <w:color w:val="000000"/>
          <w:sz w:val="21"/>
        </w:rPr>
        <w:t>Item 9.01 Financial Statements and Exhibits</w:t>
      </w:r>
    </w:p>
    <w:p>
      <w:pPr>
        <w:pStyle w:val="TextBody"/>
        <w:bidi w:val="0"/>
        <w:spacing w:before="0" w:after="206"/>
        <w:jc w:val="left"/>
        <w:rPr>
          <w:rFonts w:ascii="sans-serif" w:hAnsi="sans-serif"/>
          <w:color w:val="000000"/>
          <w:sz w:val="21"/>
        </w:rPr>
      </w:pPr>
      <w:r>
        <w:rPr>
          <w:rFonts w:ascii="sans-serif" w:hAnsi="sans-serif"/>
          <w:color w:val="000000"/>
          <w:sz w:val="21"/>
        </w:rPr>
        <w:t>(d) Exhibits</w:t>
      </w:r>
    </w:p>
    <w:p>
      <w:pPr>
        <w:pStyle w:val="TextBody"/>
        <w:bidi w:val="0"/>
        <w:spacing w:before="0" w:after="160"/>
        <w:jc w:val="left"/>
        <w:rPr/>
      </w:pPr>
      <w:r>
        <w:rPr>
          <w:rFonts w:ascii="sans-serif" w:hAnsi="sans-serif"/>
          <w:color w:val="000000"/>
          <w:sz w:val="21"/>
        </w:rPr>
        <w:t xml:space="preserve">99.1 </w:t>
      </w:r>
      <w:hyperlink w:anchor="kodk-ex99_1.htm">
        <w:r>
          <w:rPr>
            <w:rStyle w:val="InternetLink"/>
            <w:rFonts w:ascii="sans-serif" w:hAnsi="sans-serif"/>
            <w:color w:val="0000FF"/>
            <w:sz w:val="21"/>
            <w:u w:val="single"/>
          </w:rPr>
          <w:t>Press release issued on May 7, 2026, regarding the Company's first quarter 2026 financial results furnished with this document</w:t>
        </w:r>
      </w:hyperlink>
    </w:p>
    <w:p>
      <w:pPr>
        <w:pStyle w:val="TextBody"/>
        <w:bidi w:val="0"/>
        <w:jc w:val="left"/>
        <w:rPr>
          <w:rFonts w:ascii="sans-serif" w:hAnsi="sans-serif"/>
          <w:color w:val="000000"/>
          <w:sz w:val="21"/>
        </w:rPr>
      </w:pPr>
      <w:r>
        <w:rPr>
          <w:rFonts w:ascii="sans-serif" w:hAnsi="sans-serif"/>
          <w:color w:val="000000"/>
          <w:sz w:val="21"/>
        </w:rPr>
        <w:t>104 Cover Page Interactive Data File (embedded within the Inline XBRL document)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08"/>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95"/>
        <w:jc w:val="left"/>
        <w:rPr>
          <w:rFonts w:ascii="sans-serif" w:hAnsi="sans-serif"/>
          <w:color w:val="000000"/>
          <w:sz w:val="21"/>
        </w:rPr>
      </w:pPr>
      <w:r>
        <w:rPr>
          <w:rFonts w:ascii="sans-serif" w:hAnsi="sans-serif"/>
          <w:color w:val="000000"/>
          <w:sz w:val="21"/>
        </w:rPr>
        <w:t>Pursuant to the requirements of the Securities Exchange Act of 1934, the registrant has duly caused this report to be signed on its behalf by the undersigned hereunto duly authorized.</w:t>
      </w:r>
    </w:p>
    <w:p>
      <w:pPr>
        <w:pStyle w:val="TextBody"/>
        <w:bidi w:val="0"/>
        <w:spacing w:before="0" w:after="95"/>
        <w:jc w:val="left"/>
        <w:rPr/>
      </w:pPr>
      <w:r>
        <w:rPr/>
        <w:t> </w:t>
      </w:r>
    </w:p>
    <w:p>
      <w:pPr>
        <w:pStyle w:val="TextBody"/>
        <w:bidi w:val="0"/>
        <w:spacing w:before="0" w:after="95"/>
        <w:jc w:val="left"/>
        <w:rPr/>
      </w:pPr>
      <w:r>
        <w:rPr/>
        <w:t> </w:t>
      </w:r>
    </w:p>
    <w:p>
      <w:pPr>
        <w:pStyle w:val="TextBody"/>
        <w:bidi w:val="0"/>
        <w:spacing w:before="0" w:after="95"/>
        <w:jc w:val="left"/>
        <w:rPr/>
      </w:pPr>
      <w:r>
        <w:rPr/>
        <w:t> </w:t>
      </w:r>
    </w:p>
    <w:p>
      <w:pPr>
        <w:pStyle w:val="TextBody"/>
        <w:bidi w:val="0"/>
        <w:jc w:val="left"/>
        <w:rPr>
          <w:rFonts w:ascii="sans-serif" w:hAnsi="sans-serif"/>
          <w:b/>
          <w:color w:val="000000"/>
          <w:sz w:val="21"/>
        </w:rPr>
      </w:pPr>
      <w:r>
        <w:rPr>
          <w:rFonts w:ascii="sans-serif" w:hAnsi="sans-serif"/>
          <w:b/>
          <w:color w:val="000000"/>
          <w:sz w:val="21"/>
        </w:rPr>
        <w:t>EASTMAN KODAK COMPANY</w:t>
      </w:r>
    </w:p>
    <w:p>
      <w:pPr>
        <w:pStyle w:val="TextBody"/>
        <w:bidi w:val="0"/>
        <w:jc w:val="left"/>
        <w:rPr>
          <w:rFonts w:ascii="sans-serif" w:hAnsi="sans-serif"/>
          <w:color w:val="000000"/>
          <w:sz w:val="21"/>
        </w:rPr>
      </w:pPr>
      <w:r>
        <w:rPr>
          <w:rFonts w:ascii="sans-serif" w:hAnsi="sans-serif"/>
          <w:color w:val="000000"/>
          <w:sz w:val="21"/>
        </w:rPr>
        <w:t>(Registrant)</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rFonts w:ascii="sans-serif" w:hAnsi="sans-serif"/>
          <w:color w:val="000000"/>
          <w:sz w:val="21"/>
        </w:rPr>
      </w:pPr>
      <w:r>
        <w:rPr>
          <w:rFonts w:ascii="sans-serif" w:hAnsi="sans-serif"/>
          <w:color w:val="000000"/>
          <w:sz w:val="21"/>
        </w:rPr>
        <w:t>/s/ Richard T. Michaels</w:t>
      </w:r>
    </w:p>
    <w:p>
      <w:pPr>
        <w:pStyle w:val="TextBody"/>
        <w:bidi w:val="0"/>
        <w:jc w:val="left"/>
        <w:rPr>
          <w:rFonts w:ascii="sans-serif" w:hAnsi="sans-serif"/>
          <w:color w:val="000000"/>
          <w:sz w:val="21"/>
        </w:rPr>
      </w:pPr>
      <w:r>
        <w:rPr>
          <w:rFonts w:ascii="sans-serif" w:hAnsi="sans-serif"/>
          <w:color w:val="000000"/>
          <w:sz w:val="21"/>
        </w:rPr>
        <w:t>Richard T. Michaels</w:t>
      </w:r>
    </w:p>
    <w:p>
      <w:pPr>
        <w:pStyle w:val="TextBody"/>
        <w:bidi w:val="0"/>
        <w:jc w:val="left"/>
        <w:rPr>
          <w:rFonts w:ascii="sans-serif" w:hAnsi="sans-serif"/>
          <w:color w:val="000000"/>
          <w:sz w:val="21"/>
        </w:rPr>
      </w:pPr>
      <w:bookmarkStart w:id="7" w:name="tab1"/>
      <w:bookmarkEnd w:id="7"/>
      <w:r>
        <w:rPr>
          <w:rFonts w:ascii="sans-serif" w:hAnsi="sans-serif"/>
          <w:color w:val="000000"/>
          <w:sz w:val="21"/>
        </w:rPr>
        <w:t>Chief Accounting Officer and Corporate Controller</w:t>
      </w:r>
    </w:p>
    <w:p>
      <w:pPr>
        <w:pStyle w:val="TextBody"/>
        <w:bidi w:val="0"/>
        <w:jc w:val="left"/>
        <w:rPr>
          <w:rFonts w:ascii="sans-serif" w:hAnsi="sans-serif"/>
          <w:color w:val="000000"/>
          <w:sz w:val="21"/>
        </w:rPr>
      </w:pPr>
      <w:r>
        <w:rPr>
          <w:rFonts w:ascii="sans-serif" w:hAnsi="sans-serif"/>
          <w:color w:val="000000"/>
          <w:sz w:val="21"/>
        </w:rPr>
        <w:t>(Chief Accounting Officer and Authorized Signatory)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1"/>
        </w:rPr>
        <w:t>Date:</w:t>
      </w:r>
      <w:r>
        <w:rPr>
          <w:rFonts w:ascii="Times New Roman" w:hAnsi="Times New Roman"/>
          <w:color w:val="000000"/>
          <w:sz w:val="20"/>
        </w:rPr>
        <w:t xml:space="preserve"> </w:t>
      </w:r>
      <w:r>
        <w:rPr>
          <w:rFonts w:ascii="sans-serif" w:hAnsi="sans-serif"/>
          <w:color w:val="000000"/>
          <w:sz w:val="21"/>
        </w:rPr>
        <w:t>May 7, 2026</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bookmarkStart w:id="8" w:name="kodk-ex99_1.htm"/>
      <w:bookmarkStart w:id="9" w:name="kskodkex99_1"/>
      <w:bookmarkEnd w:id="8"/>
      <w:bookmarkEnd w:id="9"/>
      <w:r>
        <w:rPr/>
        <w:drawing>
          <wp:inline distT="0" distB="0" distL="0" distR="0">
            <wp:extent cx="10287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1028700"/>
                    </a:xfrm>
                    <a:prstGeom prst="rect">
                      <a:avLst/>
                    </a:prstGeom>
                  </pic:spPr>
                </pic:pic>
              </a:graphicData>
            </a:graphic>
          </wp:inline>
        </w:drawing>
      </w:r>
      <w:r>
        <w:rPr>
          <w:color w:val="000000"/>
        </w:rPr>
        <w:t xml:space="preserve"> </w:t>
      </w:r>
      <w:r>
        <w:rPr>
          <w:rFonts w:ascii="sans-serif" w:hAnsi="sans-serif"/>
          <w:b/>
          <w:color w:val="000000"/>
          <w:sz w:val="22"/>
        </w:rPr>
        <w:t>Exhibit 99.1</w:t>
      </w:r>
      <w:r>
        <w:br w:type="page"/>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u w:val="single"/>
        </w:rPr>
        <w:t>Media Contact</w:t>
      </w:r>
      <w:r>
        <w:rPr>
          <w:rFonts w:ascii="sans-serif" w:hAnsi="sans-serif"/>
          <w:b/>
          <w:color w:val="000000"/>
          <w:sz w:val="22"/>
        </w:rPr>
        <w:t>:</w:t>
      </w:r>
    </w:p>
    <w:p>
      <w:pPr>
        <w:pStyle w:val="TextBody"/>
        <w:bidi w:val="0"/>
        <w:jc w:val="left"/>
        <w:rPr>
          <w:rFonts w:ascii="Times New Roman" w:hAnsi="Times New Roman"/>
          <w:sz w:val="20"/>
        </w:rPr>
      </w:pPr>
      <w:r>
        <w:rPr>
          <w:rFonts w:ascii="sans-serif" w:hAnsi="sans-serif"/>
          <w:color w:val="000000"/>
          <w:sz w:val="22"/>
        </w:rPr>
        <w:t xml:space="preserve">Kurt Jaeckel, Kodak, +1 585-490-8646, </w:t>
      </w:r>
      <w:r>
        <w:rPr>
          <w:rFonts w:ascii="sans-serif" w:hAnsi="sans-serif"/>
          <w:sz w:val="22"/>
        </w:rPr>
        <w:t>kurt.jaeckel@kodak.com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u w:val="single"/>
        </w:rPr>
        <w:t>Investor Contact</w:t>
      </w:r>
      <w:r>
        <w:rPr>
          <w:rFonts w:ascii="sans-serif" w:hAnsi="sans-serif"/>
          <w:b/>
          <w:color w:val="000000"/>
          <w:sz w:val="22"/>
        </w:rPr>
        <w:t>:</w:t>
      </w:r>
    </w:p>
    <w:p>
      <w:pPr>
        <w:pStyle w:val="TextBody"/>
        <w:bidi w:val="0"/>
        <w:jc w:val="left"/>
        <w:rPr>
          <w:rFonts w:ascii="Times New Roman" w:hAnsi="Times New Roman"/>
          <w:sz w:val="20"/>
        </w:rPr>
      </w:pPr>
      <w:r>
        <w:rPr>
          <w:rFonts w:ascii="sans-serif" w:hAnsi="sans-serif"/>
          <w:color w:val="000000"/>
          <w:sz w:val="22"/>
        </w:rPr>
        <w:t xml:space="preserve">Denisse Goldbarg, Kodak, +1 585-724-4053, </w:t>
      </w:r>
      <w:r>
        <w:rPr>
          <w:rFonts w:ascii="sans-serif" w:hAnsi="sans-serif"/>
          <w:sz w:val="22"/>
        </w:rPr>
        <w:t>shareholderservices@kodak.com</w:t>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8"/>
        </w:rPr>
        <w:t>Kodak Reports First-Quarter 2026 Financial Results</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200"/>
        <w:jc w:val="center"/>
        <w:rPr>
          <w:rFonts w:ascii="sans-serif" w:hAnsi="sans-serif"/>
          <w:b/>
          <w:color w:val="000000"/>
          <w:sz w:val="22"/>
        </w:rPr>
      </w:pPr>
      <w:r>
        <w:rPr>
          <w:rFonts w:ascii="sans-serif" w:hAnsi="sans-serif"/>
          <w:b/>
          <w:color w:val="000000"/>
          <w:sz w:val="22"/>
        </w:rPr>
        <w:t>Company Delivered Year-Over-Year Growth in Revenue, Gross Profit and Operational EBITDA for the Third Consecutive Quarter</w:t>
      </w:r>
    </w:p>
    <w:p>
      <w:pPr>
        <w:pStyle w:val="TextBody"/>
        <w:bidi w:val="0"/>
        <w:spacing w:before="0" w:after="200"/>
        <w:jc w:val="center"/>
        <w:rPr>
          <w:rFonts w:ascii="sans-serif" w:hAnsi="sans-serif"/>
          <w:b/>
          <w:color w:val="000000"/>
          <w:sz w:val="22"/>
        </w:rPr>
      </w:pPr>
      <w:r>
        <w:rPr>
          <w:rFonts w:ascii="sans-serif" w:hAnsi="sans-serif"/>
          <w:b/>
          <w:color w:val="000000"/>
          <w:sz w:val="22"/>
        </w:rPr>
        <w:t>Key Print and AM&amp;C Businesses Achieved Increases in Revenue</w:t>
      </w:r>
    </w:p>
    <w:p>
      <w:pPr>
        <w:pStyle w:val="TextBody"/>
        <w:bidi w:val="0"/>
        <w:spacing w:before="0" w:after="200"/>
        <w:jc w:val="left"/>
        <w:rPr>
          <w:rFonts w:ascii="Times New Roman" w:hAnsi="Times New Roman"/>
          <w:sz w:val="20"/>
        </w:rPr>
      </w:pPr>
      <w:r>
        <w:rPr>
          <w:rFonts w:ascii="sans-serif" w:hAnsi="sans-serif"/>
          <w:color w:val="000000"/>
          <w:sz w:val="22"/>
        </w:rPr>
        <w:t>ROCHESTER, N.Y., May 7, 2026 – Eastman Kodak Company (NYSE: KODK) today reported financial results for the first quarter 2026.</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sans-serif" w:hAnsi="sans-serif"/>
          <w:color w:val="000000"/>
          <w:sz w:val="22"/>
        </w:rPr>
        <w:t>First quarter 2026 highlights include:</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Consolidated revenues of $265 million, compared with $247 million for Q1 2025, an increase of $18 million or 7 percent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rFonts w:ascii="sans-serif" w:hAnsi="sans-serif"/>
          <w:color w:val="000000"/>
          <w:sz w:val="22"/>
        </w:rPr>
      </w:pPr>
      <w:r>
        <w:rPr>
          <w:rFonts w:ascii="sans-serif" w:hAnsi="sans-serif"/>
          <w:color w:val="000000"/>
          <w:sz w:val="22"/>
        </w:rPr>
        <w:t>Advanced Materials &amp; Chemicals (AM&amp;C) revenues were $76 million, compared with $74 million for Q1 2025, an increase of $2 million or 3 percent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rFonts w:ascii="sans-serif" w:hAnsi="sans-serif"/>
          <w:color w:val="000000"/>
          <w:sz w:val="22"/>
        </w:rPr>
      </w:pPr>
      <w:r>
        <w:rPr>
          <w:rFonts w:ascii="sans-serif" w:hAnsi="sans-serif"/>
          <w:color w:val="000000"/>
          <w:sz w:val="22"/>
        </w:rPr>
        <w:t>Print revenues were $180 million, compared with $165 million for Q1 2025, an increase of $15 million or 9 percent</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Gross profit of $57 million, compared with $46 million for Q1 2025, an increase of $11 million or 24 percent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Gross profit percentage of 22 percent, compared with 19 percent for Q1 2025, an increase of 3 percentage points</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GAAP net loss of $16 million, compared with net loss of $7 million for Q1 2025, an increase of $9 million</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Operational EBITDA of $15 million, compared with $2 million for Q1 2025, an increase of $13 million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A quarter-end cash balance of $299 million, compared with $337 million on December 31, 2025, a decrease of $38 million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Cash flow from operations improved $8 million from the prior-period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2</w:t>
      </w:r>
    </w:p>
    <w:p>
      <w:pPr>
        <w:pStyle w:val="TextBody"/>
        <w:bidi w:val="0"/>
        <w:jc w:val="left"/>
        <w:rPr/>
      </w:pPr>
      <w:r>
        <w:rPr/>
        <w:t> </w:t>
      </w:r>
    </w:p>
    <w:p>
      <w:pPr>
        <w:pStyle w:val="TextBody"/>
        <w:bidi w:val="0"/>
        <w:jc w:val="left"/>
        <w:rPr/>
      </w:pPr>
      <w:r>
        <w:rPr>
          <w:color w:val="000000"/>
        </w:rPr>
        <w:t>“</w:t>
      </w:r>
      <w:r>
        <w:rPr>
          <w:rFonts w:ascii="sans-serif" w:hAnsi="sans-serif"/>
          <w:color w:val="000000"/>
          <w:sz w:val="22"/>
        </w:rPr>
        <w:t>In the first quarter, Kodak achieved year-over-year improvement in key metrics, including revenue, gross profit and Operational EBITDA,” said Jim Continenza, Kodak’s Executive Chairman and CEO. “We have delivered three consecutive quarters of strong performance, despite a highly volatile and challenging business environment. Our success is no accident. It reflects several years of investing in innovation and infrastructure and focusing on operational excellence. Looking forward, we plan to build on our momentum by continuing to put our customers first, strengthen our balance sheet and invest in businesses that will drive future growth.”</w:t>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For the quarter ended March 31, 2026, revenues were $265 million, an increase of $18 million or 7 percent compared to the same period in 2025. Adjusting for the favorable impact of foreign exchange of $7 million, revenues increased by $11 million, or 4 percent compared to the prior year.</w:t>
      </w:r>
    </w:p>
    <w:p>
      <w:pPr>
        <w:pStyle w:val="TextBody"/>
        <w:bidi w:val="0"/>
        <w:spacing w:before="0" w:after="200"/>
        <w:jc w:val="left"/>
        <w:rPr>
          <w:rFonts w:ascii="Times New Roman" w:hAnsi="Times New Roman"/>
          <w:sz w:val="20"/>
        </w:rPr>
      </w:pPr>
      <w:r>
        <w:rPr>
          <w:rFonts w:ascii="sans-serif" w:hAnsi="sans-serif"/>
          <w:color w:val="000000"/>
          <w:sz w:val="22"/>
        </w:rPr>
        <w:t>GAAP net loss was $16 million for the quarter, compared to GAAP net loss of $7 million in 2025, an increase of $9 million. Operational EBITDA for the quarter ended March 31, 2026, was $15 million, compared to $2 million in 2025, an increase of $13 million. The increase in Operational EBITDA was primarily driven by improved pricing, partially offset by higher manufacturing costs and higher silver and aluminum prices.</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Kodak ended the quarter with a cash balance of $299 million, a decrease of $38 million from December 31, 2025. The decrease was primarily driven by an increase in inventory of $38 million primarily driven by silver and aluminum commodities, the required March 13, 2026 principal repayment for the term loans of $50 million, partially offset by cash proceeds from redemption of Kodak Retirement Income Plan reversion investments of $46 million.</w:t>
      </w:r>
    </w:p>
    <w:p>
      <w:pPr>
        <w:pStyle w:val="TextBody"/>
        <w:bidi w:val="0"/>
        <w:jc w:val="center"/>
        <w:rPr>
          <w:rFonts w:ascii="sans-serif" w:hAnsi="sans-serif"/>
          <w:color w:val="000000"/>
          <w:sz w:val="22"/>
        </w:rPr>
      </w:pPr>
      <w:r>
        <w:rPr>
          <w:rFonts w:ascii="sans-serif" w:hAnsi="sans-serif"/>
          <w:color w:val="000000"/>
          <w:sz w:val="22"/>
        </w:rPr>
        <w:t>##</w:t>
      </w:r>
    </w:p>
    <w:p>
      <w:pPr>
        <w:pStyle w:val="TextBody"/>
        <w:bidi w:val="0"/>
        <w:spacing w:before="0" w:after="200"/>
        <w:jc w:val="left"/>
        <w:rPr/>
      </w:pPr>
      <w:r>
        <w:rPr/>
        <w:t> </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3</w:t>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Revenue and Operational EBITDA by Reportable Segment Q1 2026 vs. Q1 2025</w:t>
      </w:r>
    </w:p>
    <w:tbl>
      <w:tblPr>
        <w:tblW w:w="10205" w:type="dxa"/>
        <w:jc w:val="left"/>
        <w:tblInd w:w="0" w:type="dxa"/>
        <w:tblLayout w:type="fixed"/>
        <w:tblCellMar>
          <w:top w:w="28" w:type="dxa"/>
          <w:left w:w="28" w:type="dxa"/>
          <w:bottom w:w="28" w:type="dxa"/>
          <w:right w:w="28" w:type="dxa"/>
        </w:tblCellMar>
      </w:tblPr>
      <w:tblGrid>
        <w:gridCol w:w="4470"/>
        <w:gridCol w:w="226"/>
        <w:gridCol w:w="466"/>
        <w:gridCol w:w="181"/>
        <w:gridCol w:w="146"/>
        <w:gridCol w:w="1014"/>
        <w:gridCol w:w="1553"/>
        <w:gridCol w:w="181"/>
        <w:gridCol w:w="146"/>
        <w:gridCol w:w="323"/>
        <w:gridCol w:w="323"/>
        <w:gridCol w:w="146"/>
        <w:gridCol w:w="146"/>
        <w:gridCol w:w="226"/>
        <w:gridCol w:w="466"/>
        <w:gridCol w:w="192"/>
      </w:tblGrid>
      <w:tr>
        <w:trPr/>
        <w:tc>
          <w:tcPr>
            <w:tcW w:w="44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(in millions)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Q1 2026 Actuals</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Print</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Advanced Materials &amp; Chemicals</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Total</w:t>
            </w:r>
          </w:p>
        </w:tc>
        <w:tc>
          <w:tcPr>
            <w:tcW w:w="19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Operational EBITDA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Q1 2025 Actuals</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Print</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Advanced Materials &amp; Chemicals</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Total</w:t>
            </w:r>
          </w:p>
        </w:tc>
        <w:tc>
          <w:tcPr>
            <w:tcW w:w="19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243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Operational EBITDA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Q1 2026 vs. Q1 2025 Actuals</w:t>
              <w:br/>
              <w:t>B(W)</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Print</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Advanced Materials &amp; Chemicals</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Total</w:t>
            </w:r>
          </w:p>
        </w:tc>
        <w:tc>
          <w:tcPr>
            <w:tcW w:w="19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Operational EBITDA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Q1 2026 Actuals on constant currency ** vs. Q1 2025 Actuals</w:t>
              <w:br/>
              <w:t>B(W)</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Print</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Advanced Materials &amp; Chemicals</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Total</w:t>
            </w:r>
          </w:p>
        </w:tc>
        <w:tc>
          <w:tcPr>
            <w:tcW w:w="192"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Operational EBITDA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Total Operational EBITDA is a non-GAAP financial measure. The reconciliation between GAAP and non-GAAP measures is provided in Appendix A of this press release.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The impact of foreign exchange represents the foreign exchange impact using average foreign exchange rates for the three months ended March 31, 2025, rather than the actual average exchange rates in effect for the three months ended March 31,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Eastman Business Park segment is not a reportable segment and is excluded from the tables above.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Kodak</w:t>
      </w:r>
    </w:p>
    <w:p>
      <w:pPr>
        <w:pStyle w:val="TextBody"/>
        <w:bidi w:val="0"/>
        <w:spacing w:before="0" w:after="200"/>
        <w:jc w:val="left"/>
        <w:rPr>
          <w:rFonts w:ascii="Times New Roman" w:hAnsi="Times New Roman"/>
          <w:sz w:val="20"/>
        </w:rPr>
      </w:pPr>
      <w:r>
        <w:rPr>
          <w:rFonts w:ascii="sans-serif" w:hAnsi="sans-serif"/>
          <w:color w:val="000000"/>
          <w:sz w:val="22"/>
        </w:rPr>
        <w:t xml:space="preserve">Kodak (NYSE: KODK) is a leading global manufacturer focused on commercial print and advanced materials &amp; chemicals. With 79,000 worldwide patents earned over 130 years of R&amp;D, we believe in the power of technology and science to enhance what the world sees and creates. Our innovative, award-winning products, combined with our customer-first approach, make us the partner of choice for commercial printers worldwide. Kodak is committed to environmental stewardship, including industry leadership in developing sustainable solutions for print. For additional information on Kodak, visit us at </w:t>
      </w:r>
      <w:r>
        <w:rPr>
          <w:rFonts w:ascii="sans-serif" w:hAnsi="sans-serif"/>
          <w:sz w:val="22"/>
        </w:rPr>
        <w:t>kodak.com</w:t>
      </w:r>
      <w:r>
        <w:rPr>
          <w:rFonts w:ascii="sans-serif" w:hAnsi="sans-serif"/>
          <w:color w:val="000000"/>
          <w:sz w:val="22"/>
        </w:rPr>
        <w:t xml:space="preserve">, or follow us on X </w:t>
      </w:r>
      <w:r>
        <w:rPr>
          <w:rFonts w:ascii="sans-serif" w:hAnsi="sans-serif"/>
          <w:sz w:val="22"/>
        </w:rPr>
        <w:t>@Kodak</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sz w:val="22"/>
        </w:rPr>
        <w:t>LinkedIn</w:t>
      </w:r>
      <w:r>
        <w:rPr>
          <w:rFonts w:ascii="sans-serif" w:hAnsi="sans-serif"/>
          <w:color w:val="000000"/>
          <w:sz w:val="22"/>
        </w:rPr>
        <w:t>.</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4</w:t>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Cautionary Statement Regarding Forward-Looking Statements</w:t>
      </w:r>
    </w:p>
    <w:p>
      <w:pPr>
        <w:pStyle w:val="TextBody"/>
        <w:bidi w:val="0"/>
        <w:spacing w:before="40" w:after="200"/>
        <w:jc w:val="left"/>
        <w:rPr>
          <w:rFonts w:ascii="sans-serif" w:hAnsi="sans-serif"/>
          <w:color w:val="000000"/>
          <w:sz w:val="22"/>
        </w:rPr>
      </w:pPr>
      <w:r>
        <w:rPr>
          <w:rFonts w:ascii="sans-serif" w:hAnsi="sans-serif"/>
          <w:color w:val="000000"/>
          <w:sz w:val="22"/>
        </w:rPr>
        <w:t>This press release includes “forward–looking statements” as that term is defined under the Private Securities Litigation Reform Act of 1995.</w:t>
      </w:r>
    </w:p>
    <w:p>
      <w:pPr>
        <w:pStyle w:val="TextBody"/>
        <w:bidi w:val="0"/>
        <w:spacing w:before="0" w:after="200"/>
        <w:jc w:val="left"/>
        <w:rPr>
          <w:rFonts w:ascii="sans-serif" w:hAnsi="sans-serif"/>
          <w:color w:val="000000"/>
          <w:sz w:val="22"/>
        </w:rPr>
      </w:pPr>
      <w:r>
        <w:rPr>
          <w:rFonts w:ascii="sans-serif" w:hAnsi="sans-serif"/>
          <w:color w:val="000000"/>
          <w:sz w:val="22"/>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press release,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w:t>
      </w:r>
    </w:p>
    <w:p>
      <w:pPr>
        <w:pStyle w:val="TextBody"/>
        <w:bidi w:val="0"/>
        <w:spacing w:before="0" w:after="200"/>
        <w:jc w:val="left"/>
        <w:rPr>
          <w:rFonts w:ascii="Times New Roman" w:hAnsi="Times New Roman"/>
          <w:sz w:val="20"/>
        </w:rPr>
      </w:pPr>
      <w:r>
        <w:rPr>
          <w:rFonts w:ascii="sans-serif" w:hAnsi="sans-serif"/>
          <w:color w:val="000000"/>
          <w:sz w:val="22"/>
        </w:rPr>
        <w:t>Important factors that could cause actual events, results or outcomes, or their timing, to differ materially from the forward-looking statements include, among others, the risks and uncertainties described in more detail in Kodak’s Annual Report on Form 10</w:t>
        <w:noBreakHyphen/>
        <w:t>K for the year ended December 31, 2025 under the headings “Business,” “Risk Factors,” “Legal Proceedings,” and/or “Management’s Discussion and Analysis of Financial Condition and Results of Operations—Liquidity and Capital Resources,” in the corresponding sections of Kodak’s Quarterly Report on Form 10</w:t>
        <w:noBreakHyphen/>
        <w:t>Q for the quarter ended March 31, 2026, and in other filings Kodak makes with the U.S. Securities and Exchange Commission from time to time, as well as the following: Kodak’s ability to improve and sustain its operating structure, cash flow, profitability and other financial results; Kodak’s ability to achieve strategic objectives, cash forecasts, financial projections, and projected growth; Kodak’s ability to achieve the financial and operational results contained in its business plans; changes in commodity prices, tariff rates, foreign currency exchange rates and interest rates; the impact of the global economic environment, including geopolitical issues, inflationary pressures, changes in trade policies, including tariffs or other trade restrictions or the threat of such actions, medical epidemics and Kodak’s ability to effectively mitigate or recoup the associated increased costs of aluminum, silver and other raw materials, energy, labor, shipping, delays in shipment and production times, and fluctuations in demand; Kodak’s ability to obtain additional or alternate financing if and as needed, Kodak’s continued ability to manage world-wide cash through intercompany loans, distributions and other mechanisms, and Kodak’s ability to provide or facilitate financing for its customers; Kodak’s ability to fund continued investments, capital needs and collateral requirements and service its debt and Series B Preferred Stock; Kodak’s ability to effectively compete with large, well-financed industry participants or with competitors whose cost structure is lower than Kodak’s; 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5</w:t>
      </w:r>
    </w:p>
    <w:p>
      <w:pPr>
        <w:pStyle w:val="TextBody"/>
        <w:bidi w:val="0"/>
        <w:jc w:val="left"/>
        <w:rPr/>
      </w:pPr>
      <w:r>
        <w:rPr/>
        <w:t> </w:t>
      </w:r>
    </w:p>
    <w:p>
      <w:pPr>
        <w:pStyle w:val="TextBody"/>
        <w:bidi w:val="0"/>
        <w:spacing w:before="200" w:after="200"/>
        <w:jc w:val="left"/>
        <w:rPr>
          <w:rFonts w:ascii="sans-serif" w:hAnsi="sans-serif"/>
          <w:color w:val="000000"/>
          <w:sz w:val="22"/>
        </w:rPr>
      </w:pPr>
      <w:r>
        <w:rPr>
          <w:rFonts w:ascii="sans-serif" w:hAnsi="sans-serif"/>
          <w:color w:val="000000"/>
          <w:sz w:val="22"/>
        </w:rPr>
        <w:t>the threat of such actions, and commodity supply constraints; Kodak’s ability to effectively anticipate technology and industry trends, including related to artificial intelligence (AI), and develop and market new products, solutions and technologies, including products based on its technology and expertise that relate to industries in which it does not currently conduct material business; Kodak’s ability to effect strategic transactions, such as investments, acquisitions, strategic alliances, divestitures and similar transactions, or to achieve the benefits sought to be achieved from such strategic transactions; Kodak’s ability to comply with the covenants in its various credit facilities; Kodak’s continued ability to manage, defend and resolve a variety of current and legacy claims without incurring material losses or disruptions to its business and to bear the costs associated with such claims; Kodak’s ability to discontinue, sell or spin-off certain non-core businesses or operations, or otherwise monetize assets; and the potential impact of force majeure events, cyber‐attacks or other data security incidents or information technology (IT) outages that could disrupt or otherwise harm Kodak’s operations.</w:t>
      </w:r>
    </w:p>
    <w:p>
      <w:pPr>
        <w:pStyle w:val="TextBody"/>
        <w:bidi w:val="0"/>
        <w:spacing w:before="0" w:after="200"/>
        <w:jc w:val="left"/>
        <w:rPr>
          <w:rFonts w:ascii="sans-serif" w:hAnsi="sans-serif"/>
          <w:color w:val="000000"/>
          <w:sz w:val="22"/>
        </w:rPr>
      </w:pPr>
      <w:r>
        <w:rPr>
          <w:rFonts w:ascii="sans-serif" w:hAnsi="sans-serif"/>
          <w:color w:val="000000"/>
          <w:sz w:val="22"/>
        </w:rPr>
        <w:t>Future events and other factors may cause Kodak’s actual results or outcomes to differ materially from the forward–looking statements. All forward–looking statements attributable to Kodak or persons acting on its behalf apply only as of the date of this press release and are expressly qualified in their entirety by the cautionary statements included or referenced in this press release.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0" w:after="200"/>
        <w:jc w:val="left"/>
        <w:rPr>
          <w:rFonts w:ascii="sans-serif" w:hAnsi="sans-serif"/>
          <w:b/>
          <w:color w:val="000000"/>
          <w:sz w:val="22"/>
        </w:rPr>
      </w:pPr>
      <w:r>
        <w:rPr>
          <w:rFonts w:ascii="sans-serif" w:hAnsi="sans-serif"/>
          <w:b/>
          <w:color w:val="000000"/>
          <w:sz w:val="22"/>
        </w:rPr>
        <w:t>APPENDICES</w:t>
      </w:r>
    </w:p>
    <w:p>
      <w:pPr>
        <w:pStyle w:val="TextBody"/>
        <w:bidi w:val="0"/>
        <w:spacing w:before="0" w:after="200"/>
        <w:jc w:val="left"/>
        <w:rPr>
          <w:rFonts w:ascii="sans-serif" w:hAnsi="sans-serif"/>
          <w:color w:val="000000"/>
          <w:sz w:val="22"/>
        </w:rPr>
      </w:pPr>
      <w:r>
        <w:rPr>
          <w:rFonts w:ascii="sans-serif" w:hAnsi="sans-serif"/>
          <w:color w:val="000000"/>
          <w:sz w:val="22"/>
        </w:rPr>
        <w:t>In this first quarter 2026 financial results news release, reference is made to the following non-GAAP financial measures:</w:t>
      </w:r>
    </w:p>
    <w:p>
      <w:pPr>
        <w:pStyle w:val="TextBody"/>
        <w:bidi w:val="0"/>
        <w:spacing w:before="0" w:after="200"/>
        <w:jc w:val="left"/>
        <w:rPr>
          <w:color w:val="000000"/>
        </w:rPr>
      </w:pPr>
      <w:r>
        <w:rPr>
          <w:color w:val="000000"/>
        </w:rPr>
        <w:t>•</w:t>
      </w:r>
    </w:p>
    <w:p>
      <w:pPr>
        <w:pStyle w:val="TextBody"/>
        <w:bidi w:val="0"/>
        <w:spacing w:before="0" w:after="200"/>
        <w:jc w:val="left"/>
        <w:rPr>
          <w:rFonts w:ascii="sans-serif" w:hAnsi="sans-serif"/>
          <w:color w:val="000000"/>
          <w:sz w:val="22"/>
        </w:rPr>
      </w:pPr>
      <w:r>
        <w:rPr>
          <w:rFonts w:ascii="sans-serif" w:hAnsi="sans-serif"/>
          <w:color w:val="000000"/>
          <w:sz w:val="22"/>
        </w:rPr>
        <w:t>Operational EBITDA; and</w:t>
      </w:r>
    </w:p>
    <w:p>
      <w:pPr>
        <w:pStyle w:val="TextBody"/>
        <w:bidi w:val="0"/>
        <w:spacing w:before="0" w:after="200"/>
        <w:jc w:val="left"/>
        <w:rPr>
          <w:color w:val="000000"/>
        </w:rPr>
      </w:pPr>
      <w:r>
        <w:rPr>
          <w:color w:val="000000"/>
        </w:rPr>
        <w:t>•</w:t>
      </w:r>
    </w:p>
    <w:p>
      <w:pPr>
        <w:pStyle w:val="TextBody"/>
        <w:bidi w:val="0"/>
        <w:spacing w:before="0" w:after="200"/>
        <w:jc w:val="left"/>
        <w:rPr>
          <w:rFonts w:ascii="sans-serif" w:hAnsi="sans-serif"/>
          <w:color w:val="000000"/>
          <w:sz w:val="22"/>
        </w:rPr>
      </w:pPr>
      <w:r>
        <w:rPr>
          <w:rFonts w:ascii="sans-serif" w:hAnsi="sans-serif"/>
          <w:color w:val="000000"/>
          <w:sz w:val="22"/>
        </w:rPr>
        <w:t>Revenues and Operational EBITDA on a constant currency basis.</w:t>
      </w:r>
    </w:p>
    <w:p>
      <w:pPr>
        <w:pStyle w:val="TextBody"/>
        <w:bidi w:val="0"/>
        <w:spacing w:before="0" w:after="200"/>
        <w:jc w:val="left"/>
        <w:rPr>
          <w:rFonts w:ascii="sans-serif" w:hAnsi="sans-serif"/>
          <w:color w:val="000000"/>
          <w:sz w:val="22"/>
        </w:rPr>
      </w:pPr>
      <w:r>
        <w:rPr>
          <w:rFonts w:ascii="sans-serif" w:hAnsi="sans-serif"/>
          <w:color w:val="000000"/>
          <w:sz w:val="22"/>
        </w:rPr>
        <w:t>Kodak believes that these non-GAAP measures represent important internal measures of performance as used by management. Accordingly, where they are provided, it is to give investors the same financial data management uses with the belief that this information will assist the investment community in properly assessing the underlying performance of Kodak, its financial condition, results of operations and cash flow.</w:t>
      </w:r>
    </w:p>
    <w:p>
      <w:pPr>
        <w:pStyle w:val="TextBody"/>
        <w:bidi w:val="0"/>
        <w:spacing w:before="0" w:after="200"/>
        <w:jc w:val="left"/>
        <w:rPr>
          <w:rFonts w:ascii="sans-serif" w:hAnsi="sans-serif"/>
          <w:color w:val="000000"/>
          <w:sz w:val="22"/>
        </w:rPr>
      </w:pPr>
      <w:r>
        <w:rPr>
          <w:rFonts w:ascii="sans-serif" w:hAnsi="sans-serif"/>
          <w:color w:val="000000"/>
          <w:sz w:val="22"/>
        </w:rPr>
        <w:t>The change in revenues and Operational EBITDA on a constant currency basis, as presented in this financial results news release, is calculated using average foreign exchange rates for the three months ended March 31, 2025, rather than the actual average exchange rates in effect for the three months ended March 31, 2026.</w:t>
      </w:r>
    </w:p>
    <w:p>
      <w:pPr>
        <w:pStyle w:val="TextBody"/>
        <w:bidi w:val="0"/>
        <w:spacing w:before="0" w:after="200"/>
        <w:jc w:val="left"/>
        <w:rPr>
          <w:rFonts w:ascii="sans-serif" w:hAnsi="sans-serif"/>
          <w:color w:val="000000"/>
          <w:sz w:val="22"/>
        </w:rPr>
      </w:pPr>
      <w:r>
        <w:rPr>
          <w:rFonts w:ascii="sans-serif" w:hAnsi="sans-serif"/>
          <w:color w:val="000000"/>
          <w:sz w:val="22"/>
        </w:rPr>
        <w:t>Kodak’s segment measure of profit and loss is an adjusted earnings before interest, taxes, depreciation and amortization (“Operational EBITDA”). Operational EBITDA represents the consolidated loss from continuing operations excluding the provision for income taxes; non-service cost components of pension and other postemployment benefits income; depreciation and amortization expense; restructuring costs and other; stock-based compensation expense; consulting and other costs; idle costs; interest expense; loss on early extinguishment of debt; other operating expense, net; and other charges, net.</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6</w:t>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The following table reconciles the most directly comparable GAAP measure of Net Loss to Operational EBITDA on a constant currency basis for the three months ended March 31, 2026 and 2025, respectively:</w:t>
      </w:r>
    </w:p>
    <w:tbl>
      <w:tblPr>
        <w:tblW w:w="10205" w:type="dxa"/>
        <w:jc w:val="left"/>
        <w:tblInd w:w="0" w:type="dxa"/>
        <w:tblLayout w:type="fixed"/>
        <w:tblCellMar>
          <w:top w:w="28" w:type="dxa"/>
          <w:left w:w="28" w:type="dxa"/>
          <w:bottom w:w="28" w:type="dxa"/>
          <w:right w:w="28" w:type="dxa"/>
        </w:tblCellMar>
      </w:tblPr>
      <w:tblGrid>
        <w:gridCol w:w="4674"/>
        <w:gridCol w:w="324"/>
        <w:gridCol w:w="626"/>
        <w:gridCol w:w="196"/>
        <w:gridCol w:w="146"/>
        <w:gridCol w:w="342"/>
        <w:gridCol w:w="598"/>
        <w:gridCol w:w="196"/>
        <w:gridCol w:w="146"/>
        <w:gridCol w:w="416"/>
        <w:gridCol w:w="650"/>
        <w:gridCol w:w="196"/>
        <w:gridCol w:w="146"/>
        <w:gridCol w:w="266"/>
        <w:gridCol w:w="935"/>
        <w:gridCol w:w="348"/>
      </w:tblGrid>
      <w:tr>
        <w:trPr/>
        <w:tc>
          <w:tcPr>
            <w:tcW w:w="467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Q1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Q1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 Change</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Consulting and other costs </w:t>
            </w:r>
            <w:r>
              <w:rPr>
                <w:rFonts w:ascii="sans-serif" w:hAnsi="sans-serif"/>
                <w:color w:val="000000"/>
                <w:sz w:val="13"/>
              </w:rPr>
              <w:t>(1)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expense, net </w:t>
            </w:r>
            <w:r>
              <w:rPr>
                <w:rFonts w:ascii="sans-serif" w:hAnsi="sans-serif"/>
                <w:color w:val="000000"/>
                <w:sz w:val="13"/>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w:t>
              <w:br/>
              <w:t>    component</w:t>
            </w:r>
            <w:r>
              <w:rPr>
                <w:rFonts w:ascii="Times New Roman" w:hAnsi="Times New Roman"/>
                <w:color w:val="000000"/>
                <w:sz w:val="20"/>
              </w:rPr>
              <w:t> </w:t>
            </w:r>
            <w:r>
              <w:rPr>
                <w:rFonts w:ascii="sans-serif" w:hAnsi="sans-serif"/>
                <w:color w:val="000000"/>
                <w:sz w:val="13"/>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Loss on early extinguishment of debt </w:t>
            </w:r>
            <w:r>
              <w:rPr>
                <w:rFonts w:ascii="sans-serif" w:hAnsi="sans-serif"/>
                <w:color w:val="000000"/>
                <w:sz w:val="13"/>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charges, net </w:t>
            </w:r>
            <w:r>
              <w:rPr>
                <w:rFonts w:ascii="sans-serif" w:hAnsi="sans-serif"/>
                <w:color w:val="000000"/>
                <w:sz w:val="13"/>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Provision for income taxes </w:t>
            </w:r>
            <w:r>
              <w:rPr>
                <w:rFonts w:ascii="sans-serif" w:hAnsi="sans-serif"/>
                <w:color w:val="000000"/>
                <w:sz w:val="13"/>
              </w:rPr>
              <w:t>(3)</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650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Impact of foreign exchange </w:t>
            </w:r>
            <w:r>
              <w:rPr>
                <w:rFonts w:ascii="sans-serif" w:hAnsi="sans-serif"/>
                <w:color w:val="000000"/>
                <w:sz w:val="13"/>
              </w:rPr>
              <w:t>(4)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 on a constant currency basis</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600</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bl>
    <w:p>
      <w:pPr>
        <w:pStyle w:val="TextBody"/>
        <w:bidi w:val="0"/>
        <w:spacing w:before="0" w:after="200"/>
        <w:jc w:val="left"/>
        <w:rPr/>
      </w:pPr>
      <w:r>
        <w:rPr/>
        <w:t> </w:t>
      </w:r>
    </w:p>
    <w:p>
      <w:pPr>
        <w:pStyle w:val="TextBody"/>
        <w:bidi w:val="0"/>
        <w:spacing w:before="0" w:after="200"/>
        <w:jc w:val="left"/>
        <w:rPr>
          <w:rFonts w:ascii="Times New Roman" w:hAnsi="Times New Roman"/>
          <w:sz w:val="20"/>
        </w:rPr>
      </w:pPr>
      <w:r>
        <w:rPr>
          <w:rFonts w:ascii="sans-serif" w:hAnsi="sans-serif"/>
          <w:color w:val="000000"/>
          <w:sz w:val="22"/>
        </w:rPr>
        <w:t>Footnote Explanations:</w:t>
      </w:r>
      <w:r>
        <w:rPr>
          <w:rFonts w:ascii="Times New Roman" w:hAnsi="Times New Roman"/>
          <w:color w:val="000000"/>
          <w:sz w:val="20"/>
        </w:rPr>
        <w:t xml:space="preserve"> </w:t>
      </w:r>
    </w:p>
    <w:p>
      <w:pPr>
        <w:pStyle w:val="TextBody"/>
        <w:bidi w:val="0"/>
        <w:spacing w:before="0" w:after="200"/>
        <w:jc w:val="left"/>
        <w:rPr>
          <w:rFonts w:ascii="Calibri" w:hAnsi="Calibri"/>
          <w:color w:val="000000"/>
          <w:sz w:val="22"/>
        </w:rPr>
      </w:pPr>
      <w:r>
        <w:rPr>
          <w:rFonts w:ascii="Calibri" w:hAnsi="Calibri"/>
          <w:color w:val="000000"/>
          <w:sz w:val="22"/>
        </w:rPr>
        <w:t>(1)</w:t>
      </w:r>
    </w:p>
    <w:p>
      <w:pPr>
        <w:pStyle w:val="TextBody"/>
        <w:bidi w:val="0"/>
        <w:spacing w:before="0" w:after="200"/>
        <w:jc w:val="left"/>
        <w:rPr>
          <w:rFonts w:ascii="sans-serif" w:hAnsi="sans-serif"/>
          <w:color w:val="000000"/>
          <w:sz w:val="22"/>
        </w:rPr>
      </w:pPr>
      <w:r>
        <w:rPr>
          <w:rFonts w:ascii="sans-serif" w:hAnsi="sans-serif"/>
          <w:color w:val="000000"/>
          <w:sz w:val="22"/>
        </w:rPr>
        <w:t>Consulting and other costs are professional services and internal costs associated with corporate strategic initiatives and litigation. Consulting and other costs included $1 million of income in the three months ended March 31, 2026, representing insurance reimbursement of legal costs previously paid by the Company associated with investigations and litigation matters.</w:t>
      </w:r>
    </w:p>
    <w:p>
      <w:pPr>
        <w:pStyle w:val="TextBody"/>
        <w:bidi w:val="0"/>
        <w:spacing w:before="0" w:after="200"/>
        <w:jc w:val="left"/>
        <w:rPr>
          <w:rFonts w:ascii="Calibri" w:hAnsi="Calibri"/>
          <w:color w:val="000000"/>
          <w:sz w:val="22"/>
        </w:rPr>
      </w:pPr>
      <w:r>
        <w:rPr>
          <w:rFonts w:ascii="Calibri" w:hAnsi="Calibri"/>
          <w:color w:val="000000"/>
          <w:sz w:val="22"/>
        </w:rPr>
        <w:t>(2)</w:t>
      </w:r>
    </w:p>
    <w:p>
      <w:pPr>
        <w:pStyle w:val="TextBody"/>
        <w:bidi w:val="0"/>
        <w:spacing w:before="0" w:after="200"/>
        <w:jc w:val="left"/>
        <w:rPr/>
      </w:pPr>
      <w:r>
        <w:rPr>
          <w:rFonts w:ascii="sans-serif" w:hAnsi="sans-serif"/>
          <w:color w:val="000000"/>
          <w:sz w:val="22"/>
        </w:rPr>
        <w:t>Consists of third-party costs such as security, maintenance, and utilities required to maintain land and buildings in certain locations not used in any Kodak operations and the costs, net of any rental income received, of underutilized portions of certain properties</w:t>
      </w:r>
      <w:r>
        <w:rPr>
          <w:rFonts w:ascii="sans-serif" w:hAnsi="sans-serif"/>
          <w:color w:val="000000"/>
          <w:sz w:val="20"/>
        </w:rPr>
        <w:t>.</w:t>
      </w:r>
    </w:p>
    <w:p>
      <w:pPr>
        <w:pStyle w:val="TextBody"/>
        <w:bidi w:val="0"/>
        <w:spacing w:before="0" w:after="200"/>
        <w:jc w:val="left"/>
        <w:rPr>
          <w:rFonts w:ascii="Calibri" w:hAnsi="Calibri"/>
          <w:color w:val="000000"/>
          <w:sz w:val="22"/>
        </w:rPr>
      </w:pPr>
      <w:r>
        <w:rPr>
          <w:rFonts w:ascii="Calibri" w:hAnsi="Calibri"/>
          <w:color w:val="000000"/>
          <w:sz w:val="22"/>
        </w:rPr>
        <w:t>(3)</w:t>
      </w:r>
    </w:p>
    <w:p>
      <w:pPr>
        <w:pStyle w:val="TextBody"/>
        <w:bidi w:val="0"/>
        <w:spacing w:before="0" w:after="200"/>
        <w:jc w:val="left"/>
        <w:rPr>
          <w:rFonts w:ascii="sans-serif" w:hAnsi="sans-serif"/>
          <w:color w:val="000000"/>
          <w:sz w:val="22"/>
        </w:rPr>
      </w:pPr>
      <w:r>
        <w:rPr>
          <w:rFonts w:ascii="sans-serif" w:hAnsi="sans-serif"/>
          <w:color w:val="000000"/>
          <w:sz w:val="22"/>
        </w:rPr>
        <w:t>As reported in the Consolidated Statement of Operations.</w:t>
      </w:r>
    </w:p>
    <w:p>
      <w:pPr>
        <w:pStyle w:val="TextBody"/>
        <w:bidi w:val="0"/>
        <w:spacing w:before="0" w:after="200"/>
        <w:jc w:val="left"/>
        <w:rPr>
          <w:rFonts w:ascii="Calibri" w:hAnsi="Calibri"/>
          <w:color w:val="000000"/>
          <w:sz w:val="22"/>
        </w:rPr>
      </w:pPr>
      <w:r>
        <w:rPr>
          <w:rFonts w:ascii="Calibri" w:hAnsi="Calibri"/>
          <w:color w:val="000000"/>
          <w:sz w:val="22"/>
        </w:rPr>
        <w:t>(4)</w:t>
      </w:r>
    </w:p>
    <w:p>
      <w:pPr>
        <w:pStyle w:val="TextBody"/>
        <w:bidi w:val="0"/>
        <w:spacing w:before="0" w:after="200"/>
        <w:jc w:val="left"/>
        <w:rPr>
          <w:rFonts w:ascii="sans-serif" w:hAnsi="sans-serif"/>
          <w:color w:val="000000"/>
          <w:sz w:val="22"/>
        </w:rPr>
      </w:pPr>
      <w:r>
        <w:rPr>
          <w:rFonts w:ascii="sans-serif" w:hAnsi="sans-serif"/>
          <w:color w:val="000000"/>
          <w:sz w:val="22"/>
        </w:rPr>
        <w:t xml:space="preserve">The impact of foreign exchange is calculated by using average foreign exchange rates for the three months ended March 31, 2025, rather than the actual average exchange rates in effect for the three months ended March 31, 2026. </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7</w:t>
      </w:r>
    </w:p>
    <w:p>
      <w:pPr>
        <w:pStyle w:val="TextBody"/>
        <w:bidi w:val="0"/>
        <w:jc w:val="left"/>
        <w:rPr/>
      </w:pPr>
      <w:r>
        <w:rPr/>
        <w:t> </w:t>
      </w:r>
    </w:p>
    <w:p>
      <w:pPr>
        <w:pStyle w:val="TextBody"/>
        <w:bidi w:val="0"/>
        <w:spacing w:before="0" w:after="200"/>
        <w:jc w:val="left"/>
        <w:rPr>
          <w:rFonts w:ascii="Calibri" w:hAnsi="Calibri"/>
          <w:b/>
          <w:color w:val="000000"/>
          <w:sz w:val="22"/>
        </w:rPr>
      </w:pPr>
      <w:r>
        <w:rPr>
          <w:rFonts w:ascii="Calibri" w:hAnsi="Calibri"/>
          <w:b/>
          <w:color w:val="000000"/>
          <w:sz w:val="22"/>
        </w:rPr>
        <w:t>A.</w:t>
      </w:r>
    </w:p>
    <w:p>
      <w:pPr>
        <w:pStyle w:val="TextBody"/>
        <w:bidi w:val="0"/>
        <w:spacing w:before="0" w:after="200"/>
        <w:jc w:val="left"/>
        <w:rPr>
          <w:rFonts w:ascii="sans-serif" w:hAnsi="sans-serif"/>
          <w:b/>
          <w:color w:val="000000"/>
          <w:sz w:val="22"/>
        </w:rPr>
      </w:pPr>
      <w:r>
        <w:rPr>
          <w:rFonts w:ascii="sans-serif" w:hAnsi="sans-serif"/>
          <w:b/>
          <w:color w:val="000000"/>
          <w:sz w:val="22"/>
        </w:rPr>
        <w:t>FINANCIAL STATEMENTS</w:t>
      </w:r>
    </w:p>
    <w:p>
      <w:pPr>
        <w:pStyle w:val="TextBody"/>
        <w:bidi w:val="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jc w:val="left"/>
        <w:rPr>
          <w:rFonts w:ascii="sans-serif" w:hAnsi="sans-serif"/>
          <w:b/>
          <w:color w:val="000000"/>
          <w:sz w:val="21"/>
        </w:rPr>
      </w:pPr>
      <w:r>
        <w:rPr>
          <w:rFonts w:ascii="sans-serif" w:hAnsi="sans-serif"/>
          <w:b/>
          <w:color w:val="000000"/>
          <w:sz w:val="21"/>
        </w:rPr>
        <w:t>Consolidated Statement of Operations (Unaudited)</w:t>
      </w:r>
    </w:p>
    <w:p>
      <w:pPr>
        <w:pStyle w:val="TextBody"/>
        <w:bidi w:val="0"/>
        <w:jc w:val="left"/>
        <w:rPr/>
      </w:pPr>
      <w:r>
        <w:rPr/>
        <w:t> </w:t>
      </w:r>
    </w:p>
    <w:tbl>
      <w:tblPr>
        <w:tblW w:w="9526" w:type="dxa"/>
        <w:jc w:val="left"/>
        <w:tblInd w:w="0" w:type="dxa"/>
        <w:tblLayout w:type="fixed"/>
        <w:tblCellMar>
          <w:top w:w="28" w:type="dxa"/>
          <w:left w:w="28" w:type="dxa"/>
          <w:bottom w:w="28" w:type="dxa"/>
          <w:right w:w="28" w:type="dxa"/>
        </w:tblCellMar>
      </w:tblPr>
      <w:tblGrid>
        <w:gridCol w:w="6721"/>
        <w:gridCol w:w="146"/>
        <w:gridCol w:w="270"/>
        <w:gridCol w:w="719"/>
        <w:gridCol w:w="216"/>
        <w:gridCol w:w="174"/>
        <w:gridCol w:w="270"/>
        <w:gridCol w:w="719"/>
        <w:gridCol w:w="2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from operations before interest expense, pension</w:t>
              <w:br/>
              <w:t xml:space="preserve">    income excluding service cost component, loss on early </w:t>
              <w:br/>
              <w:t>    extinguishment of debt, other charges,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Basic net loss per share attributable to Eastman Kodak Company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loss per share attributable to Eastman Kodak Company </w:t>
              <w:br/>
              <w:t>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loss per </w:t>
              <w:br/>
              <w: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first quarter Form 10-Q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8</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jc w:val="left"/>
        <w:rPr>
          <w:rFonts w:ascii="sans-serif" w:hAnsi="sans-serif"/>
          <w:b/>
          <w:color w:val="000000"/>
          <w:sz w:val="21"/>
        </w:rPr>
      </w:pPr>
      <w:r>
        <w:rPr>
          <w:rFonts w:ascii="sans-serif" w:hAnsi="sans-serif"/>
          <w:b/>
          <w:color w:val="000000"/>
          <w:sz w:val="21"/>
        </w:rPr>
        <w:t>Consolidated Statement of Financial Position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2"/>
        <w:gridCol w:w="146"/>
        <w:gridCol w:w="286"/>
        <w:gridCol w:w="836"/>
        <w:gridCol w:w="181"/>
        <w:gridCol w:w="146"/>
        <w:gridCol w:w="392"/>
        <w:gridCol w:w="1153"/>
        <w:gridCol w:w="593"/>
      </w:tblGrid>
      <w:tr>
        <w:trPr/>
        <w:tc>
          <w:tcPr>
            <w:tcW w:w="6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Trade receivables, net of allowances of $7 at both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 net of accumulated depreciation of $502 and $499,</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Redeemable, convertible preferred stock, no par value, $100 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1,557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first quarter Form 10-Q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First-Quarter 2026 Financial Results Page 9</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1"/>
        </w:rPr>
      </w:pPr>
      <w:r>
        <w:rPr>
          <w:rFonts w:ascii="sans-serif" w:hAnsi="sans-serif"/>
          <w:b/>
          <w:color w:val="000000"/>
          <w:sz w:val="21"/>
        </w:rPr>
        <w:t>Consolidated Statement of Cash Flows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5"/>
        <w:gridCol w:w="146"/>
        <w:gridCol w:w="303"/>
        <w:gridCol w:w="625"/>
        <w:gridCol w:w="242"/>
        <w:gridCol w:w="195"/>
        <w:gridCol w:w="303"/>
        <w:gridCol w:w="625"/>
        <w:gridCol w:w="631"/>
      </w:tblGrid>
      <w:tr>
        <w:trPr/>
        <w:tc>
          <w:tcPr>
            <w:tcW w:w="7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fair value of preferred stock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changes in workers' compensation and employee benefit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gain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(increase) in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decrease in miscellaneous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liabilities excluding borrowings and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preferred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redemption of KRIP reversion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proceeds from the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 of Amended and Restated Term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cash dividend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u w:val="single"/>
              </w:rPr>
            </w:pPr>
            <w:r>
              <w:rPr>
                <w:rFonts w:ascii="sans-serif" w:hAnsi="sans-serif"/>
                <w:b/>
                <w:color w:val="000000"/>
                <w:sz w:val="20"/>
                <w:u w:val="single"/>
              </w:rPr>
              <w:t>Non-cash Financing Item: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B preferred stock embedded derivative liability at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first quarter Form 10-Q are an integral part of these consolidated financial statements.</w:t>
      </w:r>
    </w:p>
    <w:p>
      <w:pPr>
        <w:pStyle w:val="TextBody"/>
        <w:bidi w:val="0"/>
        <w:jc w:val="center"/>
        <w:rPr>
          <w:rFonts w:ascii="sans-serif" w:hAnsi="sans-serif"/>
          <w:color w:val="000000"/>
          <w:sz w:val="22"/>
        </w:rPr>
      </w:pPr>
      <w:r>
        <w:rPr>
          <w:rFonts w:ascii="sans-serif" w:hAnsi="sans-serif"/>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3566</Words>
  <Characters>19335</Characters>
  <CharactersWithSpaces>23249</CharactersWithSpaces>
  <Paragraphs>1628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