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460" w:hanging="459"/>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2015</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32" w:lineRule="exact"/>
        <w:rPr>
          <w:sz w:val="24"/>
          <w:szCs w:val="24"/>
          <w:color w:val="auto"/>
        </w:rPr>
      </w:pPr>
    </w:p>
    <w:p>
      <w:pPr>
        <w:ind w:left="180" w:hanging="179"/>
        <w:spacing w:after="0"/>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Transition report pursuant to Section 13 or 15(d) of the Securities Exchange Act of 1934</w:t>
      </w:r>
    </w:p>
    <w:p>
      <w:pPr>
        <w:spacing w:after="0" w:line="232" w:lineRule="exact"/>
        <w:rPr>
          <w:sz w:val="24"/>
          <w:szCs w:val="24"/>
          <w:color w:val="auto"/>
        </w:rPr>
      </w:pPr>
    </w:p>
    <w:p>
      <w:pPr>
        <w:ind w:left="400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3938905</wp:posOffset>
            </wp:positionH>
            <wp:positionV relativeFrom="paragraph">
              <wp:posOffset>-9525</wp:posOffset>
            </wp:positionV>
            <wp:extent cx="780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1-87</w:t>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EASTMAN KODAK COMPANY</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0" w:lineRule="exact"/>
        <w:rPr>
          <w:sz w:val="24"/>
          <w:szCs w:val="24"/>
          <w:color w:val="auto"/>
        </w:rPr>
      </w:pPr>
    </w:p>
    <w:p>
      <w:pPr>
        <w:spacing w:after="0" w:line="391" w:lineRule="exact"/>
        <w:rPr>
          <w:sz w:val="24"/>
          <w:szCs w:val="24"/>
          <w:color w:val="auto"/>
        </w:rPr>
      </w:pPr>
    </w:p>
    <w:tbl>
      <w:tblPr>
        <w:tblLayout w:type="fixed"/>
        <w:tblInd w:w="1020" w:type="dxa"/>
        <w:tblCellMar>
          <w:top w:w="0" w:type="dxa"/>
          <w:left w:w="0" w:type="dxa"/>
          <w:bottom w:w="0" w:type="dxa"/>
          <w:right w:w="0" w:type="dxa"/>
        </w:tblCellMar>
      </w:tblPr>
      <w:tr>
        <w:trPr>
          <w:trHeight w:val="201"/>
        </w:trPr>
        <w:tc>
          <w:tcPr>
            <w:tcW w:w="5000" w:type="dxa"/>
            <w:vAlign w:val="bottom"/>
          </w:tcPr>
          <w:p>
            <w:pPr>
              <w:jc w:val="center"/>
              <w:ind w:right="1236"/>
              <w:spacing w:after="0"/>
              <w:rPr>
                <w:sz w:val="20"/>
                <w:szCs w:val="20"/>
                <w:color w:val="auto"/>
              </w:rPr>
            </w:pPr>
            <w:r>
              <w:rPr>
                <w:rFonts w:ascii="Arial" w:cs="Arial" w:eastAsia="Arial" w:hAnsi="Arial"/>
                <w:sz w:val="17"/>
                <w:szCs w:val="17"/>
                <w:b w:val="1"/>
                <w:bCs w:val="1"/>
                <w:color w:val="auto"/>
                <w:w w:val="96"/>
              </w:rPr>
              <w:t>NEW JERSEY</w:t>
            </w:r>
          </w:p>
        </w:tc>
        <w:tc>
          <w:tcPr>
            <w:tcW w:w="3760" w:type="dxa"/>
            <w:vAlign w:val="bottom"/>
          </w:tcPr>
          <w:p>
            <w:pPr>
              <w:jc w:val="right"/>
              <w:ind w:right="716"/>
              <w:spacing w:after="0"/>
              <w:rPr>
                <w:sz w:val="20"/>
                <w:szCs w:val="20"/>
                <w:color w:val="auto"/>
              </w:rPr>
            </w:pPr>
            <w:r>
              <w:rPr>
                <w:rFonts w:ascii="Arial" w:cs="Arial" w:eastAsia="Arial" w:hAnsi="Arial"/>
                <w:sz w:val="17"/>
                <w:szCs w:val="17"/>
                <w:b w:val="1"/>
                <w:bCs w:val="1"/>
                <w:color w:val="auto"/>
              </w:rPr>
              <w:t>16-0417150</w:t>
            </w:r>
          </w:p>
        </w:tc>
      </w:tr>
      <w:tr>
        <w:trPr>
          <w:trHeight w:val="217"/>
        </w:trPr>
        <w:tc>
          <w:tcPr>
            <w:tcW w:w="5000" w:type="dxa"/>
            <w:vAlign w:val="bottom"/>
          </w:tcPr>
          <w:p>
            <w:pPr>
              <w:jc w:val="center"/>
              <w:ind w:right="1236"/>
              <w:spacing w:after="0"/>
              <w:rPr>
                <w:sz w:val="20"/>
                <w:szCs w:val="20"/>
                <w:color w:val="auto"/>
              </w:rPr>
            </w:pPr>
            <w:r>
              <w:rPr>
                <w:rFonts w:ascii="Arial" w:cs="Arial" w:eastAsia="Arial" w:hAnsi="Arial"/>
                <w:sz w:val="17"/>
                <w:szCs w:val="17"/>
                <w:b w:val="1"/>
                <w:bCs w:val="1"/>
                <w:color w:val="auto"/>
                <w:w w:val="89"/>
              </w:rPr>
              <w:t>(State of incorporation)</w:t>
            </w:r>
          </w:p>
        </w:tc>
        <w:tc>
          <w:tcPr>
            <w:tcW w:w="3760" w:type="dxa"/>
            <w:vAlign w:val="bottom"/>
          </w:tcPr>
          <w:p>
            <w:pPr>
              <w:jc w:val="center"/>
              <w:ind w:left="1236"/>
              <w:spacing w:after="0"/>
              <w:rPr>
                <w:sz w:val="20"/>
                <w:szCs w:val="20"/>
                <w:color w:val="auto"/>
              </w:rPr>
            </w:pPr>
            <w:r>
              <w:rPr>
                <w:rFonts w:ascii="Arial" w:cs="Arial" w:eastAsia="Arial" w:hAnsi="Arial"/>
                <w:sz w:val="17"/>
                <w:szCs w:val="17"/>
                <w:b w:val="1"/>
                <w:bCs w:val="1"/>
                <w:color w:val="auto"/>
                <w:w w:val="92"/>
              </w:rPr>
              <w:t>(IRS Employer Identification No.)</w:t>
            </w:r>
          </w:p>
        </w:tc>
      </w:tr>
      <w:tr>
        <w:trPr>
          <w:trHeight w:val="386"/>
        </w:trPr>
        <w:tc>
          <w:tcPr>
            <w:tcW w:w="5000" w:type="dxa"/>
            <w:vAlign w:val="bottom"/>
          </w:tcPr>
          <w:p>
            <w:pPr>
              <w:jc w:val="center"/>
              <w:ind w:right="1236"/>
              <w:spacing w:after="0"/>
              <w:rPr>
                <w:sz w:val="20"/>
                <w:szCs w:val="20"/>
                <w:color w:val="auto"/>
              </w:rPr>
            </w:pPr>
            <w:r>
              <w:rPr>
                <w:rFonts w:ascii="Arial" w:cs="Arial" w:eastAsia="Arial" w:hAnsi="Arial"/>
                <w:sz w:val="17"/>
                <w:szCs w:val="17"/>
                <w:b w:val="1"/>
                <w:bCs w:val="1"/>
                <w:color w:val="auto"/>
                <w:w w:val="96"/>
              </w:rPr>
              <w:t>343 STATE STREET, ROCHESTER, NEW YORK</w:t>
            </w:r>
          </w:p>
        </w:tc>
        <w:tc>
          <w:tcPr>
            <w:tcW w:w="3760" w:type="dxa"/>
            <w:vAlign w:val="bottom"/>
          </w:tcPr>
          <w:p>
            <w:pPr>
              <w:jc w:val="right"/>
              <w:ind w:right="916"/>
              <w:spacing w:after="0"/>
              <w:rPr>
                <w:sz w:val="20"/>
                <w:szCs w:val="20"/>
                <w:color w:val="auto"/>
              </w:rPr>
            </w:pPr>
            <w:r>
              <w:rPr>
                <w:rFonts w:ascii="Arial" w:cs="Arial" w:eastAsia="Arial" w:hAnsi="Arial"/>
                <w:sz w:val="17"/>
                <w:szCs w:val="17"/>
                <w:b w:val="1"/>
                <w:bCs w:val="1"/>
                <w:color w:val="auto"/>
              </w:rPr>
              <w:t>14650</w:t>
            </w:r>
          </w:p>
        </w:tc>
      </w:tr>
      <w:tr>
        <w:trPr>
          <w:trHeight w:val="217"/>
        </w:trPr>
        <w:tc>
          <w:tcPr>
            <w:tcW w:w="5000" w:type="dxa"/>
            <w:vAlign w:val="bottom"/>
          </w:tcPr>
          <w:p>
            <w:pPr>
              <w:jc w:val="center"/>
              <w:ind w:right="1256"/>
              <w:spacing w:after="0"/>
              <w:rPr>
                <w:sz w:val="20"/>
                <w:szCs w:val="20"/>
                <w:color w:val="auto"/>
              </w:rPr>
            </w:pPr>
            <w:r>
              <w:rPr>
                <w:rFonts w:ascii="Arial" w:cs="Arial" w:eastAsia="Arial" w:hAnsi="Arial"/>
                <w:sz w:val="17"/>
                <w:szCs w:val="17"/>
                <w:b w:val="1"/>
                <w:bCs w:val="1"/>
                <w:color w:val="auto"/>
                <w:w w:val="87"/>
              </w:rPr>
              <w:t>(Address of principal executive offices)</w:t>
            </w:r>
          </w:p>
        </w:tc>
        <w:tc>
          <w:tcPr>
            <w:tcW w:w="3760" w:type="dxa"/>
            <w:vAlign w:val="bottom"/>
          </w:tcPr>
          <w:p>
            <w:pPr>
              <w:jc w:val="center"/>
              <w:ind w:left="1256"/>
              <w:spacing w:after="0"/>
              <w:rPr>
                <w:sz w:val="20"/>
                <w:szCs w:val="20"/>
                <w:color w:val="auto"/>
              </w:rPr>
            </w:pPr>
            <w:r>
              <w:rPr>
                <w:rFonts w:ascii="Arial" w:cs="Arial" w:eastAsia="Arial" w:hAnsi="Arial"/>
                <w:sz w:val="17"/>
                <w:szCs w:val="17"/>
                <w:b w:val="1"/>
                <w:bCs w:val="1"/>
                <w:color w:val="auto"/>
                <w:w w:val="92"/>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585-724-4000</w:t>
      </w:r>
    </w:p>
    <w:p>
      <w:pPr>
        <w:spacing w:after="0" w:line="200" w:lineRule="exact"/>
        <w:rPr>
          <w:sz w:val="24"/>
          <w:szCs w:val="24"/>
          <w:color w:val="auto"/>
        </w:rPr>
      </w:pPr>
    </w:p>
    <w:p>
      <w:pPr>
        <w:spacing w:after="0" w:line="262" w:lineRule="exact"/>
        <w:rPr>
          <w:sz w:val="24"/>
          <w:szCs w:val="24"/>
          <w:color w:val="auto"/>
        </w:rPr>
      </w:pPr>
    </w:p>
    <w:p>
      <w:pPr>
        <w:jc w:val="center"/>
        <w:spacing w:after="0" w:line="26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92" w:lineRule="exact"/>
        <w:rPr>
          <w:sz w:val="24"/>
          <w:szCs w:val="24"/>
          <w:color w:val="auto"/>
        </w:rPr>
      </w:pPr>
    </w:p>
    <w:p>
      <w:pPr>
        <w:ind w:right="680"/>
        <w:spacing w:after="0" w:line="268"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Yes [X] No [ ]</w:t>
      </w:r>
    </w:p>
    <w:p>
      <w:pPr>
        <w:spacing w:after="0" w:line="192" w:lineRule="exact"/>
        <w:rPr>
          <w:sz w:val="24"/>
          <w:szCs w:val="24"/>
          <w:color w:val="auto"/>
        </w:rPr>
      </w:pPr>
    </w:p>
    <w:p>
      <w:pPr>
        <w:ind w:right="320"/>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1640" w:type="dxa"/>
            <w:vAlign w:val="bottom"/>
          </w:tcPr>
          <w:p>
            <w:pPr>
              <w:spacing w:after="0"/>
              <w:rPr>
                <w:sz w:val="20"/>
                <w:szCs w:val="20"/>
                <w:color w:val="auto"/>
              </w:rPr>
            </w:pPr>
            <w:r>
              <w:rPr>
                <w:rFonts w:ascii="Arial" w:cs="Arial" w:eastAsia="Arial" w:hAnsi="Arial"/>
                <w:sz w:val="17"/>
                <w:szCs w:val="17"/>
                <w:color w:val="auto"/>
                <w:w w:val="96"/>
              </w:rPr>
              <w:t>Large accelerated filer</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3120" w:type="dxa"/>
            <w:vAlign w:val="bottom"/>
          </w:tcPr>
          <w:p>
            <w:pPr>
              <w:jc w:val="right"/>
              <w:ind w:right="2936"/>
              <w:spacing w:after="0"/>
              <w:rPr>
                <w:sz w:val="20"/>
                <w:szCs w:val="20"/>
                <w:color w:val="auto"/>
              </w:rPr>
            </w:pPr>
            <w:r>
              <w:rPr>
                <w:rFonts w:ascii="Arial" w:cs="Arial" w:eastAsia="Arial" w:hAnsi="Arial"/>
                <w:sz w:val="17"/>
                <w:szCs w:val="17"/>
                <w:color w:val="auto"/>
              </w:rPr>
              <w:t>]</w:t>
            </w:r>
          </w:p>
        </w:tc>
        <w:tc>
          <w:tcPr>
            <w:tcW w:w="3120" w:type="dxa"/>
            <w:vAlign w:val="bottom"/>
          </w:tcPr>
          <w:p>
            <w:pPr>
              <w:ind w:left="1080"/>
              <w:spacing w:after="0"/>
              <w:rPr>
                <w:sz w:val="20"/>
                <w:szCs w:val="20"/>
                <w:color w:val="auto"/>
              </w:rPr>
            </w:pPr>
            <w:r>
              <w:rPr>
                <w:rFonts w:ascii="Arial" w:cs="Arial" w:eastAsia="Arial" w:hAnsi="Arial"/>
                <w:sz w:val="17"/>
                <w:szCs w:val="17"/>
                <w:color w:val="auto"/>
              </w:rPr>
              <w:t>Accelerated filer</w:t>
            </w:r>
          </w:p>
        </w:tc>
        <w:tc>
          <w:tcPr>
            <w:tcW w:w="3280" w:type="dxa"/>
            <w:vAlign w:val="bottom"/>
          </w:tcPr>
          <w:p>
            <w:pPr>
              <w:ind w:left="140"/>
              <w:spacing w:after="0"/>
              <w:rPr>
                <w:sz w:val="20"/>
                <w:szCs w:val="20"/>
                <w:color w:val="auto"/>
              </w:rPr>
            </w:pPr>
            <w:r>
              <w:rPr>
                <w:rFonts w:ascii="Arial" w:cs="Arial" w:eastAsia="Arial" w:hAnsi="Arial"/>
                <w:sz w:val="17"/>
                <w:szCs w:val="17"/>
                <w:color w:val="auto"/>
              </w:rPr>
              <w:t>[X]</w:t>
            </w:r>
          </w:p>
        </w:tc>
      </w:tr>
      <w:tr>
        <w:trPr>
          <w:trHeight w:val="402"/>
        </w:trPr>
        <w:tc>
          <w:tcPr>
            <w:tcW w:w="1640" w:type="dxa"/>
            <w:vAlign w:val="bottom"/>
          </w:tcPr>
          <w:p>
            <w:pPr>
              <w:spacing w:after="0"/>
              <w:rPr>
                <w:sz w:val="20"/>
                <w:szCs w:val="20"/>
                <w:color w:val="auto"/>
              </w:rPr>
            </w:pPr>
            <w:r>
              <w:rPr>
                <w:rFonts w:ascii="Arial" w:cs="Arial" w:eastAsia="Arial" w:hAnsi="Arial"/>
                <w:sz w:val="17"/>
                <w:szCs w:val="17"/>
                <w:color w:val="auto"/>
              </w:rPr>
              <w:t>Non-accelerated filer</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3120" w:type="dxa"/>
            <w:vAlign w:val="bottom"/>
          </w:tcPr>
          <w:p>
            <w:pPr>
              <w:jc w:val="right"/>
              <w:ind w:right="2936"/>
              <w:spacing w:after="0"/>
              <w:rPr>
                <w:sz w:val="20"/>
                <w:szCs w:val="20"/>
                <w:color w:val="auto"/>
              </w:rPr>
            </w:pPr>
            <w:r>
              <w:rPr>
                <w:rFonts w:ascii="Arial" w:cs="Arial" w:eastAsia="Arial" w:hAnsi="Arial"/>
                <w:sz w:val="17"/>
                <w:szCs w:val="17"/>
                <w:color w:val="auto"/>
              </w:rPr>
              <w:t>]</w:t>
            </w:r>
          </w:p>
        </w:tc>
        <w:tc>
          <w:tcPr>
            <w:tcW w:w="3120" w:type="dxa"/>
            <w:vAlign w:val="bottom"/>
          </w:tcPr>
          <w:p>
            <w:pPr>
              <w:ind w:left="1080"/>
              <w:spacing w:after="0"/>
              <w:rPr>
                <w:sz w:val="20"/>
                <w:szCs w:val="20"/>
                <w:color w:val="auto"/>
              </w:rPr>
            </w:pPr>
            <w:r>
              <w:rPr>
                <w:rFonts w:ascii="Arial" w:cs="Arial" w:eastAsia="Arial" w:hAnsi="Arial"/>
                <w:sz w:val="17"/>
                <w:szCs w:val="17"/>
                <w:color w:val="auto"/>
                <w:w w:val="99"/>
              </w:rPr>
              <w:t>Smaller reporting company</w:t>
            </w:r>
          </w:p>
        </w:tc>
        <w:tc>
          <w:tcPr>
            <w:tcW w:w="3280" w:type="dxa"/>
            <w:vAlign w:val="bottom"/>
          </w:tcPr>
          <w:p>
            <w:pPr>
              <w:ind w:left="140"/>
              <w:spacing w:after="0"/>
              <w:rPr>
                <w:sz w:val="20"/>
                <w:szCs w:val="20"/>
                <w:color w:val="auto"/>
              </w:rPr>
            </w:pPr>
            <w:r>
              <w:rPr>
                <w:rFonts w:ascii="Arial" w:cs="Arial" w:eastAsia="Arial" w:hAnsi="Arial"/>
                <w:sz w:val="17"/>
                <w:szCs w:val="17"/>
                <w:color w:val="auto"/>
              </w:rPr>
              <w:t>[ ]</w:t>
            </w:r>
          </w:p>
        </w:tc>
      </w:tr>
      <w:tr>
        <w:trPr>
          <w:trHeight w:val="427"/>
        </w:trPr>
        <w:tc>
          <w:tcPr>
            <w:tcW w:w="8140" w:type="dxa"/>
            <w:vAlign w:val="bottom"/>
            <w:gridSpan w:val="4"/>
          </w:tcPr>
          <w:p>
            <w:pPr>
              <w:spacing w:after="0"/>
              <w:rPr>
                <w:sz w:val="20"/>
                <w:szCs w:val="20"/>
                <w:color w:val="auto"/>
              </w:rPr>
            </w:pPr>
            <w:r>
              <w:rPr>
                <w:rFonts w:ascii="Arial" w:cs="Arial" w:eastAsia="Arial" w:hAnsi="Arial"/>
                <w:sz w:val="17"/>
                <w:szCs w:val="17"/>
                <w:color w:val="auto"/>
                <w:w w:val="89"/>
              </w:rPr>
              <w:t>Indicate by check mark whether the registrant is a shell company (as defined in Rule 12b-2 of the Exchange Act). Yes [ ]</w:t>
            </w:r>
          </w:p>
        </w:tc>
        <w:tc>
          <w:tcPr>
            <w:tcW w:w="3280" w:type="dxa"/>
            <w:vAlign w:val="bottom"/>
          </w:tcPr>
          <w:p>
            <w:pPr>
              <w:ind w:left="120"/>
              <w:spacing w:after="0"/>
              <w:rPr>
                <w:sz w:val="20"/>
                <w:szCs w:val="20"/>
                <w:color w:val="auto"/>
              </w:rPr>
            </w:pPr>
            <w:r>
              <w:rPr>
                <w:rFonts w:ascii="Arial" w:cs="Arial" w:eastAsia="Arial" w:hAnsi="Arial"/>
                <w:sz w:val="17"/>
                <w:szCs w:val="17"/>
                <w:color w:val="auto"/>
              </w:rPr>
              <w:t>No [X]</w:t>
            </w:r>
          </w:p>
        </w:tc>
      </w:tr>
      <w:tr>
        <w:trPr>
          <w:trHeight w:val="411"/>
        </w:trPr>
        <w:tc>
          <w:tcPr>
            <w:tcW w:w="11420" w:type="dxa"/>
            <w:vAlign w:val="bottom"/>
            <w:gridSpan w:val="5"/>
          </w:tcPr>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tc>
      </w:tr>
      <w:tr>
        <w:trPr>
          <w:trHeight w:val="201"/>
        </w:trPr>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400" w:type="dxa"/>
            <w:vAlign w:val="bottom"/>
            <w:gridSpan w:val="2"/>
          </w:tcPr>
          <w:p>
            <w:pPr>
              <w:jc w:val="center"/>
              <w:ind w:left="616"/>
              <w:spacing w:after="0"/>
              <w:rPr>
                <w:sz w:val="20"/>
                <w:szCs w:val="20"/>
                <w:color w:val="auto"/>
              </w:rPr>
            </w:pPr>
            <w:r>
              <w:rPr>
                <w:rFonts w:ascii="Arial" w:cs="Arial" w:eastAsia="Arial" w:hAnsi="Arial"/>
                <w:sz w:val="17"/>
                <w:szCs w:val="17"/>
                <w:b w:val="1"/>
                <w:bCs w:val="1"/>
                <w:color w:val="auto"/>
                <w:w w:val="89"/>
              </w:rPr>
              <w:t>Number of Shares Outstanding at</w:t>
            </w:r>
          </w:p>
        </w:tc>
      </w:tr>
      <w:tr>
        <w:trPr>
          <w:trHeight w:val="217"/>
        </w:trPr>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tcPr>
          <w:p>
            <w:pPr>
              <w:jc w:val="right"/>
              <w:ind w:right="1416"/>
              <w:spacing w:after="0"/>
              <w:rPr>
                <w:sz w:val="20"/>
                <w:szCs w:val="20"/>
                <w:color w:val="auto"/>
              </w:rPr>
            </w:pPr>
            <w:r>
              <w:rPr>
                <w:rFonts w:ascii="Arial" w:cs="Arial" w:eastAsia="Arial" w:hAnsi="Arial"/>
                <w:sz w:val="17"/>
                <w:szCs w:val="17"/>
                <w:b w:val="1"/>
                <w:bCs w:val="1"/>
                <w:color w:val="auto"/>
              </w:rPr>
              <w:t>Title of each Class</w:t>
            </w:r>
          </w:p>
        </w:tc>
        <w:tc>
          <w:tcPr>
            <w:tcW w:w="3120" w:type="dxa"/>
            <w:vAlign w:val="bottom"/>
          </w:tcPr>
          <w:p>
            <w:pPr>
              <w:spacing w:after="0"/>
              <w:rPr>
                <w:sz w:val="18"/>
                <w:szCs w:val="18"/>
                <w:color w:val="auto"/>
              </w:rPr>
            </w:pPr>
          </w:p>
        </w:tc>
        <w:tc>
          <w:tcPr>
            <w:tcW w:w="3280" w:type="dxa"/>
            <w:vAlign w:val="bottom"/>
          </w:tcPr>
          <w:p>
            <w:pPr>
              <w:jc w:val="center"/>
              <w:ind w:right="2336"/>
              <w:spacing w:after="0"/>
              <w:rPr>
                <w:sz w:val="20"/>
                <w:szCs w:val="20"/>
                <w:color w:val="auto"/>
              </w:rPr>
            </w:pPr>
            <w:r>
              <w:rPr>
                <w:rFonts w:ascii="Arial" w:cs="Arial" w:eastAsia="Arial" w:hAnsi="Arial"/>
                <w:sz w:val="17"/>
                <w:szCs w:val="17"/>
                <w:b w:val="1"/>
                <w:bCs w:val="1"/>
                <w:color w:val="auto"/>
                <w:w w:val="90"/>
              </w:rPr>
              <w:t>May 1, 2015</w:t>
            </w:r>
          </w:p>
        </w:tc>
      </w:tr>
      <w:tr>
        <w:trPr>
          <w:trHeight w:val="603"/>
        </w:trPr>
        <w:tc>
          <w:tcPr>
            <w:tcW w:w="1640" w:type="dxa"/>
            <w:vAlign w:val="bottom"/>
          </w:tcPr>
          <w:p>
            <w:pPr>
              <w:spacing w:after="0"/>
              <w:rPr>
                <w:sz w:val="24"/>
                <w:szCs w:val="24"/>
                <w:color w:val="auto"/>
              </w:rPr>
            </w:pPr>
          </w:p>
        </w:tc>
        <w:tc>
          <w:tcPr>
            <w:tcW w:w="3380" w:type="dxa"/>
            <w:vAlign w:val="bottom"/>
            <w:gridSpan w:val="2"/>
          </w:tcPr>
          <w:p>
            <w:pPr>
              <w:jc w:val="right"/>
              <w:ind w:right="996"/>
              <w:spacing w:after="0"/>
              <w:rPr>
                <w:sz w:val="20"/>
                <w:szCs w:val="20"/>
                <w:color w:val="auto"/>
              </w:rPr>
            </w:pPr>
            <w:r>
              <w:rPr>
                <w:rFonts w:ascii="Arial" w:cs="Arial" w:eastAsia="Arial" w:hAnsi="Arial"/>
                <w:sz w:val="17"/>
                <w:szCs w:val="17"/>
                <w:color w:val="auto"/>
                <w:w w:val="93"/>
              </w:rPr>
              <w:t>Common Stock, $0.01 par value</w:t>
            </w:r>
          </w:p>
        </w:tc>
        <w:tc>
          <w:tcPr>
            <w:tcW w:w="3120" w:type="dxa"/>
            <w:vAlign w:val="bottom"/>
          </w:tcPr>
          <w:p>
            <w:pPr>
              <w:spacing w:after="0"/>
              <w:rPr>
                <w:sz w:val="24"/>
                <w:szCs w:val="24"/>
                <w:color w:val="auto"/>
              </w:rPr>
            </w:pPr>
          </w:p>
        </w:tc>
        <w:tc>
          <w:tcPr>
            <w:tcW w:w="3280" w:type="dxa"/>
            <w:vAlign w:val="bottom"/>
          </w:tcPr>
          <w:p>
            <w:pPr>
              <w:jc w:val="center"/>
              <w:ind w:right="2316"/>
              <w:spacing w:after="0"/>
              <w:rPr>
                <w:sz w:val="20"/>
                <w:szCs w:val="20"/>
                <w:color w:val="auto"/>
              </w:rPr>
            </w:pPr>
            <w:r>
              <w:rPr>
                <w:rFonts w:ascii="Arial" w:cs="Arial" w:eastAsia="Arial" w:hAnsi="Arial"/>
                <w:sz w:val="17"/>
                <w:szCs w:val="17"/>
                <w:color w:val="auto"/>
                <w:w w:val="89"/>
              </w:rPr>
              <w:t>41,908,623</w:t>
            </w:r>
          </w:p>
        </w:tc>
      </w:tr>
      <w:tr>
        <w:trPr>
          <w:trHeight w:val="1329"/>
        </w:trPr>
        <w:tc>
          <w:tcPr>
            <w:tcW w:w="16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560" w:type="dxa"/>
            <w:vAlign w:val="bottom"/>
          </w:tcPr>
          <w:p>
            <w:pPr>
              <w:spacing w:after="0"/>
              <w:rPr>
                <w:sz w:val="17"/>
                <w:szCs w:val="17"/>
                <w:color w:val="auto"/>
              </w:rPr>
            </w:pPr>
          </w:p>
        </w:tc>
        <w:tc>
          <w:tcPr>
            <w:tcW w:w="6980" w:type="dxa"/>
            <w:vAlign w:val="bottom"/>
          </w:tcPr>
          <w:p>
            <w:pPr>
              <w:jc w:val="center"/>
              <w:ind w:left="3236"/>
              <w:spacing w:after="0"/>
              <w:rPr>
                <w:sz w:val="20"/>
                <w:szCs w:val="20"/>
                <w:color w:val="auto"/>
              </w:rPr>
            </w:pPr>
            <w:r>
              <w:rPr>
                <w:rFonts w:ascii="Arial" w:cs="Arial" w:eastAsia="Arial" w:hAnsi="Arial"/>
                <w:sz w:val="17"/>
                <w:szCs w:val="17"/>
                <w:b w:val="1"/>
                <w:bCs w:val="1"/>
                <w:color w:val="auto"/>
                <w:w w:val="99"/>
              </w:rPr>
              <w:t>EASTMAN KODAK COMPANY</w:t>
            </w:r>
          </w:p>
        </w:tc>
        <w:tc>
          <w:tcPr>
            <w:tcW w:w="10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6980" w:type="dxa"/>
            <w:vAlign w:val="bottom"/>
          </w:tcPr>
          <w:p>
            <w:pPr>
              <w:jc w:val="center"/>
              <w:ind w:left="3256"/>
              <w:spacing w:after="0"/>
              <w:rPr>
                <w:sz w:val="20"/>
                <w:szCs w:val="20"/>
                <w:color w:val="auto"/>
              </w:rPr>
            </w:pPr>
            <w:r>
              <w:rPr>
                <w:rFonts w:ascii="Arial" w:cs="Arial" w:eastAsia="Arial" w:hAnsi="Arial"/>
                <w:sz w:val="17"/>
                <w:szCs w:val="17"/>
                <w:b w:val="1"/>
                <w:bCs w:val="1"/>
                <w:color w:val="auto"/>
                <w:w w:val="94"/>
              </w:rPr>
              <w:t>Form 10-Q</w:t>
            </w:r>
          </w:p>
        </w:tc>
        <w:tc>
          <w:tcPr>
            <w:tcW w:w="1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560" w:type="dxa"/>
            <w:vAlign w:val="bottom"/>
          </w:tcPr>
          <w:p>
            <w:pPr>
              <w:spacing w:after="0"/>
              <w:rPr>
                <w:sz w:val="24"/>
                <w:szCs w:val="24"/>
                <w:color w:val="auto"/>
              </w:rPr>
            </w:pPr>
          </w:p>
        </w:tc>
        <w:tc>
          <w:tcPr>
            <w:tcW w:w="6980" w:type="dxa"/>
            <w:vAlign w:val="bottom"/>
          </w:tcPr>
          <w:p>
            <w:pPr>
              <w:jc w:val="center"/>
              <w:ind w:left="3236"/>
              <w:spacing w:after="0"/>
              <w:rPr>
                <w:sz w:val="20"/>
                <w:szCs w:val="20"/>
                <w:color w:val="auto"/>
              </w:rPr>
            </w:pPr>
            <w:r>
              <w:rPr>
                <w:rFonts w:ascii="Arial" w:cs="Arial" w:eastAsia="Arial" w:hAnsi="Arial"/>
                <w:sz w:val="17"/>
                <w:szCs w:val="17"/>
                <w:b w:val="1"/>
                <w:bCs w:val="1"/>
                <w:color w:val="auto"/>
                <w:w w:val="90"/>
              </w:rPr>
              <w:t>March 31, 2015</w:t>
            </w:r>
          </w:p>
        </w:tc>
        <w:tc>
          <w:tcPr>
            <w:tcW w:w="1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60" w:type="dxa"/>
            <w:vAlign w:val="bottom"/>
          </w:tcPr>
          <w:p>
            <w:pPr>
              <w:spacing w:after="0"/>
              <w:rPr>
                <w:sz w:val="24"/>
                <w:szCs w:val="24"/>
                <w:color w:val="auto"/>
              </w:rPr>
            </w:pPr>
          </w:p>
        </w:tc>
        <w:tc>
          <w:tcPr>
            <w:tcW w:w="6980" w:type="dxa"/>
            <w:vAlign w:val="bottom"/>
          </w:tcPr>
          <w:p>
            <w:pPr>
              <w:jc w:val="center"/>
              <w:ind w:left="3236"/>
              <w:spacing w:after="0"/>
              <w:rPr>
                <w:sz w:val="20"/>
                <w:szCs w:val="20"/>
                <w:color w:val="auto"/>
              </w:rPr>
            </w:pPr>
            <w:r>
              <w:rPr>
                <w:rFonts w:ascii="Arial" w:cs="Arial" w:eastAsia="Arial" w:hAnsi="Arial"/>
                <w:sz w:val="17"/>
                <w:szCs w:val="17"/>
                <w:b w:val="1"/>
                <w:bCs w:val="1"/>
                <w:color w:val="auto"/>
                <w:w w:val="87"/>
              </w:rPr>
              <w:t>Table of Contents</w:t>
            </w:r>
          </w:p>
        </w:tc>
        <w:tc>
          <w:tcPr>
            <w:tcW w:w="1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560" w:type="dxa"/>
            <w:vAlign w:val="bottom"/>
          </w:tcPr>
          <w:p>
            <w:pPr>
              <w:spacing w:after="0"/>
              <w:rPr>
                <w:sz w:val="24"/>
                <w:szCs w:val="24"/>
                <w:color w:val="auto"/>
              </w:rPr>
            </w:pPr>
          </w:p>
        </w:tc>
        <w:tc>
          <w:tcPr>
            <w:tcW w:w="6980" w:type="dxa"/>
            <w:vAlign w:val="bottom"/>
            <w:vMerge w:val="restart"/>
          </w:tcPr>
          <w:p>
            <w:pPr>
              <w:jc w:val="center"/>
              <w:ind w:left="376"/>
              <w:spacing w:after="0"/>
              <w:rPr>
                <w:sz w:val="20"/>
                <w:szCs w:val="20"/>
                <w:color w:val="auto"/>
              </w:rPr>
            </w:pPr>
            <w:r>
              <w:rPr>
                <w:rFonts w:ascii="Arial" w:cs="Arial" w:eastAsia="Arial" w:hAnsi="Arial"/>
                <w:sz w:val="17"/>
                <w:szCs w:val="17"/>
                <w:color w:val="auto"/>
                <w:w w:val="92"/>
              </w:rPr>
              <w:t>Part I.—Financial Information</w:t>
            </w:r>
          </w:p>
        </w:tc>
        <w:tc>
          <w:tcPr>
            <w:tcW w:w="1020" w:type="dxa"/>
            <w:vAlign w:val="bottom"/>
          </w:tcPr>
          <w:p>
            <w:pPr>
              <w:ind w:left="640"/>
              <w:spacing w:after="0"/>
              <w:rPr>
                <w:sz w:val="20"/>
                <w:szCs w:val="20"/>
                <w:color w:val="auto"/>
              </w:rPr>
            </w:pPr>
            <w:r>
              <w:rPr>
                <w:rFonts w:ascii="Arial" w:cs="Arial" w:eastAsia="Arial" w:hAnsi="Arial"/>
                <w:sz w:val="17"/>
                <w:szCs w:val="17"/>
                <w:color w:val="auto"/>
                <w:w w:val="90"/>
              </w:rPr>
              <w:t>Page</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9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Item 1. Financial Statements</w:t>
            </w:r>
          </w:p>
        </w:tc>
        <w:tc>
          <w:tcPr>
            <w:tcW w:w="102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rPr>
              <w:t>3</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tcPr>
          <w:p>
            <w:pPr>
              <w:ind w:left="560"/>
              <w:spacing w:after="0"/>
              <w:rPr>
                <w:sz w:val="20"/>
                <w:szCs w:val="20"/>
                <w:color w:val="auto"/>
              </w:rPr>
            </w:pPr>
            <w:r>
              <w:rPr>
                <w:rFonts w:ascii="Arial" w:cs="Arial" w:eastAsia="Arial" w:hAnsi="Arial"/>
                <w:sz w:val="17"/>
                <w:szCs w:val="17"/>
                <w:color w:val="auto"/>
              </w:rPr>
              <w:t>Consolidated Statement of Operations (Unaudited)</w:t>
            </w:r>
          </w:p>
        </w:tc>
        <w:tc>
          <w:tcPr>
            <w:tcW w:w="1020" w:type="dxa"/>
            <w:vAlign w:val="bottom"/>
          </w:tcPr>
          <w:p>
            <w:pPr>
              <w:jc w:val="center"/>
              <w:ind w:left="396"/>
              <w:spacing w:after="0"/>
              <w:rPr>
                <w:sz w:val="20"/>
                <w:szCs w:val="20"/>
                <w:color w:val="auto"/>
              </w:rPr>
            </w:pPr>
            <w:r>
              <w:rPr>
                <w:rFonts w:ascii="Arial" w:cs="Arial" w:eastAsia="Arial" w:hAnsi="Arial"/>
                <w:sz w:val="17"/>
                <w:szCs w:val="17"/>
                <w:color w:val="auto"/>
              </w:rPr>
              <w:t>3</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Consolidated Statement of Comprehensive (Loss) Income (Unaudited)</w:t>
            </w:r>
          </w:p>
        </w:tc>
        <w:tc>
          <w:tcPr>
            <w:tcW w:w="102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rPr>
              <w:t>4</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tcPr>
          <w:p>
            <w:pPr>
              <w:ind w:left="560"/>
              <w:spacing w:after="0"/>
              <w:rPr>
                <w:sz w:val="20"/>
                <w:szCs w:val="20"/>
                <w:color w:val="auto"/>
              </w:rPr>
            </w:pPr>
            <w:r>
              <w:rPr>
                <w:rFonts w:ascii="Arial" w:cs="Arial" w:eastAsia="Arial" w:hAnsi="Arial"/>
                <w:sz w:val="17"/>
                <w:szCs w:val="17"/>
                <w:color w:val="auto"/>
              </w:rPr>
              <w:t>Consolidated Statement of Financial Position (Unaudited)</w:t>
            </w:r>
          </w:p>
        </w:tc>
        <w:tc>
          <w:tcPr>
            <w:tcW w:w="1020" w:type="dxa"/>
            <w:vAlign w:val="bottom"/>
          </w:tcPr>
          <w:p>
            <w:pPr>
              <w:jc w:val="center"/>
              <w:ind w:left="396"/>
              <w:spacing w:after="0"/>
              <w:rPr>
                <w:sz w:val="20"/>
                <w:szCs w:val="20"/>
                <w:color w:val="auto"/>
              </w:rPr>
            </w:pPr>
            <w:r>
              <w:rPr>
                <w:rFonts w:ascii="Arial" w:cs="Arial" w:eastAsia="Arial" w:hAnsi="Arial"/>
                <w:sz w:val="17"/>
                <w:szCs w:val="17"/>
                <w:color w:val="auto"/>
              </w:rPr>
              <w:t>5</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Consolidated Statement of Cash Flows (Unaudited)</w:t>
            </w:r>
          </w:p>
        </w:tc>
        <w:tc>
          <w:tcPr>
            <w:tcW w:w="102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rPr>
              <w:t>6</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tcPr>
          <w:p>
            <w:pPr>
              <w:ind w:left="560"/>
              <w:spacing w:after="0"/>
              <w:rPr>
                <w:sz w:val="20"/>
                <w:szCs w:val="20"/>
                <w:color w:val="auto"/>
              </w:rPr>
            </w:pPr>
            <w:r>
              <w:rPr>
                <w:rFonts w:ascii="Arial" w:cs="Arial" w:eastAsia="Arial" w:hAnsi="Arial"/>
                <w:sz w:val="17"/>
                <w:szCs w:val="17"/>
                <w:color w:val="auto"/>
              </w:rPr>
              <w:t>Notes to Financial Statements (Unaudited)</w:t>
            </w:r>
          </w:p>
        </w:tc>
        <w:tc>
          <w:tcPr>
            <w:tcW w:w="1020" w:type="dxa"/>
            <w:vAlign w:val="bottom"/>
          </w:tcPr>
          <w:p>
            <w:pPr>
              <w:jc w:val="center"/>
              <w:ind w:left="396"/>
              <w:spacing w:after="0"/>
              <w:rPr>
                <w:sz w:val="20"/>
                <w:szCs w:val="20"/>
                <w:color w:val="auto"/>
              </w:rPr>
            </w:pPr>
            <w:r>
              <w:rPr>
                <w:rFonts w:ascii="Arial" w:cs="Arial" w:eastAsia="Arial" w:hAnsi="Arial"/>
                <w:sz w:val="17"/>
                <w:szCs w:val="17"/>
                <w:color w:val="auto"/>
              </w:rPr>
              <w:t>7</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tc>
        <w:tc>
          <w:tcPr>
            <w:tcW w:w="102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w w:val="94"/>
              </w:rPr>
              <w:t>21</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tcPr>
          <w:p>
            <w:pPr>
              <w:ind w:left="560"/>
              <w:spacing w:after="0"/>
              <w:rPr>
                <w:sz w:val="20"/>
                <w:szCs w:val="20"/>
                <w:color w:val="auto"/>
              </w:rPr>
            </w:pPr>
            <w:r>
              <w:rPr>
                <w:rFonts w:ascii="Arial" w:cs="Arial" w:eastAsia="Arial" w:hAnsi="Arial"/>
                <w:sz w:val="17"/>
                <w:szCs w:val="17"/>
                <w:color w:val="auto"/>
              </w:rPr>
              <w:t>Liquidity and Capital Resources</w:t>
            </w:r>
          </w:p>
        </w:tc>
        <w:tc>
          <w:tcPr>
            <w:tcW w:w="1020" w:type="dxa"/>
            <w:vAlign w:val="bottom"/>
          </w:tcPr>
          <w:p>
            <w:pPr>
              <w:jc w:val="center"/>
              <w:ind w:left="396"/>
              <w:spacing w:after="0"/>
              <w:rPr>
                <w:sz w:val="20"/>
                <w:szCs w:val="20"/>
                <w:color w:val="auto"/>
              </w:rPr>
            </w:pPr>
            <w:r>
              <w:rPr>
                <w:rFonts w:ascii="Arial" w:cs="Arial" w:eastAsia="Arial" w:hAnsi="Arial"/>
                <w:sz w:val="17"/>
                <w:szCs w:val="17"/>
                <w:color w:val="auto"/>
                <w:w w:val="94"/>
              </w:rPr>
              <w:t>31</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Item 3. Quantitative and Qualitative Disclosures About Market Risk</w:t>
            </w:r>
          </w:p>
        </w:tc>
        <w:tc>
          <w:tcPr>
            <w:tcW w:w="102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w w:val="94"/>
              </w:rPr>
              <w:t>34</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tcPr>
          <w:p>
            <w:pPr>
              <w:spacing w:after="0"/>
              <w:rPr>
                <w:sz w:val="20"/>
                <w:szCs w:val="20"/>
                <w:color w:val="auto"/>
              </w:rPr>
            </w:pPr>
            <w:r>
              <w:rPr>
                <w:rFonts w:ascii="Arial" w:cs="Arial" w:eastAsia="Arial" w:hAnsi="Arial"/>
                <w:sz w:val="17"/>
                <w:szCs w:val="17"/>
                <w:color w:val="auto"/>
              </w:rPr>
              <w:t>Item 4. Controls and Procedures</w:t>
            </w:r>
          </w:p>
        </w:tc>
        <w:tc>
          <w:tcPr>
            <w:tcW w:w="1020" w:type="dxa"/>
            <w:vAlign w:val="bottom"/>
          </w:tcPr>
          <w:p>
            <w:pPr>
              <w:jc w:val="center"/>
              <w:ind w:left="396"/>
              <w:spacing w:after="0"/>
              <w:rPr>
                <w:sz w:val="20"/>
                <w:szCs w:val="20"/>
                <w:color w:val="auto"/>
              </w:rPr>
            </w:pPr>
            <w:r>
              <w:rPr>
                <w:rFonts w:ascii="Arial" w:cs="Arial" w:eastAsia="Arial" w:hAnsi="Arial"/>
                <w:sz w:val="17"/>
                <w:szCs w:val="17"/>
                <w:color w:val="auto"/>
                <w:w w:val="94"/>
              </w:rPr>
              <w:t>34</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980" w:type="dxa"/>
            <w:vAlign w:val="bottom"/>
          </w:tcPr>
          <w:p>
            <w:pPr>
              <w:jc w:val="center"/>
              <w:ind w:left="376"/>
              <w:spacing w:after="0"/>
              <w:rPr>
                <w:sz w:val="20"/>
                <w:szCs w:val="20"/>
                <w:color w:val="auto"/>
              </w:rPr>
            </w:pPr>
            <w:r>
              <w:rPr>
                <w:rFonts w:ascii="Arial" w:cs="Arial" w:eastAsia="Arial" w:hAnsi="Arial"/>
                <w:sz w:val="17"/>
                <w:szCs w:val="17"/>
                <w:color w:val="auto"/>
                <w:w w:val="92"/>
              </w:rPr>
              <w:t>Part II.—Other Information</w:t>
            </w:r>
          </w:p>
        </w:tc>
        <w:tc>
          <w:tcPr>
            <w:tcW w:w="10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shd w:val="clear" w:color="auto" w:fill="CCEEFF"/>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tcPr>
          <w:p>
            <w:pPr>
              <w:spacing w:after="0"/>
              <w:rPr>
                <w:sz w:val="20"/>
                <w:szCs w:val="20"/>
                <w:color w:val="auto"/>
              </w:rPr>
            </w:pPr>
            <w:r>
              <w:rPr>
                <w:rFonts w:ascii="Arial" w:cs="Arial" w:eastAsia="Arial" w:hAnsi="Arial"/>
                <w:sz w:val="17"/>
                <w:szCs w:val="17"/>
                <w:color w:val="auto"/>
              </w:rPr>
              <w:t>Item 1. Legal Proceedings</w:t>
            </w:r>
          </w:p>
        </w:tc>
        <w:tc>
          <w:tcPr>
            <w:tcW w:w="1020" w:type="dxa"/>
            <w:vAlign w:val="bottom"/>
          </w:tcPr>
          <w:p>
            <w:pPr>
              <w:jc w:val="center"/>
              <w:ind w:left="396"/>
              <w:spacing w:after="0"/>
              <w:rPr>
                <w:sz w:val="20"/>
                <w:szCs w:val="20"/>
                <w:color w:val="auto"/>
              </w:rPr>
            </w:pPr>
            <w:r>
              <w:rPr>
                <w:rFonts w:ascii="Arial" w:cs="Arial" w:eastAsia="Arial" w:hAnsi="Arial"/>
                <w:sz w:val="17"/>
                <w:szCs w:val="17"/>
                <w:color w:val="auto"/>
                <w:w w:val="94"/>
              </w:rPr>
              <w:t>35</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Unregistered Sales of Securities and Use of Proceeds</w:t>
            </w:r>
          </w:p>
        </w:tc>
        <w:tc>
          <w:tcPr>
            <w:tcW w:w="102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w w:val="94"/>
              </w:rPr>
              <w:t>35</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shd w:val="clear" w:color="auto" w:fill="CCEEFF"/>
          </w:tcPr>
          <w:p>
            <w:pPr>
              <w:spacing w:after="0"/>
              <w:rPr>
                <w:sz w:val="20"/>
                <w:szCs w:val="20"/>
                <w:color w:val="auto"/>
              </w:rPr>
            </w:pPr>
            <w:r>
              <w:rPr>
                <w:rFonts w:ascii="Arial" w:cs="Arial" w:eastAsia="Arial" w:hAnsi="Arial"/>
                <w:sz w:val="17"/>
                <w:szCs w:val="17"/>
                <w:color w:val="auto"/>
              </w:rPr>
              <w:t>Item 5.</w:t>
            </w: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Other Information</w:t>
            </w:r>
          </w:p>
        </w:tc>
        <w:tc>
          <w:tcPr>
            <w:tcW w:w="102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w w:val="94"/>
              </w:rPr>
              <w:t>35</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20"/>
                <w:szCs w:val="20"/>
                <w:color w:val="auto"/>
              </w:rPr>
            </w:pPr>
            <w:r>
              <w:rPr>
                <w:rFonts w:ascii="Arial" w:cs="Arial" w:eastAsia="Arial" w:hAnsi="Arial"/>
                <w:sz w:val="17"/>
                <w:szCs w:val="17"/>
                <w:color w:val="auto"/>
              </w:rPr>
              <w:t>Item 6.</w:t>
            </w:r>
          </w:p>
        </w:tc>
        <w:tc>
          <w:tcPr>
            <w:tcW w:w="6980" w:type="dxa"/>
            <w:vAlign w:val="bottom"/>
          </w:tcPr>
          <w:p>
            <w:pPr>
              <w:spacing w:after="0"/>
              <w:rPr>
                <w:sz w:val="20"/>
                <w:szCs w:val="20"/>
                <w:color w:val="auto"/>
              </w:rPr>
            </w:pPr>
            <w:r>
              <w:rPr>
                <w:rFonts w:ascii="Arial" w:cs="Arial" w:eastAsia="Arial" w:hAnsi="Arial"/>
                <w:sz w:val="17"/>
                <w:szCs w:val="17"/>
                <w:color w:val="auto"/>
              </w:rPr>
              <w:t>Exhibits</w:t>
            </w:r>
          </w:p>
        </w:tc>
        <w:tc>
          <w:tcPr>
            <w:tcW w:w="1020" w:type="dxa"/>
            <w:vAlign w:val="bottom"/>
          </w:tcPr>
          <w:p>
            <w:pPr>
              <w:jc w:val="center"/>
              <w:ind w:left="396"/>
              <w:spacing w:after="0"/>
              <w:rPr>
                <w:sz w:val="20"/>
                <w:szCs w:val="20"/>
                <w:color w:val="auto"/>
              </w:rPr>
            </w:pPr>
            <w:r>
              <w:rPr>
                <w:rFonts w:ascii="Arial" w:cs="Arial" w:eastAsia="Arial" w:hAnsi="Arial"/>
                <w:sz w:val="17"/>
                <w:szCs w:val="17"/>
                <w:color w:val="auto"/>
                <w:w w:val="94"/>
              </w:rPr>
              <w:t>35</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tcPr>
          <w:p>
            <w:pPr>
              <w:ind w:left="560"/>
              <w:spacing w:after="0"/>
              <w:rPr>
                <w:sz w:val="20"/>
                <w:szCs w:val="20"/>
                <w:color w:val="auto"/>
              </w:rPr>
            </w:pPr>
            <w:r>
              <w:rPr>
                <w:rFonts w:ascii="Arial" w:cs="Arial" w:eastAsia="Arial" w:hAnsi="Arial"/>
                <w:sz w:val="17"/>
                <w:szCs w:val="17"/>
                <w:color w:val="auto"/>
              </w:rPr>
              <w:t>Signature</w:t>
            </w:r>
          </w:p>
        </w:tc>
        <w:tc>
          <w:tcPr>
            <w:tcW w:w="1020" w:type="dxa"/>
            <w:vAlign w:val="bottom"/>
          </w:tcPr>
          <w:p>
            <w:pPr>
              <w:jc w:val="center"/>
              <w:ind w:left="396"/>
              <w:spacing w:after="0"/>
              <w:rPr>
                <w:sz w:val="20"/>
                <w:szCs w:val="20"/>
                <w:color w:val="auto"/>
              </w:rPr>
            </w:pPr>
            <w:r>
              <w:rPr>
                <w:rFonts w:ascii="Arial" w:cs="Arial" w:eastAsia="Arial" w:hAnsi="Arial"/>
                <w:sz w:val="17"/>
                <w:szCs w:val="17"/>
                <w:color w:val="auto"/>
                <w:w w:val="94"/>
              </w:rPr>
              <w:t>36</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Index to Exhibits</w:t>
            </w:r>
          </w:p>
        </w:tc>
        <w:tc>
          <w:tcPr>
            <w:tcW w:w="102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w w:val="94"/>
              </w:rPr>
              <w:t>37</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5"/>
        </w:trPr>
        <w:tc>
          <w:tcPr>
            <w:tcW w:w="7540" w:type="dxa"/>
            <w:vAlign w:val="bottom"/>
            <w:gridSpan w:val="2"/>
          </w:tcPr>
          <w:p>
            <w:pPr>
              <w:jc w:val="center"/>
              <w:ind w:left="3816"/>
              <w:spacing w:after="0"/>
              <w:rPr>
                <w:sz w:val="20"/>
                <w:szCs w:val="20"/>
                <w:color w:val="auto"/>
              </w:rPr>
            </w:pPr>
            <w:r>
              <w:rPr>
                <w:rFonts w:ascii="Arial" w:cs="Arial" w:eastAsia="Arial" w:hAnsi="Arial"/>
                <w:sz w:val="17"/>
                <w:szCs w:val="17"/>
                <w:color w:val="auto"/>
                <w:w w:val="84"/>
              </w:rPr>
              <w:t>2</w:t>
            </w:r>
          </w:p>
        </w:tc>
        <w:tc>
          <w:tcPr>
            <w:tcW w:w="1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60" w:type="dxa"/>
            <w:vAlign w:val="bottom"/>
            <w:tcBorders>
              <w:bottom w:val="single" w:sz="8" w:color="808080"/>
            </w:tcBorders>
          </w:tcPr>
          <w:p>
            <w:pPr>
              <w:spacing w:after="0"/>
              <w:rPr>
                <w:sz w:val="9"/>
                <w:szCs w:val="9"/>
                <w:color w:val="auto"/>
              </w:rPr>
            </w:pPr>
          </w:p>
        </w:tc>
        <w:tc>
          <w:tcPr>
            <w:tcW w:w="69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8820" w:type="dxa"/>
            <w:vAlign w:val="bottom"/>
          </w:tcPr>
          <w:p>
            <w:pPr>
              <w:ind w:left="4340"/>
              <w:spacing w:after="0"/>
              <w:rPr>
                <w:sz w:val="20"/>
                <w:szCs w:val="20"/>
                <w:color w:val="auto"/>
              </w:rPr>
            </w:pPr>
            <w:r>
              <w:rPr>
                <w:rFonts w:ascii="Arial" w:cs="Arial" w:eastAsia="Arial" w:hAnsi="Arial"/>
                <w:sz w:val="17"/>
                <w:szCs w:val="17"/>
                <w:b w:val="1"/>
                <w:bCs w:val="1"/>
                <w:color w:val="auto"/>
              </w:rPr>
              <w:t>Part I. FINANCIAL INFORMATION</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b w:val="1"/>
                <w:bCs w:val="1"/>
                <w:color w:val="auto"/>
              </w:rPr>
              <w:t>Item 1. Financial Statements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8820" w:type="dxa"/>
            <w:vAlign w:val="bottom"/>
          </w:tcPr>
          <w:p>
            <w:pPr>
              <w:spacing w:after="0"/>
              <w:rPr>
                <w:sz w:val="20"/>
                <w:szCs w:val="20"/>
                <w:color w:val="auto"/>
              </w:rPr>
            </w:pPr>
            <w:r>
              <w:rPr>
                <w:rFonts w:ascii="Arial" w:cs="Arial" w:eastAsia="Arial" w:hAnsi="Arial"/>
                <w:sz w:val="17"/>
                <w:szCs w:val="17"/>
                <w:b w:val="1"/>
                <w:bCs w:val="1"/>
                <w:color w:val="auto"/>
              </w:rPr>
              <w:t>EASTMAN KODAK COMPANY</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CONSOLIDATED STATEMENT OF OPERATIONS (Unaudited)</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color w:val="auto"/>
              </w:rPr>
              <w:t>(in millions, except per share data)</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8820" w:type="dxa"/>
            <w:vAlign w:val="bottom"/>
          </w:tcPr>
          <w:p>
            <w:pPr>
              <w:spacing w:after="0"/>
              <w:rPr>
                <w:sz w:val="24"/>
                <w:szCs w:val="24"/>
                <w:color w:val="auto"/>
              </w:rPr>
            </w:pPr>
          </w:p>
        </w:tc>
        <w:tc>
          <w:tcPr>
            <w:tcW w:w="2120" w:type="dxa"/>
            <w:vAlign w:val="bottom"/>
            <w:gridSpan w:val="4"/>
          </w:tcPr>
          <w:p>
            <w:pPr>
              <w:jc w:val="right"/>
              <w:ind w:right="45"/>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8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7"/>
                <w:szCs w:val="17"/>
                <w:b w:val="1"/>
                <w:bCs w:val="1"/>
                <w:color w:val="auto"/>
              </w:rPr>
              <w:t>March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Revenues</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Sales</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337</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393</w:t>
            </w: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Services</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7"/>
                <w:szCs w:val="17"/>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427</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488</w:t>
            </w:r>
          </w:p>
        </w:tc>
      </w:tr>
      <w:tr>
        <w:trPr>
          <w:trHeight w:val="201"/>
        </w:trPr>
        <w:tc>
          <w:tcPr>
            <w:tcW w:w="88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Cost of revenues</w:t>
            </w: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88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284</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w:t>
            </w:r>
          </w:p>
        </w:tc>
      </w:tr>
      <w:tr>
        <w:trPr>
          <w:trHeight w:val="206"/>
        </w:trPr>
        <w:tc>
          <w:tcPr>
            <w:tcW w:w="8820" w:type="dxa"/>
            <w:vAlign w:val="bottom"/>
          </w:tcPr>
          <w:p>
            <w:pPr>
              <w:ind w:left="340"/>
              <w:spacing w:after="0"/>
              <w:rPr>
                <w:sz w:val="20"/>
                <w:szCs w:val="20"/>
                <w:color w:val="auto"/>
              </w:rPr>
            </w:pPr>
            <w:r>
              <w:rPr>
                <w:rFonts w:ascii="Arial" w:cs="Arial" w:eastAsia="Arial" w:hAnsi="Arial"/>
                <w:sz w:val="17"/>
                <w:szCs w:val="17"/>
                <w:color w:val="auto"/>
              </w:rPr>
              <w:t>Services</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7"/>
                <w:szCs w:val="17"/>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7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120"/>
              <w:spacing w:after="0"/>
              <w:rPr>
                <w:sz w:val="20"/>
                <w:szCs w:val="20"/>
                <w:color w:val="auto"/>
              </w:rPr>
            </w:pPr>
            <w:r>
              <w:rPr>
                <w:rFonts w:ascii="Arial" w:cs="Arial" w:eastAsia="Arial" w:hAnsi="Arial"/>
                <w:sz w:val="17"/>
                <w:szCs w:val="17"/>
                <w:color w:val="auto"/>
              </w:rPr>
              <w:t>Gross profit</w:t>
            </w: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77</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89</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Research and development costs</w:t>
            </w: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costs and other</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operating expense, net</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w w:val="97"/>
              </w:rPr>
              <w:t>Loss from continuing operations before interest expense, other charges, net, reorganization items, net and income taxes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Interest expense</w:t>
            </w: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Loss from continuing operations before income taxes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Provision (benefit) for income taxes</w:t>
            </w: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5"/>
        </w:trPr>
        <w:tc>
          <w:tcPr>
            <w:tcW w:w="8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Loss from continuing operations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Earnings from discontinued operations, net of income taxes</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Less: Net income attributable to noncontrolling interests</w:t>
            </w:r>
          </w:p>
        </w:tc>
        <w:tc>
          <w:tcPr>
            <w:tcW w:w="7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76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4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EASTMAN KODAK COMPANY</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r>
      <w:tr>
        <w:trPr>
          <w:trHeight w:val="191"/>
        </w:trPr>
        <w:tc>
          <w:tcPr>
            <w:tcW w:w="8820" w:type="dxa"/>
            <w:vAlign w:val="bottom"/>
            <w:tcBorders>
              <w:top w:val="single" w:sz="8" w:color="CCEEFF"/>
            </w:tcBorders>
          </w:tcPr>
          <w:p>
            <w:pPr>
              <w:spacing w:after="0" w:line="192" w:lineRule="exact"/>
              <w:rPr>
                <w:sz w:val="20"/>
                <w:szCs w:val="20"/>
                <w:color w:val="auto"/>
              </w:rPr>
            </w:pPr>
            <w:r>
              <w:rPr>
                <w:rFonts w:ascii="Arial" w:cs="Arial" w:eastAsia="Arial" w:hAnsi="Arial"/>
                <w:sz w:val="17"/>
                <w:szCs w:val="17"/>
                <w:color w:val="auto"/>
              </w:rPr>
              <w:t>Basic and diluted net (loss) earnings per share attributable to Eastman Kodak Company common shareholders:</w:t>
            </w: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Continuing operations</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(1.38)</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(1.32)</w:t>
            </w:r>
          </w:p>
        </w:tc>
      </w:tr>
      <w:tr>
        <w:trPr>
          <w:trHeight w:val="206"/>
        </w:trPr>
        <w:tc>
          <w:tcPr>
            <w:tcW w:w="8820" w:type="dxa"/>
            <w:vAlign w:val="bottom"/>
          </w:tcPr>
          <w:p>
            <w:pPr>
              <w:ind w:left="80"/>
              <w:spacing w:after="0"/>
              <w:rPr>
                <w:sz w:val="20"/>
                <w:szCs w:val="20"/>
                <w:color w:val="auto"/>
              </w:rPr>
            </w:pPr>
            <w:r>
              <w:rPr>
                <w:rFonts w:ascii="Arial" w:cs="Arial" w:eastAsia="Arial" w:hAnsi="Arial"/>
                <w:sz w:val="17"/>
                <w:szCs w:val="17"/>
                <w:color w:val="auto"/>
              </w:rPr>
              <w:t>Discontinued operations</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0.46</w:t>
            </w:r>
          </w:p>
        </w:tc>
        <w:tc>
          <w:tcPr>
            <w:tcW w:w="100" w:type="dxa"/>
            <w:vAlign w:val="bottom"/>
          </w:tcPr>
          <w:p>
            <w:pPr>
              <w:spacing w:after="0"/>
              <w:rPr>
                <w:sz w:val="17"/>
                <w:szCs w:val="17"/>
                <w:color w:val="auto"/>
              </w:rPr>
            </w:pPr>
          </w:p>
        </w:tc>
      </w:tr>
      <w:tr>
        <w:trPr>
          <w:trHeight w:val="24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(1.38)</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(0.86)</w:t>
            </w:r>
          </w:p>
        </w:tc>
      </w:tr>
      <w:tr>
        <w:trPr>
          <w:trHeight w:val="191"/>
        </w:trPr>
        <w:tc>
          <w:tcPr>
            <w:tcW w:w="88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Number of common shares used in basic and diluted net (loss) earnings per share</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41.9</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w:t>
            </w:r>
          </w:p>
        </w:tc>
      </w:tr>
      <w:tr>
        <w:trPr>
          <w:trHeight w:val="427"/>
        </w:trPr>
        <w:tc>
          <w:tcPr>
            <w:tcW w:w="8820" w:type="dxa"/>
            <w:vAlign w:val="bottom"/>
          </w:tcPr>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8"/>
        </w:trPr>
        <w:tc>
          <w:tcPr>
            <w:tcW w:w="8820" w:type="dxa"/>
            <w:vAlign w:val="bottom"/>
          </w:tcPr>
          <w:p>
            <w:pPr>
              <w:ind w:left="5680"/>
              <w:spacing w:after="0"/>
              <w:rPr>
                <w:sz w:val="20"/>
                <w:szCs w:val="20"/>
                <w:color w:val="auto"/>
              </w:rPr>
            </w:pPr>
            <w:r>
              <w:rPr>
                <w:rFonts w:ascii="Arial" w:cs="Arial" w:eastAsia="Arial" w:hAnsi="Arial"/>
                <w:sz w:val="17"/>
                <w:szCs w:val="17"/>
                <w:color w:val="auto"/>
              </w:rPr>
              <w:t>3</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88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COMPREHENSIVE (LOSS) INCOME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6"/>
        </w:trPr>
        <w:tc>
          <w:tcPr>
            <w:tcW w:w="8820" w:type="dxa"/>
            <w:vAlign w:val="bottom"/>
          </w:tcPr>
          <w:p>
            <w:pPr>
              <w:spacing w:after="0"/>
              <w:rPr>
                <w:sz w:val="24"/>
                <w:szCs w:val="24"/>
                <w:color w:val="auto"/>
              </w:rPr>
            </w:pPr>
          </w:p>
        </w:tc>
        <w:tc>
          <w:tcPr>
            <w:tcW w:w="2180" w:type="dxa"/>
            <w:vAlign w:val="bottom"/>
            <w:gridSpan w:val="4"/>
          </w:tcPr>
          <w:p>
            <w:pPr>
              <w:jc w:val="right"/>
              <w:ind w:right="103"/>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8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7"/>
                <w:szCs w:val="17"/>
                <w:b w:val="1"/>
                <w:bCs w:val="1"/>
                <w:color w:val="auto"/>
                <w:w w:val="99"/>
              </w:rPr>
              <w:t>March 31,</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b w:val="1"/>
                <w:bCs w:val="1"/>
                <w:color w:val="auto"/>
              </w:rPr>
              <w:t>2014</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Less: net income attributable to noncontrolling interests</w:t>
            </w: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Eastman Kodak Company</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w:t>
            </w: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r>
      <w:tr>
        <w:trPr>
          <w:trHeight w:val="201"/>
        </w:trPr>
        <w:tc>
          <w:tcPr>
            <w:tcW w:w="8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income, net: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Currency translation adjustments</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8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 on available-for-sale securities, net</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Pension and other postretirement benefit plan obligation activity, net</w:t>
            </w: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comprehensive income, net attributable to Eastman Kodak Company</w:t>
            </w:r>
          </w:p>
        </w:tc>
        <w:tc>
          <w:tcPr>
            <w:tcW w:w="8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COMPREHENSIVE LOSS, NET ATTRIBUTABLE TO EASTMAN KODAK COMPANY</w:t>
            </w:r>
          </w:p>
        </w:tc>
        <w:tc>
          <w:tcPr>
            <w:tcW w:w="800" w:type="dxa"/>
            <w:vAlign w:val="bottom"/>
          </w:tcPr>
          <w:p>
            <w:pPr>
              <w:jc w:val="right"/>
              <w:ind w:right="641"/>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20"/>
        </w:trPr>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6"/>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4"/>
              </w:rPr>
              <w:t>As of</w:t>
            </w:r>
          </w:p>
        </w:tc>
        <w:tc>
          <w:tcPr>
            <w:tcW w:w="24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March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9"/>
                <w:szCs w:val="19"/>
                <w:color w:val="auto"/>
              </w:rPr>
            </w:pPr>
          </w:p>
        </w:tc>
      </w:tr>
      <w:tr>
        <w:trPr>
          <w:trHeight w:val="185"/>
        </w:trPr>
        <w:tc>
          <w:tcPr>
            <w:tcW w:w="8820" w:type="dxa"/>
            <w:vAlign w:val="bottom"/>
          </w:tcPr>
          <w:p>
            <w:pPr>
              <w:spacing w:after="0" w:line="185" w:lineRule="exact"/>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Receivables, net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414</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349</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Assets held for sale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current 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1,550</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Property, plant and equipment, net of accumulated depreciation of $258 and $231, respectively</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524</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Intangible assets, net of accumulated amortization of $39 and $33, respectively</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182</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long-term assets</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2,353</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2,556</w:t>
            </w:r>
          </w:p>
        </w:tc>
      </w:tr>
      <w:tr>
        <w:trPr>
          <w:trHeight w:val="20"/>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LIABILITIES AND EQUITY</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trade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Liabilities held for sale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599</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Long-term debt, net of current portion</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672</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liabilities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662</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17"/>
                <w:szCs w:val="17"/>
                <w:color w:val="auto"/>
              </w:rPr>
            </w:pPr>
          </w:p>
        </w:tc>
      </w:tr>
      <w:tr>
        <w:trPr>
          <w:trHeight w:val="206"/>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2,257</w:t>
            </w:r>
          </w:p>
        </w:tc>
      </w:tr>
      <w:tr>
        <w:trPr>
          <w:trHeight w:val="201"/>
        </w:trPr>
        <w:tc>
          <w:tcPr>
            <w:tcW w:w="88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5)</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Common stock, $0.01 par value</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Treasury stock, at cost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(204)</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(135)</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(136)</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Eastman Kodak Company shareholders’ equity</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7"/>
                <w:szCs w:val="17"/>
                <w:color w:val="auto"/>
              </w:rPr>
            </w:pPr>
          </w:p>
        </w:tc>
      </w:tr>
      <w:tr>
        <w:trPr>
          <w:trHeight w:val="206"/>
        </w:trPr>
        <w:tc>
          <w:tcPr>
            <w:tcW w:w="8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Total equity</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2,353</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2,556</w:t>
            </w:r>
          </w:p>
        </w:tc>
      </w:tr>
      <w:tr>
        <w:trPr>
          <w:trHeight w:val="20"/>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2160" w:type="dxa"/>
            <w:vAlign w:val="bottom"/>
            <w:gridSpan w:val="4"/>
          </w:tcPr>
          <w:p>
            <w:pPr>
              <w:jc w:val="right"/>
              <w:ind w:right="83"/>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8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7"/>
                <w:szCs w:val="17"/>
                <w:b w:val="1"/>
                <w:bCs w:val="1"/>
                <w:color w:val="auto"/>
              </w:rPr>
              <w:t>March 31,</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Adjustments to reconcile to net cash used in operating activities:</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Pension and other postretirement income</w:t>
            </w:r>
          </w:p>
        </w:tc>
        <w:tc>
          <w:tcPr>
            <w:tcW w:w="7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8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gain on sales of businesses/assets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Non-cash restructuring costs, asset impairments and other charges</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 based compensation</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Non-cash reorganization items, net</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Payment of claims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Benefit for deferred income taxes</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Decrease in receivables</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Increase in inventories</w:t>
            </w:r>
          </w:p>
        </w:tc>
        <w:tc>
          <w:tcPr>
            <w:tcW w:w="7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8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Decrease in liabilities excluding borrowings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Other items, net</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5"/>
        </w:trPr>
        <w:tc>
          <w:tcPr>
            <w:tcW w:w="88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8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adjustments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5"/>
        </w:trPr>
        <w:tc>
          <w:tcPr>
            <w:tcW w:w="88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8820" w:type="dxa"/>
            <w:vAlign w:val="bottom"/>
          </w:tcPr>
          <w:p>
            <w:pPr>
              <w:ind w:left="460"/>
              <w:spacing w:after="0"/>
              <w:rPr>
                <w:sz w:val="20"/>
                <w:szCs w:val="20"/>
                <w:color w:val="auto"/>
              </w:rPr>
            </w:pPr>
            <w:r>
              <w:rPr>
                <w:rFonts w:ascii="Arial" w:cs="Arial" w:eastAsia="Arial" w:hAnsi="Arial"/>
                <w:sz w:val="17"/>
                <w:szCs w:val="17"/>
                <w:color w:val="auto"/>
              </w:rPr>
              <w:t>Net cash used in operating activities</w:t>
            </w:r>
          </w:p>
        </w:tc>
        <w:tc>
          <w:tcPr>
            <w:tcW w:w="7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8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Additions to properties</w:t>
            </w:r>
          </w:p>
        </w:tc>
        <w:tc>
          <w:tcPr>
            <w:tcW w:w="7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8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Proceeds from sales of businesses/assets, net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(Funding) use of restricted cash</w:t>
            </w:r>
          </w:p>
        </w:tc>
        <w:tc>
          <w:tcPr>
            <w:tcW w:w="7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5"/>
        </w:trPr>
        <w:tc>
          <w:tcPr>
            <w:tcW w:w="88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8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provided by investing activities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r>
      <w:tr>
        <w:trPr>
          <w:trHeight w:val="201"/>
        </w:trPr>
        <w:tc>
          <w:tcPr>
            <w:tcW w:w="88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Cash flows from financing activities:</w:t>
            </w: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Repayment of emergence credit facilities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Proceeds from VIE credit facility</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Treasury stock purchases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88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8820" w:type="dxa"/>
            <w:vAlign w:val="bottom"/>
          </w:tcPr>
          <w:p>
            <w:pPr>
              <w:ind w:left="460"/>
              <w:spacing w:after="0"/>
              <w:rPr>
                <w:sz w:val="20"/>
                <w:szCs w:val="20"/>
                <w:color w:val="auto"/>
              </w:rPr>
            </w:pPr>
            <w:r>
              <w:rPr>
                <w:rFonts w:ascii="Arial" w:cs="Arial" w:eastAsia="Arial" w:hAnsi="Arial"/>
                <w:sz w:val="17"/>
                <w:szCs w:val="17"/>
                <w:color w:val="auto"/>
              </w:rPr>
              <w:t>Net cash used in financing activities</w:t>
            </w:r>
          </w:p>
        </w:tc>
        <w:tc>
          <w:tcPr>
            <w:tcW w:w="7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5"/>
        </w:trPr>
        <w:tc>
          <w:tcPr>
            <w:tcW w:w="88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8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r>
      <w:tr>
        <w:trPr>
          <w:trHeight w:val="25"/>
        </w:trPr>
        <w:tc>
          <w:tcPr>
            <w:tcW w:w="88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Net decrease in cash and cash equivalents</w:t>
            </w:r>
          </w:p>
        </w:tc>
        <w:tc>
          <w:tcPr>
            <w:tcW w:w="7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(103)</w:t>
            </w:r>
          </w:p>
        </w:tc>
        <w:tc>
          <w:tcPr>
            <w:tcW w:w="80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7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Cash and cash equivalents, end of period</w:t>
            </w:r>
          </w:p>
        </w:tc>
        <w:tc>
          <w:tcPr>
            <w:tcW w:w="780" w:type="dxa"/>
            <w:vAlign w:val="bottom"/>
          </w:tcPr>
          <w:p>
            <w:pPr>
              <w:jc w:val="right"/>
              <w:ind w:right="621"/>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609</w:t>
            </w:r>
          </w:p>
        </w:tc>
        <w:tc>
          <w:tcPr>
            <w:tcW w:w="220" w:type="dxa"/>
            <w:vAlign w:val="bottom"/>
          </w:tcPr>
          <w:p>
            <w:pPr>
              <w:spacing w:after="0"/>
              <w:rPr>
                <w:sz w:val="17"/>
                <w:szCs w:val="17"/>
                <w:color w:val="auto"/>
              </w:rPr>
            </w:pPr>
          </w:p>
        </w:tc>
        <w:tc>
          <w:tcPr>
            <w:tcW w:w="800" w:type="dxa"/>
            <w:vAlign w:val="bottom"/>
          </w:tcPr>
          <w:p>
            <w:pPr>
              <w:jc w:val="right"/>
              <w:ind w:right="64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809</w:t>
            </w:r>
          </w:p>
        </w:tc>
      </w:tr>
      <w:tr>
        <w:trPr>
          <w:trHeight w:val="20"/>
        </w:trPr>
        <w:tc>
          <w:tcPr>
            <w:tcW w:w="8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(Unaudited)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RECENT ACCOUNTING PRONOUNCEMENTS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36"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to present fairly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financial statements should be read in conjunction with the Company’s Annual Report on Form 10-K for the year ended December 31, 2014.</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Kodak is the primary beneficiary of a utilities variable interest entity, RED – Rochester, LLC (“RED”). Therefore, Kodak consolidates RED’s assets, liabilities and results of operations. Consolidated assets and liabilities of RED are $77 million and $11 million, respectively, as of both March 31, 2015 and December 31, 2014. RED’s equity in those net assets as of March 31, 2015 and December 31, 2014 is $25 million and $21 million, respectively. RED’s results of operations are reflected in net income attributable to noncontrolling interest in the accompanying Consolidated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w:t>
      </w:r>
    </w:p>
    <w:p>
      <w:pPr>
        <w:spacing w:after="0" w:line="18"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Certain amounts for prior periods have been reclassified to conform to the current period classification due to Kodak’s new organization structure as of January 1, 2015 and for a change in the segment measure of profitability. Refer to Note 14, “Segment Information” for more information about these changes. In addition to the changes in segment reporting under the new organization structure, tenant rental income for Eastman Business Park previously reported in Cost of Revenues is now reported in Sales.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April 2014, the Financial Accounting Standards Board (“FASB”) issued ASU No. 2014-08 (“ASU 2014-08”), “Presentation of Financial Statements (Topic 205) and Property, Plant, and Equipment (Topic 360).” ASU 2014-08 defines a discontinued operation as a disposal of a component (or group of components) of an entity that was disposed of or is classified as held for sale and represents a strategic shift that has (or will have) a major effect on an entity’s operations and financial results. ASU 2014-08 expands the disclosures when an entity retains a significant continuing involvement with a discontinued operation as well as for disposals of individually material components that do not qualify as discontinued operations. The amendments in the update are effective prospectively for fiscal years, and interim periods within those years, beginning after December 15, 2014 (January 1, 2015 for Kodak) to new disposals and new disposal groups classified as held for sale after the effective date. The adoption of this guidance did not have a material impact on Kodak’s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36"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In April 2015, the FASB issued ASU 2015-03, Imputation of Interest (Sub-Topic 835.30): Simplifying the Presentation of Debt Issuance Costs. ASU 2015-03 requires debt issuance costs related to a recognized debt liability be presented in the balance sheet as a direct deduction from the carrying amount of that debt liability, consistent with debt discounts. The amendments in this ASU are effective retrospectively for fiscal years, and for interim periods within those fiscal years, beginning after December 15, 2015 (January 1, 2016 for Kodak). Early adoption is permitted for financial statements not previously issued. Kodak does not expect the adoption of this guidance to have a material impact on its Consolidated Financial Statements.</w:t>
      </w:r>
    </w:p>
    <w:p>
      <w:pPr>
        <w:spacing w:after="0" w:line="20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February 2015, the FASB issued ASU 2015-02, “Consolidation (Topic 810): Amendments to the Consolidation Analysis”. The amendments in ASU 2015-02 change the analysis that a reporting entity must perform to determine whether it should consolidate certain types of legal entities. The amendments in this ASU are effective for fiscal years, and for interim periods within those fiscal years, beginning after December 15, 2015 (January 1, 2016 for Kodak). Early adoption is permitted, including adoption in an interim period. A reporting entity may apply the amendments in this ASU either retrospectively or use a modified retrospective approach by recording a cumulative-effect adjustment to equity as of the beginning of the fiscal year of adoption. Kodak does not expect the adoption of this guidance to have a material impact on its Consolidated Financial Statements.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7" w:name="page8"/>
    <w:bookmarkEnd w:id="7"/>
    <w:p>
      <w:pPr>
        <w:ind w:right="60"/>
        <w:spacing w:after="0" w:line="291" w:lineRule="auto"/>
        <w:rPr>
          <w:sz w:val="20"/>
          <w:szCs w:val="20"/>
          <w:color w:val="auto"/>
        </w:rPr>
      </w:pPr>
      <w:r>
        <w:rPr>
          <w:rFonts w:ascii="Arial" w:cs="Arial" w:eastAsia="Arial" w:hAnsi="Arial"/>
          <w:sz w:val="15"/>
          <w:szCs w:val="15"/>
          <w:color w:val="auto"/>
        </w:rPr>
        <w:t>In May 2014, the FASB issued ASU No.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ASU 2014-09 is effective for fiscal years, and interim periods within those years, beginning after December 15, 2016 (January 1, 2017 for Kodak) and allows either a full retrospective adoption to all periods presented or a modified retrospective adoption approach with the cumulative effect of initial application of the revised guidance recognized at the date of initial application. Kodak is currently evaluating the adoption alternatives and impact of this ASU.</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2: RECEIVABLES, NET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3"/>
        </w:trPr>
        <w:tc>
          <w:tcPr>
            <w:tcW w:w="8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7"/>
                <w:szCs w:val="17"/>
                <w:b w:val="1"/>
                <w:bCs w:val="1"/>
                <w:color w:val="auto"/>
              </w:rPr>
              <w:t>As of</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8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line="185" w:lineRule="exact"/>
              <w:rPr>
                <w:sz w:val="20"/>
                <w:szCs w:val="20"/>
                <w:color w:val="auto"/>
              </w:rPr>
            </w:pPr>
            <w:r>
              <w:rPr>
                <w:rFonts w:ascii="Arial" w:cs="Arial" w:eastAsia="Arial" w:hAnsi="Arial"/>
                <w:sz w:val="17"/>
                <w:szCs w:val="17"/>
                <w:b w:val="1"/>
                <w:bCs w:val="1"/>
                <w:color w:val="auto"/>
              </w:rPr>
              <w:t>March 31,</w:t>
            </w:r>
          </w:p>
        </w:tc>
        <w:tc>
          <w:tcPr>
            <w:tcW w:w="1140" w:type="dxa"/>
            <w:vAlign w:val="bottom"/>
            <w:gridSpan w:val="2"/>
          </w:tcPr>
          <w:p>
            <w:pPr>
              <w:jc w:val="right"/>
              <w:spacing w:after="0" w:line="185" w:lineRule="exact"/>
              <w:rPr>
                <w:sz w:val="20"/>
                <w:szCs w:val="20"/>
                <w:color w:val="auto"/>
              </w:rPr>
            </w:pPr>
            <w:r>
              <w:rPr>
                <w:rFonts w:ascii="Arial" w:cs="Arial" w:eastAsia="Arial" w:hAnsi="Arial"/>
                <w:sz w:val="17"/>
                <w:szCs w:val="17"/>
                <w:b w:val="1"/>
                <w:bCs w:val="1"/>
                <w:color w:val="auto"/>
                <w:w w:val="94"/>
              </w:rPr>
              <w:t>December 31,</w:t>
            </w:r>
          </w:p>
        </w:tc>
        <w:tc>
          <w:tcPr>
            <w:tcW w:w="100" w:type="dxa"/>
            <w:vAlign w:val="bottom"/>
          </w:tcPr>
          <w:p>
            <w:pPr>
              <w:spacing w:after="0"/>
              <w:rPr>
                <w:sz w:val="16"/>
                <w:szCs w:val="16"/>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7"/>
                <w:szCs w:val="17"/>
                <w:color w:val="auto"/>
              </w:rPr>
              <w:t>(in millions)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361</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Miscellaneous receivables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of allowances of $10 and $11 as of March 31, 2015 and December 31, 2014, respectively)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Approximately $23 million and $31 million of the total trade receivable amounts as of March 31, 2015 and December 31, 2014,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3: INVENTORIES, NET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8"/>
        </w:trPr>
        <w:tc>
          <w:tcPr>
            <w:tcW w:w="8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7"/>
                <w:szCs w:val="17"/>
                <w:b w:val="1"/>
                <w:bCs w:val="1"/>
                <w:color w:val="auto"/>
              </w:rPr>
              <w:t>As of</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8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line="185" w:lineRule="exact"/>
              <w:rPr>
                <w:sz w:val="20"/>
                <w:szCs w:val="20"/>
                <w:color w:val="auto"/>
              </w:rPr>
            </w:pPr>
            <w:r>
              <w:rPr>
                <w:rFonts w:ascii="Arial" w:cs="Arial" w:eastAsia="Arial" w:hAnsi="Arial"/>
                <w:sz w:val="17"/>
                <w:szCs w:val="17"/>
                <w:b w:val="1"/>
                <w:bCs w:val="1"/>
                <w:color w:val="auto"/>
              </w:rPr>
              <w:t>March 31,</w:t>
            </w:r>
          </w:p>
        </w:tc>
        <w:tc>
          <w:tcPr>
            <w:tcW w:w="1140" w:type="dxa"/>
            <w:vAlign w:val="bottom"/>
            <w:gridSpan w:val="2"/>
          </w:tcPr>
          <w:p>
            <w:pPr>
              <w:jc w:val="right"/>
              <w:spacing w:after="0" w:line="185" w:lineRule="exact"/>
              <w:rPr>
                <w:sz w:val="20"/>
                <w:szCs w:val="20"/>
                <w:color w:val="auto"/>
              </w:rPr>
            </w:pPr>
            <w:r>
              <w:rPr>
                <w:rFonts w:ascii="Arial" w:cs="Arial" w:eastAsia="Arial" w:hAnsi="Arial"/>
                <w:sz w:val="17"/>
                <w:szCs w:val="17"/>
                <w:b w:val="1"/>
                <w:bCs w:val="1"/>
                <w:color w:val="auto"/>
                <w:w w:val="94"/>
              </w:rPr>
              <w:t>December 31,</w:t>
            </w:r>
          </w:p>
        </w:tc>
        <w:tc>
          <w:tcPr>
            <w:tcW w:w="100" w:type="dxa"/>
            <w:vAlign w:val="bottom"/>
          </w:tcPr>
          <w:p>
            <w:pPr>
              <w:spacing w:after="0"/>
              <w:rPr>
                <w:sz w:val="16"/>
                <w:szCs w:val="16"/>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204</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Work in process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73</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460"/>
              <w:spacing w:after="0"/>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373</w:t>
            </w:r>
          </w:p>
        </w:tc>
        <w:tc>
          <w:tcPr>
            <w:tcW w:w="2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349</w:t>
            </w:r>
          </w:p>
        </w:tc>
      </w:tr>
      <w:tr>
        <w:trPr>
          <w:trHeight w:val="20"/>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GOODWILL</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 presents the changes in the carrying value of goodwill by reportable segment. The Enterprise Inkjet Systems and Eastman Business Park segments do not have goodwill and are therefore not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Micro 3D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Intellectual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Printing and</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w w:val="97"/>
              </w:rPr>
              <w:t>Software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Consumer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Property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760" w:type="dxa"/>
            <w:vAlign w:val="bottom"/>
          </w:tcPr>
          <w:p>
            <w:pPr>
              <w:spacing w:after="0"/>
              <w:rPr>
                <w:sz w:val="20"/>
                <w:szCs w:val="20"/>
                <w:color w:val="auto"/>
              </w:rPr>
            </w:pPr>
            <w:r>
              <w:rPr>
                <w:rFonts w:ascii="Arial" w:cs="Arial" w:eastAsia="Arial" w:hAnsi="Arial"/>
                <w:sz w:val="17"/>
                <w:szCs w:val="17"/>
                <w:color w:val="auto"/>
              </w:rPr>
              <w:t>(in millions)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4"/>
              </w:rPr>
              <w:t>Print Systems</w:t>
            </w: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Packaging</w:t>
            </w:r>
          </w:p>
        </w:tc>
        <w:tc>
          <w:tcPr>
            <w:tcW w:w="1060" w:type="dxa"/>
            <w:vAlign w:val="bottom"/>
          </w:tcPr>
          <w:p>
            <w:pPr>
              <w:jc w:val="right"/>
              <w:ind w:right="76"/>
              <w:spacing w:after="0"/>
              <w:rPr>
                <w:sz w:val="20"/>
                <w:szCs w:val="20"/>
                <w:color w:val="auto"/>
              </w:rPr>
            </w:pPr>
            <w:r>
              <w:rPr>
                <w:rFonts w:ascii="Arial" w:cs="Arial" w:eastAsia="Arial" w:hAnsi="Arial"/>
                <w:sz w:val="17"/>
                <w:szCs w:val="17"/>
                <w:b w:val="1"/>
                <w:bCs w:val="1"/>
                <w:color w:val="auto"/>
              </w:rPr>
              <w:t>Solutions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7"/>
              </w:rPr>
              <w:t>Film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5"/>
              </w:rPr>
              <w:t>Solutions</w:t>
            </w:r>
          </w:p>
        </w:tc>
        <w:tc>
          <w:tcPr>
            <w:tcW w:w="2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201"/>
        </w:trPr>
        <w:tc>
          <w:tcPr>
            <w:tcW w:w="2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January 1, 2015: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6</w:t>
            </w:r>
          </w:p>
        </w:tc>
        <w:tc>
          <w:tcPr>
            <w:tcW w:w="3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w:t>
            </w: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rPr>
              <w:t>Impairment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106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5"/>
        </w:trPr>
        <w:tc>
          <w:tcPr>
            <w:tcW w:w="2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2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March 31, 2015: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w w:val="84"/>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6</w:t>
            </w:r>
          </w:p>
        </w:tc>
        <w:tc>
          <w:tcPr>
            <w:tcW w:w="3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As a result of the change in segments that became effective as of January 1, 2015, Kodak’s goodwill reporting units changed. Refer to Note 14, “Segment Information” for additional information on the change to Kodak’s organizational structure. The Print Systems segment has two goodwill reporting units: Prepress Solutions and Electrophotographic Printing Solutions. The Micro 3D Printing and Packaging segment has two goodwill reporting units: Packaging and Functional Printing. The Software and Solutions segment has two goodwill reporting units: Kodak Technology Solutions and Unified Workflow Solutions. The Consumer and Film segment has three goodwill reporting units: Consumer Inkjet Solutions, Entertainment Imaging and Commercial Films and Brand Licensing. The Enterprise Inkjet Systems segment has two goodwill reporting units: Commercial Inkjet Printing Solutions and Digital Front-End Controllers. The Intellectual Property Solutions segment and the Eastman Business Park segment each have one goodwill reporting unit.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sectPr>
      </w:pPr>
    </w:p>
    <w:bookmarkStart w:id="8" w:name="page9"/>
    <w:bookmarkEnd w:id="8"/>
    <w:p>
      <w:pPr>
        <w:ind w:right="600"/>
        <w:spacing w:after="0" w:line="275" w:lineRule="auto"/>
        <w:rPr>
          <w:sz w:val="20"/>
          <w:szCs w:val="20"/>
          <w:color w:val="auto"/>
        </w:rPr>
      </w:pPr>
      <w:r>
        <w:rPr>
          <w:rFonts w:ascii="Arial" w:cs="Arial" w:eastAsia="Arial" w:hAnsi="Arial"/>
          <w:sz w:val="16"/>
          <w:szCs w:val="16"/>
          <w:color w:val="auto"/>
        </w:rPr>
        <w:t>As of December 31, 2014, the goodwill balance of $96 million under the prior year segment reporting structure was comprised of $67 million for the Graphics, Entertainment and Commercial Films segment and $29 million for the Digital Printing and Enterprise segment. The goodwill in the Graphics, Entertainment and Commercial Films segment was reported in the Graphics and Intellectual Property and Brand Licensing reporting units. The goodwill in the Digital Printing and Enterprise segment was reported in the Packaging and Functional Printing and Consumer Inkjet Systems reporting units.</w:t>
      </w:r>
    </w:p>
    <w:p>
      <w:pPr>
        <w:spacing w:after="0" w:line="188"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Goodwill previously reported in the Graphics goodwill reporting unit was transferred to the Prepress Solutions goodwill reporting unit and the Unified Workflow Solutions goodwill reporting unit. The goodwill previously reported in the Packaging and Functional Printing goodwill reporting unit was transferred to the Packaging goodwill reporting unit and the Functional Printing goodwill reporting unit. The goodwill previously reported in the Intellectual Property and Brand Licensing goodwill reporting unit was transferred to the Intellectual Property Solutions goodwill reporting unit and the Brand Licensing goodwill reporting unit. Goodwill was reassigned to affected reporting units using a relative fair value allocation.</w:t>
      </w:r>
    </w:p>
    <w:p>
      <w:pPr>
        <w:spacing w:after="0" w:line="206"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Due to the change in Kodak’s reporting units and the delay in commercializing new technologies in the Functional Printing reporting unit, Kodak concluded that the carrying value of the Functional Printing reporting unit exceeded its implied fair value. The fair value of the Functional Printing reporting unit was estimated using the discounted cash flow method in which the future cash flows, including a terminal value at the end of the projection period, were discounted to present value. Kodak recorded a pre-tax impairment charge of $6 million that is included in Other operating income, net in the Consolidated Statement of Operations representing the entire amount of goodwill for this reporting unit.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COMMITMENTS AND CONTINGENCIES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w:t>
      </w:r>
    </w:p>
    <w:p>
      <w:pPr>
        <w:spacing w:after="0" w:line="23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Company provided an indemnity as part of the 1994 sale of Sterling Corporation (now “STWB”), which covered a number of environmental sites including the Lower Passaic River Study Area (“LPRSA”) portion of the Diamond Alkali Superfund Site. STWB, now owned by Bayer Corporation, is a potentially responsible party at the LPRSA site based on alleged releases from facilities formerly owned by subsidiaries of Sterling. On February 29, 2012, the Company notified STWB and Bayer that, under the voluntary petition for bankruptcy by the Company and its U.S. subsidiaries, it elected to discontinue funding and participation in remedial investigations of the LPRSA. STWB and its parent, Bayer, filed proofs of claim against the Company and its U.S. subsidiaries. These claims have been discharged pursuant to the First Amended Joint Chapter 11 Plan of Reorganization. Environmental matters at four sites that are owned by the Company were not resolved by the discharge. On March 17, 2015, the Company entered into an agreement with STWB related to these four sites. The agreement calls for the Company to retain ownership and environmental responsibility of one of the sites, while ownership and environmental responsibility for two sites are expected to transfer to STWB in 2015. The ownership of the remaining site is expected to pass to an unrelated party by 2018 at which point the Company’s environmental responsibility will pass to STWB. If the ownership for the fourth site does not transfer to that unrelated party prior to January 1, 2020, then the Company and STWB will share approximately equally in the ongoing costs of the site. As a result of this agreement, the Company reduced its environmental liabilities by approximately $5 million and recognized a gain in the first quarter of 2015 of the same amount.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Commitments and Contingencies</w:t>
      </w:r>
    </w:p>
    <w:p>
      <w:pPr>
        <w:spacing w:after="0" w:line="236"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As of March 31, 2015, the Company had outstanding letters of credit of $124 million issued under the Asset Based Revolving Credit Agreement (the “ABL Credit Agreement”), as well as bank guarantees and letters of credit of $5 million, surety bonds in the amount of $17 million, and restricted cash and deposits of $49 million, primarily to ensure the payment of possible casualty and workers’ compensation claims, environmental liabilities, legal contingencies, rental payments and to support various customs, tax and trade activities. The restricted cash and deposits are reflected in Restricted cash, Other current assets and Other long-term assets in the Consolidated Statement of Financial Position.</w:t>
      </w:r>
    </w:p>
    <w:p>
      <w:pPr>
        <w:spacing w:after="0" w:line="206" w:lineRule="exact"/>
        <w:rPr>
          <w:sz w:val="20"/>
          <w:szCs w:val="20"/>
          <w:color w:val="auto"/>
        </w:rPr>
      </w:pPr>
    </w:p>
    <w:p>
      <w:pPr>
        <w:ind w:right="200"/>
        <w:spacing w:after="0" w:line="291" w:lineRule="auto"/>
        <w:rPr>
          <w:sz w:val="20"/>
          <w:szCs w:val="20"/>
          <w:color w:val="auto"/>
        </w:rPr>
      </w:pPr>
      <w:r>
        <w:rPr>
          <w:rFonts w:ascii="Arial" w:cs="Arial" w:eastAsia="Arial" w:hAnsi="Arial"/>
          <w:sz w:val="15"/>
          <w:szCs w:val="15"/>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March 31, 2015, the unreserved portion of these contingencies, inclusive of any related interest and penalties, for which there was at least a reasonable possibility that a loss may be incurred, amounted to approximately $41 million.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693" w:right="259" w:bottom="1440" w:gutter="0" w:footer="0" w:header="0"/>
        </w:sectPr>
      </w:pPr>
    </w:p>
    <w:bookmarkStart w:id="9" w:name="page10"/>
    <w:bookmarkEnd w:id="9"/>
    <w:p>
      <w:pPr>
        <w:jc w:val="both"/>
        <w:ind w:right="40"/>
        <w:spacing w:after="0" w:line="254" w:lineRule="auto"/>
        <w:rPr>
          <w:sz w:val="20"/>
          <w:szCs w:val="20"/>
          <w:color w:val="auto"/>
        </w:rPr>
      </w:pPr>
      <w:r>
        <w:rPr>
          <w:rFonts w:ascii="Arial" w:cs="Arial" w:eastAsia="Arial" w:hAnsi="Arial"/>
          <w:sz w:val="17"/>
          <w:szCs w:val="17"/>
          <w:color w:val="auto"/>
        </w:rPr>
        <w:t>In connection with assessments in Brazil, local regulations may require Kodak to post security for a portion of the amounts in dispute. As of March 31, 2015, Kodak has posted security composed of $7 million of pledged cash reported within Restricted cash in the Consolidated Statement of Financial Position and liens on certain Brazilian assets with a net book value of approximately $74 million. Generally, any encumbrances on the Brazilian assets would be removed to the extent the matter is resolved in Kodak's favor.</w:t>
      </w:r>
    </w:p>
    <w:p>
      <w:pPr>
        <w:spacing w:after="0" w:line="203"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Kodak is involved in various lawsuits, claims, investigations, remediation and proceedings, including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GUARANTEES</w:t>
      </w:r>
    </w:p>
    <w:p>
      <w:pPr>
        <w:spacing w:after="0" w:line="228"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EKC guarantees obligations to third parties for some of its consolidated subsidiaries. The maximum amount guaranteed is $49 million and the outstanding amount for those guarantees is $19 million.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the settlement of certain of the Company’s historical environmental liabilities at Eastman Business Park, in the event the historical liabilities exceed</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$99 million, the Company will become liable for 50% of the portion above $99 million with no limitation to the maximum potential future payments. There is no liability recorded for this guarantee.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Costs</w:t>
      </w:r>
    </w:p>
    <w:p>
      <w:pPr>
        <w:spacing w:after="0" w:line="236" w:lineRule="exact"/>
        <w:rPr>
          <w:sz w:val="20"/>
          <w:szCs w:val="20"/>
          <w:color w:val="auto"/>
        </w:rPr>
      </w:pPr>
    </w:p>
    <w:p>
      <w:pPr>
        <w:jc w:val="both"/>
        <w:ind w:right="20"/>
        <w:spacing w:after="0" w:line="308" w:lineRule="auto"/>
        <w:rPr>
          <w:sz w:val="20"/>
          <w:szCs w:val="20"/>
          <w:color w:val="auto"/>
        </w:rPr>
      </w:pPr>
      <w:r>
        <w:rPr>
          <w:rFonts w:ascii="Arial" w:cs="Arial" w:eastAsia="Arial" w:hAnsi="Arial"/>
          <w:sz w:val="15"/>
          <w:szCs w:val="15"/>
          <w:color w:val="auto"/>
        </w:rPr>
        <w:t>Kodak has warranty obligations in connection with the sale of its products and equipment. The original warranty period is generally three months or less. In limited cases it may be longer but never exceeding one year. The costs incurred to provide for these warranty obligations are estimated and recorded as an accrued liability at the time of sale. Kodak estimates its warranty cost at the point of sale for a given product based on historical failure rates and related costs to repair.</w:t>
      </w:r>
    </w:p>
    <w:p>
      <w:pPr>
        <w:spacing w:after="0" w:line="166"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The change in Kodak’s accrued warranty obligations balance, which is reflected in Other current liabilities in the accompanying Consolidated Statement of Financial Position,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80" w:type="dxa"/>
            <w:vAlign w:val="bottom"/>
          </w:tcPr>
          <w:p>
            <w:pPr>
              <w:spacing w:after="0"/>
              <w:rPr>
                <w:sz w:val="20"/>
                <w:szCs w:val="20"/>
                <w:color w:val="auto"/>
              </w:rPr>
            </w:pPr>
            <w:r>
              <w:rPr>
                <w:rFonts w:ascii="Arial" w:cs="Arial" w:eastAsia="Arial" w:hAnsi="Arial"/>
                <w:sz w:val="17"/>
                <w:szCs w:val="17"/>
                <w:color w:val="auto"/>
              </w:rPr>
              <w:t>(in millions)</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10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Accrued warranty obligations as of December 31, 2014</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Actual warranty experience during 2015</w:t>
            </w:r>
          </w:p>
        </w:tc>
        <w:tc>
          <w:tcPr>
            <w:tcW w:w="5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r>
      <w:tr>
        <w:trPr>
          <w:trHeight w:val="206"/>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2015 warranty provisions</w:t>
            </w:r>
          </w:p>
        </w:tc>
        <w:tc>
          <w:tcPr>
            <w:tcW w:w="5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101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Accrued warranty obligations as of March 31, 2015</w:t>
            </w: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tcBorders>
          </w:tcPr>
          <w:p>
            <w:pPr>
              <w:spacing w:after="0"/>
              <w:rPr>
                <w:sz w:val="17"/>
                <w:szCs w:val="17"/>
                <w:color w:val="auto"/>
              </w:rPr>
            </w:pPr>
          </w:p>
        </w:tc>
      </w:tr>
      <w:tr>
        <w:trPr>
          <w:trHeight w:val="20"/>
        </w:trPr>
        <w:tc>
          <w:tcPr>
            <w:tcW w:w="10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firstLine="4"/>
        <w:spacing w:after="0" w:line="294" w:lineRule="auto"/>
        <w:rPr>
          <w:sz w:val="20"/>
          <w:szCs w:val="20"/>
          <w:color w:val="auto"/>
        </w:rPr>
      </w:pPr>
      <w:r>
        <w:rPr>
          <w:rFonts w:ascii="Arial" w:cs="Arial" w:eastAsia="Arial" w:hAnsi="Arial"/>
          <w:sz w:val="15"/>
          <w:szCs w:val="15"/>
          <w:color w:val="auto"/>
        </w:rPr>
        <w:t>Kodak also offers its customers extended warranty arrangements that are generally one year, but may range from three months to five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2014 to March 31, 2015, which is reflected in Other current liabilities in the accompanying Consolidated Statement of Financial Position, was as follows: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20"/>
                <w:szCs w:val="20"/>
                <w:color w:val="auto"/>
              </w:rPr>
            </w:pPr>
            <w:r>
              <w:rPr>
                <w:rFonts w:ascii="Arial" w:cs="Arial" w:eastAsia="Arial" w:hAnsi="Arial"/>
                <w:sz w:val="17"/>
                <w:szCs w:val="17"/>
                <w:color w:val="auto"/>
              </w:rPr>
              <w:t>(in millions)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on extended warranties as of December 31, 2014</w:t>
            </w: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1"/>
        </w:trPr>
        <w:tc>
          <w:tcPr>
            <w:tcW w:w="7100" w:type="dxa"/>
            <w:vAlign w:val="bottom"/>
          </w:tcPr>
          <w:p>
            <w:pPr>
              <w:spacing w:after="0"/>
              <w:rPr>
                <w:sz w:val="20"/>
                <w:szCs w:val="20"/>
                <w:color w:val="auto"/>
              </w:rPr>
            </w:pPr>
            <w:r>
              <w:rPr>
                <w:rFonts w:ascii="Arial" w:cs="Arial" w:eastAsia="Arial" w:hAnsi="Arial"/>
                <w:sz w:val="17"/>
                <w:szCs w:val="17"/>
                <w:color w:val="auto"/>
              </w:rPr>
              <w:t>New extended warranty and maintenance arrangements in 2015</w:t>
            </w: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6"/>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Recognition of extended warranty and maintenance arrangement revenue in 2015</w:t>
            </w: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1"/>
        </w:trPr>
        <w:tc>
          <w:tcPr>
            <w:tcW w:w="71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Deferred revenue on extended warranties as of March 31, 2015</w:t>
            </w:r>
          </w:p>
        </w:tc>
        <w:tc>
          <w:tcPr>
            <w:tcW w:w="16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NOTE 7: INCOME TAXES</w:t>
            </w: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71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100" w:type="dxa"/>
            <w:vAlign w:val="bottom"/>
          </w:tcPr>
          <w:p>
            <w:pPr>
              <w:spacing w:after="0"/>
              <w:rPr>
                <w:sz w:val="20"/>
                <w:szCs w:val="20"/>
                <w:color w:val="auto"/>
              </w:rPr>
            </w:pPr>
            <w:r>
              <w:rPr>
                <w:rFonts w:ascii="Arial" w:cs="Arial" w:eastAsia="Arial" w:hAnsi="Arial"/>
                <w:sz w:val="17"/>
                <w:szCs w:val="17"/>
                <w:color w:val="auto"/>
              </w:rPr>
              <w:t>Kodak’s income tax provision (benefit) and effective tax rate were as follows:</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7"/>
            <w:vMerge w:val="restart"/>
          </w:tcPr>
          <w:p>
            <w:pPr>
              <w:jc w:val="right"/>
              <w:ind w:right="640"/>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7"/>
                <w:szCs w:val="17"/>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100" w:type="dxa"/>
            <w:vAlign w:val="bottom"/>
          </w:tcPr>
          <w:p>
            <w:pPr>
              <w:spacing w:after="0"/>
              <w:rPr>
                <w:sz w:val="20"/>
                <w:szCs w:val="20"/>
                <w:color w:val="auto"/>
              </w:rPr>
            </w:pPr>
            <w:r>
              <w:rPr>
                <w:rFonts w:ascii="Arial" w:cs="Arial" w:eastAsia="Arial" w:hAnsi="Arial"/>
                <w:sz w:val="17"/>
                <w:szCs w:val="17"/>
                <w:color w:val="auto"/>
              </w:rPr>
              <w:t>(in millions)</w:t>
            </w:r>
          </w:p>
        </w:tc>
        <w:tc>
          <w:tcPr>
            <w:tcW w:w="1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Loss from continuing operations before income taxes</w:t>
            </w:r>
          </w:p>
        </w:tc>
        <w:tc>
          <w:tcPr>
            <w:tcW w:w="190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1"/>
        </w:trPr>
        <w:tc>
          <w:tcPr>
            <w:tcW w:w="7100" w:type="dxa"/>
            <w:vAlign w:val="bottom"/>
          </w:tcPr>
          <w:p>
            <w:pPr>
              <w:spacing w:after="0"/>
              <w:rPr>
                <w:sz w:val="20"/>
                <w:szCs w:val="20"/>
                <w:color w:val="auto"/>
              </w:rPr>
            </w:pPr>
            <w:r>
              <w:rPr>
                <w:rFonts w:ascii="Arial" w:cs="Arial" w:eastAsia="Arial" w:hAnsi="Arial"/>
                <w:sz w:val="17"/>
                <w:szCs w:val="17"/>
                <w:color w:val="auto"/>
              </w:rPr>
              <w:t>Effective tax rate</w:t>
            </w: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5"/>
        </w:trPr>
        <w:tc>
          <w:tcPr>
            <w:tcW w:w="7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1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6"/>
        </w:trPr>
        <w:tc>
          <w:tcPr>
            <w:tcW w:w="7100" w:type="dxa"/>
            <w:vAlign w:val="bottom"/>
          </w:tcPr>
          <w:p>
            <w:pPr>
              <w:spacing w:after="0"/>
              <w:rPr>
                <w:sz w:val="20"/>
                <w:szCs w:val="20"/>
                <w:color w:val="auto"/>
              </w:rPr>
            </w:pPr>
            <w:r>
              <w:rPr>
                <w:rFonts w:ascii="Arial" w:cs="Arial" w:eastAsia="Arial" w:hAnsi="Arial"/>
                <w:sz w:val="17"/>
                <w:szCs w:val="17"/>
                <w:color w:val="auto"/>
              </w:rPr>
              <w:t>Benefit for income taxes @ 35%</w:t>
            </w: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41"/>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Difference between tax at effective vs. statutory rate</w:t>
            </w:r>
          </w:p>
        </w:tc>
        <w:tc>
          <w:tcPr>
            <w:tcW w:w="16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the three months ended March 31, 2015, the difference between the Company’s recorded provision and the benefit that would result from applying the U.S. statutory rate of 35.0% is primarily attributable to: (1) losses generated within the U.S. and certain jurisdictions outside the U.S. for which no benefit was recognized due to management’s conclusion that it was more likely than not that the tax benefits would not be realized and (2) changes in audit reserves.</w:t>
      </w:r>
    </w:p>
    <w:p>
      <w:pPr>
        <w:spacing w:after="0" w:line="183"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For the three months ended March 31, 2014, the difference between the Company’s recorded benefit and the benefit that would result from applying the U.S. statutory rate of 35.0% is primarily attributable to: (1) losses generated within the U.S. and certain jurisdictions outside the U.S. for which no benefit was recognized due to management’s conclusion that it was more likely than not that the tax benefits would not be realized, (2) a benefit as a result of Kodak reaching a settlement with a taxing authority in a location outside the U.S. related to withholding taxes, and (3) a benefit associated with foreign withholding taxes on undistributed earnings.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RESTRUCTURING LIABILITIES</w:t>
      </w:r>
    </w:p>
    <w:p>
      <w:pPr>
        <w:spacing w:after="0" w:line="236"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three months of 2015 were initiated to reduce Kodak’s cost structure as part of its commitment to drive sustainable profitability and included continued progress toward the Leeds plate manufacturing facility exit, as well as various targeted reductions in service, sales, research and development and other administrative functions.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Leeds Plate Manufacturing Facility Exit</w:t>
      </w:r>
    </w:p>
    <w:p>
      <w:pPr>
        <w:spacing w:after="0" w:line="236" w:lineRule="exact"/>
        <w:rPr>
          <w:sz w:val="20"/>
          <w:szCs w:val="20"/>
          <w:color w:val="auto"/>
        </w:rPr>
      </w:pPr>
    </w:p>
    <w:p>
      <w:pPr>
        <w:jc w:val="both"/>
        <w:ind w:right="100"/>
        <w:spacing w:after="0" w:line="308" w:lineRule="auto"/>
        <w:rPr>
          <w:sz w:val="20"/>
          <w:szCs w:val="20"/>
          <w:color w:val="auto"/>
        </w:rPr>
      </w:pPr>
      <w:r>
        <w:rPr>
          <w:rFonts w:ascii="Arial" w:cs="Arial" w:eastAsia="Arial" w:hAnsi="Arial"/>
          <w:sz w:val="15"/>
          <w:szCs w:val="15"/>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 solutions. Kodak began the exit of the facility in the second quarter of 2014, and expects to phase out production at the site from mid to late 2015 and to complete the exit of the facility by the second quarter of 2016.</w:t>
      </w:r>
    </w:p>
    <w:p>
      <w:pPr>
        <w:spacing w:after="0" w:line="166" w:lineRule="exact"/>
        <w:rPr>
          <w:sz w:val="20"/>
          <w:szCs w:val="20"/>
          <w:color w:val="auto"/>
        </w:rPr>
      </w:pPr>
    </w:p>
    <w:p>
      <w:pPr>
        <w:spacing w:after="0" w:line="336" w:lineRule="auto"/>
        <w:rPr>
          <w:sz w:val="20"/>
          <w:szCs w:val="20"/>
          <w:color w:val="auto"/>
        </w:rPr>
      </w:pPr>
      <w:r>
        <w:rPr>
          <w:rFonts w:ascii="Arial" w:cs="Arial" w:eastAsia="Arial" w:hAnsi="Arial"/>
          <w:sz w:val="15"/>
          <w:szCs w:val="15"/>
          <w:color w:val="auto"/>
        </w:rPr>
        <w:t>As a result of the decision, Kodak currently expects to incur total charges of $20 to $30 million, including $8 to $10 million of charges related to separation benefits, $10 to $15 million of non-cash related charges for accelerated depreciation and asset write-offs and $2 to $5 million in other cash related charges associated with this action.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Kodak incurred severance charges of $6 million and accelerated depreciation charges of $3 million in the first three months of 2015 under this program.</w:t>
      </w:r>
    </w:p>
    <w:p>
      <w:pPr>
        <w:spacing w:after="0" w:line="23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Under this program, on a life-to-date basis as of March 31, 2015, Kodak has recorded severance charges of $9 million, long-lived asset impairment charges of $2 million, and accelerated depreciation charges of $5 million.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Restructuring Reserve Activity</w:t>
      </w:r>
    </w:p>
    <w:p>
      <w:pPr>
        <w:spacing w:after="0" w:line="23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activity in the accrued balances and the non-cash charges and credits incurred in relation to restructuring activities for the three months ended March 31, 2015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Long-lived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left="79"/>
              <w:spacing w:after="0"/>
              <w:rPr>
                <w:sz w:val="20"/>
                <w:szCs w:val="20"/>
                <w:color w:val="auto"/>
              </w:rPr>
            </w:pPr>
            <w:r>
              <w:rPr>
                <w:rFonts w:ascii="Arial" w:cs="Arial" w:eastAsia="Arial" w:hAnsi="Arial"/>
                <w:sz w:val="17"/>
                <w:szCs w:val="17"/>
                <w:b w:val="1"/>
                <w:bCs w:val="1"/>
                <w:color w:val="auto"/>
                <w:w w:val="89"/>
              </w:rPr>
              <w:t>Exit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89"/>
              </w:rPr>
              <w:t>Asset Impairments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1"/>
              </w:rPr>
              <w:t>Severance</w:t>
            </w:r>
          </w:p>
        </w:tc>
        <w:tc>
          <w:tcPr>
            <w:tcW w:w="80" w:type="dxa"/>
            <w:vAlign w:val="bottom"/>
          </w:tcPr>
          <w:p>
            <w:pPr>
              <w:spacing w:after="0"/>
              <w:rPr>
                <w:sz w:val="17"/>
                <w:szCs w:val="17"/>
                <w:color w:val="auto"/>
              </w:rPr>
            </w:pPr>
          </w:p>
        </w:tc>
        <w:tc>
          <w:tcPr>
            <w:tcW w:w="960" w:type="dxa"/>
            <w:vAlign w:val="bottom"/>
          </w:tcPr>
          <w:p>
            <w:pPr>
              <w:jc w:val="center"/>
              <w:ind w:left="79"/>
              <w:spacing w:after="0"/>
              <w:rPr>
                <w:sz w:val="20"/>
                <w:szCs w:val="20"/>
                <w:color w:val="auto"/>
              </w:rPr>
            </w:pPr>
            <w:r>
              <w:rPr>
                <w:rFonts w:ascii="Arial" w:cs="Arial" w:eastAsia="Arial" w:hAnsi="Arial"/>
                <w:sz w:val="17"/>
                <w:szCs w:val="17"/>
                <w:b w:val="1"/>
                <w:bCs w:val="1"/>
                <w:color w:val="auto"/>
                <w:w w:val="84"/>
              </w:rPr>
              <w:t>Costs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and Inventory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87"/>
              </w:rPr>
              <w:t>Accelerated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6"/>
              <w:spacing w:after="0" w:line="218" w:lineRule="exact"/>
              <w:rPr>
                <w:sz w:val="20"/>
                <w:szCs w:val="20"/>
                <w:color w:val="auto"/>
              </w:rPr>
            </w:pPr>
            <w:r>
              <w:rPr>
                <w:rFonts w:ascii="Arial" w:cs="Arial" w:eastAsia="Arial" w:hAnsi="Arial"/>
                <w:sz w:val="17"/>
                <w:szCs w:val="17"/>
                <w:b w:val="1"/>
                <w:bCs w:val="1"/>
                <w:color w:val="auto"/>
                <w:w w:val="86"/>
              </w:rPr>
              <w:t xml:space="preserve">Reserve </w:t>
            </w:r>
            <w:r>
              <w:rPr>
                <w:rFonts w:ascii="Arial" w:cs="Arial" w:eastAsia="Arial" w:hAnsi="Arial"/>
                <w:sz w:val="23"/>
                <w:szCs w:val="23"/>
                <w:b w:val="1"/>
                <w:bCs w:val="1"/>
                <w:color w:val="auto"/>
                <w:w w:val="86"/>
                <w:vertAlign w:val="superscript"/>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jc w:val="center"/>
              <w:ind w:left="79"/>
              <w:spacing w:after="0" w:line="218" w:lineRule="exact"/>
              <w:rPr>
                <w:sz w:val="20"/>
                <w:szCs w:val="20"/>
                <w:color w:val="auto"/>
              </w:rPr>
            </w:pPr>
            <w:r>
              <w:rPr>
                <w:rFonts w:ascii="Arial" w:cs="Arial" w:eastAsia="Arial" w:hAnsi="Arial"/>
                <w:sz w:val="17"/>
                <w:szCs w:val="17"/>
                <w:b w:val="1"/>
                <w:bCs w:val="1"/>
                <w:color w:val="auto"/>
                <w:w w:val="84"/>
              </w:rPr>
              <w:t xml:space="preserve">Reserve </w:t>
            </w:r>
            <w:r>
              <w:rPr>
                <w:rFonts w:ascii="Arial" w:cs="Arial" w:eastAsia="Arial" w:hAnsi="Arial"/>
                <w:sz w:val="23"/>
                <w:szCs w:val="23"/>
                <w:b w:val="1"/>
                <w:bCs w:val="1"/>
                <w:color w:val="auto"/>
                <w:w w:val="84"/>
                <w:vertAlign w:val="superscript"/>
              </w:rPr>
              <w:t>(1)</w:t>
            </w: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6"/>
              <w:spacing w:after="0" w:line="218" w:lineRule="exact"/>
              <w:rPr>
                <w:sz w:val="20"/>
                <w:szCs w:val="20"/>
                <w:color w:val="auto"/>
              </w:rPr>
            </w:pPr>
            <w:r>
              <w:rPr>
                <w:rFonts w:ascii="Arial" w:cs="Arial" w:eastAsia="Arial" w:hAnsi="Arial"/>
                <w:sz w:val="17"/>
                <w:szCs w:val="17"/>
                <w:b w:val="1"/>
                <w:bCs w:val="1"/>
                <w:color w:val="auto"/>
                <w:w w:val="89"/>
              </w:rPr>
              <w:t xml:space="preserve">Write-downs </w:t>
            </w:r>
            <w:r>
              <w:rPr>
                <w:rFonts w:ascii="Arial" w:cs="Arial" w:eastAsia="Arial" w:hAnsi="Arial"/>
                <w:sz w:val="23"/>
                <w:szCs w:val="23"/>
                <w:b w:val="1"/>
                <w:bCs w:val="1"/>
                <w:color w:val="auto"/>
                <w:w w:val="89"/>
                <w:vertAlign w:val="superscript"/>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line="218" w:lineRule="exact"/>
              <w:rPr>
                <w:sz w:val="20"/>
                <w:szCs w:val="20"/>
                <w:color w:val="auto"/>
              </w:rPr>
            </w:pPr>
            <w:r>
              <w:rPr>
                <w:rFonts w:ascii="Arial" w:cs="Arial" w:eastAsia="Arial" w:hAnsi="Arial"/>
                <w:sz w:val="17"/>
                <w:szCs w:val="17"/>
                <w:b w:val="1"/>
                <w:bCs w:val="1"/>
                <w:color w:val="auto"/>
                <w:w w:val="85"/>
              </w:rPr>
              <w:t xml:space="preserve">Depreciation </w:t>
            </w:r>
            <w:r>
              <w:rPr>
                <w:rFonts w:ascii="Arial" w:cs="Arial" w:eastAsia="Arial" w:hAnsi="Arial"/>
                <w:sz w:val="23"/>
                <w:szCs w:val="23"/>
                <w:b w:val="1"/>
                <w:bCs w:val="1"/>
                <w:color w:val="auto"/>
                <w:w w:val="85"/>
                <w:vertAlign w:val="superscript"/>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r>
      <w:tr>
        <w:trPr>
          <w:trHeight w:val="201"/>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r>
      <w:tr>
        <w:trPr>
          <w:trHeight w:val="201"/>
        </w:trPr>
        <w:tc>
          <w:tcPr>
            <w:tcW w:w="4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Q1 2015 charges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r>
      <w:tr>
        <w:trPr>
          <w:trHeight w:val="201"/>
        </w:trPr>
        <w:tc>
          <w:tcPr>
            <w:tcW w:w="4560" w:type="dxa"/>
            <w:vAlign w:val="bottom"/>
          </w:tcPr>
          <w:p>
            <w:pPr>
              <w:spacing w:after="0"/>
              <w:rPr>
                <w:sz w:val="20"/>
                <w:szCs w:val="20"/>
                <w:color w:val="auto"/>
              </w:rPr>
            </w:pPr>
            <w:r>
              <w:rPr>
                <w:rFonts w:ascii="Arial" w:cs="Arial" w:eastAsia="Arial" w:hAnsi="Arial"/>
                <w:sz w:val="17"/>
                <w:szCs w:val="17"/>
                <w:color w:val="auto"/>
              </w:rPr>
              <w:t>Q1 utilization/cash payments</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01"/>
        </w:trPr>
        <w:tc>
          <w:tcPr>
            <w:tcW w:w="456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Q1 2015 other adjustments &amp; reclasses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r>
      <w:tr>
        <w:trPr>
          <w:trHeight w:val="25"/>
        </w:trPr>
        <w:tc>
          <w:tcPr>
            <w:tcW w:w="45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560" w:type="dxa"/>
            <w:vAlign w:val="bottom"/>
          </w:tcPr>
          <w:p>
            <w:pPr>
              <w:spacing w:after="0"/>
              <w:rPr>
                <w:sz w:val="20"/>
                <w:szCs w:val="20"/>
                <w:color w:val="auto"/>
              </w:rPr>
            </w:pPr>
            <w:r>
              <w:rPr>
                <w:rFonts w:ascii="Arial" w:cs="Arial" w:eastAsia="Arial" w:hAnsi="Arial"/>
                <w:sz w:val="17"/>
                <w:szCs w:val="17"/>
                <w:color w:val="auto"/>
              </w:rPr>
              <w:t>Balance as of March 31, 2015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799"/>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r>
      <w:tr>
        <w:trPr>
          <w:trHeight w:val="20"/>
        </w:trPr>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300" w:hanging="218"/>
        <w:spacing w:after="0" w:line="216" w:lineRule="auto"/>
        <w:tabs>
          <w:tab w:leader="none" w:pos="3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The severance and exit costs reserves require the outlay of cash, while long-lived asset impairments, accelerated depreciation and inventory write-downs represent non-cash items.</w:t>
      </w:r>
    </w:p>
    <w:p>
      <w:pPr>
        <w:spacing w:after="0" w:line="214" w:lineRule="exact"/>
        <w:rPr>
          <w:rFonts w:ascii="Arial" w:cs="Arial" w:eastAsia="Arial" w:hAnsi="Arial"/>
          <w:sz w:val="23"/>
          <w:szCs w:val="23"/>
          <w:color w:val="auto"/>
          <w:vertAlign w:val="superscript"/>
        </w:rPr>
      </w:pPr>
    </w:p>
    <w:p>
      <w:pPr>
        <w:ind w:left="300" w:hanging="218"/>
        <w:spacing w:after="0" w:line="216" w:lineRule="auto"/>
        <w:tabs>
          <w:tab w:leader="none" w:pos="3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The $(6) million includes $(4) million of severance related charges for pension plan special termination benefits, which are reflected in Pension and other postretirement liabilities in the Consolidated Statement of Financial Position, and $(2) million of foreign currency translation adjustments.</w:t>
      </w:r>
    </w:p>
    <w:p>
      <w:pPr>
        <w:spacing w:after="0" w:line="215" w:lineRule="exact"/>
        <w:rPr>
          <w:sz w:val="20"/>
          <w:szCs w:val="20"/>
          <w:color w:val="auto"/>
        </w:rPr>
      </w:pPr>
    </w:p>
    <w:p>
      <w:pPr>
        <w:ind w:right="540"/>
        <w:spacing w:after="0" w:line="300" w:lineRule="auto"/>
        <w:rPr>
          <w:sz w:val="20"/>
          <w:szCs w:val="20"/>
          <w:color w:val="auto"/>
        </w:rPr>
      </w:pPr>
      <w:r>
        <w:rPr>
          <w:rFonts w:ascii="Arial" w:cs="Arial" w:eastAsia="Arial" w:hAnsi="Arial"/>
          <w:sz w:val="16"/>
          <w:szCs w:val="16"/>
          <w:color w:val="auto"/>
        </w:rPr>
        <w:t>For the three months ended March 31, 2015, the $20 million of charges includes $3 million of charges for accelerated depreciation which were reported in Cost of revenues in the accompanying Consolidated Statement of Operations. The remaining $17 million was reported as Restructuring costs and other.</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severance costs related to the elimination of approximately 325 positions, including approximately 175 manufacturing/ service positions, 50 research and development positions and 100 administrative positions. The geographic composition of these positions includes approximately 100 in the United States and Canada, and 225 throughout the rest of the world.</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As a result of these initiatives, the majority of the severance will be paid during periods through the first half of 2015. However, in some instances, the employees whose positions were eliminated can elect or are required to receive their payments over an extended period of time. In addition, certain exit costs, such as long-term lease payments, will be paid over periods throughout 2015 and beyond.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NOTE 9: RETIREMENT PLANS AND OTHER POSTRETIREMENT BENEFITS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gridSpan w:val="6"/>
          </w:tcPr>
          <w:p>
            <w:pPr>
              <w:spacing w:after="0"/>
              <w:rPr>
                <w:sz w:val="20"/>
                <w:szCs w:val="20"/>
                <w:color w:val="auto"/>
              </w:rPr>
            </w:pPr>
            <w:r>
              <w:rPr>
                <w:rFonts w:ascii="Arial" w:cs="Arial" w:eastAsia="Arial" w:hAnsi="Arial"/>
                <w:sz w:val="17"/>
                <w:szCs w:val="17"/>
                <w:color w:val="auto"/>
                <w:w w:val="90"/>
              </w:rPr>
              <w:t>Components of the net periodic benefit cost for all major U.S. and Non-U.S. defined benefit plans are as follows:</w:t>
            </w:r>
          </w:p>
        </w:tc>
        <w:tc>
          <w:tcPr>
            <w:tcW w:w="2540" w:type="dxa"/>
            <w:vAlign w:val="bottom"/>
            <w:gridSpan w:val="6"/>
            <w:vMerge w:val="restart"/>
          </w:tcPr>
          <w:p>
            <w:pPr>
              <w:jc w:val="right"/>
              <w:ind w:right="720"/>
              <w:spacing w:after="0"/>
              <w:rPr>
                <w:sz w:val="20"/>
                <w:szCs w:val="20"/>
                <w:color w:val="auto"/>
              </w:rPr>
            </w:pPr>
            <w:r>
              <w:rPr>
                <w:rFonts w:ascii="Arial" w:cs="Arial" w:eastAsia="Arial" w:hAnsi="Arial"/>
                <w:sz w:val="17"/>
                <w:szCs w:val="17"/>
                <w:b w:val="1"/>
                <w:bCs w:val="1"/>
                <w:color w:val="auto"/>
              </w:rPr>
              <w:t>Three Months Ended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7"/>
                <w:szCs w:val="17"/>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7"/>
                <w:szCs w:val="17"/>
                <w:b w:val="1"/>
                <w:bCs w:val="1"/>
                <w:color w:val="auto"/>
              </w:rPr>
              <w:t>2015</w:t>
            </w: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7"/>
                <w:szCs w:val="17"/>
                <w:b w:val="1"/>
                <w:bCs w:val="1"/>
                <w:color w:val="auto"/>
              </w:rPr>
              <w:t>2014</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U.S.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56"/>
              <w:spacing w:after="0"/>
              <w:rPr>
                <w:sz w:val="20"/>
                <w:szCs w:val="20"/>
                <w:color w:val="auto"/>
              </w:rPr>
            </w:pPr>
            <w:r>
              <w:rPr>
                <w:rFonts w:ascii="Arial" w:cs="Arial" w:eastAsia="Arial" w:hAnsi="Arial"/>
                <w:sz w:val="17"/>
                <w:szCs w:val="17"/>
                <w:b w:val="1"/>
                <w:bCs w:val="1"/>
                <w:color w:val="auto"/>
                <w:w w:val="97"/>
              </w:rPr>
              <w:t>Non-U.S.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U.S.</w:t>
            </w:r>
          </w:p>
        </w:tc>
        <w:tc>
          <w:tcPr>
            <w:tcW w:w="160" w:type="dxa"/>
            <w:vAlign w:val="bottom"/>
          </w:tcPr>
          <w:p>
            <w:pPr>
              <w:spacing w:after="0"/>
              <w:rPr>
                <w:sz w:val="17"/>
                <w:szCs w:val="17"/>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7"/>
                <w:szCs w:val="17"/>
                <w:b w:val="1"/>
                <w:bCs w:val="1"/>
                <w:color w:val="auto"/>
              </w:rPr>
              <w:t>Major defined benefit plans: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80" w:type="dxa"/>
            <w:vAlign w:val="bottom"/>
            <w:shd w:val="clear" w:color="auto" w:fill="CCEEFF"/>
          </w:tcPr>
          <w:p>
            <w:pPr>
              <w:ind w:left="80"/>
              <w:spacing w:after="0"/>
              <w:rPr>
                <w:sz w:val="20"/>
                <w:szCs w:val="20"/>
                <w:color w:val="auto"/>
              </w:rPr>
            </w:pPr>
            <w:r>
              <w:rPr>
                <w:rFonts w:ascii="Arial" w:cs="Arial" w:eastAsia="Arial" w:hAnsi="Arial"/>
                <w:sz w:val="17"/>
                <w:szCs w:val="17"/>
                <w:color w:val="auto"/>
              </w:rPr>
              <w:t>Service cost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6080" w:type="dxa"/>
            <w:vAlign w:val="bottom"/>
          </w:tcPr>
          <w:p>
            <w:pPr>
              <w:ind w:left="80"/>
              <w:spacing w:after="0"/>
              <w:rPr>
                <w:sz w:val="20"/>
                <w:szCs w:val="20"/>
                <w:color w:val="auto"/>
              </w:rPr>
            </w:pPr>
            <w:r>
              <w:rPr>
                <w:rFonts w:ascii="Arial" w:cs="Arial" w:eastAsia="Arial" w:hAnsi="Arial"/>
                <w:sz w:val="17"/>
                <w:szCs w:val="17"/>
                <w:color w:val="auto"/>
              </w:rPr>
              <w:t>Interest cost</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1"/>
        </w:trPr>
        <w:tc>
          <w:tcPr>
            <w:tcW w:w="608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Expected return on plan assets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1"/>
        </w:trPr>
        <w:tc>
          <w:tcPr>
            <w:tcW w:w="6080" w:type="dxa"/>
            <w:vAlign w:val="bottom"/>
          </w:tcPr>
          <w:p>
            <w:pPr>
              <w:ind w:left="80"/>
              <w:spacing w:after="0"/>
              <w:rPr>
                <w:sz w:val="20"/>
                <w:szCs w:val="20"/>
                <w:color w:val="auto"/>
              </w:rPr>
            </w:pPr>
            <w:r>
              <w:rPr>
                <w:rFonts w:ascii="Arial" w:cs="Arial" w:eastAsia="Arial" w:hAnsi="Arial"/>
                <w:sz w:val="17"/>
                <w:szCs w:val="17"/>
                <w:color w:val="auto"/>
              </w:rPr>
              <w:t>Amortization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Prior service cost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Net pension income before special termination benefits</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Special termination benefits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Net pension income</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Other plans including unfunded plans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Total net pension (income)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2015, the special termination benefits charges of $4 million were incurred as a result of Kodak’s restructuring actions.</w:t>
      </w:r>
    </w:p>
    <w:p>
      <w:pPr>
        <w:spacing w:after="0" w:line="243"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Kodak made contributions (funded plans) or paid benefits (unfunded plans) totaling approximately $1 million relating to its major U.S. and non-U.S. defined benefit pension plans for the three months ended March 31, 2015.</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Postretirement benefit costs for the Company’s U.S., Canada and U.K. postretirement benefit plans, which represent the Company’s major postretirement plans, include: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2260" w:type="dxa"/>
            <w:vAlign w:val="bottom"/>
            <w:gridSpan w:val="4"/>
          </w:tcPr>
          <w:p>
            <w:pPr>
              <w:jc w:val="right"/>
              <w:ind w:right="183"/>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7"/>
                <w:szCs w:val="17"/>
                <w:b w:val="1"/>
                <w:bCs w:val="1"/>
                <w:color w:val="auto"/>
                <w:w w:val="99"/>
              </w:rPr>
              <w:t>March 31,</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7"/>
                <w:szCs w:val="17"/>
                <w:b w:val="1"/>
                <w:bCs w:val="1"/>
                <w:color w:val="auto"/>
              </w:rPr>
              <w:t>2014</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Interest cost</w:t>
            </w: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postretirement benefit expense</w:t>
            </w:r>
          </w:p>
        </w:tc>
        <w:tc>
          <w:tcPr>
            <w:tcW w:w="80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Kodak paid benefits, net of participant contributions, totaling $2 million relating to its major postretirement benefit plans for the three months ended March 31, 2015.</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EARNINGS PER SHARE</w:t>
      </w:r>
    </w:p>
    <w:p>
      <w:pPr>
        <w:spacing w:after="0" w:line="236" w:lineRule="exact"/>
        <w:rPr>
          <w:sz w:val="20"/>
          <w:szCs w:val="20"/>
          <w:color w:val="auto"/>
        </w:rPr>
      </w:pPr>
    </w:p>
    <w:p>
      <w:pPr>
        <w:jc w:val="both"/>
        <w:ind w:right="100"/>
        <w:spacing w:after="0" w:line="300" w:lineRule="auto"/>
        <w:rPr>
          <w:sz w:val="20"/>
          <w:szCs w:val="20"/>
          <w:color w:val="auto"/>
        </w:rPr>
      </w:pPr>
      <w:r>
        <w:rPr>
          <w:rFonts w:ascii="Arial" w:cs="Arial" w:eastAsia="Arial" w:hAnsi="Arial"/>
          <w:sz w:val="16"/>
          <w:szCs w:val="16"/>
          <w:color w:val="auto"/>
        </w:rPr>
        <w:t>Basic earnings per share computations are based on the weighted-average number of shares of common stock outstanding during the period. Weighted-average basic and diluted shares outstanding were 41.9 million and 41.7 million for the three months ended March 31, 2015 and 2014, respectively.</w:t>
      </w:r>
    </w:p>
    <w:p>
      <w:pPr>
        <w:spacing w:after="0" w:line="169"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As a result of the net loss from continuing operations presented for the three months ended March 31, 2015 and 2014, Kodak calculated diluted earnings per share using weighted-average basic shares outstanding for that period, as utilizing diluted shares would be anti-dilutive to loss per share. If Kodak had reported earnings from continuing operations for the three months ended March 31, 2015 and 2014, the following potential shares of its common stock would have been dilutive in the computation of diluted earnings per share: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2200" w:type="dxa"/>
            <w:vAlign w:val="bottom"/>
            <w:gridSpan w:val="4"/>
          </w:tcPr>
          <w:p>
            <w:pPr>
              <w:jc w:val="center"/>
              <w:ind w:left="196"/>
              <w:spacing w:after="0"/>
              <w:rPr>
                <w:sz w:val="20"/>
                <w:szCs w:val="20"/>
                <w:color w:val="auto"/>
              </w:rPr>
            </w:pPr>
            <w:r>
              <w:rPr>
                <w:rFonts w:ascii="Arial" w:cs="Arial" w:eastAsia="Arial" w:hAnsi="Arial"/>
                <w:sz w:val="17"/>
                <w:szCs w:val="17"/>
                <w:b w:val="1"/>
                <w:bCs w:val="1"/>
                <w:color w:val="auto"/>
                <w:w w:val="90"/>
              </w:rPr>
              <w:t>Three Months Ended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7"/>
                <w:szCs w:val="17"/>
                <w:color w:val="auto"/>
              </w:rPr>
              <w:t>(in millions of shares)</w:t>
            </w:r>
          </w:p>
        </w:tc>
        <w:tc>
          <w:tcPr>
            <w:tcW w:w="1400" w:type="dxa"/>
            <w:vAlign w:val="bottom"/>
            <w:gridSpan w:val="3"/>
          </w:tcPr>
          <w:p>
            <w:pPr>
              <w:jc w:val="center"/>
              <w:ind w:right="436"/>
              <w:spacing w:after="0"/>
              <w:rPr>
                <w:sz w:val="20"/>
                <w:szCs w:val="20"/>
                <w:color w:val="auto"/>
              </w:rPr>
            </w:pPr>
            <w:r>
              <w:rPr>
                <w:rFonts w:ascii="Arial" w:cs="Arial" w:eastAsia="Arial" w:hAnsi="Arial"/>
                <w:sz w:val="17"/>
                <w:szCs w:val="17"/>
                <w:b w:val="1"/>
                <w:bCs w:val="1"/>
                <w:color w:val="auto"/>
                <w:w w:val="91"/>
              </w:rPr>
              <w:t>March 31,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2014</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9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Unvested share-based awards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0.1</w:t>
            </w:r>
          </w:p>
        </w:tc>
        <w:tc>
          <w:tcPr>
            <w:tcW w:w="8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Detachable warrants to purchase common shares</w:t>
            </w: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8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computation of diluted earnings per share for both the three months ended March 31, 2015 and 2014 also excluded 0.1 million shares associated with the assumed conversion of outstanding employee stock options because the effects would have been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SHAREHOLDERS’ EQUITY</w:t>
      </w:r>
    </w:p>
    <w:p>
      <w:pPr>
        <w:spacing w:after="0" w:line="236" w:lineRule="exact"/>
        <w:rPr>
          <w:sz w:val="20"/>
          <w:szCs w:val="20"/>
          <w:color w:val="auto"/>
        </w:rPr>
      </w:pPr>
    </w:p>
    <w:p>
      <w:pPr>
        <w:jc w:val="both"/>
        <w:ind w:right="80"/>
        <w:spacing w:after="0" w:line="308" w:lineRule="auto"/>
        <w:rPr>
          <w:sz w:val="20"/>
          <w:szCs w:val="20"/>
          <w:color w:val="auto"/>
        </w:rPr>
      </w:pPr>
      <w:r>
        <w:rPr>
          <w:rFonts w:ascii="Arial" w:cs="Arial" w:eastAsia="Arial" w:hAnsi="Arial"/>
          <w:sz w:val="15"/>
          <w:szCs w:val="15"/>
          <w:color w:val="auto"/>
        </w:rPr>
        <w:t>Kodak has 560 million shares of authorized stock, consisting of: (i) 500 million shares of common stock, par value $0.01 per share and (ii) 60 million shares of preferred stock, no par value, issuable in one or more series. As of both March 31, 2015 and December 31, 2014, there were 41.9 million shares of common stock and no shares of preferred stock outstanding. Treasury stock consisted of approximately 0.2 million shares at both March 31, 2015 and December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Kodak may settle a portion of its 2015 incentive compensation plans with a variable amount of common stock based on the stock price at the time of settlement. The plans include minimum performance gates and annual performance metrics for 2015. The amount of incentive compensation to be paid will depend on performance against the metrics. The fair value of the awards is determined based on a targeted dollar amount for the expected performance against the plans’ criteria as of the balance sheet date. The actual number of shares to be issued will be determined at the end of the performance period based on actual results achieved by Kodak and the stock price on the date of issuance. The shares will be issued under the 2013 Omnibus Incentive Plan. During the three months ended March 31, 2015, Kodak recorded approximately $5 million in stock-based compensation expense for these awards.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7"/>
        </w:trPr>
        <w:tc>
          <w:tcPr>
            <w:tcW w:w="9160" w:type="dxa"/>
            <w:vAlign w:val="bottom"/>
            <w:gridSpan w:val="4"/>
          </w:tcPr>
          <w:p>
            <w:pPr>
              <w:spacing w:after="0"/>
              <w:rPr>
                <w:sz w:val="20"/>
                <w:szCs w:val="20"/>
                <w:color w:val="auto"/>
              </w:rPr>
            </w:pPr>
            <w:r>
              <w:rPr>
                <w:rFonts w:ascii="Arial" w:cs="Arial" w:eastAsia="Arial" w:hAnsi="Arial"/>
                <w:sz w:val="17"/>
                <w:szCs w:val="17"/>
                <w:b w:val="1"/>
                <w:bCs w:val="1"/>
                <w:color w:val="auto"/>
              </w:rPr>
              <w:t>NOTE 12: OTHER COMPREHENSIVE (LOSS) INCOME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9160" w:type="dxa"/>
            <w:vAlign w:val="bottom"/>
            <w:gridSpan w:val="4"/>
          </w:tcPr>
          <w:p>
            <w:pPr>
              <w:spacing w:after="0"/>
              <w:rPr>
                <w:sz w:val="20"/>
                <w:szCs w:val="20"/>
                <w:color w:val="auto"/>
              </w:rPr>
            </w:pPr>
            <w:r>
              <w:rPr>
                <w:rFonts w:ascii="Arial" w:cs="Arial" w:eastAsia="Arial" w:hAnsi="Arial"/>
                <w:sz w:val="17"/>
                <w:szCs w:val="17"/>
                <w:color w:val="auto"/>
              </w:rPr>
              <w:t>The changes in Other comprehensive (loss) income, by component, were as follows: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7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7"/>
                <w:szCs w:val="17"/>
                <w:b w:val="1"/>
                <w:bCs w:val="1"/>
                <w:color w:val="auto"/>
                <w:w w:val="99"/>
              </w:rPr>
              <w:t>Three Months Ended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7"/>
                <w:szCs w:val="17"/>
                <w:color w:val="auto"/>
              </w:rPr>
              <w:t>(in millions)</w:t>
            </w:r>
          </w:p>
        </w:tc>
        <w:tc>
          <w:tcPr>
            <w:tcW w:w="45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2015</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b w:val="1"/>
                <w:bCs w:val="1"/>
                <w:color w:val="auto"/>
              </w:rPr>
              <w:t>2014</w:t>
            </w:r>
          </w:p>
        </w:tc>
        <w:tc>
          <w:tcPr>
            <w:tcW w:w="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adjustments</w:t>
            </w:r>
          </w:p>
        </w:tc>
        <w:tc>
          <w:tcPr>
            <w:tcW w:w="508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40" w:type="dxa"/>
            <w:vAlign w:val="bottom"/>
            <w:tcBorders>
              <w:top w:val="single" w:sz="8" w:color="CCEEFF"/>
            </w:tcBorders>
            <w:gridSpan w:val="2"/>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Unrealized gains on available-for-sale securities, before tax</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40" w:type="dxa"/>
            <w:vAlign w:val="bottom"/>
          </w:tcPr>
          <w:p>
            <w:pPr>
              <w:spacing w:after="0"/>
              <w:rPr>
                <w:sz w:val="20"/>
                <w:szCs w:val="20"/>
                <w:color w:val="auto"/>
              </w:rPr>
            </w:pPr>
            <w:r>
              <w:rPr>
                <w:rFonts w:ascii="Arial" w:cs="Arial" w:eastAsia="Arial" w:hAnsi="Arial"/>
                <w:sz w:val="17"/>
                <w:szCs w:val="17"/>
                <w:color w:val="auto"/>
              </w:rPr>
              <w:t>Tax provision</w:t>
            </w:r>
          </w:p>
        </w:tc>
        <w:tc>
          <w:tcPr>
            <w:tcW w:w="4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w w:val="90"/>
              </w:rPr>
              <w:t>Unrealized gains on available-for-sale securities, net of</w:t>
            </w:r>
          </w:p>
        </w:tc>
        <w:tc>
          <w:tcPr>
            <w:tcW w:w="4500" w:type="dxa"/>
            <w:vAlign w:val="bottom"/>
            <w:shd w:val="clear" w:color="auto" w:fill="CCEEFF"/>
          </w:tcPr>
          <w:p>
            <w:pPr>
              <w:jc w:val="right"/>
              <w:ind w:right="4180"/>
              <w:spacing w:after="0"/>
              <w:rPr>
                <w:sz w:val="20"/>
                <w:szCs w:val="20"/>
                <w:color w:val="auto"/>
              </w:rPr>
            </w:pPr>
            <w:r>
              <w:rPr>
                <w:rFonts w:ascii="Arial" w:cs="Arial" w:eastAsia="Arial" w:hAnsi="Arial"/>
                <w:sz w:val="17"/>
                <w:szCs w:val="17"/>
                <w:color w:val="auto"/>
                <w:w w:val="96"/>
              </w:rPr>
              <w:t>tax</w:t>
            </w:r>
          </w:p>
        </w:tc>
        <w:tc>
          <w:tcPr>
            <w:tcW w:w="920" w:type="dxa"/>
            <w:vAlign w:val="bottom"/>
            <w:gridSpan w:val="2"/>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40" w:type="dxa"/>
            <w:vAlign w:val="bottom"/>
            <w:tcBorders>
              <w:top w:val="single" w:sz="8" w:color="CCEEFF"/>
            </w:tcBorders>
          </w:tcPr>
          <w:p>
            <w:pPr>
              <w:spacing w:after="0"/>
              <w:rPr>
                <w:sz w:val="17"/>
                <w:szCs w:val="17"/>
                <w:color w:val="auto"/>
              </w:rPr>
            </w:pPr>
          </w:p>
        </w:tc>
        <w:tc>
          <w:tcPr>
            <w:tcW w:w="450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w w:val="90"/>
              </w:rPr>
              <w:t>Pension and other postretirement benefit plan changes</w:t>
            </w:r>
          </w:p>
        </w:tc>
        <w:tc>
          <w:tcPr>
            <w:tcW w:w="4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40" w:type="dxa"/>
            <w:vAlign w:val="bottom"/>
          </w:tcPr>
          <w:p>
            <w:pPr>
              <w:ind w:left="300"/>
              <w:spacing w:after="0"/>
              <w:rPr>
                <w:sz w:val="20"/>
                <w:szCs w:val="20"/>
                <w:color w:val="auto"/>
              </w:rPr>
            </w:pPr>
            <w:r>
              <w:rPr>
                <w:rFonts w:ascii="Arial" w:cs="Arial" w:eastAsia="Arial" w:hAnsi="Arial"/>
                <w:sz w:val="17"/>
                <w:szCs w:val="17"/>
                <w:color w:val="auto"/>
              </w:rPr>
              <w:t>Newly established prior service credit</w:t>
            </w: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Newly established net actuarial gain</w:t>
            </w:r>
          </w:p>
        </w:tc>
        <w:tc>
          <w:tcPr>
            <w:tcW w:w="4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40" w:type="dxa"/>
            <w:vAlign w:val="bottom"/>
          </w:tcPr>
          <w:p>
            <w:pPr>
              <w:ind w:left="300"/>
              <w:spacing w:after="0"/>
              <w:rPr>
                <w:sz w:val="20"/>
                <w:szCs w:val="20"/>
                <w:color w:val="auto"/>
              </w:rPr>
            </w:pPr>
            <w:r>
              <w:rPr>
                <w:rFonts w:ascii="Arial" w:cs="Arial" w:eastAsia="Arial" w:hAnsi="Arial"/>
                <w:sz w:val="17"/>
                <w:szCs w:val="17"/>
                <w:color w:val="auto"/>
              </w:rPr>
              <w:t>Tax provision</w:t>
            </w: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2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Newly established prior service credit and net actuarial gain, net of tax</w:t>
            </w:r>
          </w:p>
        </w:tc>
        <w:tc>
          <w:tcPr>
            <w:tcW w:w="920" w:type="dxa"/>
            <w:vAlign w:val="bottom"/>
            <w:gridSpan w:val="2"/>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40" w:type="dxa"/>
            <w:vAlign w:val="bottom"/>
            <w:tcBorders>
              <w:top w:val="single" w:sz="8" w:color="CCEEFF"/>
            </w:tcBorders>
          </w:tcPr>
          <w:p>
            <w:pPr>
              <w:ind w:left="300"/>
              <w:spacing w:after="0"/>
              <w:rPr>
                <w:sz w:val="20"/>
                <w:szCs w:val="20"/>
                <w:color w:val="auto"/>
              </w:rPr>
            </w:pPr>
            <w:r>
              <w:rPr>
                <w:rFonts w:ascii="Arial" w:cs="Arial" w:eastAsia="Arial" w:hAnsi="Arial"/>
                <w:sz w:val="17"/>
                <w:szCs w:val="17"/>
                <w:color w:val="auto"/>
              </w:rPr>
              <w:t>Reclassification adjustments:</w:t>
            </w:r>
          </w:p>
        </w:tc>
        <w:tc>
          <w:tcPr>
            <w:tcW w:w="450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Amortization of prior-service credit</w:t>
            </w:r>
          </w:p>
        </w:tc>
        <w:tc>
          <w:tcPr>
            <w:tcW w:w="4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(a)</w:t>
            </w:r>
          </w:p>
        </w:tc>
        <w:tc>
          <w:tcPr>
            <w:tcW w:w="920" w:type="dxa"/>
            <w:vAlign w:val="bottom"/>
            <w:gridSpan w:val="2"/>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74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740" w:type="dxa"/>
            <w:vAlign w:val="bottom"/>
          </w:tcPr>
          <w:p>
            <w:pPr>
              <w:ind w:left="300"/>
              <w:spacing w:after="0"/>
              <w:rPr>
                <w:sz w:val="20"/>
                <w:szCs w:val="20"/>
                <w:color w:val="auto"/>
              </w:rPr>
            </w:pPr>
            <w:r>
              <w:rPr>
                <w:rFonts w:ascii="Arial" w:cs="Arial" w:eastAsia="Arial" w:hAnsi="Arial"/>
                <w:sz w:val="17"/>
                <w:szCs w:val="17"/>
                <w:color w:val="auto"/>
              </w:rPr>
              <w:t>Total reclassification adjustments</w:t>
            </w: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Tax provision</w:t>
            </w:r>
          </w:p>
        </w:tc>
        <w:tc>
          <w:tcPr>
            <w:tcW w:w="4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74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740" w:type="dxa"/>
            <w:vAlign w:val="bottom"/>
          </w:tcPr>
          <w:p>
            <w:pPr>
              <w:ind w:left="300"/>
              <w:spacing w:after="0"/>
              <w:rPr>
                <w:sz w:val="20"/>
                <w:szCs w:val="20"/>
                <w:color w:val="auto"/>
              </w:rPr>
            </w:pPr>
            <w:r>
              <w:rPr>
                <w:rFonts w:ascii="Arial" w:cs="Arial" w:eastAsia="Arial" w:hAnsi="Arial"/>
                <w:sz w:val="17"/>
                <w:szCs w:val="17"/>
                <w:color w:val="auto"/>
              </w:rPr>
              <w:t>Reclassification adjustments, net of tax</w:t>
            </w: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Pension and other postretirement benefit plan changes, net of tax</w:t>
            </w:r>
          </w:p>
        </w:tc>
        <w:tc>
          <w:tcPr>
            <w:tcW w:w="920" w:type="dxa"/>
            <w:vAlign w:val="bottom"/>
            <w:gridSpan w:val="2"/>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74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4500" w:type="dxa"/>
            <w:vAlign w:val="bottom"/>
          </w:tcPr>
          <w:p>
            <w:pPr>
              <w:spacing w:after="0"/>
              <w:rPr>
                <w:sz w:val="17"/>
                <w:szCs w:val="17"/>
                <w:color w:val="auto"/>
              </w:rPr>
            </w:pPr>
          </w:p>
        </w:tc>
        <w:tc>
          <w:tcPr>
            <w:tcW w:w="580" w:type="dxa"/>
            <w:vAlign w:val="bottom"/>
          </w:tcPr>
          <w:p>
            <w:pPr>
              <w:jc w:val="right"/>
              <w:ind w:right="396"/>
              <w:spacing w:after="0"/>
              <w:rPr>
                <w:sz w:val="20"/>
                <w:szCs w:val="20"/>
                <w:color w:val="auto"/>
              </w:rPr>
            </w:pPr>
            <w:r>
              <w:rPr>
                <w:rFonts w:ascii="Arial" w:cs="Arial" w:eastAsia="Arial" w:hAnsi="Arial"/>
                <w:sz w:val="17"/>
                <w:szCs w:val="17"/>
                <w:color w:val="auto"/>
                <w:w w:val="84"/>
              </w:rPr>
              <w:t>$</w:t>
            </w:r>
          </w:p>
        </w:tc>
        <w:tc>
          <w:tcPr>
            <w:tcW w:w="3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23"/>
                <w:szCs w:val="23"/>
                <w:color w:val="auto"/>
                <w:w w:val="98"/>
                <w:vertAlign w:val="superscript"/>
              </w:rPr>
              <w:t>(a)</w:t>
            </w:r>
            <w:r>
              <w:rPr>
                <w:rFonts w:ascii="Arial" w:cs="Arial" w:eastAsia="Arial" w:hAnsi="Arial"/>
                <w:sz w:val="17"/>
                <w:szCs w:val="17"/>
                <w:color w:val="auto"/>
                <w:w w:val="98"/>
              </w:rPr>
              <w:t xml:space="preserve"> Reclassified to Total Net Periodic Benefit Cost.</w:t>
            </w:r>
          </w:p>
        </w:tc>
        <w:tc>
          <w:tcPr>
            <w:tcW w:w="4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3740" w:type="dxa"/>
            <w:vAlign w:val="bottom"/>
            <w:vMerge w:val="continue"/>
          </w:tcPr>
          <w:p>
            <w:pPr>
              <w:spacing w:after="0"/>
              <w:rPr>
                <w:sz w:val="24"/>
                <w:szCs w:val="24"/>
                <w:color w:val="auto"/>
              </w:rPr>
            </w:pPr>
          </w:p>
        </w:tc>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9160" w:type="dxa"/>
            <w:vAlign w:val="bottom"/>
            <w:gridSpan w:val="4"/>
          </w:tcPr>
          <w:p>
            <w:pPr>
              <w:spacing w:after="0"/>
              <w:rPr>
                <w:sz w:val="20"/>
                <w:szCs w:val="20"/>
                <w:color w:val="auto"/>
              </w:rPr>
            </w:pPr>
            <w:r>
              <w:rPr>
                <w:rFonts w:ascii="Arial" w:cs="Arial" w:eastAsia="Arial" w:hAnsi="Arial"/>
                <w:sz w:val="17"/>
                <w:szCs w:val="17"/>
                <w:b w:val="1"/>
                <w:bCs w:val="1"/>
                <w:color w:val="auto"/>
              </w:rPr>
              <w:t>NOTE 13: ACCUMULATED OTHER COMPREHENSIVE LOSS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9160" w:type="dxa"/>
            <w:vAlign w:val="bottom"/>
            <w:gridSpan w:val="4"/>
          </w:tcPr>
          <w:p>
            <w:pPr>
              <w:spacing w:after="0"/>
              <w:rPr>
                <w:sz w:val="20"/>
                <w:szCs w:val="20"/>
                <w:color w:val="auto"/>
              </w:rPr>
            </w:pPr>
            <w:r>
              <w:rPr>
                <w:rFonts w:ascii="Arial" w:cs="Arial" w:eastAsia="Arial" w:hAnsi="Arial"/>
                <w:sz w:val="17"/>
                <w:szCs w:val="17"/>
                <w:color w:val="auto"/>
              </w:rPr>
              <w:t>Accumulated other comprehensive loss is composed of the following:</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7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7"/>
                <w:szCs w:val="17"/>
                <w:b w:val="1"/>
                <w:bCs w:val="1"/>
                <w:color w:val="auto"/>
              </w:rPr>
              <w:t>As of</w:t>
            </w:r>
          </w:p>
        </w:tc>
        <w:tc>
          <w:tcPr>
            <w:tcW w:w="3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7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gridSpan w:val="5"/>
          </w:tcPr>
          <w:p>
            <w:pPr>
              <w:jc w:val="right"/>
              <w:ind w:right="420"/>
              <w:spacing w:after="0" w:line="185" w:lineRule="exact"/>
              <w:rPr>
                <w:sz w:val="20"/>
                <w:szCs w:val="20"/>
                <w:color w:val="auto"/>
              </w:rPr>
            </w:pPr>
            <w:r>
              <w:rPr>
                <w:rFonts w:ascii="Arial" w:cs="Arial" w:eastAsia="Arial" w:hAnsi="Arial"/>
                <w:sz w:val="17"/>
                <w:szCs w:val="17"/>
                <w:b w:val="1"/>
                <w:bCs w:val="1"/>
                <w:color w:val="auto"/>
              </w:rPr>
              <w:t>March 31,</w:t>
            </w:r>
          </w:p>
        </w:tc>
        <w:tc>
          <w:tcPr>
            <w:tcW w:w="1100" w:type="dxa"/>
            <w:vAlign w:val="bottom"/>
            <w:gridSpan w:val="2"/>
          </w:tcPr>
          <w:p>
            <w:pPr>
              <w:ind w:left="80"/>
              <w:spacing w:after="0" w:line="185" w:lineRule="exact"/>
              <w:rPr>
                <w:sz w:val="20"/>
                <w:szCs w:val="20"/>
                <w:color w:val="auto"/>
              </w:rPr>
            </w:pPr>
            <w:r>
              <w:rPr>
                <w:rFonts w:ascii="Arial" w:cs="Arial" w:eastAsia="Arial" w:hAnsi="Arial"/>
                <w:sz w:val="17"/>
                <w:szCs w:val="17"/>
                <w:b w:val="1"/>
                <w:bCs w:val="1"/>
                <w:color w:val="auto"/>
                <w:w w:val="88"/>
              </w:rPr>
              <w:t>December 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7"/>
                <w:szCs w:val="17"/>
                <w:color w:val="auto"/>
              </w:rPr>
              <w:t>(in millions)</w:t>
            </w:r>
          </w:p>
        </w:tc>
        <w:tc>
          <w:tcPr>
            <w:tcW w:w="4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3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adjustments</w:t>
            </w:r>
          </w:p>
        </w:tc>
        <w:tc>
          <w:tcPr>
            <w:tcW w:w="5420" w:type="dxa"/>
            <w:vAlign w:val="bottom"/>
            <w:gridSpan w:val="3"/>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(39)</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7"/>
                <w:szCs w:val="17"/>
                <w:color w:val="auto"/>
              </w:rPr>
              <w:t>Unrealized gains on investments</w:t>
            </w:r>
          </w:p>
        </w:tc>
        <w:tc>
          <w:tcPr>
            <w:tcW w:w="4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w w:val="90"/>
              </w:rPr>
              <w:t>Pension and other postretirement benefit plan changes</w:t>
            </w:r>
          </w:p>
        </w:tc>
        <w:tc>
          <w:tcPr>
            <w:tcW w:w="4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(97)</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5"/>
        </w:trPr>
        <w:tc>
          <w:tcPr>
            <w:tcW w:w="374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740" w:type="dxa"/>
            <w:vAlign w:val="bottom"/>
          </w:tcPr>
          <w:p>
            <w:pPr>
              <w:spacing w:after="0"/>
              <w:rPr>
                <w:sz w:val="20"/>
                <w:szCs w:val="20"/>
                <w:color w:val="auto"/>
              </w:rPr>
            </w:pPr>
            <w:r>
              <w:rPr>
                <w:rFonts w:ascii="Arial" w:cs="Arial" w:eastAsia="Arial" w:hAnsi="Arial"/>
                <w:sz w:val="17"/>
                <w:szCs w:val="17"/>
                <w:color w:val="auto"/>
              </w:rPr>
              <w:t>Ending balance</w:t>
            </w:r>
          </w:p>
        </w:tc>
        <w:tc>
          <w:tcPr>
            <w:tcW w:w="5420" w:type="dxa"/>
            <w:vAlign w:val="bottom"/>
            <w:gridSpan w:val="3"/>
          </w:tcPr>
          <w:p>
            <w:pPr>
              <w:jc w:val="right"/>
              <w:ind w:right="176"/>
              <w:spacing w:after="0"/>
              <w:rPr>
                <w:sz w:val="20"/>
                <w:szCs w:val="20"/>
                <w:color w:val="auto"/>
              </w:rPr>
            </w:pPr>
            <w:r>
              <w:rPr>
                <w:rFonts w:ascii="Arial" w:cs="Arial" w:eastAsia="Arial" w:hAnsi="Arial"/>
                <w:sz w:val="17"/>
                <w:szCs w:val="17"/>
                <w:color w:val="auto"/>
              </w:rPr>
              <w:t>$</w:t>
            </w:r>
          </w:p>
        </w:tc>
        <w:tc>
          <w:tcPr>
            <w:tcW w:w="1020" w:type="dxa"/>
            <w:vAlign w:val="bottom"/>
            <w:gridSpan w:val="4"/>
          </w:tcPr>
          <w:p>
            <w:pPr>
              <w:jc w:val="right"/>
              <w:ind w:right="160"/>
              <w:spacing w:after="0"/>
              <w:rPr>
                <w:sz w:val="20"/>
                <w:szCs w:val="20"/>
                <w:color w:val="auto"/>
              </w:rPr>
            </w:pPr>
            <w:r>
              <w:rPr>
                <w:rFonts w:ascii="Arial" w:cs="Arial" w:eastAsia="Arial" w:hAnsi="Arial"/>
                <w:sz w:val="17"/>
                <w:szCs w:val="17"/>
                <w:color w:val="auto"/>
              </w:rPr>
              <w:t>(135)</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500" w:type="dxa"/>
            <w:vAlign w:val="bottom"/>
            <w:vMerge w:val="restart"/>
          </w:tcPr>
          <w:p>
            <w:pPr>
              <w:jc w:val="right"/>
              <w:ind w:right="2360"/>
              <w:spacing w:after="0"/>
              <w:rPr>
                <w:sz w:val="20"/>
                <w:szCs w:val="20"/>
                <w:color w:val="auto"/>
              </w:rPr>
            </w:pPr>
            <w:r>
              <w:rPr>
                <w:rFonts w:ascii="Arial" w:cs="Arial" w:eastAsia="Arial" w:hAnsi="Arial"/>
                <w:sz w:val="17"/>
                <w:szCs w:val="17"/>
                <w:color w:val="auto"/>
              </w:rPr>
              <w:t>15</w:t>
            </w: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3"/>
        </w:trPr>
        <w:tc>
          <w:tcPr>
            <w:tcW w:w="374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740" w:type="dxa"/>
            <w:vAlign w:val="bottom"/>
            <w:tcBorders>
              <w:bottom w:val="single" w:sz="8" w:color="808080"/>
            </w:tcBorders>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NOTE 14: SEGMENT INFORMATION</w:t>
      </w:r>
    </w:p>
    <w:p>
      <w:pPr>
        <w:spacing w:after="0" w:line="211" w:lineRule="exact"/>
        <w:rPr>
          <w:sz w:val="20"/>
          <w:szCs w:val="20"/>
          <w:color w:val="auto"/>
        </w:rPr>
      </w:pPr>
    </w:p>
    <w:p>
      <w:pPr>
        <w:ind w:right="560"/>
        <w:spacing w:after="0" w:line="254" w:lineRule="auto"/>
        <w:rPr>
          <w:sz w:val="20"/>
          <w:szCs w:val="20"/>
          <w:color w:val="auto"/>
        </w:rPr>
      </w:pPr>
      <w:r>
        <w:rPr>
          <w:rFonts w:ascii="Arial" w:cs="Arial" w:eastAsia="Arial" w:hAnsi="Arial"/>
          <w:sz w:val="17"/>
          <w:szCs w:val="17"/>
          <w:color w:val="auto"/>
        </w:rPr>
        <w:t>Effective January 1, 2015, Kodak has seven reportable segments: Print Systems, Enterprise Inkjet Systems, Micro 3D Printing and Packaging, Software and Solutions, Consumer and Film, Intellectual Property Solutions and Eastman Business Park. The balance of Kodak’s continuing operations, which do not meet the criteria of a reportable segment, are reported in All Other. Prior period segment results have been revised to conform to the current period segment reporting structure. A description of the reportable segments follows: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32"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Enterprise Inkjet Systems</w:t>
      </w:r>
      <w:r>
        <w:rPr>
          <w:rFonts w:ascii="Arial" w:cs="Arial" w:eastAsia="Arial" w:hAnsi="Arial"/>
          <w:sz w:val="17"/>
          <w:szCs w:val="17"/>
          <w:color w:val="auto"/>
        </w:rPr>
        <w:t>: The Enterprise Inkjet Systems segment is comprised of two lines of business: Commercial Inkjet Printing Solutions and Digital Front-End</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 3D Printing and Packaging</w:t>
      </w:r>
      <w:r>
        <w:rPr>
          <w:rFonts w:ascii="Arial" w:cs="Arial" w:eastAsia="Arial" w:hAnsi="Arial"/>
          <w:sz w:val="16"/>
          <w:szCs w:val="16"/>
          <w:color w:val="auto"/>
        </w:rPr>
        <w:t>: The Micro 3D Printing and Packaging segment is comprised of two lines of business: Packaging and Functional Printing.</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Software and Solutions</w:t>
      </w:r>
      <w:r>
        <w:rPr>
          <w:rFonts w:ascii="Arial" w:cs="Arial" w:eastAsia="Arial" w:hAnsi="Arial"/>
          <w:sz w:val="15"/>
          <w:szCs w:val="15"/>
          <w:color w:val="auto"/>
        </w:rPr>
        <w:t>: The Software and Solutions segment is comprised of two lines of business: Kodak Technology Solutions and Unified Workflow Solutions.</w:t>
      </w:r>
    </w:p>
    <w:p>
      <w:pPr>
        <w:spacing w:after="0" w:line="230"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Consumer and Film</w:t>
      </w:r>
      <w:r>
        <w:rPr>
          <w:rFonts w:ascii="Arial" w:cs="Arial" w:eastAsia="Arial" w:hAnsi="Arial"/>
          <w:sz w:val="17"/>
          <w:szCs w:val="17"/>
          <w:color w:val="auto"/>
        </w:rPr>
        <w:t>: The Consumer and Film segment is comprised of three lines of business: Consumer Inkjet Solutions; Entertainment Imaging and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Films, and Brand Licensing.</w:t>
      </w:r>
    </w:p>
    <w:p>
      <w:pPr>
        <w:spacing w:after="0" w:line="1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Intellectual Property Solutions</w:t>
      </w:r>
      <w:r>
        <w:rPr>
          <w:rFonts w:ascii="Arial" w:cs="Arial" w:eastAsia="Arial" w:hAnsi="Arial"/>
          <w:sz w:val="17"/>
          <w:szCs w:val="17"/>
          <w:color w:val="auto"/>
        </w:rPr>
        <w:t>: The Intellectual Property Solutions segment includes licensing and research and development activities not directly related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segments.</w:t>
      </w:r>
    </w:p>
    <w:p>
      <w:pPr>
        <w:spacing w:after="0" w:line="184"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b w:val="1"/>
          <w:bCs w:val="1"/>
          <w:color w:val="auto"/>
        </w:rPr>
        <w:t>Eastman Business Park</w:t>
      </w:r>
      <w:r>
        <w:rPr>
          <w:rFonts w:ascii="Arial" w:cs="Arial" w:eastAsia="Arial" w:hAnsi="Arial"/>
          <w:sz w:val="17"/>
          <w:szCs w:val="17"/>
          <w:color w:val="auto"/>
        </w:rPr>
        <w:t>: The Eastman Business Park segment includes the operations of the Eastman Business Park, a 1,200 acre technology center and industrial</w:t>
      </w:r>
      <w:r>
        <w:rPr>
          <w:rFonts w:ascii="Arial" w:cs="Arial" w:eastAsia="Arial" w:hAnsi="Arial"/>
          <w:sz w:val="17"/>
          <w:szCs w:val="17"/>
          <w:b w:val="1"/>
          <w:bCs w:val="1"/>
          <w:color w:val="auto"/>
        </w:rPr>
        <w:t xml:space="preserve"> </w:t>
      </w:r>
      <w:r>
        <w:rPr>
          <w:rFonts w:ascii="Arial" w:cs="Arial" w:eastAsia="Arial" w:hAnsi="Arial"/>
          <w:sz w:val="17"/>
          <w:szCs w:val="17"/>
          <w:color w:val="auto"/>
        </w:rPr>
        <w:t>complex.</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All Other: </w:t>
      </w:r>
      <w:r>
        <w:rPr>
          <w:rFonts w:ascii="Arial" w:cs="Arial" w:eastAsia="Arial" w:hAnsi="Arial"/>
          <w:sz w:val="17"/>
          <w:szCs w:val="17"/>
          <w:color w:val="auto"/>
        </w:rPr>
        <w:t>All Other is composed of Kodak’s consumer film business in countries where that business has not yet transferred ownership to the KPP Purchasing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(as defined in Note 15 “Discontinued Operations”) and the RED utilities variable interest entity.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Segment financial information is shown below:</w:t>
            </w:r>
          </w:p>
        </w:tc>
        <w:tc>
          <w:tcPr>
            <w:tcW w:w="2600" w:type="dxa"/>
            <w:vAlign w:val="bottom"/>
            <w:gridSpan w:val="6"/>
            <w:vMerge w:val="restart"/>
          </w:tcPr>
          <w:p>
            <w:pPr>
              <w:ind w:left="100"/>
              <w:spacing w:after="0"/>
              <w:rPr>
                <w:sz w:val="20"/>
                <w:szCs w:val="20"/>
                <w:color w:val="auto"/>
              </w:rPr>
            </w:pPr>
            <w:r>
              <w:rPr>
                <w:rFonts w:ascii="Arial" w:cs="Arial" w:eastAsia="Arial" w:hAnsi="Arial"/>
                <w:sz w:val="17"/>
                <w:szCs w:val="17"/>
                <w:b w:val="1"/>
                <w:bCs w:val="1"/>
                <w:color w:val="auto"/>
                <w:w w:val="98"/>
              </w:rPr>
              <w:t>Three Months Ended March 31,</w:t>
            </w:r>
          </w:p>
        </w:tc>
        <w:tc>
          <w:tcPr>
            <w:tcW w:w="0" w:type="dxa"/>
            <w:vAlign w:val="bottom"/>
          </w:tcPr>
          <w:p>
            <w:pPr>
              <w:spacing w:after="0"/>
              <w:rPr>
                <w:sz w:val="1"/>
                <w:szCs w:val="1"/>
                <w:color w:val="auto"/>
              </w:rPr>
            </w:pPr>
          </w:p>
        </w:tc>
      </w:tr>
      <w:tr>
        <w:trPr>
          <w:trHeight w:val="207"/>
        </w:trPr>
        <w:tc>
          <w:tcPr>
            <w:tcW w:w="8820" w:type="dxa"/>
            <w:vAlign w:val="bottom"/>
          </w:tcPr>
          <w:p>
            <w:pPr>
              <w:spacing w:after="0"/>
              <w:rPr>
                <w:sz w:val="17"/>
                <w:szCs w:val="17"/>
                <w:color w:val="auto"/>
              </w:rPr>
            </w:pPr>
          </w:p>
        </w:tc>
        <w:tc>
          <w:tcPr>
            <w:tcW w:w="26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820" w:type="dxa"/>
            <w:vAlign w:val="bottom"/>
          </w:tcPr>
          <w:p>
            <w:pPr>
              <w:spacing w:after="0" w:line="185" w:lineRule="exact"/>
              <w:rPr>
                <w:sz w:val="20"/>
                <w:szCs w:val="20"/>
                <w:color w:val="auto"/>
              </w:rPr>
            </w:pPr>
            <w:r>
              <w:rPr>
                <w:rFonts w:ascii="Arial" w:cs="Arial" w:eastAsia="Arial" w:hAnsi="Arial"/>
                <w:sz w:val="17"/>
                <w:szCs w:val="17"/>
                <w:color w:val="auto"/>
              </w:rPr>
              <w:t>(in millions)</w:t>
            </w:r>
          </w:p>
        </w:tc>
        <w:tc>
          <w:tcPr>
            <w:tcW w:w="880" w:type="dxa"/>
            <w:vAlign w:val="bottom"/>
            <w:tcBorders>
              <w:top w:val="single" w:sz="8" w:color="auto"/>
            </w:tcBorders>
          </w:tcPr>
          <w:p>
            <w:pPr>
              <w:jc w:val="right"/>
              <w:ind w:right="60"/>
              <w:spacing w:after="0" w:line="185" w:lineRule="exact"/>
              <w:rPr>
                <w:sz w:val="20"/>
                <w:szCs w:val="20"/>
                <w:color w:val="auto"/>
              </w:rPr>
            </w:pPr>
            <w:r>
              <w:rPr>
                <w:rFonts w:ascii="Arial" w:cs="Arial" w:eastAsia="Arial" w:hAnsi="Arial"/>
                <w:sz w:val="17"/>
                <w:szCs w:val="17"/>
                <w:b w:val="1"/>
                <w:bCs w:val="1"/>
                <w:color w:val="auto"/>
              </w:rPr>
              <w:t>2015</w:t>
            </w: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16"/>
              <w:spacing w:after="0" w:line="185" w:lineRule="exact"/>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Revenue</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7"/>
                <w:szCs w:val="17"/>
                <w:b w:val="1"/>
                <w:bCs w:val="1"/>
                <w:color w:val="auto"/>
              </w:rPr>
              <w:t>Revenue</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Revenues from continuing operations:</w:t>
            </w: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254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Micro 3D Printing and Packaging</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Software and Solutions</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Consumer and Film</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8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8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Consolidated total</w:t>
            </w: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84"/>
              </w:rPr>
              <w:t>427</w:t>
            </w:r>
          </w:p>
        </w:tc>
        <w:tc>
          <w:tcPr>
            <w:tcW w:w="2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7"/>
                <w:szCs w:val="17"/>
                <w:b w:val="1"/>
                <w:bCs w:val="1"/>
                <w:color w:val="auto"/>
              </w:rPr>
              <w:t>Three Months Ended</w:t>
            </w:r>
          </w:p>
        </w:tc>
      </w:tr>
      <w:tr>
        <w:trPr>
          <w:trHeight w:val="201"/>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right"/>
              <w:ind w:right="7"/>
              <w:spacing w:after="0"/>
              <w:rPr>
                <w:sz w:val="20"/>
                <w:szCs w:val="20"/>
                <w:color w:val="auto"/>
              </w:rPr>
            </w:pPr>
            <w:r>
              <w:rPr>
                <w:rFonts w:ascii="Arial" w:cs="Arial" w:eastAsia="Arial" w:hAnsi="Arial"/>
                <w:sz w:val="17"/>
                <w:szCs w:val="17"/>
                <w:b w:val="1"/>
                <w:bCs w:val="1"/>
                <w:color w:val="auto"/>
              </w:rPr>
              <w:t>March 31,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Segment (loss) earnings and Consolidated (loss) earnings from continuing operations before income taxes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Micro 3D Printing and Packaging</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Software and Solutions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Consumer and Film</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tcBorders>
              <w:top w:val="single" w:sz="8" w:color="CCEEFF"/>
            </w:tcBorders>
          </w:tcPr>
          <w:p>
            <w:pPr>
              <w:ind w:left="80"/>
              <w:spacing w:after="0"/>
              <w:rPr>
                <w:sz w:val="20"/>
                <w:szCs w:val="20"/>
                <w:color w:val="auto"/>
              </w:rPr>
            </w:pPr>
            <w:r>
              <w:rPr>
                <w:rFonts w:ascii="Arial" w:cs="Arial" w:eastAsia="Arial" w:hAnsi="Arial"/>
                <w:sz w:val="17"/>
                <w:szCs w:val="17"/>
                <w:color w:val="auto"/>
              </w:rPr>
              <w:t>Total of reportable segments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CCEEFF"/>
            </w:tcBorders>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187"/>
        </w:trPr>
        <w:tc>
          <w:tcPr>
            <w:tcW w:w="88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Corporate components of pension and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820" w:type="dxa"/>
            <w:vAlign w:val="bottom"/>
            <w:shd w:val="clear" w:color="auto" w:fill="CCEEFF"/>
          </w:tcPr>
          <w:p>
            <w:pPr>
              <w:ind w:left="80"/>
              <w:spacing w:after="0" w:line="215" w:lineRule="exact"/>
              <w:rPr>
                <w:sz w:val="20"/>
                <w:szCs w:val="20"/>
                <w:color w:val="auto"/>
              </w:rPr>
            </w:pPr>
            <w:r>
              <w:rPr>
                <w:rFonts w:ascii="Arial" w:cs="Arial" w:eastAsia="Arial" w:hAnsi="Arial"/>
                <w:sz w:val="17"/>
                <w:szCs w:val="17"/>
                <w:color w:val="auto"/>
              </w:rPr>
              <w:t xml:space="preserve">OPEB income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Consulting and other costs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Idle costs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Costs previously allocated to discontinued operations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Fresh start adjustments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Other operating expense, net</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Other charges, net</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189"/>
        </w:trPr>
        <w:tc>
          <w:tcPr>
            <w:tcW w:w="882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Consolidated loss from continuing</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820" w:type="dxa"/>
            <w:vAlign w:val="bottom"/>
          </w:tcPr>
          <w:p>
            <w:pPr>
              <w:ind w:left="80"/>
              <w:spacing w:after="0"/>
              <w:rPr>
                <w:sz w:val="20"/>
                <w:szCs w:val="20"/>
                <w:color w:val="auto"/>
              </w:rPr>
            </w:pPr>
            <w:r>
              <w:rPr>
                <w:rFonts w:ascii="Arial" w:cs="Arial" w:eastAsia="Arial" w:hAnsi="Arial"/>
                <w:sz w:val="17"/>
                <w:szCs w:val="17"/>
                <w:color w:val="auto"/>
              </w:rPr>
              <w:t>operations before income taxes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(50)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460" w:hanging="227"/>
        <w:spacing w:after="0" w:line="216" w:lineRule="auto"/>
        <w:tabs>
          <w:tab w:leader="none" w:pos="46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Composed of interest cost, expected return on plan assets, amortization of actuarial gains and losses and curtailments and settlement components of pension and other postretirement benefit expenses.</w:t>
      </w:r>
    </w:p>
    <w:p>
      <w:pPr>
        <w:spacing w:after="0" w:line="214" w:lineRule="exact"/>
        <w:rPr>
          <w:rFonts w:ascii="Arial" w:cs="Arial" w:eastAsia="Arial" w:hAnsi="Arial"/>
          <w:sz w:val="23"/>
          <w:szCs w:val="23"/>
          <w:color w:val="auto"/>
          <w:vertAlign w:val="superscript"/>
        </w:rPr>
      </w:pPr>
    </w:p>
    <w:p>
      <w:pPr>
        <w:ind w:left="460" w:hanging="227"/>
        <w:spacing w:after="0" w:line="216" w:lineRule="auto"/>
        <w:tabs>
          <w:tab w:leader="none" w:pos="46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Consists of third party costs such as security, maintenance, and utilities required to maintain land and buildings in certain locations not used in any Kodak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Segment Measure of Profit and Loss</w:t>
      </w:r>
    </w:p>
    <w:p>
      <w:pPr>
        <w:spacing w:after="0" w:line="232" w:lineRule="exact"/>
        <w:rPr>
          <w:sz w:val="20"/>
          <w:szCs w:val="20"/>
          <w:color w:val="auto"/>
        </w:rPr>
      </w:pPr>
    </w:p>
    <w:p>
      <w:pPr>
        <w:jc w:val="both"/>
        <w:ind w:right="460"/>
        <w:spacing w:after="0" w:line="308" w:lineRule="auto"/>
        <w:rPr>
          <w:sz w:val="20"/>
          <w:szCs w:val="20"/>
          <w:color w:val="auto"/>
        </w:rPr>
      </w:pPr>
      <w:r>
        <w:rPr>
          <w:rFonts w:ascii="Arial" w:cs="Arial" w:eastAsia="Arial" w:hAnsi="Arial"/>
          <w:sz w:val="15"/>
          <w:szCs w:val="15"/>
          <w:color w:val="auto"/>
        </w:rPr>
        <w:t>During the first quarter of 2015, Kodak changed its segment measure of profit and loss to an adjusted earnings before interest, taxes, depreciation and amortization (“Operational EBITDA”). The segment measure now excludes depreciation and amortization, stock-based compensation, certain consulting costs, costs previously allocated to discontinued operations, the impact of fresh start adjustments and idle costs. Prior period segment results have been revised to reflect these changes.</w:t>
      </w:r>
    </w:p>
    <w:p>
      <w:pPr>
        <w:spacing w:after="0" w:line="166"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15: DISCONTINUED OPERATIONS</w:t>
      </w:r>
    </w:p>
    <w:p>
      <w:pPr>
        <w:spacing w:after="0" w:line="211"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Upon emergence from bankruptcy, as a part of a settlement agreement between Eastman Kodak Company, the KPP Trustees Limited (“KPP” or the “Trustee”), as trustee for the U.K. Pension Plan, and certain other Kodak entities, Kodak consummated the sale of certain assets of Kodak’s Personalized Imaging and Document Imaging businesses (together the “Business”) to KPP Holdco Limited (“KPP Holdco”), a wholly owned subsidiary of KPP, and certain direct and indirect subsidiaries of KPP Holdco (together with KPP Holdco, the “KPP Purchasing Parties”), for net cash consideration, in addition to the assumption by the KPP Purchasing Parties of certain liabilities of the Business, of $325 million. Up to $35 million in aggregate of the purchase price is subject to repayment to KPP if the Business does not achieve certain annual adjusted EBITDA targets over the four-year period ending December 31, 2018. Certain assets and liabilities of the Business in certain jurisdictions were not transferred at the initial closing, but are being transferred in a series of deferred closings, one of which has yet to close. Kodak has been and is operating the Business relating to the deferred closing jurisdictions, subject to certain covenants, until the applicable deferred closing occurs, and delivers to (or receives from) a KPP subsidiary at each deferred closing a true-up payment reflecting the actual economic benefit (or detriment) to the Business in the applicable deferred closing jurisdiction(s) from the time of the initial closing through the time of the applicable deferred closing. Up to the time of the deferred closing, the results of the operations of the Business are reported as Earnings from discontinued operations, net of income taxes in the Consolidated Statement of Operations and the assets and liabilities of the Business are categorized as Assets held for sale or Liabilities held for sale in the Consolidated Statement of Financial Position, as appropriate.</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March 17, 2014 the KPP Purchasing Parties agreed to pay Kodak $20 million of incremental consideration ($13 million was paid in March of 2014 and the remainder was paid in March 2015) in lieu of working capital adjustments contemplated by the settlement agreement.</w:t>
      </w:r>
    </w:p>
    <w:p>
      <w:pPr>
        <w:spacing w:after="0" w:line="192"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The following table summarizes the major classes of assets and liabilities related to the disposition of the Business which have been segregated and included in Assets held for sale and Liabilities held for sale in the Consolidated Statement of Financial Position: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gridSpan w:val="3"/>
          </w:tcPr>
          <w:p>
            <w:pPr>
              <w:jc w:val="right"/>
              <w:ind w:right="105"/>
              <w:spacing w:after="0"/>
              <w:rPr>
                <w:sz w:val="20"/>
                <w:szCs w:val="20"/>
                <w:color w:val="auto"/>
              </w:rPr>
            </w:pPr>
            <w:r>
              <w:rPr>
                <w:rFonts w:ascii="Arial" w:cs="Arial" w:eastAsia="Arial" w:hAnsi="Arial"/>
                <w:sz w:val="17"/>
                <w:szCs w:val="17"/>
                <w:b w:val="1"/>
                <w:bCs w:val="1"/>
                <w:color w:val="auto"/>
              </w:rPr>
              <w:t>As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940" w:type="dxa"/>
            <w:vAlign w:val="bottom"/>
            <w:tcBorders>
              <w:bottom w:val="single" w:sz="8" w:color="auto"/>
            </w:tcBorders>
          </w:tcPr>
          <w:p>
            <w:pPr>
              <w:jc w:val="right"/>
              <w:ind w:right="123"/>
              <w:spacing w:after="0"/>
              <w:rPr>
                <w:sz w:val="20"/>
                <w:szCs w:val="20"/>
                <w:color w:val="auto"/>
              </w:rPr>
            </w:pPr>
            <w:r>
              <w:rPr>
                <w:rFonts w:ascii="Arial" w:cs="Arial" w:eastAsia="Arial" w:hAnsi="Arial"/>
                <w:sz w:val="17"/>
                <w:szCs w:val="17"/>
                <w:b w:val="1"/>
                <w:bCs w:val="1"/>
                <w:color w:val="auto"/>
              </w:rPr>
              <w:t>2015</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Inventories, net</w:t>
            </w:r>
          </w:p>
        </w:tc>
        <w:tc>
          <w:tcPr>
            <w:tcW w:w="94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Property, plant and equipment, net</w:t>
            </w:r>
          </w:p>
        </w:tc>
        <w:tc>
          <w:tcPr>
            <w:tcW w:w="94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6"/>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Intangible assets and other</w:t>
            </w:r>
          </w:p>
        </w:tc>
        <w:tc>
          <w:tcPr>
            <w:tcW w:w="9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Assets held for sale</w:t>
            </w:r>
          </w:p>
        </w:tc>
        <w:tc>
          <w:tcPr>
            <w:tcW w:w="940" w:type="dxa"/>
            <w:vAlign w:val="bottom"/>
          </w:tcPr>
          <w:p>
            <w:pPr>
              <w:jc w:val="right"/>
              <w:ind w:right="783"/>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13</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r>
      <w:tr>
        <w:trPr>
          <w:trHeight w:val="20"/>
        </w:trPr>
        <w:tc>
          <w:tcPr>
            <w:tcW w:w="8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Trade payables</w:t>
            </w:r>
          </w:p>
        </w:tc>
        <w:tc>
          <w:tcPr>
            <w:tcW w:w="94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Liabilities held for sale</w:t>
            </w:r>
          </w:p>
        </w:tc>
        <w:tc>
          <w:tcPr>
            <w:tcW w:w="94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Discontinued operations of Kodak include the Business (excluding the consumer film business, for which Kodak entered into an ongoing supply arrangement with one or more KPP Purchasing Parties) and other miscellaneous businesses.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revenues and earnings (loss) from discontinued operations, net of income taxes,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220" w:type="dxa"/>
            <w:vAlign w:val="bottom"/>
            <w:gridSpan w:val="4"/>
          </w:tcPr>
          <w:p>
            <w:pPr>
              <w:jc w:val="right"/>
              <w:ind w:right="145"/>
              <w:spacing w:after="0"/>
              <w:rPr>
                <w:sz w:val="20"/>
                <w:szCs w:val="20"/>
                <w:color w:val="auto"/>
              </w:rPr>
            </w:pPr>
            <w:r>
              <w:rPr>
                <w:rFonts w:ascii="Arial" w:cs="Arial" w:eastAsia="Arial" w:hAnsi="Arial"/>
                <w:sz w:val="17"/>
                <w:szCs w:val="17"/>
                <w:b w:val="1"/>
                <w:bCs w:val="1"/>
                <w:color w:val="auto"/>
              </w:rPr>
              <w:t>Three Months Ended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7"/>
                <w:szCs w:val="17"/>
                <w:color w:val="auto"/>
              </w:rPr>
              <w:t>(in millions)</w:t>
            </w:r>
          </w:p>
        </w:tc>
        <w:tc>
          <w:tcPr>
            <w:tcW w:w="39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545"/>
              <w:spacing w:after="0"/>
              <w:rPr>
                <w:sz w:val="20"/>
                <w:szCs w:val="20"/>
                <w:color w:val="auto"/>
              </w:rPr>
            </w:pPr>
            <w:r>
              <w:rPr>
                <w:rFonts w:ascii="Arial" w:cs="Arial" w:eastAsia="Arial" w:hAnsi="Arial"/>
                <w:sz w:val="17"/>
                <w:szCs w:val="17"/>
                <w:b w:val="1"/>
                <w:bCs w:val="1"/>
                <w:color w:val="auto"/>
                <w:w w:val="99"/>
              </w:rPr>
              <w:t>March 31,</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b w:val="1"/>
                <w:bCs w:val="1"/>
                <w:color w:val="auto"/>
              </w:rPr>
              <w:t>2014</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Revenues from Personalized and Document Imaging</w:t>
            </w:r>
          </w:p>
        </w:tc>
        <w:tc>
          <w:tcPr>
            <w:tcW w:w="476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6"/>
        </w:trPr>
        <w:tc>
          <w:tcPr>
            <w:tcW w:w="4860" w:type="dxa"/>
            <w:vAlign w:val="bottom"/>
          </w:tcPr>
          <w:p>
            <w:pPr>
              <w:spacing w:after="0"/>
              <w:rPr>
                <w:sz w:val="20"/>
                <w:szCs w:val="20"/>
                <w:color w:val="auto"/>
              </w:rPr>
            </w:pPr>
            <w:r>
              <w:rPr>
                <w:rFonts w:ascii="Arial" w:cs="Arial" w:eastAsia="Arial" w:hAnsi="Arial"/>
                <w:sz w:val="17"/>
                <w:szCs w:val="17"/>
                <w:color w:val="auto"/>
              </w:rPr>
              <w:t>Revenues from other discontinued operations</w:t>
            </w:r>
          </w:p>
        </w:tc>
        <w:tc>
          <w:tcPr>
            <w:tcW w:w="39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 from discontinued operations</w:t>
            </w:r>
          </w:p>
        </w:tc>
        <w:tc>
          <w:tcPr>
            <w:tcW w:w="476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91"/>
        </w:trPr>
        <w:tc>
          <w:tcPr>
            <w:tcW w:w="4860" w:type="dxa"/>
            <w:vAlign w:val="bottom"/>
            <w:tcBorders>
              <w:top w:val="single" w:sz="8" w:color="CCEEFF"/>
            </w:tcBorders>
          </w:tcPr>
          <w:p>
            <w:pPr>
              <w:spacing w:after="0"/>
              <w:rPr>
                <w:sz w:val="16"/>
                <w:szCs w:val="16"/>
                <w:color w:val="auto"/>
              </w:rPr>
            </w:pPr>
          </w:p>
        </w:tc>
        <w:tc>
          <w:tcPr>
            <w:tcW w:w="396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Pre-tax earnings from Personalized and Document Imaging</w:t>
            </w:r>
          </w:p>
        </w:tc>
        <w:tc>
          <w:tcPr>
            <w:tcW w:w="476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1"/>
        </w:trPr>
        <w:tc>
          <w:tcPr>
            <w:tcW w:w="4860" w:type="dxa"/>
            <w:vAlign w:val="bottom"/>
          </w:tcPr>
          <w:p>
            <w:pPr>
              <w:spacing w:after="0"/>
              <w:rPr>
                <w:sz w:val="20"/>
                <w:szCs w:val="20"/>
                <w:color w:val="auto"/>
              </w:rPr>
            </w:pPr>
            <w:r>
              <w:rPr>
                <w:rFonts w:ascii="Arial" w:cs="Arial" w:eastAsia="Arial" w:hAnsi="Arial"/>
                <w:sz w:val="17"/>
                <w:szCs w:val="17"/>
                <w:color w:val="auto"/>
              </w:rPr>
              <w:t>Pre-tax earnings from other discontinued operations</w:t>
            </w:r>
          </w:p>
        </w:tc>
        <w:tc>
          <w:tcPr>
            <w:tcW w:w="3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 related to discontinued operations</w:t>
            </w:r>
          </w:p>
        </w:tc>
        <w:tc>
          <w:tcPr>
            <w:tcW w:w="3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4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860" w:type="dxa"/>
            <w:vAlign w:val="bottom"/>
          </w:tcPr>
          <w:p>
            <w:pPr>
              <w:spacing w:after="0"/>
              <w:rPr>
                <w:sz w:val="20"/>
                <w:szCs w:val="20"/>
                <w:color w:val="auto"/>
              </w:rPr>
            </w:pPr>
            <w:r>
              <w:rPr>
                <w:rFonts w:ascii="Arial" w:cs="Arial" w:eastAsia="Arial" w:hAnsi="Arial"/>
                <w:sz w:val="17"/>
                <w:szCs w:val="17"/>
                <w:color w:val="auto"/>
              </w:rPr>
              <w:t>Earnings from discontinued operations, net of income taxes</w:t>
            </w:r>
          </w:p>
        </w:tc>
        <w:tc>
          <w:tcPr>
            <w:tcW w:w="4760" w:type="dxa"/>
            <w:vAlign w:val="bottom"/>
            <w:gridSpan w:val="2"/>
          </w:tcPr>
          <w:p>
            <w:pPr>
              <w:jc w:val="right"/>
              <w:ind w:right="636"/>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960" w:type="dxa"/>
            <w:vAlign w:val="bottom"/>
            <w:vMerge w:val="restart"/>
          </w:tcPr>
          <w:p>
            <w:pPr>
              <w:jc w:val="right"/>
              <w:ind w:right="2936"/>
              <w:spacing w:after="0"/>
              <w:rPr>
                <w:sz w:val="20"/>
                <w:szCs w:val="20"/>
                <w:color w:val="auto"/>
              </w:rPr>
            </w:pPr>
            <w:r>
              <w:rPr>
                <w:rFonts w:ascii="Arial" w:cs="Arial" w:eastAsia="Arial" w:hAnsi="Arial"/>
                <w:sz w:val="17"/>
                <w:szCs w:val="17"/>
                <w:color w:val="auto"/>
              </w:rPr>
              <w:t>18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3"/>
        </w:trPr>
        <w:tc>
          <w:tcPr>
            <w:tcW w:w="48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86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NOTE 16: FINANCIAL INSTRUMENTS</w:t>
      </w:r>
    </w:p>
    <w:p>
      <w:pPr>
        <w:spacing w:after="0" w:line="236" w:lineRule="exact"/>
        <w:rPr>
          <w:sz w:val="20"/>
          <w:szCs w:val="20"/>
          <w:color w:val="auto"/>
        </w:rPr>
      </w:pPr>
    </w:p>
    <w:p>
      <w:pPr>
        <w:ind w:right="720"/>
        <w:spacing w:after="0" w:line="268" w:lineRule="auto"/>
        <w:rPr>
          <w:sz w:val="20"/>
          <w:szCs w:val="20"/>
          <w:color w:val="auto"/>
        </w:rPr>
      </w:pPr>
      <w:r>
        <w:rPr>
          <w:rFonts w:ascii="Arial" w:cs="Arial" w:eastAsia="Arial" w:hAnsi="Arial"/>
          <w:sz w:val="17"/>
          <w:szCs w:val="17"/>
          <w:color w:val="auto"/>
        </w:rPr>
        <w:t>The following tables present the carrying amounts, estimated fair values, and location in the Consolidated Statement of Financial Position for Kodak’s financial instruments: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920" w:type="dxa"/>
            <w:vAlign w:val="bottom"/>
            <w:gridSpan w:val="7"/>
            <w:shd w:val="clear" w:color="auto" w:fill="CCEEFF"/>
          </w:tcPr>
          <w:p>
            <w:pPr>
              <w:jc w:val="center"/>
              <w:ind w:right="60"/>
              <w:spacing w:after="0"/>
              <w:rPr>
                <w:sz w:val="20"/>
                <w:szCs w:val="20"/>
                <w:color w:val="auto"/>
              </w:rPr>
            </w:pPr>
            <w:r>
              <w:rPr>
                <w:rFonts w:ascii="Arial" w:cs="Arial" w:eastAsia="Arial" w:hAnsi="Arial"/>
                <w:sz w:val="17"/>
                <w:szCs w:val="17"/>
                <w:b w:val="1"/>
                <w:bCs w:val="1"/>
                <w:color w:val="auto"/>
                <w:w w:val="90"/>
              </w:rPr>
              <w:t>Value Of Items Recorded At Fair Value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 millions)</w:t>
            </w:r>
          </w:p>
        </w:tc>
        <w:tc>
          <w:tcPr>
            <w:tcW w:w="2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4"/>
            <w:shd w:val="clear" w:color="auto" w:fill="CCEEFF"/>
          </w:tcPr>
          <w:p>
            <w:pPr>
              <w:jc w:val="center"/>
              <w:ind w:left="96"/>
              <w:spacing w:after="0"/>
              <w:rPr>
                <w:sz w:val="20"/>
                <w:szCs w:val="20"/>
                <w:color w:val="auto"/>
              </w:rPr>
            </w:pPr>
            <w:r>
              <w:rPr>
                <w:rFonts w:ascii="Arial" w:cs="Arial" w:eastAsia="Arial" w:hAnsi="Arial"/>
                <w:sz w:val="17"/>
                <w:szCs w:val="17"/>
                <w:b w:val="1"/>
                <w:bCs w:val="1"/>
                <w:color w:val="auto"/>
                <w:w w:val="90"/>
              </w:rPr>
              <w:t>As of March 31, 2015</w:t>
            </w:r>
          </w:p>
        </w:tc>
        <w:tc>
          <w:tcPr>
            <w:tcW w:w="2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3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56"/>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b w:val="1"/>
                <w:bCs w:val="1"/>
                <w:color w:val="auto"/>
              </w:rPr>
              <w:t>Level 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b w:val="1"/>
                <w:bCs w:val="1"/>
                <w:color w:val="auto"/>
              </w:rPr>
              <w:t>Level 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3</w:t>
            </w: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7"/>
                <w:szCs w:val="17"/>
                <w:b w:val="1"/>
                <w:bCs w:val="1"/>
                <w:color w:val="auto"/>
              </w:rPr>
              <w:t>Derivatives</w:t>
            </w:r>
          </w:p>
        </w:tc>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Short-term foreign exchange contracts</w:t>
            </w:r>
          </w:p>
        </w:tc>
        <w:tc>
          <w:tcPr>
            <w:tcW w:w="2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380" w:type="dxa"/>
            <w:vAlign w:val="bottom"/>
            <w:gridSpan w:val="2"/>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1140" w:type="dxa"/>
            <w:vAlign w:val="bottom"/>
            <w:gridSpan w:val="2"/>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776"/>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Marketable securities</w:t>
            </w:r>
          </w:p>
        </w:tc>
        <w:tc>
          <w:tcPr>
            <w:tcW w:w="2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7"/>
                <w:szCs w:val="17"/>
                <w:color w:val="auto"/>
              </w:rPr>
              <w:t>Long-term available-for-sale securities</w:t>
            </w:r>
          </w:p>
        </w:tc>
        <w:tc>
          <w:tcPr>
            <w:tcW w:w="2160" w:type="dxa"/>
            <w:vAlign w:val="bottom"/>
          </w:tcPr>
          <w:p>
            <w:pPr>
              <w:ind w:left="140"/>
              <w:spacing w:after="0"/>
              <w:rPr>
                <w:sz w:val="20"/>
                <w:szCs w:val="20"/>
                <w:color w:val="auto"/>
              </w:rPr>
            </w:pPr>
            <w:r>
              <w:rPr>
                <w:rFonts w:ascii="Arial" w:cs="Arial" w:eastAsia="Arial" w:hAnsi="Arial"/>
                <w:sz w:val="17"/>
                <w:szCs w:val="17"/>
                <w:color w:val="auto"/>
              </w:rPr>
              <w:t>Other long-term assets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9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4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Derivatives</w:t>
            </w:r>
          </w:p>
        </w:tc>
        <w:tc>
          <w:tcPr>
            <w:tcW w:w="2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440" w:type="dxa"/>
            <w:vAlign w:val="bottom"/>
          </w:tcPr>
          <w:p>
            <w:pPr>
              <w:spacing w:after="0"/>
              <w:rPr>
                <w:sz w:val="20"/>
                <w:szCs w:val="20"/>
                <w:color w:val="auto"/>
              </w:rPr>
            </w:pPr>
            <w:r>
              <w:rPr>
                <w:rFonts w:ascii="Arial" w:cs="Arial" w:eastAsia="Arial" w:hAnsi="Arial"/>
                <w:sz w:val="17"/>
                <w:szCs w:val="17"/>
                <w:color w:val="auto"/>
              </w:rPr>
              <w:t>Short-term foreign exchange contracts</w:t>
            </w:r>
          </w:p>
        </w:tc>
        <w:tc>
          <w:tcPr>
            <w:tcW w:w="2160" w:type="dxa"/>
            <w:vAlign w:val="bottom"/>
          </w:tcPr>
          <w:p>
            <w:pPr>
              <w:ind w:left="140"/>
              <w:spacing w:after="0"/>
              <w:rPr>
                <w:sz w:val="20"/>
                <w:szCs w:val="20"/>
                <w:color w:val="auto"/>
              </w:rPr>
            </w:pPr>
            <w:r>
              <w:rPr>
                <w:rFonts w:ascii="Arial" w:cs="Arial" w:eastAsia="Arial" w:hAnsi="Arial"/>
                <w:sz w:val="17"/>
                <w:szCs w:val="17"/>
                <w:color w:val="auto"/>
              </w:rPr>
              <w:t>Other current liabilities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(in millions)</w:t>
            </w:r>
          </w:p>
        </w:tc>
        <w:tc>
          <w:tcPr>
            <w:tcW w:w="2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60" w:type="dxa"/>
            <w:vAlign w:val="bottom"/>
            <w:gridSpan w:val="10"/>
            <w:shd w:val="clear" w:color="auto" w:fill="CCEEFF"/>
          </w:tcPr>
          <w:p>
            <w:pPr>
              <w:jc w:val="right"/>
              <w:ind w:right="47"/>
              <w:spacing w:after="0"/>
              <w:rPr>
                <w:sz w:val="20"/>
                <w:szCs w:val="20"/>
                <w:color w:val="auto"/>
              </w:rPr>
            </w:pPr>
            <w:r>
              <w:rPr>
                <w:rFonts w:ascii="Arial" w:cs="Arial" w:eastAsia="Arial" w:hAnsi="Arial"/>
                <w:sz w:val="17"/>
                <w:szCs w:val="17"/>
                <w:b w:val="1"/>
                <w:bCs w:val="1"/>
                <w:color w:val="auto"/>
                <w:w w:val="96"/>
              </w:rPr>
              <w:t>Value Of Items Not Recorded At Fair Value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18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4"/>
            <w:shd w:val="clear" w:color="auto" w:fill="CCEEFF"/>
          </w:tcPr>
          <w:p>
            <w:pPr>
              <w:ind w:left="480"/>
              <w:spacing w:after="0"/>
              <w:rPr>
                <w:sz w:val="20"/>
                <w:szCs w:val="20"/>
                <w:color w:val="auto"/>
              </w:rPr>
            </w:pPr>
            <w:r>
              <w:rPr>
                <w:rFonts w:ascii="Arial" w:cs="Arial" w:eastAsia="Arial" w:hAnsi="Arial"/>
                <w:sz w:val="17"/>
                <w:szCs w:val="17"/>
                <w:b w:val="1"/>
                <w:bCs w:val="1"/>
                <w:color w:val="auto"/>
              </w:rPr>
              <w:t>As of March 31, 2015</w:t>
            </w:r>
          </w:p>
        </w:tc>
        <w:tc>
          <w:tcPr>
            <w:tcW w:w="2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1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Level 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320"/>
              <w:spacing w:after="0"/>
              <w:rPr>
                <w:sz w:val="20"/>
                <w:szCs w:val="20"/>
                <w:color w:val="auto"/>
              </w:rPr>
            </w:pPr>
            <w:r>
              <w:rPr>
                <w:rFonts w:ascii="Arial" w:cs="Arial" w:eastAsia="Arial" w:hAnsi="Arial"/>
                <w:sz w:val="17"/>
                <w:szCs w:val="17"/>
                <w:b w:val="1"/>
                <w:bCs w:val="1"/>
                <w:color w:val="auto"/>
                <w:w w:val="90"/>
              </w:rPr>
              <w:t>Level 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3</w:t>
            </w:r>
          </w:p>
        </w:tc>
      </w:tr>
      <w:tr>
        <w:trPr>
          <w:trHeight w:val="201"/>
        </w:trPr>
        <w:tc>
          <w:tcPr>
            <w:tcW w:w="1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Arial" w:cs="Arial" w:eastAsia="Arial" w:hAnsi="Arial"/>
                <w:sz w:val="17"/>
                <w:szCs w:val="17"/>
                <w:b w:val="1"/>
                <w:bCs w:val="1"/>
                <w:color w:val="auto"/>
              </w:rPr>
              <w:t>Debt</w:t>
            </w:r>
          </w:p>
        </w:tc>
        <w:tc>
          <w:tcPr>
            <w:tcW w:w="2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1840" w:type="dxa"/>
            <w:vAlign w:val="bottom"/>
            <w:shd w:val="clear" w:color="auto" w:fill="CCEEFF"/>
          </w:tcPr>
          <w:p>
            <w:pPr>
              <w:spacing w:after="0"/>
              <w:rPr>
                <w:sz w:val="16"/>
                <w:szCs w:val="16"/>
                <w:color w:val="auto"/>
              </w:rPr>
            </w:pPr>
          </w:p>
        </w:tc>
        <w:tc>
          <w:tcPr>
            <w:tcW w:w="2720" w:type="dxa"/>
            <w:vAlign w:val="bottom"/>
            <w:shd w:val="clear" w:color="auto" w:fill="CCEEFF"/>
          </w:tcPr>
          <w:p>
            <w:pPr>
              <w:ind w:left="800"/>
              <w:spacing w:after="0" w:line="189" w:lineRule="exact"/>
              <w:rPr>
                <w:sz w:val="20"/>
                <w:szCs w:val="20"/>
                <w:color w:val="auto"/>
              </w:rPr>
            </w:pPr>
            <w:r>
              <w:rPr>
                <w:rFonts w:ascii="Arial" w:cs="Arial" w:eastAsia="Arial" w:hAnsi="Arial"/>
                <w:sz w:val="17"/>
                <w:szCs w:val="17"/>
                <w:color w:val="auto"/>
                <w:w w:val="94"/>
              </w:rPr>
              <w:t>Short-term borrowings and</w:t>
            </w: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1840" w:type="dxa"/>
            <w:vAlign w:val="bottom"/>
            <w:shd w:val="clear" w:color="auto" w:fill="CCEEFF"/>
          </w:tcPr>
          <w:p>
            <w:pPr>
              <w:spacing w:after="0"/>
              <w:rPr>
                <w:sz w:val="17"/>
                <w:szCs w:val="17"/>
                <w:color w:val="auto"/>
              </w:rPr>
            </w:pPr>
          </w:p>
        </w:tc>
        <w:tc>
          <w:tcPr>
            <w:tcW w:w="272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2"/>
              </w:rPr>
              <w:t>current portion of long-term</w:t>
            </w: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7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debt</w:t>
            </w:r>
          </w:p>
        </w:tc>
        <w:tc>
          <w:tcPr>
            <w:tcW w:w="1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Carrying value</w:t>
            </w:r>
          </w:p>
        </w:tc>
        <w:tc>
          <w:tcPr>
            <w:tcW w:w="1080" w:type="dxa"/>
            <w:vAlign w:val="bottom"/>
            <w:gridSpan w:val="2"/>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106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1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auto"/>
              </w:rPr>
              <w:t>Fair value</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18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1840" w:type="dxa"/>
            <w:vAlign w:val="bottom"/>
          </w:tcPr>
          <w:p>
            <w:pPr>
              <w:spacing w:after="0"/>
              <w:rPr>
                <w:sz w:val="16"/>
                <w:szCs w:val="16"/>
                <w:color w:val="auto"/>
              </w:rPr>
            </w:pPr>
          </w:p>
        </w:tc>
        <w:tc>
          <w:tcPr>
            <w:tcW w:w="2720" w:type="dxa"/>
            <w:vAlign w:val="bottom"/>
          </w:tcPr>
          <w:p>
            <w:pPr>
              <w:ind w:left="800"/>
              <w:spacing w:after="0" w:line="189" w:lineRule="exact"/>
              <w:rPr>
                <w:sz w:val="20"/>
                <w:szCs w:val="20"/>
                <w:color w:val="auto"/>
              </w:rPr>
            </w:pPr>
            <w:r>
              <w:rPr>
                <w:rFonts w:ascii="Arial" w:cs="Arial" w:eastAsia="Arial" w:hAnsi="Arial"/>
                <w:sz w:val="17"/>
                <w:szCs w:val="17"/>
                <w:color w:val="auto"/>
              </w:rPr>
              <w:t>Long-term debt, net of</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840" w:type="dxa"/>
            <w:vAlign w:val="bottom"/>
          </w:tcPr>
          <w:p>
            <w:pPr>
              <w:spacing w:after="0"/>
              <w:rPr>
                <w:sz w:val="20"/>
                <w:szCs w:val="20"/>
                <w:color w:val="auto"/>
              </w:rPr>
            </w:pPr>
            <w:r>
              <w:rPr>
                <w:rFonts w:ascii="Arial" w:cs="Arial" w:eastAsia="Arial" w:hAnsi="Arial"/>
                <w:sz w:val="17"/>
                <w:szCs w:val="17"/>
                <w:color w:val="auto"/>
              </w:rPr>
              <w:t>Long-term debt</w:t>
            </w:r>
          </w:p>
        </w:tc>
        <w:tc>
          <w:tcPr>
            <w:tcW w:w="2720" w:type="dxa"/>
            <w:vAlign w:val="bottom"/>
          </w:tcPr>
          <w:p>
            <w:pPr>
              <w:ind w:left="800"/>
              <w:spacing w:after="0"/>
              <w:rPr>
                <w:sz w:val="20"/>
                <w:szCs w:val="20"/>
                <w:color w:val="auto"/>
              </w:rPr>
            </w:pPr>
            <w:r>
              <w:rPr>
                <w:rFonts w:ascii="Arial" w:cs="Arial" w:eastAsia="Arial" w:hAnsi="Arial"/>
                <w:sz w:val="17"/>
                <w:szCs w:val="17"/>
                <w:color w:val="auto"/>
              </w:rPr>
              <w:t>current portion</w:t>
            </w:r>
          </w:p>
        </w:tc>
        <w:tc>
          <w:tcPr>
            <w:tcW w:w="1280" w:type="dxa"/>
            <w:vAlign w:val="bottom"/>
          </w:tcPr>
          <w:p>
            <w:pPr>
              <w:ind w:left="20"/>
              <w:spacing w:after="0"/>
              <w:rPr>
                <w:sz w:val="20"/>
                <w:szCs w:val="20"/>
                <w:color w:val="auto"/>
              </w:rPr>
            </w:pPr>
            <w:r>
              <w:rPr>
                <w:rFonts w:ascii="Arial" w:cs="Arial" w:eastAsia="Arial" w:hAnsi="Arial"/>
                <w:sz w:val="17"/>
                <w:szCs w:val="17"/>
                <w:color w:val="auto"/>
              </w:rPr>
              <w:t>Carrying value</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671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671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18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698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920" w:type="dxa"/>
            <w:vAlign w:val="bottom"/>
            <w:gridSpan w:val="7"/>
            <w:shd w:val="clear" w:color="auto" w:fill="CCEEFF"/>
          </w:tcPr>
          <w:p>
            <w:pPr>
              <w:jc w:val="center"/>
              <w:ind w:right="60"/>
              <w:spacing w:after="0"/>
              <w:rPr>
                <w:sz w:val="20"/>
                <w:szCs w:val="20"/>
                <w:color w:val="auto"/>
              </w:rPr>
            </w:pPr>
            <w:r>
              <w:rPr>
                <w:rFonts w:ascii="Arial" w:cs="Arial" w:eastAsia="Arial" w:hAnsi="Arial"/>
                <w:sz w:val="17"/>
                <w:szCs w:val="17"/>
                <w:b w:val="1"/>
                <w:bCs w:val="1"/>
                <w:color w:val="auto"/>
                <w:w w:val="90"/>
              </w:rPr>
              <w:t>Value Of Items Recorded At Fair Value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 millions)</w:t>
            </w:r>
          </w:p>
        </w:tc>
        <w:tc>
          <w:tcPr>
            <w:tcW w:w="19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4"/>
            <w:shd w:val="clear" w:color="auto" w:fill="CCEEFF"/>
          </w:tcPr>
          <w:p>
            <w:pPr>
              <w:jc w:val="center"/>
              <w:ind w:left="96"/>
              <w:spacing w:after="0"/>
              <w:rPr>
                <w:sz w:val="20"/>
                <w:szCs w:val="20"/>
                <w:color w:val="auto"/>
              </w:rPr>
            </w:pPr>
            <w:r>
              <w:rPr>
                <w:rFonts w:ascii="Arial" w:cs="Arial" w:eastAsia="Arial" w:hAnsi="Arial"/>
                <w:sz w:val="17"/>
                <w:szCs w:val="17"/>
                <w:b w:val="1"/>
                <w:bCs w:val="1"/>
                <w:color w:val="auto"/>
                <w:w w:val="87"/>
              </w:rPr>
              <w:t>As of December 31, 2014</w:t>
            </w:r>
          </w:p>
        </w:tc>
        <w:tc>
          <w:tcPr>
            <w:tcW w:w="2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jc w:val="right"/>
              <w:ind w:right="56"/>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b w:val="1"/>
                <w:bCs w:val="1"/>
                <w:color w:val="auto"/>
              </w:rPr>
              <w:t>Level 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b w:val="1"/>
                <w:bCs w:val="1"/>
                <w:color w:val="auto"/>
              </w:rPr>
              <w:t>Level 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3</w:t>
            </w: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7"/>
                <w:szCs w:val="17"/>
                <w:b w:val="1"/>
                <w:bCs w:val="1"/>
                <w:color w:val="auto"/>
              </w:rPr>
              <w:t>Derivatives</w:t>
            </w: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Short-term foreign exchange contracts</w:t>
            </w:r>
          </w:p>
        </w:tc>
        <w:tc>
          <w:tcPr>
            <w:tcW w:w="1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600" w:type="dxa"/>
            <w:vAlign w:val="bottom"/>
            <w:gridSpan w:val="2"/>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1140" w:type="dxa"/>
            <w:vAlign w:val="bottom"/>
            <w:gridSpan w:val="2"/>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776"/>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Marketable securities</w:t>
            </w:r>
          </w:p>
        </w:tc>
        <w:tc>
          <w:tcPr>
            <w:tcW w:w="1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7"/>
                <w:szCs w:val="17"/>
                <w:color w:val="auto"/>
              </w:rPr>
              <w:t>Long-term available-for-sale securities</w:t>
            </w:r>
          </w:p>
        </w:tc>
        <w:tc>
          <w:tcPr>
            <w:tcW w:w="1940" w:type="dxa"/>
            <w:vAlign w:val="bottom"/>
          </w:tcPr>
          <w:p>
            <w:pPr>
              <w:ind w:left="140"/>
              <w:spacing w:after="0"/>
              <w:rPr>
                <w:sz w:val="20"/>
                <w:szCs w:val="20"/>
                <w:color w:val="auto"/>
              </w:rPr>
            </w:pPr>
            <w:r>
              <w:rPr>
                <w:rFonts w:ascii="Arial" w:cs="Arial" w:eastAsia="Arial" w:hAnsi="Arial"/>
                <w:sz w:val="17"/>
                <w:szCs w:val="17"/>
                <w:color w:val="auto"/>
              </w:rPr>
              <w:t>Other long-term assets</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9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4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Derivatives</w:t>
            </w:r>
          </w:p>
        </w:tc>
        <w:tc>
          <w:tcPr>
            <w:tcW w:w="1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440" w:type="dxa"/>
            <w:vAlign w:val="bottom"/>
          </w:tcPr>
          <w:p>
            <w:pPr>
              <w:spacing w:after="0"/>
              <w:rPr>
                <w:sz w:val="20"/>
                <w:szCs w:val="20"/>
                <w:color w:val="auto"/>
              </w:rPr>
            </w:pPr>
            <w:r>
              <w:rPr>
                <w:rFonts w:ascii="Arial" w:cs="Arial" w:eastAsia="Arial" w:hAnsi="Arial"/>
                <w:sz w:val="17"/>
                <w:szCs w:val="17"/>
                <w:color w:val="auto"/>
              </w:rPr>
              <w:t>Short-term foreign exchange contracts</w:t>
            </w:r>
          </w:p>
        </w:tc>
        <w:tc>
          <w:tcPr>
            <w:tcW w:w="1940" w:type="dxa"/>
            <w:vAlign w:val="bottom"/>
          </w:tcPr>
          <w:p>
            <w:pPr>
              <w:ind w:left="140"/>
              <w:spacing w:after="0"/>
              <w:rPr>
                <w:sz w:val="20"/>
                <w:szCs w:val="20"/>
                <w:color w:val="auto"/>
              </w:rPr>
            </w:pPr>
            <w:r>
              <w:rPr>
                <w:rFonts w:ascii="Arial" w:cs="Arial" w:eastAsia="Arial" w:hAnsi="Arial"/>
                <w:sz w:val="17"/>
                <w:szCs w:val="17"/>
                <w:color w:val="auto"/>
              </w:rPr>
              <w:t>Other current liabilities</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981"/>
        </w:trPr>
        <w:tc>
          <w:tcPr>
            <w:tcW w:w="3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00" w:type="dxa"/>
            <w:vAlign w:val="bottom"/>
          </w:tcPr>
          <w:p>
            <w:pPr>
              <w:jc w:val="right"/>
              <w:ind w:right="196"/>
              <w:spacing w:after="0"/>
              <w:rPr>
                <w:sz w:val="20"/>
                <w:szCs w:val="20"/>
                <w:color w:val="auto"/>
              </w:rPr>
            </w:pPr>
            <w:r>
              <w:rPr>
                <w:rFonts w:ascii="Arial" w:cs="Arial" w:eastAsia="Arial" w:hAnsi="Arial"/>
                <w:sz w:val="17"/>
                <w:szCs w:val="17"/>
                <w:color w:val="auto"/>
              </w:rPr>
              <w:t>19</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34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1"/>
        </w:trPr>
        <w:tc>
          <w:tcPr>
            <w:tcW w:w="18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60" w:type="dxa"/>
            <w:vAlign w:val="bottom"/>
            <w:gridSpan w:val="10"/>
            <w:shd w:val="clear" w:color="auto" w:fill="CCEEFF"/>
          </w:tcPr>
          <w:p>
            <w:pPr>
              <w:jc w:val="right"/>
              <w:ind w:right="47"/>
              <w:spacing w:after="0"/>
              <w:rPr>
                <w:sz w:val="20"/>
                <w:szCs w:val="20"/>
                <w:color w:val="auto"/>
              </w:rPr>
            </w:pPr>
            <w:r>
              <w:rPr>
                <w:rFonts w:ascii="Arial" w:cs="Arial" w:eastAsia="Arial" w:hAnsi="Arial"/>
                <w:sz w:val="17"/>
                <w:szCs w:val="17"/>
                <w:b w:val="1"/>
                <w:bCs w:val="1"/>
                <w:color w:val="auto"/>
                <w:w w:val="96"/>
              </w:rPr>
              <w:t>Value Of Items Not Recorded At Fair Value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1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 millions)</w:t>
            </w:r>
          </w:p>
        </w:tc>
        <w:tc>
          <w:tcPr>
            <w:tcW w:w="27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4"/>
            <w:shd w:val="clear" w:color="auto" w:fill="CCEEFF"/>
          </w:tcPr>
          <w:p>
            <w:pPr>
              <w:ind w:left="360"/>
              <w:spacing w:after="0"/>
              <w:rPr>
                <w:sz w:val="20"/>
                <w:szCs w:val="20"/>
                <w:color w:val="auto"/>
              </w:rPr>
            </w:pPr>
            <w:r>
              <w:rPr>
                <w:rFonts w:ascii="Arial" w:cs="Arial" w:eastAsia="Arial" w:hAnsi="Arial"/>
                <w:sz w:val="17"/>
                <w:szCs w:val="17"/>
                <w:b w:val="1"/>
                <w:bCs w:val="1"/>
                <w:color w:val="auto"/>
                <w:w w:val="91"/>
              </w:rPr>
              <w:t>As of December 31, 2014</w:t>
            </w:r>
          </w:p>
        </w:tc>
        <w:tc>
          <w:tcPr>
            <w:tcW w:w="2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1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b w:val="1"/>
                <w:bCs w:val="1"/>
                <w:color w:val="auto"/>
              </w:rPr>
              <w:t>Level 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ind w:left="320"/>
              <w:spacing w:after="0"/>
              <w:rPr>
                <w:sz w:val="20"/>
                <w:szCs w:val="20"/>
                <w:color w:val="auto"/>
              </w:rPr>
            </w:pPr>
            <w:r>
              <w:rPr>
                <w:rFonts w:ascii="Arial" w:cs="Arial" w:eastAsia="Arial" w:hAnsi="Arial"/>
                <w:sz w:val="17"/>
                <w:szCs w:val="17"/>
                <w:b w:val="1"/>
                <w:bCs w:val="1"/>
                <w:color w:val="auto"/>
                <w:w w:val="90"/>
              </w:rPr>
              <w:t>Level 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3</w:t>
            </w:r>
          </w:p>
        </w:tc>
      </w:tr>
      <w:tr>
        <w:trPr>
          <w:trHeight w:val="201"/>
        </w:trPr>
        <w:tc>
          <w:tcPr>
            <w:tcW w:w="1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1840" w:type="dxa"/>
            <w:vAlign w:val="bottom"/>
          </w:tcPr>
          <w:p>
            <w:pPr>
              <w:spacing w:after="0"/>
              <w:rPr>
                <w:sz w:val="20"/>
                <w:szCs w:val="20"/>
                <w:color w:val="auto"/>
              </w:rPr>
            </w:pPr>
            <w:r>
              <w:rPr>
                <w:rFonts w:ascii="Arial" w:cs="Arial" w:eastAsia="Arial" w:hAnsi="Arial"/>
                <w:sz w:val="17"/>
                <w:szCs w:val="17"/>
                <w:b w:val="1"/>
                <w:bCs w:val="1"/>
                <w:color w:val="auto"/>
              </w:rPr>
              <w:t>Debt</w:t>
            </w:r>
          </w:p>
        </w:tc>
        <w:tc>
          <w:tcPr>
            <w:tcW w:w="2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1840" w:type="dxa"/>
            <w:vAlign w:val="bottom"/>
            <w:shd w:val="clear" w:color="auto" w:fill="CCEEFF"/>
          </w:tcPr>
          <w:p>
            <w:pPr>
              <w:spacing w:after="0"/>
              <w:rPr>
                <w:sz w:val="16"/>
                <w:szCs w:val="16"/>
                <w:color w:val="auto"/>
              </w:rPr>
            </w:pPr>
          </w:p>
        </w:tc>
        <w:tc>
          <w:tcPr>
            <w:tcW w:w="2720" w:type="dxa"/>
            <w:vAlign w:val="bottom"/>
            <w:shd w:val="clear" w:color="auto" w:fill="CCEEFF"/>
          </w:tcPr>
          <w:p>
            <w:pPr>
              <w:ind w:left="800"/>
              <w:spacing w:after="0" w:line="189" w:lineRule="exact"/>
              <w:rPr>
                <w:sz w:val="20"/>
                <w:szCs w:val="20"/>
                <w:color w:val="auto"/>
              </w:rPr>
            </w:pPr>
            <w:r>
              <w:rPr>
                <w:rFonts w:ascii="Arial" w:cs="Arial" w:eastAsia="Arial" w:hAnsi="Arial"/>
                <w:sz w:val="17"/>
                <w:szCs w:val="17"/>
                <w:color w:val="auto"/>
                <w:w w:val="94"/>
              </w:rPr>
              <w:t>Short-term borrowings and</w:t>
            </w: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1840" w:type="dxa"/>
            <w:vAlign w:val="bottom"/>
            <w:shd w:val="clear" w:color="auto" w:fill="CCEEFF"/>
          </w:tcPr>
          <w:p>
            <w:pPr>
              <w:spacing w:after="0"/>
              <w:rPr>
                <w:sz w:val="17"/>
                <w:szCs w:val="17"/>
                <w:color w:val="auto"/>
              </w:rPr>
            </w:pPr>
          </w:p>
        </w:tc>
        <w:tc>
          <w:tcPr>
            <w:tcW w:w="272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2"/>
              </w:rPr>
              <w:t>current portion of long-term</w:t>
            </w: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720" w:type="dxa"/>
            <w:vAlign w:val="bottom"/>
            <w:shd w:val="clear" w:color="auto" w:fill="CCEEFF"/>
          </w:tcPr>
          <w:p>
            <w:pPr>
              <w:ind w:left="800"/>
              <w:spacing w:after="0"/>
              <w:rPr>
                <w:sz w:val="20"/>
                <w:szCs w:val="20"/>
                <w:color w:val="auto"/>
              </w:rPr>
            </w:pPr>
            <w:r>
              <w:rPr>
                <w:rFonts w:ascii="Arial" w:cs="Arial" w:eastAsia="Arial" w:hAnsi="Arial"/>
                <w:sz w:val="17"/>
                <w:szCs w:val="17"/>
                <w:color w:val="auto"/>
              </w:rPr>
              <w:t>debt</w:t>
            </w:r>
          </w:p>
        </w:tc>
        <w:tc>
          <w:tcPr>
            <w:tcW w:w="1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Carrying value</w:t>
            </w:r>
          </w:p>
        </w:tc>
        <w:tc>
          <w:tcPr>
            <w:tcW w:w="1080" w:type="dxa"/>
            <w:vAlign w:val="bottom"/>
            <w:gridSpan w:val="2"/>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1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auto"/>
              </w:rPr>
              <w:t>Fair value</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18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1840" w:type="dxa"/>
            <w:vAlign w:val="bottom"/>
          </w:tcPr>
          <w:p>
            <w:pPr>
              <w:spacing w:after="0"/>
              <w:rPr>
                <w:sz w:val="16"/>
                <w:szCs w:val="16"/>
                <w:color w:val="auto"/>
              </w:rPr>
            </w:pPr>
          </w:p>
        </w:tc>
        <w:tc>
          <w:tcPr>
            <w:tcW w:w="2720" w:type="dxa"/>
            <w:vAlign w:val="bottom"/>
          </w:tcPr>
          <w:p>
            <w:pPr>
              <w:ind w:left="800"/>
              <w:spacing w:after="0" w:line="189" w:lineRule="exact"/>
              <w:rPr>
                <w:sz w:val="20"/>
                <w:szCs w:val="20"/>
                <w:color w:val="auto"/>
              </w:rPr>
            </w:pPr>
            <w:r>
              <w:rPr>
                <w:rFonts w:ascii="Arial" w:cs="Arial" w:eastAsia="Arial" w:hAnsi="Arial"/>
                <w:sz w:val="17"/>
                <w:szCs w:val="17"/>
                <w:color w:val="auto"/>
              </w:rPr>
              <w:t>Long-term debt, net of</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1840" w:type="dxa"/>
            <w:vAlign w:val="bottom"/>
          </w:tcPr>
          <w:p>
            <w:pPr>
              <w:spacing w:after="0"/>
              <w:rPr>
                <w:sz w:val="20"/>
                <w:szCs w:val="20"/>
                <w:color w:val="auto"/>
              </w:rPr>
            </w:pPr>
            <w:r>
              <w:rPr>
                <w:rFonts w:ascii="Arial" w:cs="Arial" w:eastAsia="Arial" w:hAnsi="Arial"/>
                <w:sz w:val="17"/>
                <w:szCs w:val="17"/>
                <w:color w:val="auto"/>
              </w:rPr>
              <w:t>Long-term debt</w:t>
            </w:r>
          </w:p>
        </w:tc>
        <w:tc>
          <w:tcPr>
            <w:tcW w:w="2720" w:type="dxa"/>
            <w:vAlign w:val="bottom"/>
          </w:tcPr>
          <w:p>
            <w:pPr>
              <w:ind w:left="800"/>
              <w:spacing w:after="0"/>
              <w:rPr>
                <w:sz w:val="20"/>
                <w:szCs w:val="20"/>
                <w:color w:val="auto"/>
              </w:rPr>
            </w:pPr>
            <w:r>
              <w:rPr>
                <w:rFonts w:ascii="Arial" w:cs="Arial" w:eastAsia="Arial" w:hAnsi="Arial"/>
                <w:sz w:val="17"/>
                <w:szCs w:val="17"/>
                <w:color w:val="auto"/>
              </w:rPr>
              <w:t>current portion</w:t>
            </w:r>
          </w:p>
        </w:tc>
        <w:tc>
          <w:tcPr>
            <w:tcW w:w="1280" w:type="dxa"/>
            <w:vAlign w:val="bottom"/>
          </w:tcPr>
          <w:p>
            <w:pPr>
              <w:ind w:left="20"/>
              <w:spacing w:after="0"/>
              <w:rPr>
                <w:sz w:val="20"/>
                <w:szCs w:val="20"/>
                <w:color w:val="auto"/>
              </w:rPr>
            </w:pPr>
            <w:r>
              <w:rPr>
                <w:rFonts w:ascii="Arial" w:cs="Arial" w:eastAsia="Arial" w:hAnsi="Arial"/>
                <w:sz w:val="17"/>
                <w:szCs w:val="17"/>
                <w:color w:val="auto"/>
              </w:rPr>
              <w:t>Carrying value</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672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672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18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681</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Kodak does not utilize financial instruments for trading or other speculative purposes.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Fair values of marketable securities are determined using quoted prices in active markets for identical assets (Level 1 fair value measurements). Fair values of Kodak’s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Transfers between levels of the fair value hierarchy are recognized based on the actual date of the event or change in circumstances that caused the transfer. There were no transfers between levels of the fair value hierarchy during the quarter ended March 31, 2015.</w:t>
      </w:r>
    </w:p>
    <w:p>
      <w:pPr>
        <w:spacing w:after="0" w:line="20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Fair values of long-term borrowings are determined by reference to quoted market prices, if available, or by pricing models based on the value of related cash flows discounted at current market interest rates. The carrying values of cash and cash equivalents and trade receivables (which are not shown in the table above) approximate their fair values.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w:t>
      </w:r>
    </w:p>
    <w:p>
      <w:pPr>
        <w:spacing w:after="0" w:line="232"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Foreign exchange gains and losses arising from transactions denominated in a currency other than the functional currency of the entity involved are included in Other charges, net in the accompanying Consolidated Statement of Operations. The net effects of foreign currency transactions, including changes in the fair value of foreign exchange contracts, are shown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0"/>
              </w:rPr>
              <w:t>Three Months Ended</w:t>
            </w:r>
          </w:p>
        </w:tc>
      </w:tr>
      <w:tr>
        <w:trPr>
          <w:trHeight w:val="223"/>
        </w:trPr>
        <w:tc>
          <w:tcPr>
            <w:tcW w:w="3740" w:type="dxa"/>
            <w:vAlign w:val="bottom"/>
          </w:tcPr>
          <w:p>
            <w:pPr>
              <w:spacing w:after="0"/>
              <w:rPr>
                <w:sz w:val="19"/>
                <w:szCs w:val="19"/>
                <w:color w:val="auto"/>
              </w:rPr>
            </w:pPr>
          </w:p>
        </w:tc>
        <w:tc>
          <w:tcPr>
            <w:tcW w:w="4940" w:type="dxa"/>
            <w:vAlign w:val="bottom"/>
            <w:gridSpan w:val="2"/>
          </w:tcPr>
          <w:p>
            <w:pPr>
              <w:ind w:left="1280"/>
              <w:spacing w:after="0"/>
              <w:rPr>
                <w:sz w:val="20"/>
                <w:szCs w:val="20"/>
                <w:color w:val="auto"/>
              </w:rPr>
            </w:pPr>
            <w:r>
              <w:rPr>
                <w:rFonts w:ascii="Arial" w:cs="Arial" w:eastAsia="Arial" w:hAnsi="Arial"/>
                <w:sz w:val="17"/>
                <w:szCs w:val="17"/>
                <w:b w:val="1"/>
                <w:bCs w:val="1"/>
                <w:color w:val="auto"/>
                <w:w w:val="91"/>
              </w:rPr>
              <w:t>Location of Gain or (Loss) Recognized in Income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center"/>
              <w:ind w:left="476"/>
              <w:spacing w:after="0"/>
              <w:rPr>
                <w:sz w:val="20"/>
                <w:szCs w:val="20"/>
                <w:color w:val="auto"/>
              </w:rPr>
            </w:pPr>
            <w:r>
              <w:rPr>
                <w:rFonts w:ascii="Arial" w:cs="Arial" w:eastAsia="Arial" w:hAnsi="Arial"/>
                <w:sz w:val="17"/>
                <w:szCs w:val="17"/>
                <w:b w:val="1"/>
                <w:bCs w:val="1"/>
                <w:color w:val="auto"/>
                <w:w w:val="91"/>
              </w:rPr>
              <w:t>March 31,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7"/>
                <w:szCs w:val="17"/>
                <w:color w:val="auto"/>
              </w:rPr>
              <w:t>(in millions)</w:t>
            </w:r>
          </w:p>
        </w:tc>
        <w:tc>
          <w:tcPr>
            <w:tcW w:w="1280" w:type="dxa"/>
            <w:vAlign w:val="bottom"/>
          </w:tcPr>
          <w:p>
            <w:pPr>
              <w:spacing w:after="0"/>
              <w:rPr>
                <w:sz w:val="17"/>
                <w:szCs w:val="17"/>
                <w:color w:val="auto"/>
              </w:rPr>
            </w:pPr>
          </w:p>
        </w:tc>
        <w:tc>
          <w:tcPr>
            <w:tcW w:w="3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7"/>
                <w:szCs w:val="17"/>
                <w:color w:val="auto"/>
              </w:rPr>
            </w:pPr>
          </w:p>
        </w:tc>
      </w:tr>
      <w:tr>
        <w:trPr>
          <w:trHeight w:val="201"/>
        </w:trPr>
        <w:tc>
          <w:tcPr>
            <w:tcW w:w="374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gains (losses), net</w:t>
            </w:r>
          </w:p>
        </w:tc>
        <w:tc>
          <w:tcPr>
            <w:tcW w:w="494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Other charges, net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232"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Kodak manages such exposures, in part, with derivative financial instruments.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Kodak’s exposure to changes in interest rates results from its investing and borrowing activities used to meet its liquidity needs.</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Foreign currency forward contracts are used to mitigate currency risk related to foreign currency denominated assets and liabilities. Kodak’s foreign currency forward contracts are not designated as hedges, and are marked to market through net loss at the same time that the exposed assets and liabilities are re-measured through net loss. The notional amount of such contracts open at March 31, 2015 was approximately $498 million. The majority of the contracts of this type held by Kodak are denominated in euros and Chinese renminbi.</w:t>
      </w:r>
    </w:p>
    <w:p>
      <w:pPr>
        <w:spacing w:after="0" w:line="203"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Kodak had no derivatives designated as hedging instruments for the three months ended March 31, 2015 and 2014. The location and amounts of pre-tax gains and losses related to derivatives not designated as hedging instruments reported in the Consolidated Statement of Operations are shown in the following table:</w:t>
      </w:r>
    </w:p>
    <w:p>
      <w:pPr>
        <w:spacing w:after="0" w:line="165" w:lineRule="exact"/>
        <w:rPr>
          <w:sz w:val="20"/>
          <w:szCs w:val="20"/>
          <w:color w:val="auto"/>
        </w:rPr>
      </w:pPr>
    </w:p>
    <w:p>
      <w:pPr>
        <w:ind w:right="5600"/>
        <w:spacing w:after="0" w:line="273" w:lineRule="auto"/>
        <w:rPr>
          <w:sz w:val="20"/>
          <w:szCs w:val="20"/>
          <w:color w:val="auto"/>
        </w:rPr>
      </w:pPr>
      <w:r>
        <w:rPr>
          <w:rFonts w:ascii="Arial" w:cs="Arial" w:eastAsia="Arial" w:hAnsi="Arial"/>
          <w:sz w:val="17"/>
          <w:szCs w:val="17"/>
          <w:b w:val="1"/>
          <w:bCs w:val="1"/>
          <w:color w:val="auto"/>
        </w:rPr>
        <w:t xml:space="preserve">Derivatives Not Designated as Hedging Instruments, Foreign Exchange Contracts </w:t>
      </w:r>
      <w:r>
        <w:rPr>
          <w:rFonts w:ascii="Arial" w:cs="Arial" w:eastAsia="Arial" w:hAnsi="Arial"/>
          <w:sz w:val="17"/>
          <w:szCs w:val="17"/>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6"/>
          </w:tcPr>
          <w:p>
            <w:pPr>
              <w:jc w:val="center"/>
              <w:ind w:right="120"/>
              <w:spacing w:after="0"/>
              <w:rPr>
                <w:sz w:val="20"/>
                <w:szCs w:val="20"/>
                <w:color w:val="auto"/>
              </w:rPr>
            </w:pPr>
            <w:r>
              <w:rPr>
                <w:rFonts w:ascii="Arial" w:cs="Arial" w:eastAsia="Arial" w:hAnsi="Arial"/>
                <w:sz w:val="17"/>
                <w:szCs w:val="17"/>
                <w:b w:val="1"/>
                <w:bCs w:val="1"/>
                <w:color w:val="auto"/>
                <w:w w:val="87"/>
              </w:rPr>
              <w:t>Gain (Loss) Recognized in Income</w:t>
            </w:r>
          </w:p>
        </w:tc>
      </w:tr>
      <w:tr>
        <w:trPr>
          <w:trHeight w:val="223"/>
        </w:trPr>
        <w:tc>
          <w:tcPr>
            <w:tcW w:w="8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Location of Gain or (Loss) Recognized in Income on Derivative</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7"/>
                <w:szCs w:val="17"/>
                <w:b w:val="1"/>
                <w:bCs w:val="1"/>
                <w:color w:val="auto"/>
                <w:w w:val="89"/>
              </w:rPr>
              <w:t>on Derivative</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4"/>
          </w:tcPr>
          <w:p>
            <w:pPr>
              <w:jc w:val="center"/>
              <w:ind w:left="136"/>
              <w:spacing w:after="0" w:line="185" w:lineRule="exact"/>
              <w:rPr>
                <w:sz w:val="20"/>
                <w:szCs w:val="20"/>
                <w:color w:val="auto"/>
              </w:rPr>
            </w:pPr>
            <w:r>
              <w:rPr>
                <w:rFonts w:ascii="Arial" w:cs="Arial" w:eastAsia="Arial" w:hAnsi="Arial"/>
                <w:sz w:val="17"/>
                <w:szCs w:val="17"/>
                <w:b w:val="1"/>
                <w:bCs w:val="1"/>
                <w:color w:val="auto"/>
                <w:w w:val="90"/>
              </w:rPr>
              <w:t>Three Months Ended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8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7"/>
                <w:szCs w:val="17"/>
                <w:b w:val="1"/>
                <w:bCs w:val="1"/>
                <w:color w:val="auto"/>
                <w:w w:val="91"/>
              </w:rPr>
              <w:t>March 31,</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2014</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88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120" w:type="dxa"/>
            <w:vAlign w:val="bottom"/>
            <w:gridSpan w:val="2"/>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bl>
    <w:p>
      <w:pPr>
        <w:spacing w:after="0" w:line="390"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March 31, 2015 was not significant to Kodak.</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the event of a default under the Company’s Senior Secured First Lien Term Credit Agreement, Senior Secured Second Lien Term Credit Agreement,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30" w:right="239" w:bottom="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Kodak is a technology company focused on imaging for business. Kodak provides commercial products and services built on its expertise in three core technologies: materials science; digital imaging science and software; and deposition processes. Kodak’s portfolio of products and services is designed to meet the needs of customers in different sectors and cycles of the commercial imaging and printing markets. Kodak leverages its core technology products and services to develop solutions for the product goods packaging and graphic communications markets, and is commercializing products for the functional printing market. Kodak also offers brand licensing and intellectual property opportunities, provides products and services for motion pictures and other commercial films, and sells ink to its existing installed consumer inkjet printer base.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Revenue declined $61 million (13%) compared to the prior year quarter, with more than half the decline (approximately $35 million or 7%) due to the adverse impact of foreign currency. Operating cost reductions more than offset the resulting impact of the revenue decline on gross profit, improving the loss from continuing operations before income taxes by $10 million (17%) compared to the prior year quarter.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discussion of some of Kodak’s opportunities and challenges follow:</w:t>
      </w:r>
    </w:p>
    <w:p>
      <w:pPr>
        <w:spacing w:after="0" w:line="232" w:lineRule="exact"/>
        <w:rPr>
          <w:sz w:val="20"/>
          <w:szCs w:val="20"/>
          <w:color w:val="auto"/>
        </w:rPr>
      </w:pPr>
    </w:p>
    <w:p>
      <w:pPr>
        <w:jc w:val="both"/>
        <w:ind w:left="600" w:hanging="361"/>
        <w:spacing w:after="0" w:line="251"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Print Systems’ digital plate offerings include traditional digital plates and KODAK SONORA Process Free Plates. SONORA Process Free Plates yield environmental benefits for customers by removing the need for the plate processor, eliminating the associated use of chemicals, water and energy. While traditional digital plate offerings are experiencing pricing pressure, innovations in Kodak product lines, such as SONORA Process Free Plates, that command premium prices as well as drive increases in unit volumes are expected to offset some of the long-term price erosion in the market. Total plate volumes increased 2% year over year in the first quarter of 2015. Print Systems’ revenues declined $34 million compared with the prior year quarter, with approximately $24 million of the decline attributable to the adverse impact of foreign currency.</w:t>
      </w:r>
    </w:p>
    <w:p>
      <w:pPr>
        <w:spacing w:after="0" w:line="206" w:lineRule="exact"/>
        <w:rPr>
          <w:rFonts w:ascii="Arial" w:cs="Arial" w:eastAsia="Arial" w:hAnsi="Arial"/>
          <w:sz w:val="17"/>
          <w:szCs w:val="17"/>
          <w:color w:val="auto"/>
        </w:rPr>
      </w:pPr>
    </w:p>
    <w:p>
      <w:pPr>
        <w:jc w:val="both"/>
        <w:ind w:left="600" w:hanging="361"/>
        <w:spacing w:after="0" w:line="291" w:lineRule="auto"/>
        <w:tabs>
          <w:tab w:leader="none" w:pos="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Enterprise Inkjet Systems, the legacy Versamark business is expected to continue to decline as a percentage of the segment’s total revenue as the Prosper business scales up. Kodak expects Prosper products will represent the majority of the revenue in this business by the end of 2015, driven by the placement of Prosper press Systems, S-series printing heads and the related annuities. Kodak’s Prosper Inkjet Systems business is early in its lifecycle but is expected to build scale and profitability, placing equipment with direct customers as well as a growing base of original equipment manufacturer (“OEM”) partners. Revenues from the Kodak Prosper portfolio increased 23% in the first quarter of 2015 versus the prior year quarter. Enterprise Inkjet Systems’ revenue declined $9 million compared with the prior year quarter, with approximately $4 million of the decline attributable to the adverse impact of foreign currency.</w:t>
      </w:r>
    </w:p>
    <w:p>
      <w:pPr>
        <w:spacing w:after="0" w:line="178" w:lineRule="exact"/>
        <w:rPr>
          <w:rFonts w:ascii="Arial" w:cs="Arial" w:eastAsia="Arial" w:hAnsi="Arial"/>
          <w:sz w:val="15"/>
          <w:szCs w:val="15"/>
          <w:color w:val="auto"/>
        </w:rPr>
      </w:pPr>
    </w:p>
    <w:p>
      <w:pPr>
        <w:jc w:val="both"/>
        <w:ind w:left="600" w:hanging="361"/>
        <w:spacing w:after="0" w:line="267"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Micro 3D Printing and Packaging the earnings contribution from Packaging offsets the cost of developing the Micro 3D Printing business. Within Micro 3D Printing, Kodak is developing solutions in two technologies – silver halide mesh and copper mesh. Following the end of its partnership with Unipixel, Kodak is moving forward independently with development of copper mesh touch sensor technology and performing a comprehensive review of the market and sales opportunities for this technology. Kodak expects continued growth in Packaging, as well as the transition from investment to commercialization of product in Micro 3D Printing, will result in revenue and earnings growth in this segment. Growth in Packaging revenue is driven by an increasing installed base of Flexcel NX Systems which drives growth in Flexcel NX plate volumes. Flexcel NX plate volume improved by 27% in the first quarter of 2015 versus the prior year quarter. Micro 3D Printing and Packaging revenue increased $2 million compared with the prior year quarter despite an adverse impact of foreign currency of approximately $3 million compared to the prior year quarter.</w:t>
      </w:r>
    </w:p>
    <w:p>
      <w:pPr>
        <w:spacing w:after="0" w:line="197" w:lineRule="exact"/>
        <w:rPr>
          <w:rFonts w:ascii="Arial" w:cs="Arial" w:eastAsia="Arial" w:hAnsi="Arial"/>
          <w:sz w:val="16"/>
          <w:szCs w:val="16"/>
          <w:color w:val="auto"/>
        </w:rPr>
      </w:pPr>
    </w:p>
    <w:p>
      <w:pPr>
        <w:ind w:left="600" w:hanging="361"/>
        <w:spacing w:after="0" w:line="268"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Consumer and Film segment’s revenues are expected to continue to decline primarily due to a continued decline in the existing installed base of Kodak’s consumer inkjet printers. Consumer and Film’s revenue declined $14 million compared with the prior year quarter.</w:t>
      </w:r>
    </w:p>
    <w:p>
      <w:pPr>
        <w:spacing w:after="0" w:line="191" w:lineRule="exact"/>
        <w:rPr>
          <w:rFonts w:ascii="Arial" w:cs="Arial" w:eastAsia="Arial" w:hAnsi="Arial"/>
          <w:sz w:val="17"/>
          <w:szCs w:val="17"/>
          <w:color w:val="auto"/>
        </w:rPr>
      </w:pPr>
    </w:p>
    <w:p>
      <w:pPr>
        <w:jc w:val="both"/>
        <w:ind w:left="600" w:hanging="361"/>
        <w:spacing w:after="0" w:line="257"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SG&amp;A and research and development (“R&amp;D”) expenses declined a combined $37 million from the first quarter of 2014 to the first quarter of 2015 as the result of a number of actions including headcount reductions, reduced overhead costs, savings from global benefit changes, facilities consolidations and renegotiations of vendor contracts.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KODAK OPERATING MODEL AND REPORTING STRUCTURE</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Effective January 1, 2015, Kodak implemented a new organizational structure to make the company faster-moving, more competitive and more entrepreneurial. Financial information is reported for seven segments: Print Systems, Enterprise Inkjet Systems, Micro 3D Printing and Packaging, Software and Solutions, Consumer and Film, Intellectual Property Solutions and Eastman Business Park.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Change in Segment Measure of Profit and Loss</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Kodak changed its segment measure of profit and loss to an adjusted earnings before interest, taxes, depreciation and amortization (“Operational EBITDA”) concurrent with the change in organizational structure. The segment measure now excludes depreciation and amortization, stock-based compensation, certain consulting costs, costs previously allocated to discontinued operations, the impact of fresh start adjustments and idle costs. Prior period segment results have been revised to reflect these changes.</w:t>
      </w:r>
    </w:p>
    <w:p>
      <w:pPr>
        <w:spacing w:after="0" w:line="203"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p>
    <w:p>
      <w:pPr>
        <w:spacing w:after="0" w:line="23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 While the businesses in this segment are experiencing pricing pressure, continued innovations in Kodak product lines that can command premium prices, as well as continued increases in unit volumes, offset some of the long term market price erosion.</w:t>
      </w:r>
    </w:p>
    <w:p>
      <w:pPr>
        <w:spacing w:after="0" w:line="18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color w:val="auto"/>
        </w:rPr>
        <w:t xml:space="preserve">Prepress Solutions: </w:t>
      </w:r>
      <w:r>
        <w:rPr>
          <w:rFonts w:ascii="Arial" w:cs="Arial" w:eastAsia="Arial" w:hAnsi="Arial"/>
          <w:sz w:val="17"/>
          <w:szCs w:val="17"/>
          <w:color w:val="auto"/>
        </w:rPr>
        <w:t>Kodak’s Prepress Solutions portfolio, covering the prepress portion of the digital offset printing market, includes Computer-to-Plate (“CTP”)</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and digital plates used to transfer images onto paper or other substrates. Offset printing is the traditional and most commonly used form of printing in today’s marketplace.</w:t>
      </w:r>
    </w:p>
    <w:p>
      <w:pPr>
        <w:spacing w:after="0" w:line="198" w:lineRule="exact"/>
        <w:rPr>
          <w:sz w:val="20"/>
          <w:szCs w:val="20"/>
          <w:color w:val="auto"/>
        </w:rPr>
      </w:pPr>
    </w:p>
    <w:p>
      <w:pPr>
        <w:jc w:val="both"/>
        <w:ind w:left="600" w:hanging="361"/>
        <w:spacing w:after="0" w:line="275"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CTP thermal output devices write the desired image for offset printing onto an aluminum digital plate. These digital plates provide a consistent, high quality image carrier for various offset print applications.. Kodak’s CTP products include the KODAK MAGNUS Platesetter and TRENDSETTER Platesetter with SQUAREspot Imaging Technology, which provides high resolution, consistency and stability in thermal imaging, as well as the ACHIEVE Platesetter with TH5 imaging technology which provides a highly efficient and cost effective imaging solution for entry level customer needs.</w:t>
      </w:r>
    </w:p>
    <w:p>
      <w:pPr>
        <w:spacing w:after="0" w:line="187" w:lineRule="exact"/>
        <w:rPr>
          <w:rFonts w:ascii="Arial" w:cs="Arial" w:eastAsia="Arial" w:hAnsi="Arial"/>
          <w:sz w:val="16"/>
          <w:szCs w:val="16"/>
          <w:color w:val="auto"/>
        </w:rPr>
      </w:pPr>
    </w:p>
    <w:p>
      <w:pPr>
        <w:jc w:val="both"/>
        <w:ind w:left="600" w:hanging="361"/>
        <w:spacing w:after="0" w:line="257"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Kodak’s digital plate offerings include traditional digital plates and KODAK SONORA Process Free Plates. KODAK SONORA Process Free Plates deliver cost savings and efficiency and promote sustainability practices and credentials because they do not require processing chemistry, processing equipment, or chemical disposal.</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Prepress Solutions products and services are sold globally to customers both directly by Kodak and indirectly through dealers.</w:t>
      </w:r>
    </w:p>
    <w:p>
      <w:pPr>
        <w:spacing w:after="0" w:line="207"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color w:val="auto"/>
        </w:rPr>
        <w:t>Kodak is building its Prepress Solutions business by investing in process-free technology; driving a total, optimized prepress solution for customers; expanding in emerging markets, and driving manufacturing operational excellence, profitability and sustainable business practices.</w:t>
      </w:r>
    </w:p>
    <w:p>
      <w:pPr>
        <w:spacing w:after="0" w:line="192"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Kodak faces competition from other companies that offer commercial offset and digital printing equipment, consumables and service. Competitiveness is generally focused on a broad range of technology that provides customers a higher quality, more efficient and cost effective prepress solution at an effective price.</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 xml:space="preserve">Electrophotographic Printing Solutions: </w:t>
      </w:r>
      <w:r>
        <w:rPr>
          <w:rFonts w:ascii="Arial" w:cs="Arial" w:eastAsia="Arial" w:hAnsi="Arial"/>
          <w:sz w:val="16"/>
          <w:szCs w:val="16"/>
          <w:color w:val="auto"/>
        </w:rPr>
        <w:t>Kodak’s Electrophotographic Printing Solutions (“EPS”) business focuses on digital printing technologies that utilize</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image carriers to apply toner based inks to a variety of substrates. EPS encompasses the NEXPRESS Press Platform and the DIGIMASTER Production Platform. The NEXPRESS Press Platform offers high-quality, differentiated printing of short-run, personalized print applications such as direct mail, books, marketing collateral and photo products. The DIGIMASTER Production Platform uses monochrome electrophotographic printing technology to create high-quality printing of statements, short run books, corporate documentation, manuals and direct mail.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Enterprise Inkjet Systems</w:t>
      </w:r>
    </w:p>
    <w:p>
      <w:pPr>
        <w:spacing w:after="0" w:line="236"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Enterprise Inkjet Systems segment is comprised of commercial inkjet printing solutions and digital front-end controllers. The Enterprise Inkjet Systems segment serves a variety of customers in the commercial printing, packaging, newspaper, digital service bureau market and in-plant segments with a range of software, media and hardware products. Enterprise Inkjet Systems products and services are sold both directly by Kodak and indirectly through dealers. While not as established as the Print Systems segment, the Enterprise Inkjet Systems segment includes established and growing product lines with recurring revenues from sales of equipment, consumables, and service.</w:t>
      </w:r>
    </w:p>
    <w:p>
      <w:pPr>
        <w:spacing w:after="0" w:line="206" w:lineRule="exact"/>
        <w:rPr>
          <w:sz w:val="20"/>
          <w:szCs w:val="20"/>
          <w:color w:val="auto"/>
        </w:rPr>
      </w:pPr>
    </w:p>
    <w:p>
      <w:pPr>
        <w:ind w:right="540"/>
        <w:spacing w:after="0" w:line="268" w:lineRule="auto"/>
        <w:rPr>
          <w:sz w:val="20"/>
          <w:szCs w:val="20"/>
          <w:color w:val="auto"/>
        </w:rPr>
      </w:pPr>
      <w:r>
        <w:rPr>
          <w:rFonts w:ascii="Arial" w:cs="Arial" w:eastAsia="Arial" w:hAnsi="Arial"/>
          <w:sz w:val="17"/>
          <w:szCs w:val="17"/>
          <w:color w:val="auto"/>
        </w:rPr>
        <w:t>Kodak’s commercial inkjet printing solutions product offering includes the PROSPER Press and PROSPER System Hybrid Components, featuring ultrafast inkjet droplet generation and digital front-end controllers (“DFEs”).</w:t>
      </w:r>
    </w:p>
    <w:p>
      <w:pPr>
        <w:spacing w:after="0" w:line="192" w:lineRule="exact"/>
        <w:rPr>
          <w:sz w:val="20"/>
          <w:szCs w:val="20"/>
          <w:color w:val="auto"/>
        </w:rPr>
      </w:pPr>
    </w:p>
    <w:p>
      <w:pPr>
        <w:jc w:val="both"/>
        <w:ind w:left="760" w:hanging="445"/>
        <w:spacing w:after="0" w:line="298" w:lineRule="auto"/>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PROSPER Press features Stream Inkjet Technology, which delivers a continuous flow of ink that enables constant and consistent operation, with uniform ink droplet size and accurate placement, even at very high print speeds. Applications of the PROSPER Press include publishing, commercial print, direct mail, and packaging. The business also includes a large base of customers who continue to use KODAK VERSAMARK Products, the predecessor products to the PROSPER Press. Users of KODAK VERSAMARK Products continue to purchase ink and other consumables as well as service from Kodak.</w:t>
      </w:r>
    </w:p>
    <w:p>
      <w:pPr>
        <w:spacing w:after="0" w:line="174" w:lineRule="exact"/>
        <w:rPr>
          <w:rFonts w:ascii="Arial" w:cs="Arial" w:eastAsia="Arial" w:hAnsi="Arial"/>
          <w:sz w:val="15"/>
          <w:szCs w:val="15"/>
          <w:color w:val="auto"/>
        </w:rPr>
      </w:pPr>
    </w:p>
    <w:p>
      <w:pPr>
        <w:jc w:val="both"/>
        <w:ind w:left="760" w:hanging="445"/>
        <w:spacing w:after="0" w:line="275"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PROSPER System Hybrid Components are also integrated into original equipment manufacturer partner portfolios where the manufacturer combines PROSPER Writing Systems with its press systems that transport webs of paper and other substrates through the press.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ink usage.</w:t>
      </w:r>
    </w:p>
    <w:p>
      <w:pPr>
        <w:spacing w:after="0" w:line="187" w:lineRule="exact"/>
        <w:rPr>
          <w:rFonts w:ascii="Arial" w:cs="Arial" w:eastAsia="Arial" w:hAnsi="Arial"/>
          <w:sz w:val="16"/>
          <w:szCs w:val="16"/>
          <w:color w:val="auto"/>
        </w:rPr>
      </w:pPr>
    </w:p>
    <w:p>
      <w:pPr>
        <w:ind w:left="760" w:hanging="445"/>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Kodak’s DFEs drive personalized content to digital presses while controlling color and print consistency.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Micro 3D Printing and Packaging</w:t>
      </w:r>
    </w:p>
    <w:p>
      <w:pPr>
        <w:spacing w:after="0" w:line="23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The Micro 3D Printing and Packaging segment is comprised of Packaging and Micro 3D Printing. Packaging and Micro 3D Printing includes flexographic printing equipment and plates and related consumables and services, as well as printed functional materials and components. Micro 3D Printing is a new line of business that seeks to provide innovative printing techniques to customers for both premium marketing applications and manufacturing applications. Because Micro 3D Printing is a new line of business, the Micro 3D Printing and Packaging segment currently requires a higher degree of investment and has a lower contribution to earnings than other segments. Micro 3D Printing and Packaging products are sold directly by Kodak and indirectly through dealers.</w:t>
      </w:r>
    </w:p>
    <w:p>
      <w:pPr>
        <w:spacing w:after="0" w:line="193" w:lineRule="exact"/>
        <w:rPr>
          <w:sz w:val="20"/>
          <w:szCs w:val="20"/>
          <w:color w:val="auto"/>
        </w:rPr>
      </w:pPr>
    </w:p>
    <w:p>
      <w:pPr>
        <w:jc w:val="both"/>
        <w:ind w:left="600" w:hanging="361"/>
        <w:spacing w:after="0" w:line="252"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Packaging business includes Kodak’s FLEXCEL NX System and FLEXCEL Direct Platform, which offer digitization into the flexographic print market. The FLEXCEL NX System uses Kodak’s proprietary SQUAREspot laser imaging technology to produce high resolution imaging that reduces waste and ink usage. The FLEXCEL Direct Platform delivers processless high productivity and the environmental benefits of a processless solution. These print production capabilities leverage a portfolio of offset, flexographic, and digital products and services, which help enable customers to preserve brand equity, enhance shelf appeal, and drive efficiency from design to solution.</w:t>
      </w:r>
    </w:p>
    <w:p>
      <w:pPr>
        <w:spacing w:after="0" w:line="205" w:lineRule="exact"/>
        <w:rPr>
          <w:rFonts w:ascii="Arial" w:cs="Arial" w:eastAsia="Arial" w:hAnsi="Arial"/>
          <w:sz w:val="17"/>
          <w:szCs w:val="17"/>
          <w:color w:val="auto"/>
        </w:rPr>
      </w:pPr>
    </w:p>
    <w:p>
      <w:pPr>
        <w:jc w:val="both"/>
        <w:ind w:left="600" w:hanging="361"/>
        <w:spacing w:after="0" w:line="268"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Micro 3D Printing business focuses on leveraging Kodak’s expertise in imaging and materials science and deposition processes to create products using printing processes instead of traditional manufacturing techniques. Micro 3D Printing offers many advantages over traditional manufacturing, including cost, conductivity and environmental impact. The Micro 3D Printing business is in a start-up phase. Kodak’s first initiatives in Micro 3D Printing are focusing on two separate solutions that are expected to provide touch panel sensor films to the touchscreen industry. These solutions consist of a silver halide-based solution and a copper mesh solution. The silver halide-based solution is being commercialized in collaboration with a business partner. Following the end of its partnership with Unipixel, Kodak is moving forward independently with development of copper mesh touch sensor technology and performing a comprehensive review of the market and sales opportunities for this technology.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and Solutions</w:t>
      </w:r>
    </w:p>
    <w:p>
      <w:pPr>
        <w:spacing w:after="0" w:line="236" w:lineRule="exact"/>
        <w:rPr>
          <w:sz w:val="20"/>
          <w:szCs w:val="20"/>
          <w:color w:val="auto"/>
        </w:rPr>
      </w:pPr>
    </w:p>
    <w:p>
      <w:pPr>
        <w:ind w:right="600"/>
        <w:spacing w:after="0" w:line="257" w:lineRule="auto"/>
        <w:rPr>
          <w:sz w:val="20"/>
          <w:szCs w:val="20"/>
          <w:color w:val="auto"/>
        </w:rPr>
      </w:pPr>
      <w:r>
        <w:rPr>
          <w:rFonts w:ascii="Arial" w:cs="Arial" w:eastAsia="Arial" w:hAnsi="Arial"/>
          <w:sz w:val="17"/>
          <w:szCs w:val="17"/>
          <w:color w:val="auto"/>
        </w:rPr>
        <w:t>The Software and Solutions segment is comprised of Kodak Technology Solutions, which includes enterprise services and solutions, and Unified Workflow Solutions. Unified Workflow Solutions is an established product line whereas Kodak Technology Solutions includes growing product lines that leverage existing Kodak technologies and IP in new applications.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These business initiatives generally do not require substantial additional investment and it is expected that they will grow in contribution to earnings.</w:t>
      </w:r>
    </w:p>
    <w:p>
      <w:pPr>
        <w:spacing w:after="0" w:line="232" w:lineRule="exact"/>
        <w:rPr>
          <w:sz w:val="20"/>
          <w:szCs w:val="20"/>
          <w:color w:val="auto"/>
        </w:rPr>
      </w:pPr>
    </w:p>
    <w:p>
      <w:pPr>
        <w:jc w:val="both"/>
        <w:ind w:left="600" w:hanging="361"/>
        <w:spacing w:after="0" w:line="291" w:lineRule="auto"/>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Kodak Technology Solutions has the mandate to continually ensure the monetization of Kodak’s advances in material science and digital technologies. Kodak Technology Solutions assists organizations with challenges and opportunities created by the worldwide digital transformation. Kodak Technology Solutions provides print and managed media services that provide customers with solutions for their printing requirements using Kodak technologies; brand protection technologies and services to help brand owners combat counterfeiters and diverters; web-based solutions for managing brand assets and content creation; and document management services, including expertise in the capture, archiving, retrieval and delivery of documents. Kodak Technology Solutions serves customers in numerous sectors, including governments, pharmaceuticals and life sciences, consumer and luxury product goods and retail and financial services.</w:t>
      </w:r>
    </w:p>
    <w:p>
      <w:pPr>
        <w:spacing w:after="0" w:line="178" w:lineRule="exact"/>
        <w:rPr>
          <w:rFonts w:ascii="Arial" w:cs="Arial" w:eastAsia="Arial" w:hAnsi="Arial"/>
          <w:sz w:val="15"/>
          <w:szCs w:val="15"/>
          <w:color w:val="auto"/>
        </w:rPr>
      </w:pPr>
    </w:p>
    <w:p>
      <w:pPr>
        <w:jc w:val="both"/>
        <w:ind w:left="600" w:hanging="361"/>
        <w:spacing w:after="0" w:line="275"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United Workflow Solutions is used by customers to manage digital and conventional print content from file creation to output. Kodak’s Unified Workflow Solutions includes KODAK PRINERGY Workflow Software, KODAK PREPS Imposition Software, KODAK COLORFLOW Software and the KODAK INSITE Software family of products. Unified Workflow Solutions manages content and color, reduces manual errors and helps customers manage the collaborative creative process. Unified Workflow Solutions is sold globally to customers both directly by Kodak and indirectly through dealers.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and Film</w:t>
      </w:r>
    </w:p>
    <w:p>
      <w:pPr>
        <w:spacing w:after="0" w:line="236"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The Consumer and Film segment is comprised of Consumer Inkjet Solutions, Entertainment Imaging and Commercial Films, and Brand Licensing. This segment represents legacy businesses that Kodak continues to offer to the market in response to prevailing customer demand, but which are expected to decline in revenue and contribution to earnings over time, primarily as a result of trends in Consumer Inkjet Solutions.</w:t>
      </w:r>
    </w:p>
    <w:p>
      <w:pPr>
        <w:spacing w:after="0" w:line="202" w:lineRule="exact"/>
        <w:rPr>
          <w:sz w:val="20"/>
          <w:szCs w:val="20"/>
          <w:color w:val="auto"/>
        </w:rPr>
      </w:pPr>
    </w:p>
    <w:p>
      <w:pPr>
        <w:ind w:left="600" w:hanging="36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Consumer Inkjet Solutions includes the sale of ink to Kodak’s existing installed base of consumer inkjet printers.</w:t>
      </w:r>
    </w:p>
    <w:p>
      <w:pPr>
        <w:spacing w:after="0" w:line="231" w:lineRule="exact"/>
        <w:rPr>
          <w:rFonts w:ascii="Arial" w:cs="Arial" w:eastAsia="Arial" w:hAnsi="Arial"/>
          <w:sz w:val="17"/>
          <w:szCs w:val="17"/>
          <w:color w:val="auto"/>
        </w:rPr>
      </w:pPr>
    </w:p>
    <w:p>
      <w:pPr>
        <w:jc w:val="both"/>
        <w:ind w:left="600" w:hanging="361"/>
        <w:spacing w:after="0" w:line="254"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Entertainment Imaging and Commercial Films includes the motion picture film business serving the entertainment and advertising industries. Motion picture products are sold directly to studios, laboratories and independent filmmakers. The group also offers industrial films, including films used by the electronics industry to produce printed circuit boards. Entertainment Imaging and Commercial Films also includes related component businesses: Polyester Film; Specialty Chemicals, Inks &amp; Dispersions, and Solvent Recovery.</w:t>
      </w:r>
    </w:p>
    <w:p>
      <w:pPr>
        <w:spacing w:after="0" w:line="203" w:lineRule="exact"/>
        <w:rPr>
          <w:rFonts w:ascii="Arial" w:cs="Arial" w:eastAsia="Arial" w:hAnsi="Arial"/>
          <w:sz w:val="17"/>
          <w:szCs w:val="17"/>
          <w:color w:val="auto"/>
        </w:rPr>
      </w:pPr>
    </w:p>
    <w:p>
      <w:pPr>
        <w:ind w:left="600" w:hanging="36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Brand Licensing includes licensing of Kodak brands to third parties for certain branded products that Kodak no longer produces.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Solutions</w:t>
      </w:r>
    </w:p>
    <w:p>
      <w:pPr>
        <w:spacing w:after="0" w:line="236"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The Intellectual Property Solutions segment includes Kodak’s Technology Center and Research activities as well as intellectual property licensing activities not directly related to other segments.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w:t>
      </w:r>
    </w:p>
    <w:p>
      <w:pPr>
        <w:spacing w:after="0" w:line="236"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The Eastman Business Park segment includes the operations of Eastman Business Park, a 1,200 acre technology center and industrial complex. A large portion of this facility is used in Kodak’s manufacturing and other operations while the remaining portion is occupied by external tenants or available for rent to external tenants. The cost of operating the facility for Kodak’s operations is included in the related segment’s results. Kodak will continue to market this facility to external parties to increase occupancy.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The following table illustrates where components of current year segments were reported in the prior period’s segment structure: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tcBorders>
              <w:right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7"/>
                <w:szCs w:val="17"/>
                <w:b w:val="1"/>
                <w:bCs w:val="1"/>
                <w:color w:val="auto"/>
              </w:rPr>
              <w:t>New Segment</w:t>
            </w:r>
          </w:p>
        </w:tc>
        <w:tc>
          <w:tcPr>
            <w:tcW w:w="4120" w:type="dxa"/>
            <w:vAlign w:val="bottom"/>
            <w:tcBorders>
              <w:top w:val="single" w:sz="8" w:color="auto"/>
              <w:bottom w:val="single" w:sz="8" w:color="auto"/>
            </w:tcBorders>
            <w:gridSpan w:val="2"/>
          </w:tcPr>
          <w:p>
            <w:pPr>
              <w:ind w:left="1060"/>
              <w:spacing w:after="0"/>
              <w:rPr>
                <w:sz w:val="20"/>
                <w:szCs w:val="20"/>
                <w:color w:val="auto"/>
              </w:rPr>
            </w:pPr>
            <w:r>
              <w:rPr>
                <w:rFonts w:ascii="Arial" w:cs="Arial" w:eastAsia="Arial" w:hAnsi="Arial"/>
                <w:sz w:val="17"/>
                <w:szCs w:val="17"/>
                <w:b w:val="1"/>
                <w:bCs w:val="1"/>
                <w:color w:val="auto"/>
                <w:w w:val="90"/>
              </w:rPr>
              <w:t>Where Reported Under Former Segments</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4740" w:type="dxa"/>
            <w:vAlign w:val="bottom"/>
            <w:tcBorders>
              <w:right w:val="single" w:sz="8" w:color="auto"/>
            </w:tcBorders>
            <w:gridSpan w:val="2"/>
          </w:tcPr>
          <w:p>
            <w:pPr>
              <w:ind w:left="300"/>
              <w:spacing w:after="0" w:line="172" w:lineRule="exact"/>
              <w:rPr>
                <w:sz w:val="20"/>
                <w:szCs w:val="20"/>
                <w:color w:val="auto"/>
              </w:rPr>
            </w:pPr>
            <w:r>
              <w:rPr>
                <w:rFonts w:ascii="Arial" w:cs="Arial" w:eastAsia="Arial" w:hAnsi="Arial"/>
                <w:sz w:val="17"/>
                <w:szCs w:val="17"/>
                <w:color w:val="auto"/>
              </w:rPr>
              <w:t>Print Systems:</w:t>
            </w:r>
          </w:p>
        </w:tc>
        <w:tc>
          <w:tcPr>
            <w:tcW w:w="3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80" w:type="dxa"/>
            <w:vAlign w:val="bottom"/>
            <w:tcBorders>
              <w:right w:val="single" w:sz="8" w:color="auto"/>
            </w:tcBorders>
          </w:tcPr>
          <w:p>
            <w:pPr>
              <w:spacing w:after="0"/>
              <w:rPr>
                <w:sz w:val="17"/>
                <w:szCs w:val="17"/>
                <w:color w:val="auto"/>
              </w:rPr>
            </w:pPr>
          </w:p>
        </w:tc>
        <w:tc>
          <w:tcPr>
            <w:tcW w:w="1040" w:type="dxa"/>
            <w:vAlign w:val="bottom"/>
          </w:tcPr>
          <w:p>
            <w:pPr>
              <w:ind w:left="900"/>
              <w:spacing w:after="0"/>
              <w:rPr>
                <w:sz w:val="20"/>
                <w:szCs w:val="20"/>
                <w:color w:val="auto"/>
              </w:rPr>
            </w:pPr>
            <w:r>
              <w:rPr>
                <w:rFonts w:ascii="Arial" w:cs="Arial" w:eastAsia="Arial" w:hAnsi="Arial"/>
                <w:sz w:val="17"/>
                <w:szCs w:val="17"/>
                <w:color w:val="auto"/>
              </w:rPr>
              <w:t>·</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Prepress Solutions</w:t>
            </w:r>
          </w:p>
        </w:tc>
        <w:tc>
          <w:tcPr>
            <w:tcW w:w="4660" w:type="dxa"/>
            <w:vAlign w:val="bottom"/>
            <w:gridSpan w:val="4"/>
          </w:tcPr>
          <w:p>
            <w:pPr>
              <w:ind w:left="920"/>
              <w:spacing w:after="0"/>
              <w:rPr>
                <w:sz w:val="20"/>
                <w:szCs w:val="20"/>
                <w:color w:val="auto"/>
              </w:rPr>
            </w:pPr>
            <w:r>
              <w:rPr>
                <w:rFonts w:ascii="Arial" w:cs="Arial" w:eastAsia="Arial" w:hAnsi="Arial"/>
                <w:sz w:val="17"/>
                <w:szCs w:val="17"/>
                <w:color w:val="auto"/>
                <w:w w:val="99"/>
              </w:rPr>
              <w:t>·  Graphics, Entertainment and Commercial Films</w:t>
            </w:r>
          </w:p>
        </w:tc>
        <w:tc>
          <w:tcPr>
            <w:tcW w:w="3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 w:type="dxa"/>
            <w:vAlign w:val="bottom"/>
            <w:tcBorders>
              <w:right w:val="single" w:sz="8" w:color="auto"/>
            </w:tcBorders>
          </w:tcPr>
          <w:p>
            <w:pPr>
              <w:spacing w:after="0"/>
              <w:rPr>
                <w:sz w:val="19"/>
                <w:szCs w:val="19"/>
                <w:color w:val="auto"/>
              </w:rPr>
            </w:pPr>
          </w:p>
        </w:tc>
        <w:tc>
          <w:tcPr>
            <w:tcW w:w="104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Electrophotographic Printing Solutions</w:t>
            </w:r>
          </w:p>
        </w:tc>
        <w:tc>
          <w:tcPr>
            <w:tcW w:w="4120" w:type="dxa"/>
            <w:vAlign w:val="bottom"/>
            <w:tcBorders>
              <w:bottom w:val="single" w:sz="8" w:color="auto"/>
            </w:tcBorders>
            <w:gridSpan w:val="2"/>
          </w:tcPr>
          <w:p>
            <w:pPr>
              <w:ind w:left="900"/>
              <w:spacing w:after="0"/>
              <w:rPr>
                <w:sz w:val="20"/>
                <w:szCs w:val="20"/>
                <w:color w:val="auto"/>
              </w:rPr>
            </w:pPr>
            <w:r>
              <w:rPr>
                <w:rFonts w:ascii="Arial" w:cs="Arial" w:eastAsia="Arial" w:hAnsi="Arial"/>
                <w:sz w:val="17"/>
                <w:szCs w:val="17"/>
                <w:color w:val="auto"/>
              </w:rPr>
              <w:t>·  Digital Printing and Enterprise</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0" w:type="dxa"/>
            <w:vAlign w:val="bottom"/>
            <w:tcBorders>
              <w:right w:val="single" w:sz="8" w:color="auto"/>
            </w:tcBorders>
          </w:tcPr>
          <w:p>
            <w:pPr>
              <w:spacing w:after="0"/>
              <w:rPr>
                <w:sz w:val="16"/>
                <w:szCs w:val="16"/>
                <w:color w:val="auto"/>
              </w:rPr>
            </w:pPr>
          </w:p>
        </w:tc>
        <w:tc>
          <w:tcPr>
            <w:tcW w:w="4740" w:type="dxa"/>
            <w:vAlign w:val="bottom"/>
            <w:tcBorders>
              <w:right w:val="single" w:sz="8" w:color="auto"/>
            </w:tcBorders>
            <w:gridSpan w:val="2"/>
          </w:tcPr>
          <w:p>
            <w:pPr>
              <w:ind w:left="300"/>
              <w:spacing w:after="0" w:line="189" w:lineRule="exact"/>
              <w:rPr>
                <w:sz w:val="20"/>
                <w:szCs w:val="20"/>
                <w:color w:val="auto"/>
              </w:rPr>
            </w:pPr>
            <w:r>
              <w:rPr>
                <w:rFonts w:ascii="Arial" w:cs="Arial" w:eastAsia="Arial" w:hAnsi="Arial"/>
                <w:sz w:val="17"/>
                <w:szCs w:val="17"/>
                <w:color w:val="auto"/>
              </w:rPr>
              <w:t>Enterprise Inkjet Systems:</w:t>
            </w:r>
          </w:p>
        </w:tc>
        <w:tc>
          <w:tcPr>
            <w:tcW w:w="3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0" w:type="dxa"/>
            <w:vAlign w:val="bottom"/>
            <w:tcBorders>
              <w:right w:val="single" w:sz="8" w:color="auto"/>
            </w:tcBorders>
          </w:tcPr>
          <w:p>
            <w:pPr>
              <w:spacing w:after="0"/>
              <w:rPr>
                <w:sz w:val="17"/>
                <w:szCs w:val="17"/>
                <w:color w:val="auto"/>
              </w:rPr>
            </w:pPr>
          </w:p>
        </w:tc>
        <w:tc>
          <w:tcPr>
            <w:tcW w:w="1040" w:type="dxa"/>
            <w:vAlign w:val="bottom"/>
          </w:tcPr>
          <w:p>
            <w:pPr>
              <w:ind w:left="900"/>
              <w:spacing w:after="0"/>
              <w:rPr>
                <w:sz w:val="20"/>
                <w:szCs w:val="20"/>
                <w:color w:val="auto"/>
              </w:rPr>
            </w:pPr>
            <w:r>
              <w:rPr>
                <w:rFonts w:ascii="Arial" w:cs="Arial" w:eastAsia="Arial" w:hAnsi="Arial"/>
                <w:sz w:val="17"/>
                <w:szCs w:val="17"/>
                <w:color w:val="auto"/>
              </w:rPr>
              <w:t>·</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Inkjet Printing Systems</w:t>
            </w:r>
          </w:p>
        </w:tc>
        <w:tc>
          <w:tcPr>
            <w:tcW w:w="4120" w:type="dxa"/>
            <w:vAlign w:val="bottom"/>
            <w:gridSpan w:val="2"/>
          </w:tcPr>
          <w:p>
            <w:pPr>
              <w:ind w:left="900"/>
              <w:spacing w:after="0"/>
              <w:rPr>
                <w:sz w:val="20"/>
                <w:szCs w:val="20"/>
                <w:color w:val="auto"/>
              </w:rPr>
            </w:pPr>
            <w:r>
              <w:rPr>
                <w:rFonts w:ascii="Arial" w:cs="Arial" w:eastAsia="Arial" w:hAnsi="Arial"/>
                <w:sz w:val="17"/>
                <w:szCs w:val="17"/>
                <w:color w:val="auto"/>
              </w:rPr>
              <w:t>·  Digital Printing and Enterprise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 w:type="dxa"/>
            <w:vAlign w:val="bottom"/>
            <w:tcBorders>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gridSpan w:val="2"/>
          </w:tcPr>
          <w:p>
            <w:pPr>
              <w:ind w:left="900"/>
              <w:spacing w:after="0"/>
              <w:rPr>
                <w:sz w:val="20"/>
                <w:szCs w:val="20"/>
                <w:color w:val="auto"/>
              </w:rPr>
            </w:pPr>
            <w:r>
              <w:rPr>
                <w:rFonts w:ascii="Arial" w:cs="Arial" w:eastAsia="Arial" w:hAnsi="Arial"/>
                <w:sz w:val="17"/>
                <w:szCs w:val="17"/>
                <w:color w:val="auto"/>
              </w:rPr>
              <w:t>·  Digital Front End Controllers</w:t>
            </w:r>
          </w:p>
        </w:tc>
        <w:tc>
          <w:tcPr>
            <w:tcW w:w="4660" w:type="dxa"/>
            <w:vAlign w:val="bottom"/>
            <w:tcBorders>
              <w:bottom w:val="single" w:sz="8" w:color="auto"/>
            </w:tcBorders>
            <w:gridSpan w:val="4"/>
          </w:tcPr>
          <w:p>
            <w:pPr>
              <w:ind w:left="900"/>
              <w:spacing w:after="0"/>
              <w:rPr>
                <w:sz w:val="20"/>
                <w:szCs w:val="20"/>
                <w:color w:val="auto"/>
              </w:rPr>
            </w:pPr>
            <w:r>
              <w:rPr>
                <w:rFonts w:ascii="Arial" w:cs="Arial" w:eastAsia="Arial" w:hAnsi="Arial"/>
                <w:sz w:val="17"/>
                <w:szCs w:val="17"/>
                <w:color w:val="auto"/>
              </w:rPr>
              <w:t>·  Graphics, Entertainment and Commercial Films</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0" w:type="dxa"/>
            <w:vAlign w:val="bottom"/>
            <w:tcBorders>
              <w:right w:val="single" w:sz="8" w:color="auto"/>
            </w:tcBorders>
          </w:tcPr>
          <w:p>
            <w:pPr>
              <w:spacing w:after="0"/>
              <w:rPr>
                <w:sz w:val="17"/>
                <w:szCs w:val="17"/>
                <w:color w:val="auto"/>
              </w:rPr>
            </w:pPr>
          </w:p>
        </w:tc>
        <w:tc>
          <w:tcPr>
            <w:tcW w:w="47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17"/>
                <w:szCs w:val="17"/>
                <w:color w:val="auto"/>
              </w:rPr>
              <w:t>Micro 3D Printing and Packaging</w:t>
            </w:r>
          </w:p>
        </w:tc>
        <w:tc>
          <w:tcPr>
            <w:tcW w:w="412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Digital Printing and Enterprise</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 w:type="dxa"/>
            <w:vAlign w:val="bottom"/>
            <w:tcBorders>
              <w:right w:val="single" w:sz="8" w:color="auto"/>
            </w:tcBorders>
          </w:tcPr>
          <w:p>
            <w:pPr>
              <w:spacing w:after="0"/>
              <w:rPr>
                <w:sz w:val="16"/>
                <w:szCs w:val="16"/>
                <w:color w:val="auto"/>
              </w:rPr>
            </w:pPr>
          </w:p>
        </w:tc>
        <w:tc>
          <w:tcPr>
            <w:tcW w:w="4740" w:type="dxa"/>
            <w:vAlign w:val="bottom"/>
            <w:tcBorders>
              <w:right w:val="single" w:sz="8" w:color="auto"/>
            </w:tcBorders>
            <w:gridSpan w:val="2"/>
          </w:tcPr>
          <w:p>
            <w:pPr>
              <w:ind w:left="300"/>
              <w:spacing w:after="0" w:line="189" w:lineRule="exact"/>
              <w:rPr>
                <w:sz w:val="20"/>
                <w:szCs w:val="20"/>
                <w:color w:val="auto"/>
              </w:rPr>
            </w:pPr>
            <w:r>
              <w:rPr>
                <w:rFonts w:ascii="Arial" w:cs="Arial" w:eastAsia="Arial" w:hAnsi="Arial"/>
                <w:sz w:val="17"/>
                <w:szCs w:val="17"/>
                <w:color w:val="auto"/>
              </w:rPr>
              <w:t>Software and Solutions:</w:t>
            </w:r>
          </w:p>
        </w:tc>
        <w:tc>
          <w:tcPr>
            <w:tcW w:w="3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0" w:type="dxa"/>
            <w:vAlign w:val="bottom"/>
            <w:tcBorders>
              <w:right w:val="single" w:sz="8" w:color="auto"/>
            </w:tcBorders>
          </w:tcPr>
          <w:p>
            <w:pPr>
              <w:spacing w:after="0"/>
              <w:rPr>
                <w:sz w:val="17"/>
                <w:szCs w:val="17"/>
                <w:color w:val="auto"/>
              </w:rPr>
            </w:pPr>
          </w:p>
        </w:tc>
        <w:tc>
          <w:tcPr>
            <w:tcW w:w="1040" w:type="dxa"/>
            <w:vAlign w:val="bottom"/>
          </w:tcPr>
          <w:p>
            <w:pPr>
              <w:ind w:left="900"/>
              <w:spacing w:after="0"/>
              <w:rPr>
                <w:sz w:val="20"/>
                <w:szCs w:val="20"/>
                <w:color w:val="auto"/>
              </w:rPr>
            </w:pPr>
            <w:r>
              <w:rPr>
                <w:rFonts w:ascii="Arial" w:cs="Arial" w:eastAsia="Arial" w:hAnsi="Arial"/>
                <w:sz w:val="17"/>
                <w:szCs w:val="17"/>
                <w:color w:val="auto"/>
              </w:rPr>
              <w:t>·</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Kodak Technology Solutions</w:t>
            </w:r>
          </w:p>
        </w:tc>
        <w:tc>
          <w:tcPr>
            <w:tcW w:w="4120" w:type="dxa"/>
            <w:vAlign w:val="bottom"/>
            <w:gridSpan w:val="2"/>
          </w:tcPr>
          <w:p>
            <w:pPr>
              <w:ind w:left="900"/>
              <w:spacing w:after="0"/>
              <w:rPr>
                <w:sz w:val="20"/>
                <w:szCs w:val="20"/>
                <w:color w:val="auto"/>
              </w:rPr>
            </w:pPr>
            <w:r>
              <w:rPr>
                <w:rFonts w:ascii="Arial" w:cs="Arial" w:eastAsia="Arial" w:hAnsi="Arial"/>
                <w:sz w:val="17"/>
                <w:szCs w:val="17"/>
                <w:color w:val="auto"/>
              </w:rPr>
              <w:t>·  Digital Printing and Enterprise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 w:type="dxa"/>
            <w:vAlign w:val="bottom"/>
            <w:tcBorders>
              <w:right w:val="single" w:sz="8" w:color="auto"/>
            </w:tcBorders>
          </w:tcPr>
          <w:p>
            <w:pPr>
              <w:spacing w:after="0"/>
              <w:rPr>
                <w:sz w:val="19"/>
                <w:szCs w:val="19"/>
                <w:color w:val="auto"/>
              </w:rPr>
            </w:pPr>
          </w:p>
        </w:tc>
        <w:tc>
          <w:tcPr>
            <w:tcW w:w="104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Unified Workflow Solutions</w:t>
            </w:r>
          </w:p>
        </w:tc>
        <w:tc>
          <w:tcPr>
            <w:tcW w:w="4660" w:type="dxa"/>
            <w:vAlign w:val="bottom"/>
            <w:tcBorders>
              <w:bottom w:val="single" w:sz="8" w:color="auto"/>
            </w:tcBorders>
            <w:gridSpan w:val="4"/>
          </w:tcPr>
          <w:p>
            <w:pPr>
              <w:ind w:left="900"/>
              <w:spacing w:after="0"/>
              <w:rPr>
                <w:sz w:val="20"/>
                <w:szCs w:val="20"/>
                <w:color w:val="auto"/>
              </w:rPr>
            </w:pPr>
            <w:r>
              <w:rPr>
                <w:rFonts w:ascii="Arial" w:cs="Arial" w:eastAsia="Arial" w:hAnsi="Arial"/>
                <w:sz w:val="17"/>
                <w:szCs w:val="17"/>
                <w:color w:val="auto"/>
              </w:rPr>
              <w:t>·  Graphics, Entertainment and Commercial Films</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0" w:type="dxa"/>
            <w:vAlign w:val="bottom"/>
            <w:tcBorders>
              <w:right w:val="single" w:sz="8" w:color="auto"/>
            </w:tcBorders>
          </w:tcPr>
          <w:p>
            <w:pPr>
              <w:spacing w:after="0"/>
              <w:rPr>
                <w:sz w:val="17"/>
                <w:szCs w:val="17"/>
                <w:color w:val="auto"/>
              </w:rPr>
            </w:pPr>
          </w:p>
        </w:tc>
        <w:tc>
          <w:tcPr>
            <w:tcW w:w="47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17"/>
                <w:szCs w:val="17"/>
                <w:color w:val="auto"/>
              </w:rPr>
              <w:t>Consumer and Film</w:t>
            </w:r>
          </w:p>
        </w:tc>
        <w:tc>
          <w:tcPr>
            <w:tcW w:w="412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Graphics, Entertainment and Commercial Films</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 w:type="dxa"/>
            <w:vAlign w:val="bottom"/>
            <w:tcBorders>
              <w:right w:val="single" w:sz="8" w:color="auto"/>
            </w:tcBorders>
          </w:tcPr>
          <w:p>
            <w:pPr>
              <w:spacing w:after="0"/>
              <w:rPr>
                <w:sz w:val="16"/>
                <w:szCs w:val="16"/>
                <w:color w:val="auto"/>
              </w:rPr>
            </w:pPr>
          </w:p>
        </w:tc>
        <w:tc>
          <w:tcPr>
            <w:tcW w:w="4740" w:type="dxa"/>
            <w:vAlign w:val="bottom"/>
            <w:tcBorders>
              <w:right w:val="single" w:sz="8" w:color="auto"/>
            </w:tcBorders>
            <w:gridSpan w:val="2"/>
          </w:tcPr>
          <w:p>
            <w:pPr>
              <w:ind w:left="300"/>
              <w:spacing w:after="0" w:line="189" w:lineRule="exact"/>
              <w:rPr>
                <w:sz w:val="20"/>
                <w:szCs w:val="20"/>
                <w:color w:val="auto"/>
              </w:rPr>
            </w:pPr>
            <w:r>
              <w:rPr>
                <w:rFonts w:ascii="Arial" w:cs="Arial" w:eastAsia="Arial" w:hAnsi="Arial"/>
                <w:sz w:val="17"/>
                <w:szCs w:val="17"/>
                <w:color w:val="auto"/>
              </w:rPr>
              <w:t>Intellectual Property Solutions</w:t>
            </w:r>
          </w:p>
        </w:tc>
        <w:tc>
          <w:tcPr>
            <w:tcW w:w="5020" w:type="dxa"/>
            <w:vAlign w:val="bottom"/>
            <w:gridSpan w:val="5"/>
          </w:tcPr>
          <w:p>
            <w:pPr>
              <w:ind w:left="280"/>
              <w:spacing w:after="0" w:line="189" w:lineRule="exact"/>
              <w:rPr>
                <w:sz w:val="20"/>
                <w:szCs w:val="20"/>
                <w:color w:val="auto"/>
              </w:rPr>
            </w:pPr>
            <w:r>
              <w:rPr>
                <w:rFonts w:ascii="Arial" w:cs="Arial" w:eastAsia="Arial" w:hAnsi="Arial"/>
                <w:sz w:val="17"/>
                <w:szCs w:val="17"/>
                <w:color w:val="auto"/>
                <w:w w:val="92"/>
              </w:rPr>
              <w:t>Graphics, Entertainment and Commercial Films (other than R&amp;D not</w:t>
            </w:r>
          </w:p>
        </w:tc>
        <w:tc>
          <w:tcPr>
            <w:tcW w:w="14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8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5020" w:type="dxa"/>
            <w:vAlign w:val="bottom"/>
            <w:gridSpan w:val="5"/>
          </w:tcPr>
          <w:p>
            <w:pPr>
              <w:ind w:left="280"/>
              <w:spacing w:after="0"/>
              <w:rPr>
                <w:sz w:val="20"/>
                <w:szCs w:val="20"/>
                <w:color w:val="auto"/>
              </w:rPr>
            </w:pPr>
            <w:r>
              <w:rPr>
                <w:rFonts w:ascii="Arial" w:cs="Arial" w:eastAsia="Arial" w:hAnsi="Arial"/>
                <w:sz w:val="17"/>
                <w:szCs w:val="17"/>
                <w:color w:val="auto"/>
                <w:w w:val="89"/>
              </w:rPr>
              <w:t>directly related to one of the segments, which was allocated to each of</w:t>
            </w:r>
          </w:p>
        </w:tc>
        <w:tc>
          <w:tcPr>
            <w:tcW w:w="14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 w:type="dxa"/>
            <w:vAlign w:val="bottom"/>
            <w:tcBorders>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c>
          <w:tcPr>
            <w:tcW w:w="412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the segments)</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0" w:type="dxa"/>
            <w:vAlign w:val="bottom"/>
            <w:tcBorders>
              <w:right w:val="single" w:sz="8" w:color="auto"/>
            </w:tcBorders>
          </w:tcPr>
          <w:p>
            <w:pPr>
              <w:spacing w:after="0"/>
              <w:rPr>
                <w:sz w:val="17"/>
                <w:szCs w:val="17"/>
                <w:color w:val="auto"/>
              </w:rPr>
            </w:pPr>
          </w:p>
        </w:tc>
        <w:tc>
          <w:tcPr>
            <w:tcW w:w="474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17"/>
                <w:szCs w:val="17"/>
                <w:color w:val="auto"/>
              </w:rPr>
              <w:t>Eastman Business Park</w:t>
            </w:r>
          </w:p>
        </w:tc>
        <w:tc>
          <w:tcPr>
            <w:tcW w:w="412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Graphics, Entertainment and Commercial Films</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5520" w:type="dxa"/>
            <w:vAlign w:val="bottom"/>
            <w:gridSpan w:val="3"/>
          </w:tcPr>
          <w:p>
            <w:pPr>
              <w:spacing w:after="0"/>
              <w:rPr>
                <w:sz w:val="20"/>
                <w:szCs w:val="20"/>
                <w:color w:val="auto"/>
              </w:rPr>
            </w:pPr>
            <w:r>
              <w:rPr>
                <w:rFonts w:ascii="Arial" w:cs="Arial" w:eastAsia="Arial" w:hAnsi="Arial"/>
                <w:sz w:val="17"/>
                <w:szCs w:val="17"/>
                <w:b w:val="1"/>
                <w:bCs w:val="1"/>
                <w:color w:val="auto"/>
              </w:rPr>
              <w:t>Revenues from Continuing Operations by Reportable Segment</w:t>
            </w:r>
          </w:p>
        </w:tc>
        <w:tc>
          <w:tcPr>
            <w:tcW w:w="3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0" w:type="dxa"/>
            <w:vAlign w:val="bottom"/>
            <w:gridSpan w:val="7"/>
          </w:tcPr>
          <w:p>
            <w:pPr>
              <w:ind w:left="100"/>
              <w:spacing w:after="0"/>
              <w:rPr>
                <w:sz w:val="20"/>
                <w:szCs w:val="20"/>
                <w:color w:val="auto"/>
              </w:rPr>
            </w:pPr>
            <w:r>
              <w:rPr>
                <w:rFonts w:ascii="Arial" w:cs="Arial" w:eastAsia="Arial" w:hAnsi="Arial"/>
                <w:sz w:val="17"/>
                <w:szCs w:val="17"/>
                <w:b w:val="1"/>
                <w:bCs w:val="1"/>
                <w:color w:val="auto"/>
                <w:w w:val="98"/>
              </w:rPr>
              <w:t>Three Months Ended March 31,</w:t>
            </w:r>
          </w:p>
        </w:tc>
        <w:tc>
          <w:tcPr>
            <w:tcW w:w="0" w:type="dxa"/>
            <w:vAlign w:val="bottom"/>
          </w:tcPr>
          <w:p>
            <w:pPr>
              <w:spacing w:after="0"/>
              <w:rPr>
                <w:sz w:val="1"/>
                <w:szCs w:val="1"/>
                <w:color w:val="auto"/>
              </w:rPr>
            </w:pPr>
          </w:p>
        </w:tc>
      </w:tr>
      <w:tr>
        <w:trPr>
          <w:trHeight w:val="206"/>
        </w:trPr>
        <w:tc>
          <w:tcPr>
            <w:tcW w:w="182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37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w w:val="95"/>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20" w:type="dxa"/>
            <w:vAlign w:val="bottom"/>
            <w:gridSpan w:val="3"/>
          </w:tcPr>
          <w:p>
            <w:pPr>
              <w:spacing w:after="0"/>
              <w:rPr>
                <w:sz w:val="20"/>
                <w:szCs w:val="20"/>
                <w:color w:val="auto"/>
              </w:rPr>
            </w:pPr>
            <w:r>
              <w:rPr>
                <w:rFonts w:ascii="Arial" w:cs="Arial" w:eastAsia="Arial" w:hAnsi="Arial"/>
                <w:sz w:val="17"/>
                <w:szCs w:val="17"/>
                <w:b w:val="1"/>
                <w:bCs w:val="1"/>
                <w:color w:val="auto"/>
              </w:rPr>
              <w:t>Revenues from continuing operations:</w:t>
            </w:r>
          </w:p>
        </w:tc>
        <w:tc>
          <w:tcPr>
            <w:tcW w:w="3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Print Systems</w:t>
            </w:r>
          </w:p>
        </w:tc>
        <w:tc>
          <w:tcPr>
            <w:tcW w:w="3700" w:type="dxa"/>
            <w:vAlign w:val="bottom"/>
            <w:tcBorders>
              <w:right w:val="single" w:sz="8" w:color="CCEEFF"/>
            </w:tcBorders>
            <w:shd w:val="clear" w:color="auto" w:fill="CCEEFF"/>
          </w:tcPr>
          <w:p>
            <w:pPr>
              <w:spacing w:after="0"/>
              <w:rPr>
                <w:sz w:val="17"/>
                <w:szCs w:val="17"/>
                <w:color w:val="auto"/>
              </w:rPr>
            </w:pPr>
          </w:p>
        </w:tc>
        <w:tc>
          <w:tcPr>
            <w:tcW w:w="4120" w:type="dxa"/>
            <w:vAlign w:val="bottom"/>
            <w:gridSpan w:val="2"/>
            <w:shd w:val="clear" w:color="auto" w:fill="CCEEFF"/>
          </w:tcPr>
          <w:p>
            <w:pPr>
              <w:ind w:left="330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254</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01"/>
        </w:trPr>
        <w:tc>
          <w:tcPr>
            <w:tcW w:w="1820" w:type="dxa"/>
            <w:vAlign w:val="bottom"/>
            <w:gridSpan w:val="2"/>
          </w:tcPr>
          <w:p>
            <w:pPr>
              <w:spacing w:after="0"/>
              <w:rPr>
                <w:sz w:val="20"/>
                <w:szCs w:val="20"/>
                <w:color w:val="auto"/>
              </w:rPr>
            </w:pPr>
            <w:r>
              <w:rPr>
                <w:rFonts w:ascii="Arial" w:cs="Arial" w:eastAsia="Arial" w:hAnsi="Arial"/>
                <w:sz w:val="17"/>
                <w:szCs w:val="17"/>
                <w:color w:val="auto"/>
                <w:w w:val="93"/>
              </w:rPr>
              <w:t>Enterprise Inkjet Systems</w:t>
            </w:r>
          </w:p>
        </w:tc>
        <w:tc>
          <w:tcPr>
            <w:tcW w:w="37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1"/>
        </w:trPr>
        <w:tc>
          <w:tcPr>
            <w:tcW w:w="55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Micro 3D Printing and Packaging</w:t>
            </w:r>
          </w:p>
        </w:tc>
        <w:tc>
          <w:tcPr>
            <w:tcW w:w="3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1"/>
        </w:trPr>
        <w:tc>
          <w:tcPr>
            <w:tcW w:w="1820" w:type="dxa"/>
            <w:vAlign w:val="bottom"/>
            <w:gridSpan w:val="2"/>
          </w:tcPr>
          <w:p>
            <w:pPr>
              <w:spacing w:after="0"/>
              <w:rPr>
                <w:sz w:val="20"/>
                <w:szCs w:val="20"/>
                <w:color w:val="auto"/>
              </w:rPr>
            </w:pPr>
            <w:r>
              <w:rPr>
                <w:rFonts w:ascii="Arial" w:cs="Arial" w:eastAsia="Arial" w:hAnsi="Arial"/>
                <w:sz w:val="17"/>
                <w:szCs w:val="17"/>
                <w:color w:val="auto"/>
              </w:rPr>
              <w:t>Software and Solutions</w:t>
            </w:r>
          </w:p>
        </w:tc>
        <w:tc>
          <w:tcPr>
            <w:tcW w:w="37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1"/>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Consumer and Film</w:t>
            </w:r>
          </w:p>
        </w:tc>
        <w:tc>
          <w:tcPr>
            <w:tcW w:w="3700" w:type="dxa"/>
            <w:vAlign w:val="bottom"/>
            <w:tcBorders>
              <w:right w:val="single" w:sz="8" w:color="CCEEFF"/>
            </w:tcBorders>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1"/>
        </w:trPr>
        <w:tc>
          <w:tcPr>
            <w:tcW w:w="5520" w:type="dxa"/>
            <w:vAlign w:val="bottom"/>
            <w:gridSpan w:val="3"/>
          </w:tcPr>
          <w:p>
            <w:pPr>
              <w:spacing w:after="0"/>
              <w:rPr>
                <w:sz w:val="20"/>
                <w:szCs w:val="20"/>
                <w:color w:val="auto"/>
              </w:rPr>
            </w:pPr>
            <w:r>
              <w:rPr>
                <w:rFonts w:ascii="Arial" w:cs="Arial" w:eastAsia="Arial" w:hAnsi="Arial"/>
                <w:sz w:val="17"/>
                <w:szCs w:val="17"/>
                <w:color w:val="auto"/>
              </w:rPr>
              <w:t>Intellectual Property Solutions</w:t>
            </w:r>
          </w:p>
        </w:tc>
        <w:tc>
          <w:tcPr>
            <w:tcW w:w="3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6"/>
        </w:trPr>
        <w:tc>
          <w:tcPr>
            <w:tcW w:w="1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9"/>
              </w:rPr>
              <w:t>Eastman Business Park</w:t>
            </w:r>
          </w:p>
        </w:tc>
        <w:tc>
          <w:tcPr>
            <w:tcW w:w="3700" w:type="dxa"/>
            <w:vAlign w:val="bottom"/>
            <w:tcBorders>
              <w:bottom w:val="single" w:sz="8" w:color="CCEEFF"/>
              <w:right w:val="single" w:sz="8" w:color="CCEEFF"/>
            </w:tcBorders>
            <w:shd w:val="clear" w:color="auto" w:fill="CCEEFF"/>
          </w:tcPr>
          <w:p>
            <w:pPr>
              <w:spacing w:after="0"/>
              <w:rPr>
                <w:sz w:val="17"/>
                <w:szCs w:val="17"/>
                <w:color w:val="auto"/>
              </w:rPr>
            </w:pPr>
          </w:p>
        </w:tc>
        <w:tc>
          <w:tcPr>
            <w:tcW w:w="3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20" w:type="dxa"/>
            <w:vAlign w:val="bottom"/>
            <w:gridSpan w:val="2"/>
          </w:tcPr>
          <w:p>
            <w:pPr>
              <w:ind w:left="80"/>
              <w:spacing w:after="0"/>
              <w:rPr>
                <w:sz w:val="20"/>
                <w:szCs w:val="20"/>
                <w:color w:val="auto"/>
              </w:rPr>
            </w:pPr>
            <w:r>
              <w:rPr>
                <w:rFonts w:ascii="Arial" w:cs="Arial" w:eastAsia="Arial" w:hAnsi="Arial"/>
                <w:sz w:val="17"/>
                <w:szCs w:val="17"/>
                <w:color w:val="auto"/>
              </w:rPr>
              <w:t>Consolidated total</w:t>
            </w:r>
          </w:p>
        </w:tc>
        <w:tc>
          <w:tcPr>
            <w:tcW w:w="3700" w:type="dxa"/>
            <w:vAlign w:val="bottom"/>
          </w:tcPr>
          <w:p>
            <w:pPr>
              <w:spacing w:after="0"/>
              <w:rPr>
                <w:sz w:val="17"/>
                <w:szCs w:val="17"/>
                <w:color w:val="auto"/>
              </w:rPr>
            </w:pPr>
          </w:p>
        </w:tc>
        <w:tc>
          <w:tcPr>
            <w:tcW w:w="4120" w:type="dxa"/>
            <w:vAlign w:val="bottom"/>
            <w:gridSpan w:val="2"/>
          </w:tcPr>
          <w:p>
            <w:pPr>
              <w:ind w:left="33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427</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300" w:type="dxa"/>
            <w:vAlign w:val="bottom"/>
            <w:vMerge w:val="restart"/>
          </w:tcPr>
          <w:p>
            <w:pPr>
              <w:ind w:left="120"/>
              <w:spacing w:after="0"/>
              <w:rPr>
                <w:sz w:val="20"/>
                <w:szCs w:val="20"/>
                <w:color w:val="auto"/>
              </w:rPr>
            </w:pPr>
            <w:r>
              <w:rPr>
                <w:rFonts w:ascii="Arial" w:cs="Arial" w:eastAsia="Arial" w:hAnsi="Arial"/>
                <w:sz w:val="17"/>
                <w:szCs w:val="17"/>
                <w:color w:val="auto"/>
              </w:rPr>
              <w:t>25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w w:val="94"/>
              </w:rPr>
              <w:t>Segment Operational EBITDA and Consolidated (Loss) Earnings from Continuing Operations Before Income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7"/>
                <w:szCs w:val="17"/>
                <w:b w:val="1"/>
                <w:bCs w:val="1"/>
                <w:color w:val="auto"/>
              </w:rPr>
              <w:t>Three Months Ended</w:t>
            </w:r>
          </w:p>
        </w:tc>
      </w:tr>
      <w:tr>
        <w:trPr>
          <w:trHeight w:val="201"/>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right"/>
              <w:ind w:right="7"/>
              <w:spacing w:after="0"/>
              <w:rPr>
                <w:sz w:val="20"/>
                <w:szCs w:val="20"/>
                <w:color w:val="auto"/>
              </w:rPr>
            </w:pPr>
            <w:r>
              <w:rPr>
                <w:rFonts w:ascii="Arial" w:cs="Arial" w:eastAsia="Arial" w:hAnsi="Arial"/>
                <w:sz w:val="17"/>
                <w:szCs w:val="17"/>
                <w:b w:val="1"/>
                <w:bCs w:val="1"/>
                <w:color w:val="auto"/>
              </w:rPr>
              <w:t>March 31,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w w:val="97"/>
              </w:rPr>
              <w:t>Segment Operational EBITDA and Consolidated (loss) earnings from continuing operations before income taxes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Micro 3D Printing and Packaging</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Software and Solutions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Consumer and Film</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tcBorders>
              <w:top w:val="single" w:sz="8" w:color="CCEEFF"/>
            </w:tcBorders>
          </w:tcPr>
          <w:p>
            <w:pPr>
              <w:ind w:left="80"/>
              <w:spacing w:after="0"/>
              <w:rPr>
                <w:sz w:val="20"/>
                <w:szCs w:val="20"/>
                <w:color w:val="auto"/>
              </w:rPr>
            </w:pPr>
            <w:r>
              <w:rPr>
                <w:rFonts w:ascii="Arial" w:cs="Arial" w:eastAsia="Arial" w:hAnsi="Arial"/>
                <w:sz w:val="17"/>
                <w:szCs w:val="17"/>
                <w:color w:val="auto"/>
              </w:rPr>
              <w:t>Total of reportable segments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CCEEFF"/>
            </w:tcBorders>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187"/>
        </w:trPr>
        <w:tc>
          <w:tcPr>
            <w:tcW w:w="882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Corporate components of pension and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820" w:type="dxa"/>
            <w:vAlign w:val="bottom"/>
            <w:shd w:val="clear" w:color="auto" w:fill="CCEEFF"/>
          </w:tcPr>
          <w:p>
            <w:pPr>
              <w:ind w:left="80"/>
              <w:spacing w:after="0" w:line="215" w:lineRule="exact"/>
              <w:rPr>
                <w:sz w:val="20"/>
                <w:szCs w:val="20"/>
                <w:color w:val="auto"/>
              </w:rPr>
            </w:pPr>
            <w:r>
              <w:rPr>
                <w:rFonts w:ascii="Arial" w:cs="Arial" w:eastAsia="Arial" w:hAnsi="Arial"/>
                <w:sz w:val="17"/>
                <w:szCs w:val="17"/>
                <w:color w:val="auto"/>
              </w:rPr>
              <w:t xml:space="preserve">OPEB income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Consulting and other costs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Idle costs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Costs previously allocated to discontinued operations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Fresh start adjustments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Other operating expense, net</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Other charges, net</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189"/>
        </w:trPr>
        <w:tc>
          <w:tcPr>
            <w:tcW w:w="882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Consolidated loss from continuing</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820" w:type="dxa"/>
            <w:vAlign w:val="bottom"/>
          </w:tcPr>
          <w:p>
            <w:pPr>
              <w:ind w:left="80"/>
              <w:spacing w:after="0"/>
              <w:rPr>
                <w:sz w:val="20"/>
                <w:szCs w:val="20"/>
                <w:color w:val="auto"/>
              </w:rPr>
            </w:pPr>
            <w:r>
              <w:rPr>
                <w:rFonts w:ascii="Arial" w:cs="Arial" w:eastAsia="Arial" w:hAnsi="Arial"/>
                <w:sz w:val="17"/>
                <w:szCs w:val="17"/>
                <w:color w:val="auto"/>
              </w:rPr>
              <w:t>operations before income taxes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(50)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460" w:hanging="227"/>
        <w:spacing w:after="0" w:line="216" w:lineRule="auto"/>
        <w:tabs>
          <w:tab w:leader="none" w:pos="46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Composed of interest cost, expected return on plan assets, amortization of actuarial gains and losses, and curtailments and settlement components of pension and other postretirement benefit expenses.</w:t>
      </w:r>
    </w:p>
    <w:p>
      <w:pPr>
        <w:spacing w:after="0" w:line="214" w:lineRule="exact"/>
        <w:rPr>
          <w:rFonts w:ascii="Arial" w:cs="Arial" w:eastAsia="Arial" w:hAnsi="Arial"/>
          <w:sz w:val="23"/>
          <w:szCs w:val="23"/>
          <w:color w:val="auto"/>
          <w:vertAlign w:val="superscript"/>
        </w:rPr>
      </w:pPr>
    </w:p>
    <w:p>
      <w:pPr>
        <w:ind w:left="460" w:hanging="227"/>
        <w:spacing w:after="0" w:line="216" w:lineRule="auto"/>
        <w:tabs>
          <w:tab w:leader="none" w:pos="46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Consists of third party costs such as security, maintenance, and utilities required to maintain land and buildings in certain locations not used in any Kodak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FIRST QUARTER 2015 COMPARED WITH FIRST QUARTER 2014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40" w:type="dxa"/>
            <w:vAlign w:val="bottom"/>
          </w:tcPr>
          <w:p>
            <w:pPr>
              <w:spacing w:after="0"/>
              <w:rPr>
                <w:sz w:val="20"/>
                <w:szCs w:val="20"/>
                <w:color w:val="auto"/>
              </w:rPr>
            </w:pPr>
            <w:r>
              <w:rPr>
                <w:rFonts w:ascii="Arial" w:cs="Arial" w:eastAsia="Arial" w:hAnsi="Arial"/>
                <w:sz w:val="17"/>
                <w:szCs w:val="17"/>
                <w:color w:val="auto"/>
              </w:rPr>
              <w:t>(in millions)</w:t>
            </w: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7"/>
                <w:szCs w:val="17"/>
                <w:b w:val="1"/>
                <w:bCs w:val="1"/>
                <w:color w:val="auto"/>
                <w:w w:val="94"/>
              </w:rPr>
              <w:t>Three Months Ended March 31,</w:t>
            </w: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6"/>
        </w:trPr>
        <w:tc>
          <w:tcPr>
            <w:tcW w:w="4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 of Sales</w:t>
            </w:r>
          </w:p>
        </w:tc>
        <w:tc>
          <w:tcPr>
            <w:tcW w:w="240" w:type="dxa"/>
            <w:vAlign w:val="bottom"/>
          </w:tcPr>
          <w:p>
            <w:pPr>
              <w:spacing w:after="0"/>
              <w:rPr>
                <w:sz w:val="17"/>
                <w:szCs w:val="17"/>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20" w:type="dxa"/>
            <w:vAlign w:val="bottom"/>
          </w:tcPr>
          <w:p>
            <w:pPr>
              <w:spacing w:after="0"/>
              <w:rPr>
                <w:sz w:val="17"/>
                <w:szCs w:val="17"/>
                <w:color w:val="auto"/>
              </w:rPr>
            </w:pPr>
          </w:p>
        </w:tc>
        <w:tc>
          <w:tcPr>
            <w:tcW w:w="1140" w:type="dxa"/>
            <w:vAlign w:val="bottom"/>
          </w:tcPr>
          <w:p>
            <w:pPr>
              <w:ind w:left="200"/>
              <w:spacing w:after="0"/>
              <w:rPr>
                <w:sz w:val="20"/>
                <w:szCs w:val="20"/>
                <w:color w:val="auto"/>
              </w:rPr>
            </w:pPr>
            <w:r>
              <w:rPr>
                <w:rFonts w:ascii="Arial" w:cs="Arial" w:eastAsia="Arial" w:hAnsi="Arial"/>
                <w:sz w:val="17"/>
                <w:szCs w:val="17"/>
                <w:b w:val="1"/>
                <w:bCs w:val="1"/>
                <w:color w:val="auto"/>
              </w:rPr>
              <w:t>% of Sales</w:t>
            </w:r>
          </w:p>
        </w:tc>
        <w:tc>
          <w:tcPr>
            <w:tcW w:w="2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 Change</w:t>
            </w:r>
          </w:p>
        </w:tc>
      </w:tr>
      <w:tr>
        <w:trPr>
          <w:trHeight w:val="201"/>
        </w:trPr>
        <w:tc>
          <w:tcPr>
            <w:tcW w:w="46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26"/>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427</w:t>
            </w:r>
          </w:p>
        </w:tc>
        <w:tc>
          <w:tcPr>
            <w:tcW w:w="11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488</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1"/>
        </w:trPr>
        <w:tc>
          <w:tcPr>
            <w:tcW w:w="4640" w:type="dxa"/>
            <w:vAlign w:val="bottom"/>
          </w:tcPr>
          <w:p>
            <w:pPr>
              <w:spacing w:after="0"/>
              <w:rPr>
                <w:sz w:val="20"/>
                <w:szCs w:val="20"/>
                <w:color w:val="auto"/>
              </w:rPr>
            </w:pPr>
            <w:r>
              <w:rPr>
                <w:rFonts w:ascii="Arial" w:cs="Arial" w:eastAsia="Arial" w:hAnsi="Arial"/>
                <w:sz w:val="17"/>
                <w:szCs w:val="17"/>
                <w:color w:val="auto"/>
              </w:rPr>
              <w:t>Cost of revenues</w:t>
            </w: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350</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399</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-12%</w:t>
            </w:r>
          </w:p>
        </w:tc>
      </w:tr>
      <w:tr>
        <w:trPr>
          <w:trHeight w:val="25"/>
        </w:trPr>
        <w:tc>
          <w:tcPr>
            <w:tcW w:w="4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1"/>
        </w:trPr>
        <w:tc>
          <w:tcPr>
            <w:tcW w:w="4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20" w:type="dxa"/>
            <w:vAlign w:val="bottom"/>
            <w:shd w:val="clear" w:color="auto" w:fill="CCEEFF"/>
          </w:tcPr>
          <w:p>
            <w:pPr>
              <w:spacing w:after="0"/>
              <w:rPr>
                <w:sz w:val="17"/>
                <w:szCs w:val="17"/>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1"/>
        </w:trPr>
        <w:tc>
          <w:tcPr>
            <w:tcW w:w="464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8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58</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87</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-33%</w:t>
            </w:r>
          </w:p>
        </w:tc>
      </w:tr>
      <w:tr>
        <w:trPr>
          <w:trHeight w:val="201"/>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costs</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w:t>
            </w: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01"/>
        </w:trPr>
        <w:tc>
          <w:tcPr>
            <w:tcW w:w="464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8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17</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31%</w:t>
            </w:r>
          </w:p>
        </w:tc>
      </w:tr>
      <w:tr>
        <w:trPr>
          <w:trHeight w:val="206"/>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expense, net</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89"/>
        </w:trPr>
        <w:tc>
          <w:tcPr>
            <w:tcW w:w="464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w w:val="97"/>
              </w:rPr>
              <w:t>Loss from continuing operations before interest expense, other</w:t>
            </w: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7"/>
                <w:szCs w:val="17"/>
                <w:color w:val="auto"/>
              </w:rPr>
              <w:t>charges, net, reorganization items, net and income taxes</w:t>
            </w:r>
          </w:p>
        </w:tc>
        <w:tc>
          <w:tcPr>
            <w:tcW w:w="8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(20)</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47%</w:t>
            </w:r>
          </w:p>
        </w:tc>
      </w:tr>
      <w:tr>
        <w:trPr>
          <w:trHeight w:val="201"/>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w:t>
            </w:r>
          </w:p>
        </w:tc>
        <w:tc>
          <w:tcPr>
            <w:tcW w:w="1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1"/>
        </w:trPr>
        <w:tc>
          <w:tcPr>
            <w:tcW w:w="4640" w:type="dxa"/>
            <w:vAlign w:val="bottom"/>
          </w:tcPr>
          <w:p>
            <w:pPr>
              <w:spacing w:after="0"/>
              <w:rPr>
                <w:sz w:val="20"/>
                <w:szCs w:val="20"/>
                <w:color w:val="auto"/>
              </w:rPr>
            </w:pPr>
            <w:r>
              <w:rPr>
                <w:rFonts w:ascii="Arial" w:cs="Arial" w:eastAsia="Arial" w:hAnsi="Arial"/>
                <w:sz w:val="17"/>
                <w:szCs w:val="17"/>
                <w:color w:val="auto"/>
              </w:rPr>
              <w:t>Other charges, net</w:t>
            </w:r>
          </w:p>
        </w:tc>
        <w:tc>
          <w:tcPr>
            <w:tcW w:w="80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(10)</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
        </w:trPr>
        <w:tc>
          <w:tcPr>
            <w:tcW w:w="46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4640" w:type="dxa"/>
            <w:vAlign w:val="bottom"/>
          </w:tcPr>
          <w:p>
            <w:pPr>
              <w:spacing w:after="0"/>
              <w:rPr>
                <w:sz w:val="20"/>
                <w:szCs w:val="20"/>
                <w:color w:val="auto"/>
              </w:rPr>
            </w:pPr>
            <w:r>
              <w:rPr>
                <w:rFonts w:ascii="Arial" w:cs="Arial" w:eastAsia="Arial" w:hAnsi="Arial"/>
                <w:sz w:val="17"/>
                <w:szCs w:val="17"/>
                <w:color w:val="auto"/>
              </w:rPr>
              <w:t>Loss from continuing operations before income taxes</w:t>
            </w:r>
          </w:p>
        </w:tc>
        <w:tc>
          <w:tcPr>
            <w:tcW w:w="80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(50)</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w:t>
            </w:r>
          </w:p>
        </w:tc>
      </w:tr>
      <w:tr>
        <w:trPr>
          <w:trHeight w:val="201"/>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7"/>
                <w:szCs w:val="17"/>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5"/>
        </w:trPr>
        <w:tc>
          <w:tcPr>
            <w:tcW w:w="46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4640" w:type="dxa"/>
            <w:vAlign w:val="bottom"/>
          </w:tcPr>
          <w:p>
            <w:pPr>
              <w:spacing w:after="0"/>
              <w:rPr>
                <w:sz w:val="20"/>
                <w:szCs w:val="20"/>
                <w:color w:val="auto"/>
              </w:rPr>
            </w:pPr>
            <w:r>
              <w:rPr>
                <w:rFonts w:ascii="Arial" w:cs="Arial" w:eastAsia="Arial" w:hAnsi="Arial"/>
                <w:sz w:val="17"/>
                <w:szCs w:val="17"/>
                <w:color w:val="auto"/>
              </w:rPr>
              <w:t>Loss from continuing operations</w:t>
            </w:r>
          </w:p>
        </w:tc>
        <w:tc>
          <w:tcPr>
            <w:tcW w:w="80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(54)</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(53)</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189"/>
        </w:trPr>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from discontinued operations, net of</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3"/>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
        </w:trPr>
        <w:tc>
          <w:tcPr>
            <w:tcW w:w="46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4640" w:type="dxa"/>
            <w:vAlign w:val="bottom"/>
          </w:tcPr>
          <w:p>
            <w:pPr>
              <w:spacing w:after="0"/>
              <w:rPr>
                <w:sz w:val="20"/>
                <w:szCs w:val="20"/>
                <w:color w:val="auto"/>
              </w:rPr>
            </w:pPr>
            <w:r>
              <w:rPr>
                <w:rFonts w:ascii="Arial" w:cs="Arial" w:eastAsia="Arial" w:hAnsi="Arial"/>
                <w:sz w:val="17"/>
                <w:szCs w:val="17"/>
                <w:color w:val="auto"/>
              </w:rPr>
              <w:t>Net loss</w:t>
            </w:r>
          </w:p>
        </w:tc>
        <w:tc>
          <w:tcPr>
            <w:tcW w:w="80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(54)</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-59%</w:t>
            </w:r>
          </w:p>
        </w:tc>
      </w:tr>
      <w:tr>
        <w:trPr>
          <w:trHeight w:val="206"/>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Less: Net earnings attributable to noncontrolling interests</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89"/>
        </w:trPr>
        <w:tc>
          <w:tcPr>
            <w:tcW w:w="464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NET LOSS ATTRIBUTABLE TO EASTMAN KODAK</w:t>
            </w: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7"/>
                <w:szCs w:val="17"/>
                <w:color w:val="auto"/>
              </w:rPr>
              <w:t>COMPANY</w:t>
            </w:r>
          </w:p>
        </w:tc>
        <w:tc>
          <w:tcPr>
            <w:tcW w:w="800" w:type="dxa"/>
            <w:vAlign w:val="bottom"/>
          </w:tcPr>
          <w:p>
            <w:pPr>
              <w:jc w:val="right"/>
              <w:ind w:right="64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(58)</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(36)</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-61%</w:t>
            </w:r>
          </w:p>
        </w:tc>
      </w:tr>
      <w:tr>
        <w:trPr>
          <w:trHeight w:val="20"/>
        </w:trPr>
        <w:tc>
          <w:tcPr>
            <w:tcW w:w="4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For the three months ended March 31, 2015, revenues decreased approximately 13% compared with the same period in 2014. The decline in revenue was primarily driven by unfavorable foreign currency impacts (-7%). Also contributing to the decrease were pricing declines in Print Systems (-3%), volume declines in Consumer and Film (-3%), and lower non-recurring Intellectual Property Solutions licensing revenue (-2%). Partially offsetting these declines were volume improvements in Software and Solutions, Micro 3D Printing and Packaging and Print Systems (+3%). See segment discussions for additional details.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3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Gross profit for the three months ended March 31, 2015 decreased approximately 13% but was flat as a percentage of revenue as compared with the prior year quarter, helped by improved margins in Consumer and Film (+3pp), offset by lower non-recurring licensing revenues in Intellectual Property Solutions (-2pp), and lower margins in Print Systems (-1pp) and Enterprise Inkjet Systems (-1pp). See segment discussions for additional details.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decreased (33%) for the three months ended March 31, 2015 as compared with the prior year period primarily due to cost reduction actions.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48" w:lineRule="exact"/>
        <w:rPr>
          <w:sz w:val="20"/>
          <w:szCs w:val="20"/>
          <w:color w:val="auto"/>
        </w:rPr>
      </w:pPr>
    </w:p>
    <w:p>
      <w:pPr>
        <w:ind w:right="580"/>
        <w:spacing w:after="0" w:line="239" w:lineRule="auto"/>
        <w:rPr>
          <w:sz w:val="20"/>
          <w:szCs w:val="20"/>
          <w:color w:val="auto"/>
        </w:rPr>
      </w:pPr>
      <w:r>
        <w:rPr>
          <w:rFonts w:ascii="Arial" w:cs="Arial" w:eastAsia="Arial" w:hAnsi="Arial"/>
          <w:sz w:val="17"/>
          <w:szCs w:val="17"/>
          <w:color w:val="auto"/>
        </w:rPr>
        <w:t>Consolidated R&amp;D expenses decreased (30%) for the three months ended March 31, 2015 as compared with the prior year period primarily due to focusing development activities on prioritized projects and certain products reaching or completing the commercialization phase.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20"/>
                <w:szCs w:val="20"/>
                <w:color w:val="auto"/>
              </w:rPr>
            </w:pPr>
            <w:r>
              <w:rPr>
                <w:rFonts w:ascii="Arial" w:cs="Arial" w:eastAsia="Arial" w:hAnsi="Arial"/>
                <w:sz w:val="17"/>
                <w:szCs w:val="17"/>
                <w:b w:val="1"/>
                <w:bCs w:val="1"/>
                <w:color w:val="auto"/>
              </w:rPr>
              <w:t>PRINT SYSTEMS SEGMENT</w:t>
            </w: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5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8"/>
          </w:tcPr>
          <w:p>
            <w:pPr>
              <w:jc w:val="center"/>
              <w:ind w:right="920"/>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206"/>
        </w:trPr>
        <w:tc>
          <w:tcPr>
            <w:tcW w:w="5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7"/>
                <w:szCs w:val="17"/>
                <w:color w:val="auto"/>
              </w:rPr>
            </w:pPr>
          </w:p>
        </w:tc>
      </w:tr>
      <w:tr>
        <w:trPr>
          <w:trHeight w:val="24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260" w:type="dxa"/>
            <w:vAlign w:val="bottom"/>
            <w:gridSpan w:val="2"/>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254</w:t>
            </w:r>
          </w:p>
        </w:tc>
        <w:tc>
          <w:tcPr>
            <w:tcW w:w="88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191"/>
        </w:trPr>
        <w:tc>
          <w:tcPr>
            <w:tcW w:w="586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 before allocation of corporate SG&amp;A costs</w:t>
            </w:r>
          </w:p>
        </w:tc>
        <w:tc>
          <w:tcPr>
            <w:tcW w:w="1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06"/>
        </w:trPr>
        <w:tc>
          <w:tcPr>
            <w:tcW w:w="586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15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-38%</w:t>
            </w:r>
          </w:p>
        </w:tc>
      </w:tr>
      <w:tr>
        <w:trPr>
          <w:trHeight w:val="24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1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04"/>
        </w:trPr>
        <w:tc>
          <w:tcPr>
            <w:tcW w:w="5860" w:type="dxa"/>
            <w:vAlign w:val="bottom"/>
          </w:tcPr>
          <w:p>
            <w:pPr>
              <w:spacing w:after="0"/>
              <w:rPr>
                <w:sz w:val="20"/>
                <w:szCs w:val="20"/>
                <w:color w:val="auto"/>
              </w:rPr>
            </w:pPr>
            <w:r>
              <w:rPr>
                <w:rFonts w:ascii="Arial" w:cs="Arial" w:eastAsia="Arial" w:hAnsi="Arial"/>
                <w:sz w:val="17"/>
                <w:szCs w:val="17"/>
                <w:color w:val="auto"/>
              </w:rPr>
              <w:t>Operational EBITDA as a % of revenues</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decrease in Print Systems revenues of approximately 12% primarily reflected unfavorable currency impacts within Prepress Solutions in the current period (-8%). Also contributing to the decline was lower pricing within Prepress Solutions as a result of competitive pressures in the industry (-4%) which was partially offset by increased volume (+1%).</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6"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Print Systems Operational EBITDA improved as a percentage of revenue, driven by lower SG&amp;A (+3pp) offset by a decrease in the gross profit percentage. The reduction in SG&amp;A was as a result of cost reductions. The decrease in gross profit percent was due to competitive pricing pressures (-2pp) and increased raw material costs partially offset by improvements in manufacturing efficiency.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20"/>
                <w:szCs w:val="20"/>
                <w:color w:val="auto"/>
              </w:rPr>
            </w:pPr>
            <w:r>
              <w:rPr>
                <w:rFonts w:ascii="Arial" w:cs="Arial" w:eastAsia="Arial" w:hAnsi="Arial"/>
                <w:sz w:val="17"/>
                <w:szCs w:val="17"/>
                <w:b w:val="1"/>
                <w:bCs w:val="1"/>
                <w:color w:val="auto"/>
              </w:rPr>
              <w:t>ENTERPRISE INKJET SYSTEMS SEGMENT</w:t>
            </w: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5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7"/>
          </w:tcPr>
          <w:p>
            <w:pPr>
              <w:jc w:val="center"/>
              <w:ind w:right="920"/>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206"/>
        </w:trPr>
        <w:tc>
          <w:tcPr>
            <w:tcW w:w="5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2014</w:t>
            </w:r>
          </w:p>
        </w:tc>
        <w:tc>
          <w:tcPr>
            <w:tcW w:w="3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7"/>
                <w:szCs w:val="17"/>
                <w:color w:val="auto"/>
              </w:rPr>
            </w:pPr>
          </w:p>
        </w:tc>
      </w:tr>
      <w:tr>
        <w:trPr>
          <w:trHeight w:val="24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260" w:type="dxa"/>
            <w:vAlign w:val="bottom"/>
            <w:gridSpan w:val="2"/>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6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191"/>
        </w:trPr>
        <w:tc>
          <w:tcPr>
            <w:tcW w:w="586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 before allocation of corporate SG&amp;A costs</w:t>
            </w:r>
          </w:p>
        </w:tc>
        <w:tc>
          <w:tcPr>
            <w:tcW w:w="1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01"/>
        </w:trPr>
        <w:tc>
          <w:tcPr>
            <w:tcW w:w="586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3</w:t>
            </w:r>
          </w:p>
        </w:tc>
        <w:tc>
          <w:tcPr>
            <w:tcW w:w="840" w:type="dxa"/>
            <w:vAlign w:val="bottom"/>
          </w:tcPr>
          <w:p>
            <w:pPr>
              <w:spacing w:after="0"/>
              <w:rPr>
                <w:sz w:val="17"/>
                <w:szCs w:val="17"/>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7"/>
                <w:szCs w:val="17"/>
                <w:color w:val="auto"/>
              </w:rPr>
              <w:t>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-25%</w:t>
            </w:r>
          </w:p>
        </w:tc>
      </w:tr>
      <w:tr>
        <w:trPr>
          <w:trHeight w:val="25"/>
        </w:trPr>
        <w:tc>
          <w:tcPr>
            <w:tcW w:w="5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1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5860" w:type="dxa"/>
            <w:vAlign w:val="bottom"/>
          </w:tcPr>
          <w:p>
            <w:pPr>
              <w:spacing w:after="0"/>
              <w:rPr>
                <w:sz w:val="20"/>
                <w:szCs w:val="20"/>
                <w:color w:val="auto"/>
              </w:rPr>
            </w:pPr>
            <w:r>
              <w:rPr>
                <w:rFonts w:ascii="Arial" w:cs="Arial" w:eastAsia="Arial" w:hAnsi="Arial"/>
                <w:sz w:val="17"/>
                <w:szCs w:val="17"/>
                <w:color w:val="auto"/>
              </w:rPr>
              <w:t>Operational EBITDA as a % of revenues</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-33%</w:t>
            </w:r>
          </w:p>
        </w:tc>
        <w:tc>
          <w:tcPr>
            <w:tcW w:w="84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-25%</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decrease in Enterprise Inkjet Systems revenues of approximately 19% reflected unfavorable volume driven by a decrease in service and consumables (-5%) due to declines in the installed base of legacy systems and components, and the timing of a large order for digital front-end controllers in the prior year (-4%). Also contributing to the decline was unfavorable currency impacts (-8%).</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Enterprise Inkjet Systems Operational EBITDA as a percentage of revenue declined 8pp, reflecting a decrease in the gross profit percentage offset by improvement in operating expenses. The decrease in the gross profit percentage was primarily driven by product mix due to large orders of PROSPER System Hybrid Components in the prior year (-6pp), and as service and consumables constituted a lower percentage of gross profit (-4pp). Also contributing to the decrease in the gross profit percentage was unfavorable volume for digital front-end controllers (-2pp) and unfavorable currency impacts (-2pp). The improvement in operating expenses was driven by R&amp;D cost reductions (+6 pp) primarily from completing commercialization of the PROSPER 6000 Press and focusing development activities on prioritized projects, and lower SG&amp;A (+3pp) primarily due to cost reduction actions.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20"/>
                <w:szCs w:val="20"/>
                <w:color w:val="auto"/>
              </w:rPr>
            </w:pPr>
            <w:r>
              <w:rPr>
                <w:rFonts w:ascii="Arial" w:cs="Arial" w:eastAsia="Arial" w:hAnsi="Arial"/>
                <w:sz w:val="17"/>
                <w:szCs w:val="17"/>
                <w:b w:val="1"/>
                <w:bCs w:val="1"/>
                <w:color w:val="auto"/>
              </w:rPr>
              <w:t>MICRO 3D PRINTING AND PACKAGING SEGMENT</w:t>
            </w: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5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7"/>
          </w:tcPr>
          <w:p>
            <w:pPr>
              <w:jc w:val="center"/>
              <w:ind w:right="920"/>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206"/>
        </w:trPr>
        <w:tc>
          <w:tcPr>
            <w:tcW w:w="5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7"/>
                <w:szCs w:val="17"/>
                <w:color w:val="auto"/>
              </w:rPr>
            </w:pPr>
          </w:p>
        </w:tc>
      </w:tr>
      <w:tr>
        <w:trPr>
          <w:trHeight w:val="24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260" w:type="dxa"/>
            <w:vAlign w:val="bottom"/>
            <w:gridSpan w:val="2"/>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6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191"/>
        </w:trPr>
        <w:tc>
          <w:tcPr>
            <w:tcW w:w="586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 before allocation of corporate SG&amp;A costs</w:t>
            </w:r>
          </w:p>
        </w:tc>
        <w:tc>
          <w:tcPr>
            <w:tcW w:w="1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01"/>
        </w:trPr>
        <w:tc>
          <w:tcPr>
            <w:tcW w:w="586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86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0%</w:t>
            </w:r>
          </w:p>
        </w:tc>
      </w:tr>
      <w:tr>
        <w:trPr>
          <w:trHeight w:val="25"/>
        </w:trPr>
        <w:tc>
          <w:tcPr>
            <w:tcW w:w="5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1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CCEEFF"/>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5860" w:type="dxa"/>
            <w:vAlign w:val="bottom"/>
          </w:tcPr>
          <w:p>
            <w:pPr>
              <w:spacing w:after="0"/>
              <w:rPr>
                <w:sz w:val="20"/>
                <w:szCs w:val="20"/>
                <w:color w:val="auto"/>
              </w:rPr>
            </w:pPr>
            <w:r>
              <w:rPr>
                <w:rFonts w:ascii="Arial" w:cs="Arial" w:eastAsia="Arial" w:hAnsi="Arial"/>
                <w:sz w:val="17"/>
                <w:szCs w:val="17"/>
                <w:color w:val="auto"/>
              </w:rPr>
              <w:t>Operational EBITDA as a % of revenues</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8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increase in Micro 3D Printing and Packaging revenues of approximately 7% was driven by volume improvements within Packaging (+14%) primarily due to a larger installed base of Flexcel NX systems driving growth in revenues from Flexcel NX consumables. This increase was partially offset by unfavorable currency impacts (-10%).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6"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The 7pp improvement in the Micro 3D Printing and Packaging Operational EBITDA as a percentage of revenue was driven by lower operating expenses due to improvements in SG&amp;A (+5pp) driven by cost reductions and R&amp;D cost reductions (+4pp) primarily from focusing development activities on Flexcel NX and Flexcel Direct products. These improvements were offset by unfavorable costs (-3pp) within Packaging, and unfavorable currency impacts (-1pp).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20"/>
                <w:szCs w:val="20"/>
                <w:color w:val="auto"/>
              </w:rPr>
            </w:pPr>
            <w:r>
              <w:rPr>
                <w:rFonts w:ascii="Arial" w:cs="Arial" w:eastAsia="Arial" w:hAnsi="Arial"/>
                <w:sz w:val="17"/>
                <w:szCs w:val="17"/>
                <w:b w:val="1"/>
                <w:bCs w:val="1"/>
                <w:color w:val="auto"/>
              </w:rPr>
              <w:t>SOFTWARE AND SOLUTIONS SEGMENT</w:t>
            </w: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5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7"/>
          </w:tcPr>
          <w:p>
            <w:pPr>
              <w:jc w:val="center"/>
              <w:ind w:right="920"/>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206"/>
        </w:trPr>
        <w:tc>
          <w:tcPr>
            <w:tcW w:w="5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7"/>
                <w:szCs w:val="17"/>
                <w:color w:val="auto"/>
              </w:rPr>
            </w:pPr>
          </w:p>
        </w:tc>
      </w:tr>
      <w:tr>
        <w:trPr>
          <w:trHeight w:val="24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260" w:type="dxa"/>
            <w:vAlign w:val="bottom"/>
            <w:gridSpan w:val="2"/>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6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191"/>
        </w:trPr>
        <w:tc>
          <w:tcPr>
            <w:tcW w:w="586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 before allocation of corporate SG&amp;A costs</w:t>
            </w:r>
          </w:p>
        </w:tc>
        <w:tc>
          <w:tcPr>
            <w:tcW w:w="1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8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1"/>
        </w:trPr>
        <w:tc>
          <w:tcPr>
            <w:tcW w:w="586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86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-33%</w:t>
            </w:r>
          </w:p>
        </w:tc>
      </w:tr>
      <w:tr>
        <w:trPr>
          <w:trHeight w:val="25"/>
        </w:trPr>
        <w:tc>
          <w:tcPr>
            <w:tcW w:w="5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1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5860" w:type="dxa"/>
            <w:vAlign w:val="bottom"/>
          </w:tcPr>
          <w:p>
            <w:pPr>
              <w:spacing w:after="0"/>
              <w:rPr>
                <w:sz w:val="20"/>
                <w:szCs w:val="20"/>
                <w:color w:val="auto"/>
              </w:rPr>
            </w:pPr>
            <w:r>
              <w:rPr>
                <w:rFonts w:ascii="Arial" w:cs="Arial" w:eastAsia="Arial" w:hAnsi="Arial"/>
                <w:sz w:val="17"/>
                <w:szCs w:val="17"/>
                <w:color w:val="auto"/>
              </w:rPr>
              <w:t>Operational EBITDA as a % of revenues</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8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The increase in Software and Solutions revenues of approximately 17% reflected volume improvements within Kodak Technology Solutions (+26%) primarily due to higher revenues from government contracts. Partially offsetting this improvement was unfavorable currency impacts (-7%) and lower revenues from Unified Workflow Solutions and services (-2%).</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6"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11pp improvement in the Software and Solutions Operational EBITDA as a percentage of revenue was mainly due to lower SG&amp;A costs (+12pp) which was driven by cost reduction actions, and R&amp;D cost reductions (+3pp) primarily from focusing development activities on core products.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20"/>
                <w:szCs w:val="20"/>
                <w:color w:val="auto"/>
              </w:rPr>
            </w:pPr>
            <w:r>
              <w:rPr>
                <w:rFonts w:ascii="Arial" w:cs="Arial" w:eastAsia="Arial" w:hAnsi="Arial"/>
                <w:sz w:val="17"/>
                <w:szCs w:val="17"/>
                <w:b w:val="1"/>
                <w:bCs w:val="1"/>
                <w:color w:val="auto"/>
              </w:rPr>
              <w:t>CONSUMER AND FILM SEGMENT</w:t>
            </w: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5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8"/>
          </w:tcPr>
          <w:p>
            <w:pPr>
              <w:jc w:val="center"/>
              <w:ind w:right="920"/>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206"/>
        </w:trPr>
        <w:tc>
          <w:tcPr>
            <w:tcW w:w="58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2014</w:t>
            </w:r>
          </w:p>
        </w:tc>
        <w:tc>
          <w:tcPr>
            <w:tcW w:w="2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b w:val="1"/>
                <w:bCs w:val="1"/>
                <w:color w:val="auto"/>
              </w:rPr>
              <w:t>% Change</w:t>
            </w:r>
          </w:p>
        </w:tc>
        <w:tc>
          <w:tcPr>
            <w:tcW w:w="140" w:type="dxa"/>
            <w:vAlign w:val="bottom"/>
          </w:tcPr>
          <w:p>
            <w:pPr>
              <w:spacing w:after="0"/>
              <w:rPr>
                <w:sz w:val="17"/>
                <w:szCs w:val="17"/>
                <w:color w:val="auto"/>
              </w:rPr>
            </w:pPr>
          </w:p>
        </w:tc>
      </w:tr>
      <w:tr>
        <w:trPr>
          <w:trHeight w:val="24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260" w:type="dxa"/>
            <w:vAlign w:val="bottom"/>
            <w:gridSpan w:val="2"/>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191"/>
        </w:trPr>
        <w:tc>
          <w:tcPr>
            <w:tcW w:w="586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 before allocation of corporate SG&amp;A costs</w:t>
            </w:r>
          </w:p>
        </w:tc>
        <w:tc>
          <w:tcPr>
            <w:tcW w:w="1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06"/>
        </w:trPr>
        <w:tc>
          <w:tcPr>
            <w:tcW w:w="586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-50%</w:t>
            </w:r>
          </w:p>
        </w:tc>
      </w:tr>
      <w:tr>
        <w:trPr>
          <w:trHeight w:val="24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1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04"/>
        </w:trPr>
        <w:tc>
          <w:tcPr>
            <w:tcW w:w="5860" w:type="dxa"/>
            <w:vAlign w:val="bottom"/>
          </w:tcPr>
          <w:p>
            <w:pPr>
              <w:spacing w:after="0"/>
              <w:rPr>
                <w:sz w:val="20"/>
                <w:szCs w:val="20"/>
                <w:color w:val="auto"/>
              </w:rPr>
            </w:pPr>
            <w:r>
              <w:rPr>
                <w:rFonts w:ascii="Arial" w:cs="Arial" w:eastAsia="Arial" w:hAnsi="Arial"/>
                <w:sz w:val="17"/>
                <w:szCs w:val="17"/>
                <w:color w:val="auto"/>
              </w:rPr>
              <w:t>Operational EBITDA as a % of revenues</w:t>
            </w: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25%</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The decrease in Consumer and Film revenues of approximately 16% reflected volume declines in Consumer Inkjet Systems (-17%) driven by lower sales of ink to the existing installed base of printers.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13pp improvement in the Consumer and Film Operational EBITDA as a percentage of revenue was driven by cost improvements (+30pp) within Entertainment Imaging and Commercial Films due to improved inventory management and production efficiency. Offsetting these improvements was an unfavorable impact from Consumer Inkjet Systems (-17pp) as consumer ink sales constituted a lower percentage of gross profit and unfavorable currency impacts (-3pp). Also contributing to the improvement in segment earnings as a percentage of revenue was lower SG&amp;A (+5pp) due to cost reductions.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SOLUTIONS SEGMENT</w:t>
      </w:r>
    </w:p>
    <w:p>
      <w:pPr>
        <w:spacing w:after="0" w:line="236" w:lineRule="exact"/>
        <w:rPr>
          <w:sz w:val="20"/>
          <w:szCs w:val="20"/>
          <w:color w:val="auto"/>
        </w:rPr>
      </w:pPr>
    </w:p>
    <w:p>
      <w:pPr>
        <w:jc w:val="both"/>
        <w:ind w:right="160"/>
        <w:spacing w:after="0" w:line="257" w:lineRule="auto"/>
        <w:rPr>
          <w:sz w:val="20"/>
          <w:szCs w:val="20"/>
          <w:color w:val="auto"/>
        </w:rPr>
      </w:pPr>
      <w:r>
        <w:rPr>
          <w:rFonts w:ascii="Arial" w:cs="Arial" w:eastAsia="Arial" w:hAnsi="Arial"/>
          <w:sz w:val="17"/>
          <w:szCs w:val="17"/>
          <w:color w:val="auto"/>
        </w:rPr>
        <w:t>Revenues in the Intellectual Property Solutions segment declined $9 million from the prior year period as there was no revenue from non-recurring intellectual property licensing arrangements recognized in the current year period. R&amp;D not directly related to other segments is included in the Intellectual Property Solutions segment and declined by $3 million from the prior year quarter.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 SEGMENT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significant changes in the results of operations of the Eastman Business Park segment from the prior year period.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236" w:lineRule="exact"/>
        <w:rPr>
          <w:sz w:val="20"/>
          <w:szCs w:val="20"/>
          <w:color w:val="auto"/>
        </w:rPr>
      </w:pPr>
    </w:p>
    <w:p>
      <w:pPr>
        <w:ind w:right="780"/>
        <w:spacing w:after="0" w:line="268" w:lineRule="auto"/>
        <w:rPr>
          <w:sz w:val="20"/>
          <w:szCs w:val="20"/>
          <w:color w:val="auto"/>
        </w:rPr>
      </w:pPr>
      <w:r>
        <w:rPr>
          <w:rFonts w:ascii="Arial" w:cs="Arial" w:eastAsia="Arial" w:hAnsi="Arial"/>
          <w:sz w:val="17"/>
          <w:szCs w:val="17"/>
          <w:color w:val="auto"/>
        </w:rPr>
        <w:t>Kodak recorded $20 million of charges for the three months ended March 31, 2015, of which $17 million were reported as Restructuring costs and other in the accompanying Consolidated Statement of Operations and $3 million were reported as Cost of revenues.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Kodak made cash payments related to restructuring of approximately $11 million during the quarter.</w:t>
      </w:r>
    </w:p>
    <w:p>
      <w:pPr>
        <w:spacing w:after="0" w:line="232"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The restructuring actions implemented in the first three months of 2015 are expected to generate future annual cash savings of approximately $29 million. These savings are expected to reduce future annual Cost of revenues, SG&amp;A and R&amp;D expenses by $14 million, $11 million, and $4 million, respectively. Kodak began realizing a portion of these savings in the first quarter, and expects the majority of the annual savings to be in effect by the second half of 2015 as actions are completed.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7320" w:type="dxa"/>
            <w:vAlign w:val="bottom"/>
          </w:tcPr>
          <w:p>
            <w:pPr>
              <w:spacing w:after="0"/>
              <w:rPr>
                <w:sz w:val="20"/>
                <w:szCs w:val="20"/>
                <w:color w:val="auto"/>
              </w:rPr>
            </w:pPr>
            <w:r>
              <w:rPr>
                <w:rFonts w:ascii="Arial" w:cs="Arial" w:eastAsia="Arial" w:hAnsi="Arial"/>
                <w:sz w:val="17"/>
                <w:szCs w:val="17"/>
                <w:b w:val="1"/>
                <w:bCs w:val="1"/>
                <w:color w:val="auto"/>
              </w:rPr>
              <w:t>LIQUIDITY AND CAPITAL RESOURCES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9"/>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4"/>
              </w:rPr>
              <w:t>As of</w:t>
            </w:r>
          </w:p>
        </w:tc>
        <w:tc>
          <w:tcPr>
            <w:tcW w:w="2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March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7320" w:type="dxa"/>
            <w:vAlign w:val="bottom"/>
          </w:tcPr>
          <w:p>
            <w:pPr>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9"/>
                <w:szCs w:val="19"/>
                <w:color w:val="auto"/>
              </w:rPr>
            </w:pPr>
          </w:p>
        </w:tc>
      </w:tr>
      <w:tr>
        <w:trPr>
          <w:trHeight w:val="241"/>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712</w:t>
            </w:r>
          </w:p>
        </w:tc>
      </w:tr>
      <w:tr>
        <w:trPr>
          <w:trHeight w:val="619"/>
        </w:trPr>
        <w:tc>
          <w:tcPr>
            <w:tcW w:w="73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i w:val="1"/>
                <w:iCs w:val="1"/>
                <w:color w:val="auto"/>
              </w:rPr>
              <w:t>Cash Flow Activity</w:t>
            </w: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86"/>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720"/>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5"/>
          </w:tcPr>
          <w:p>
            <w:pPr>
              <w:jc w:val="right"/>
              <w:ind w:right="1120"/>
              <w:spacing w:after="0"/>
              <w:rPr>
                <w:sz w:val="20"/>
                <w:szCs w:val="20"/>
                <w:color w:val="auto"/>
              </w:rPr>
            </w:pPr>
            <w:r>
              <w:rPr>
                <w:rFonts w:ascii="Arial" w:cs="Arial" w:eastAsia="Arial" w:hAnsi="Arial"/>
                <w:sz w:val="17"/>
                <w:szCs w:val="17"/>
                <w:b w:val="1"/>
                <w:bCs w:val="1"/>
                <w:color w:val="auto"/>
              </w:rPr>
              <w:t>March 31,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2015</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Change</w:t>
            </w:r>
          </w:p>
        </w:tc>
      </w:tr>
      <w:tr>
        <w:trPr>
          <w:trHeight w:val="206"/>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operating activities:</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w:t>
            </w: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7"/>
                <w:szCs w:val="17"/>
                <w:color w:val="auto"/>
              </w:rPr>
              <w:t>Net cash (used in) provided by investing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01"/>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1"/>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3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Net cash used in operating activities increased $45 million for the three months ended March 31, 2015 as compared with the corresponding period in 2014 primarily due to less cash provided by changes in working capital during the current year quarter.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3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Net cash used in investing activities increased $22 million for the three months ended March 31, 2015 as compared with the corresponding period in 2014, primarily due to the use of restricted cash and larger proceeds from sales of businesses/assets in the prior year quarter.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was unchanged for the first quarter of 2015 as compared with the corresponding period in 2014.</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32"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auto"/>
        </w:rPr>
        <w:t>Available liquidity includes cash balances and the unused portion of the Asset Based Revolving Credit Agreement (the “ABL Credit Agreement”). The ABL Credit Agreement had $17 million of net availability as of March 31, 2015. The amount of available liquidity is subject to fluctuations and includes cash balances held by various entities worldwide. At March 31, 2015 and December 31, 2014, approximately $276 million and $214 million, respectively, of cash and cash equivalents were held within the U.S. and approximately $333 million and $498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Additionally, in China, where approximately $142 million of cash and cash equivalents was held as of March 31, 2015, there are limitations related to net asset balances that may impact the ability to make cash available to other jurisdictions in the world. Under the terms of the Senior Secured First Lien Term Credit Agreement, Senior Secured Second Lien Term Credit Agreement and the ABL Credit Agreement, the Company is permitted to invest up to $100 million in subsidiaries and joint ventures that are not party to these loan agreements.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31" w:name="page32"/>
    <w:bookmarkEnd w:id="31"/>
    <w:p>
      <w:pPr>
        <w:ind w:right="100"/>
        <w:spacing w:after="0" w:line="281" w:lineRule="auto"/>
        <w:rPr>
          <w:sz w:val="20"/>
          <w:szCs w:val="20"/>
          <w:color w:val="auto"/>
        </w:rPr>
      </w:pPr>
      <w:r>
        <w:rPr>
          <w:rFonts w:ascii="Arial" w:cs="Arial" w:eastAsia="Arial" w:hAnsi="Arial"/>
          <w:sz w:val="16"/>
          <w:szCs w:val="16"/>
          <w:color w:val="auto"/>
        </w:rPr>
        <w:t>Kodak made net contributions (funded plans) or paid benefits (unfunded plans) totaling approximately $3 million to its major U.S. and non-U.S. defined benefit pension and postretirement benefit plans for the quarter ending March 31, 2015. For the balance of 2015, the forecasted contribution (funded plans) and benefit payment (unfunded plans) requirements for its major U.S. and non-U.S. pension and the postretirement plans are approximately $20 million.</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Cash flow from investing activities included $7 million of capital expenditures for three months ended March 31, 2015. Kodak expects approximately $45 million of total capital expenditures for 2015. Additionally, Kodak intends to utilize a variety of methods to finance customer equipment purchases in the future, including expansion of existing third party finance programs and internal financing through both leasing and installment loans.</w:t>
      </w:r>
    </w:p>
    <w:p>
      <w:pPr>
        <w:spacing w:after="0" w:line="20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Kodak believes that its liquidity position is adequate to fund its operating and investing needs and to provide the flexibility to respond to further changes in the business environment.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92" w:right="25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CAUTIONARY STATEMENT PURSUANT TO SAFE HARBOR PROVISIONS OF THE PRIVATE SECURITIES LITIGATION REFORM ACT OF 1995</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3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Forward–looking statements include statements concerning Kodak’s plans, objectives, goals, strategies, future events, future revenue or performance, capital expenditures, liquidity, investments, financing needs, business trends, and other information that is not historical information. When used in this document, the words “estimates,” “expects,” “anticipates,” “projects,” “plans,” “intends,” “believes,” “predicts”, “forecasts,” or future or conditional verbs, such as “will,” “should,” “could,” or “may,” and variations of such words or similar expressions are intended to identify forward–looking statements. All forward–looking statements, including, without limitation, management’s examination of historical operating trends and data, are based upon Kodak’s expectations and 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in more detail in the Company’s Annual Report on Form 10–K for the year ended December 31, 2014 under the headings “Business,” “Risk Factors,” “Legal Proceedings” and/or “Management’s Discussion and Analysis of Financial Condition and Results of Operations–Liquidity and Capital Resources, in the corresponding sections of this report on Form 10-Q, and in other filings the Company makes with the SEC from time to time, as well as the following:</w:t>
      </w:r>
    </w:p>
    <w:p>
      <w:pPr>
        <w:spacing w:after="0" w:line="198" w:lineRule="exact"/>
        <w:rPr>
          <w:sz w:val="20"/>
          <w:szCs w:val="20"/>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Kodak’s ability to improve and sustain its operating structure, financial results and profitability;</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of Kodak to achieve cash forecasts, financial projections, and projected growth;</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Kodak’s ability to achieve the financial and operational results contained in its business plans;</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Kodak’s ability to discontinue, sell or spin-off certain non-core businesses or operations;</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Kodak’s ability to comply with the covenants in its credit facilities;</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Kodak’s ability to obtain additional financing if and as needed;</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potential adverse effects of the concluded Chapter 11 proceedings on Kodak’s brand or business prospects;</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Kodak’s ability to fund continued investments, capital needs and restructuring payments and service its debt;</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foreign currency exchange rates, commodity prices and interest rates;</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resolution of claims against Kodak;</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Kodak’s ability to attract and retain key executives, managers and employees;</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Kodak’s ability to maintain product reliability and quality and growth in relevant markets;</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Kodak’s ability to effectively anticipate technology trends and develop and market new products, solutions and technologies; and</w:t>
      </w:r>
    </w:p>
    <w:p>
      <w:pPr>
        <w:spacing w:after="0" w:line="231" w:lineRule="exact"/>
        <w:rPr>
          <w:rFonts w:ascii="Arial" w:cs="Arial" w:eastAsia="Arial" w:hAnsi="Arial"/>
          <w:sz w:val="17"/>
          <w:szCs w:val="17"/>
          <w:color w:val="auto"/>
        </w:rPr>
      </w:pPr>
    </w:p>
    <w:p>
      <w:pPr>
        <w:ind w:left="600" w:hanging="36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of the global economic environment on Kodak.</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our behalf apply only as of the date of this report on Form 10-Q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3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9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stronger at March 31, 2015, the fair value of open forward contracts would have decreased $11 million. If the U.S. dollar had been 10% weaker as of December 31, 2014, the fair value of open forward contracts would have decreased $2 million. Such changes in fair value would be substantially offset by the revaluation or settlement of the underlying positions hedged.</w:t>
      </w:r>
    </w:p>
    <w:p>
      <w:pPr>
        <w:spacing w:after="0" w:line="203"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Kodak is exposed to interest rate risk primarily through its borrowing activities and, to a lesser extent, through investments in marketable securities. Kodak may utilize borrowings to fund its working capital and investment needs.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66" w:lineRule="exact"/>
        <w:rPr>
          <w:sz w:val="20"/>
          <w:szCs w:val="20"/>
          <w:color w:val="auto"/>
        </w:rPr>
      </w:pPr>
    </w:p>
    <w:p>
      <w:pPr>
        <w:ind w:right="340"/>
        <w:spacing w:after="0" w:line="308" w:lineRule="auto"/>
        <w:rPr>
          <w:sz w:val="20"/>
          <w:szCs w:val="20"/>
          <w:color w:val="auto"/>
        </w:rPr>
      </w:pPr>
      <w:r>
        <w:rPr>
          <w:rFonts w:ascii="Arial" w:cs="Arial" w:eastAsia="Arial" w:hAnsi="Arial"/>
          <w:sz w:val="15"/>
          <w:szCs w:val="15"/>
          <w:color w:val="auto"/>
        </w:rPr>
        <w:t>Kodak’s Senior Secured First Lien Term Credit Agreement, Senior Secured Second Lien Term Credit Agreement and ABL Credit Agreement are in variable-rate instruments with an interest rate floor. At March 31, 2015 and December 31, 2014, the one-month LIBOR rate was approximately 0.18% and 0.17%, respectively. If LIBOR rates were to rise above the 1% and 1.25% floors, interest expense would increase approximately $7 million for each 1% of LIBOR above the floor.</w:t>
      </w:r>
    </w:p>
    <w:p>
      <w:pPr>
        <w:spacing w:after="0" w:line="166"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March 31, 2015 was not significant to Kodak.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36"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On January 19, 2012, the Company and its U.S. subsidiaries filed voluntary petitions for relief (the “Bankruptcy Filing”) under chapter 11 of the United States Bankruptcy Code in the United States Bankruptcy Court for the Southern District of New York. Subsequent to the Company’s Bankruptcy Filing, between January 27, 2012 and March 22, 2012, several putative class action suits were filed in federal court in the Western District of New York against the committees of the Company’s Stock Ownership Plan (‘SOP’) and Savings and Investment Plan (“SIP”), and certain former and current executives of the Company. The suits have been consolidated into a single action brought under the Employee Retirement Income Security Act (“ERISA”), styled as In re Eastman Kodak ERISA Litigation. The allegations concern the decline in the Company’s stock price and its alleged impact on SOP and SIP. Plaintiffs seek the recovery of any losses to the applicable plans, a constructive trust, the appointment of an independent fiduciary, equitable relief, as applicable, and attorneys’ fees and costs. Defendants’ motion to dismiss the litigation was denied on December 17, 2014 and the case is proceeding. On behalf of the defendants in this case, the Company believes that the case is without merit and will vigorously defend the defendants on their behalf.</w:t>
      </w:r>
    </w:p>
    <w:p>
      <w:pPr>
        <w:spacing w:after="0" w:line="19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March 31, 2015, Kodak maintained accruals of approximately $13 million for claims aggregating approximately $194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its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Risk Factors set forth in Part I, Item 1A of the 2014 Form 10-K. The Risk Factors remain applicable from the 2014 Form 10-K.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Securities and Use of Proceeds</w:t>
      </w:r>
    </w:p>
    <w:p>
      <w:pPr>
        <w:spacing w:after="0" w:line="261" w:lineRule="exact"/>
        <w:rPr>
          <w:sz w:val="20"/>
          <w:szCs w:val="20"/>
          <w:color w:val="auto"/>
        </w:rPr>
      </w:pPr>
    </w:p>
    <w:p>
      <w:pPr>
        <w:ind w:left="460" w:right="6160" w:hanging="459"/>
        <w:spacing w:after="0" w:line="540" w:lineRule="auto"/>
        <w:tabs>
          <w:tab w:leader="none" w:pos="394"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Sales of unregistered securities during the quarter ended March 31, 2015 Not Applicable</w:t>
      </w:r>
    </w:p>
    <w:p>
      <w:pPr>
        <w:ind w:left="460" w:right="5820" w:hanging="459"/>
        <w:spacing w:after="0" w:line="335" w:lineRule="auto"/>
        <w:tabs>
          <w:tab w:leader="none" w:pos="4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Issuer purchases of equity securities during the quarter ended March 31, 2015 Repurchases related to Stock Compensation Plans </w:t>
      </w:r>
      <w:r>
        <w:rPr>
          <w:rFonts w:ascii="Arial" w:cs="Arial" w:eastAsia="Arial" w:hAnsi="Arial"/>
          <w:sz w:val="23"/>
          <w:szCs w:val="23"/>
          <w:color w:val="auto"/>
          <w:vertAlign w:val="superscript"/>
        </w:rPr>
        <w:t>(1)</w:t>
      </w:r>
      <w:r>
        <w:rPr>
          <w:rFonts w:ascii="Arial" w:cs="Arial" w:eastAsia="Arial" w:hAnsi="Arial"/>
          <w:sz w:val="17"/>
          <w:szCs w:val="17"/>
          <w:color w:val="auto"/>
        </w:rPr>
        <w:t>:</w:t>
      </w: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20"/>
              <w:spacing w:after="0" w:line="184" w:lineRule="exact"/>
              <w:rPr>
                <w:sz w:val="20"/>
                <w:szCs w:val="20"/>
                <w:color w:val="auto"/>
              </w:rPr>
            </w:pPr>
            <w:r>
              <w:rPr>
                <w:rFonts w:ascii="Arial" w:cs="Arial" w:eastAsia="Arial" w:hAnsi="Arial"/>
                <w:sz w:val="17"/>
                <w:szCs w:val="17"/>
                <w:b w:val="1"/>
                <w:bCs w:val="1"/>
                <w:color w:val="auto"/>
                <w:w w:val="93"/>
              </w:rPr>
              <w:t>Total Number</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of Shares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Purchased as</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5"/>
              </w:rPr>
              <w:t>Maximum That</w:t>
            </w:r>
          </w:p>
        </w:tc>
      </w:tr>
      <w:tr>
        <w:trPr>
          <w:trHeight w:val="201"/>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Part of Publicly</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May Be</w:t>
            </w:r>
          </w:p>
        </w:tc>
      </w:tr>
      <w:tr>
        <w:trPr>
          <w:trHeight w:val="201"/>
        </w:trPr>
        <w:tc>
          <w:tcPr>
            <w:tcW w:w="60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Total Number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Announced</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5"/>
              </w:rPr>
              <w:t>Purchased</w:t>
            </w:r>
          </w:p>
        </w:tc>
      </w:tr>
      <w:tr>
        <w:trPr>
          <w:trHeight w:val="201"/>
        </w:trPr>
        <w:tc>
          <w:tcPr>
            <w:tcW w:w="60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of Shares</w:t>
            </w: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w w:val="88"/>
              </w:rPr>
              <w:t>Average Price</w:t>
            </w: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Plans or</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under the Plans</w:t>
            </w:r>
          </w:p>
        </w:tc>
      </w:tr>
      <w:tr>
        <w:trPr>
          <w:trHeight w:val="223"/>
        </w:trPr>
        <w:tc>
          <w:tcPr>
            <w:tcW w:w="608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Purchased</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Paid per Share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Programs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or Programs</w:t>
            </w:r>
          </w:p>
        </w:tc>
        <w:tc>
          <w:tcPr>
            <w:tcW w:w="100" w:type="dxa"/>
            <w:vAlign w:val="bottom"/>
          </w:tcPr>
          <w:p>
            <w:pPr>
              <w:spacing w:after="0"/>
              <w:rPr>
                <w:sz w:val="19"/>
                <w:szCs w:val="19"/>
                <w:color w:val="auto"/>
              </w:rPr>
            </w:pP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March 1 through 31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17,408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n/a</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n/a</w:t>
            </w:r>
          </w:p>
        </w:tc>
      </w:tr>
      <w:tr>
        <w:trPr>
          <w:trHeight w:val="25"/>
        </w:trPr>
        <w:tc>
          <w:tcPr>
            <w:tcW w:w="60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17,408</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6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40" w:lineRule="exact"/>
        <w:rPr>
          <w:sz w:val="20"/>
          <w:szCs w:val="20"/>
          <w:color w:val="auto"/>
        </w:rPr>
      </w:pPr>
    </w:p>
    <w:p>
      <w:pPr>
        <w:ind w:left="600" w:hanging="408"/>
        <w:spacing w:after="0" w:line="216" w:lineRule="auto"/>
        <w:tabs>
          <w:tab w:leader="none" w:pos="6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These repurchases are made pursuant to the terms of the 2013 Omnibus Incentive Plan providing the Company the right to withhold amounts deliverable under the plan in order to satisfy minimum statutory tax withholding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Items 3 and 4.</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3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Pursuant to Section 219 of the Iran Threat Reduction and Syria Human Rights Act of 2012, which added Section 13(r) to the Securities Exchange Act of 1934, as amended (the “Exchange Act”), Kodak hereby incorporates by reference herein Exhibit 99.1 to this report. Exhibit 99.1 includes disclosure publicly filed by an entity that may be considered an “affiliate” (as such term is defined in Rule 12b-2 of the Exchange Act) of Kodak.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36" w:lineRule="exact"/>
        <w:rPr>
          <w:sz w:val="20"/>
          <w:szCs w:val="20"/>
          <w:color w:val="auto"/>
        </w:rPr>
      </w:pPr>
    </w:p>
    <w:p>
      <w:pPr>
        <w:ind w:left="5640" w:right="5620" w:hanging="5639"/>
        <w:spacing w:after="0" w:line="580" w:lineRule="auto"/>
        <w:tabs>
          <w:tab w:leader="none" w:pos="463"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Exhibits required as part of this report are listed in the index appearing below.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309245</wp:posOffset>
            </wp:positionV>
            <wp:extent cx="726059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509" w:gutter="0" w:footer="0" w:header="0"/>
        </w:sectPr>
      </w:pPr>
    </w:p>
    <w:bookmarkStart w:id="35" w:name="page36"/>
    <w:bookmarkEnd w:id="35"/>
    <w:p>
      <w:pPr>
        <w:jc w:val="center"/>
        <w:ind w:right="-339"/>
        <w:spacing w:after="0"/>
        <w:rPr>
          <w:sz w:val="20"/>
          <w:szCs w:val="20"/>
          <w:color w:val="auto"/>
        </w:rPr>
      </w:pPr>
      <w:r>
        <w:rPr>
          <w:rFonts w:ascii="Arial" w:cs="Arial" w:eastAsia="Arial" w:hAnsi="Arial"/>
          <w:sz w:val="17"/>
          <w:szCs w:val="17"/>
          <w:b w:val="1"/>
          <w:bCs w:val="1"/>
          <w:color w:val="auto"/>
        </w:rPr>
        <w:t>SIGNATURES</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p>
      <w:pPr>
        <w:jc w:val="center"/>
        <w:ind w:left="4020"/>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jc w:val="center"/>
        <w:ind w:left="4080"/>
        <w:spacing w:after="0"/>
        <w:rPr>
          <w:sz w:val="20"/>
          <w:szCs w:val="20"/>
          <w:color w:val="auto"/>
        </w:rPr>
      </w:pPr>
      <w:r>
        <w:rPr>
          <w:rFonts w:ascii="Arial" w:cs="Arial" w:eastAsia="Arial" w:hAnsi="Arial"/>
          <w:sz w:val="17"/>
          <w:szCs w:val="17"/>
          <w:color w:val="auto"/>
        </w:rPr>
        <w:t>(Registrant)</w:t>
      </w:r>
    </w:p>
    <w:p>
      <w:pPr>
        <w:spacing w:after="0" w:line="200" w:lineRule="exact"/>
        <w:rPr>
          <w:sz w:val="20"/>
          <w:szCs w:val="20"/>
          <w:color w:val="auto"/>
        </w:rPr>
      </w:pPr>
    </w:p>
    <w:p>
      <w:pPr>
        <w:spacing w:after="0" w:line="393" w:lineRule="exact"/>
        <w:rPr>
          <w:sz w:val="20"/>
          <w:szCs w:val="20"/>
          <w:color w:val="auto"/>
        </w:rPr>
      </w:pPr>
    </w:p>
    <w:p>
      <w:pPr>
        <w:spacing w:after="0"/>
        <w:tabs>
          <w:tab w:leader="none" w:pos="6500" w:val="left"/>
        </w:tabs>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b w:val="1"/>
          <w:bCs w:val="1"/>
          <w:color w:val="auto"/>
        </w:rPr>
        <w:t>May 7, 2015</w:t>
      </w:r>
      <w:r>
        <w:rPr>
          <w:sz w:val="20"/>
          <w:szCs w:val="20"/>
          <w:color w:val="auto"/>
        </w:rPr>
        <w:tab/>
      </w:r>
      <w:r>
        <w:rPr>
          <w:rFonts w:ascii="Arial" w:cs="Arial" w:eastAsia="Arial" w:hAnsi="Arial"/>
          <w:sz w:val="14"/>
          <w:szCs w:val="14"/>
          <w:b w:val="1"/>
          <w:bCs w:val="1"/>
          <w:color w:val="auto"/>
        </w:rPr>
        <w:t>/s/ Eric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13970</wp:posOffset>
            </wp:positionV>
            <wp:extent cx="312102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21025" cy="15875"/>
                    </a:xfrm>
                    <a:prstGeom prst="rect">
                      <a:avLst/>
                    </a:prstGeom>
                    <a:noFill/>
                  </pic:spPr>
                </pic:pic>
              </a:graphicData>
            </a:graphic>
          </wp:anchor>
        </w:drawing>
      </w:r>
    </w:p>
    <w:p>
      <w:pPr>
        <w:spacing w:after="0" w:line="11"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Eric Samuels</w:t>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Chief Accounting Officer and Corporate Controller</w:t>
      </w:r>
    </w:p>
    <w:p>
      <w:pPr>
        <w:spacing w:after="0" w:line="6"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(Chief Accounting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240" w:top="488" w:right="55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Item 6. Exhibits</w:t>
      </w:r>
    </w:p>
    <w:p>
      <w:pPr>
        <w:spacing w:after="0" w:line="236" w:lineRule="exact"/>
        <w:rPr>
          <w:sz w:val="20"/>
          <w:szCs w:val="20"/>
          <w:color w:val="auto"/>
        </w:rPr>
      </w:pPr>
    </w:p>
    <w:p>
      <w:pPr>
        <w:ind w:left="460" w:hanging="459"/>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Exhibits required as part of this report are listed in the index appearing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40" w:type="dxa"/>
            <w:vAlign w:val="bottom"/>
          </w:tcPr>
          <w:p>
            <w:pPr>
              <w:spacing w:after="0"/>
              <w:rPr>
                <w:sz w:val="17"/>
                <w:szCs w:val="17"/>
                <w:color w:val="auto"/>
              </w:rPr>
            </w:pPr>
          </w:p>
        </w:tc>
        <w:tc>
          <w:tcPr>
            <w:tcW w:w="10180" w:type="dxa"/>
            <w:vAlign w:val="bottom"/>
          </w:tcPr>
          <w:p>
            <w:pPr>
              <w:ind w:left="4240"/>
              <w:spacing w:after="0"/>
              <w:rPr>
                <w:sz w:val="20"/>
                <w:szCs w:val="20"/>
                <w:color w:val="auto"/>
              </w:rPr>
            </w:pPr>
            <w:r>
              <w:rPr>
                <w:rFonts w:ascii="Arial" w:cs="Arial" w:eastAsia="Arial" w:hAnsi="Arial"/>
                <w:sz w:val="17"/>
                <w:szCs w:val="17"/>
                <w:b w:val="1"/>
                <w:bCs w:val="1"/>
                <w:color w:val="auto"/>
              </w:rPr>
              <w:t>Eastman Kodak Company</w:t>
            </w:r>
          </w:p>
        </w:tc>
        <w:tc>
          <w:tcPr>
            <w:tcW w:w="0" w:type="dxa"/>
            <w:vAlign w:val="bottom"/>
          </w:tcPr>
          <w:p>
            <w:pPr>
              <w:spacing w:after="0"/>
              <w:rPr>
                <w:sz w:val="1"/>
                <w:szCs w:val="1"/>
                <w:color w:val="auto"/>
              </w:rPr>
            </w:pPr>
          </w:p>
        </w:tc>
      </w:tr>
      <w:tr>
        <w:trPr>
          <w:trHeight w:val="217"/>
        </w:trPr>
        <w:tc>
          <w:tcPr>
            <w:tcW w:w="124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Exhibit</w:t>
            </w:r>
          </w:p>
        </w:tc>
        <w:tc>
          <w:tcPr>
            <w:tcW w:w="10180" w:type="dxa"/>
            <w:vAlign w:val="bottom"/>
          </w:tcPr>
          <w:p>
            <w:pPr>
              <w:ind w:left="4580"/>
              <w:spacing w:after="0"/>
              <w:rPr>
                <w:sz w:val="20"/>
                <w:szCs w:val="20"/>
                <w:color w:val="auto"/>
              </w:rPr>
            </w:pPr>
            <w:r>
              <w:rPr>
                <w:rFonts w:ascii="Arial" w:cs="Arial" w:eastAsia="Arial" w:hAnsi="Arial"/>
                <w:sz w:val="17"/>
                <w:szCs w:val="17"/>
                <w:b w:val="1"/>
                <w:bCs w:val="1"/>
                <w:color w:val="auto"/>
              </w:rPr>
              <w:t>Index to Exhibits</w:t>
            </w:r>
          </w:p>
        </w:tc>
        <w:tc>
          <w:tcPr>
            <w:tcW w:w="0" w:type="dxa"/>
            <w:vAlign w:val="bottom"/>
          </w:tcPr>
          <w:p>
            <w:pPr>
              <w:spacing w:after="0"/>
              <w:rPr>
                <w:sz w:val="1"/>
                <w:szCs w:val="1"/>
                <w:color w:val="auto"/>
              </w:rPr>
            </w:pPr>
          </w:p>
        </w:tc>
      </w:tr>
      <w:tr>
        <w:trPr>
          <w:trHeight w:val="185"/>
        </w:trPr>
        <w:tc>
          <w:tcPr>
            <w:tcW w:w="1240" w:type="dxa"/>
            <w:vAlign w:val="bottom"/>
            <w:vMerge w:val="continue"/>
          </w:tcPr>
          <w:p>
            <w:pPr>
              <w:spacing w:after="0"/>
              <w:rPr>
                <w:sz w:val="16"/>
                <w:szCs w:val="16"/>
                <w:color w:val="auto"/>
              </w:rPr>
            </w:pPr>
          </w:p>
        </w:tc>
        <w:tc>
          <w:tcPr>
            <w:tcW w:w="10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40" w:type="dxa"/>
            <w:vAlign w:val="bottom"/>
          </w:tcPr>
          <w:p>
            <w:pPr>
              <w:ind w:left="420"/>
              <w:spacing w:after="0"/>
              <w:rPr>
                <w:sz w:val="20"/>
                <w:szCs w:val="20"/>
                <w:color w:val="auto"/>
              </w:rPr>
            </w:pPr>
            <w:r>
              <w:rPr>
                <w:rFonts w:ascii="Arial" w:cs="Arial" w:eastAsia="Arial" w:hAnsi="Arial"/>
                <w:sz w:val="17"/>
                <w:szCs w:val="17"/>
                <w:b w:val="1"/>
                <w:bCs w:val="1"/>
                <w:color w:val="auto"/>
              </w:rPr>
              <w:t>Number</w:t>
            </w:r>
          </w:p>
        </w:tc>
        <w:tc>
          <w:tcPr>
            <w:tcW w:w="10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Eastman Kodak Company 2013 Omnibus Incentive Plan Form of Nonqualified Stock Option Agreement,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*(10.2)</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89"/>
              </w:rPr>
              <w:t>Eastman Kodak Company Administrative Guide for the 2015 Performance Period under the Executive Compensation for Excellence and Leadership</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Plan,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(31.1)</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Certification signed by Jeffrey J. Clarke,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Certification signed by John N. McMullen,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(32.1)</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3"/>
              </w:rPr>
              <w:t>Certification Pursuant to 18 U.S.C. Section 1350, as Adopted Pursuant to Section 906 of the Sarbanes-Oxley Act of 2002, signed by Jeffrey J.</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Clarke,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(32.2)</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4"/>
              </w:rPr>
              <w:t>Certification Pursuant to 18 U.S.C. Section 1350, as Adopted Pursuant to Section 906 of the Sarbanes-Oxley Act of 2002 signed by John N.</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McMullen,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(99.1)</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Section 13(r) Disclosure, filed herewith.</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(101.INS)</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(101.SCH)</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Schema Linkbase.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1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XBRL Taxonomy Extension Definition Linkbase</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OMNIBUS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Award Agreement</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This “Award Agreement” evidences an award of Nonqualified Stock Options (the “</w:t>
      </w:r>
      <w:r>
        <w:rPr>
          <w:rFonts w:ascii="Arial" w:cs="Arial" w:eastAsia="Arial" w:hAnsi="Arial"/>
          <w:sz w:val="17"/>
          <w:szCs w:val="17"/>
          <w:u w:val="single" w:color="auto"/>
          <w:color w:val="auto"/>
        </w:rPr>
        <w:t>Options</w:t>
      </w:r>
      <w:r>
        <w:rPr>
          <w:rFonts w:ascii="Arial" w:cs="Arial" w:eastAsia="Arial" w:hAnsi="Arial"/>
          <w:sz w:val="17"/>
          <w:szCs w:val="17"/>
          <w:color w:val="auto"/>
        </w:rPr>
        <w:t>” or the “</w:t>
      </w:r>
      <w:r>
        <w:rPr>
          <w:rFonts w:ascii="Arial" w:cs="Arial" w:eastAsia="Arial" w:hAnsi="Arial"/>
          <w:sz w:val="17"/>
          <w:szCs w:val="17"/>
          <w:u w:val="single" w:color="auto"/>
          <w:color w:val="auto"/>
        </w:rPr>
        <w:t>Award</w:t>
      </w:r>
      <w:r>
        <w:rPr>
          <w:rFonts w:ascii="Arial" w:cs="Arial" w:eastAsia="Arial" w:hAnsi="Arial"/>
          <w:sz w:val="17"/>
          <w:szCs w:val="17"/>
          <w:color w:val="auto"/>
        </w:rPr>
        <w:t>”) by the Company under the Eastman Kodak Company 2013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as indicated below. The Award is subject to all other terms set forth in the Plan and this Award Agreement. Capitalized terms not defined in this Award Agreement have the meanings given to them in the Plan.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20"/>
                <w:szCs w:val="20"/>
                <w:color w:val="auto"/>
              </w:rPr>
            </w:pPr>
            <w:r>
              <w:rPr>
                <w:rFonts w:ascii="Arial" w:cs="Arial" w:eastAsia="Arial" w:hAnsi="Arial"/>
                <w:sz w:val="17"/>
                <w:szCs w:val="17"/>
                <w:b w:val="1"/>
                <w:bCs w:val="1"/>
                <w:color w:val="auto"/>
                <w:w w:val="92"/>
              </w:rPr>
              <w:t>Name of Grantee: _____________________________</w:t>
            </w:r>
          </w:p>
        </w:tc>
        <w:tc>
          <w:tcPr>
            <w:tcW w:w="24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427"/>
        </w:trPr>
        <w:tc>
          <w:tcPr>
            <w:tcW w:w="3900" w:type="dxa"/>
            <w:vAlign w:val="bottom"/>
          </w:tcPr>
          <w:p>
            <w:pPr>
              <w:spacing w:after="0"/>
              <w:rPr>
                <w:sz w:val="20"/>
                <w:szCs w:val="20"/>
                <w:color w:val="auto"/>
              </w:rPr>
            </w:pPr>
            <w:r>
              <w:rPr>
                <w:rFonts w:ascii="Arial" w:cs="Arial" w:eastAsia="Arial" w:hAnsi="Arial"/>
                <w:sz w:val="17"/>
                <w:szCs w:val="17"/>
                <w:b w:val="1"/>
                <w:bCs w:val="1"/>
                <w:color w:val="auto"/>
              </w:rPr>
              <w:t>Grant Date:</w:t>
            </w:r>
          </w:p>
        </w:tc>
        <w:tc>
          <w:tcPr>
            <w:tcW w:w="24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27"/>
        </w:trPr>
        <w:tc>
          <w:tcPr>
            <w:tcW w:w="3900" w:type="dxa"/>
            <w:vAlign w:val="bottom"/>
          </w:tcPr>
          <w:p>
            <w:pPr>
              <w:spacing w:after="0"/>
              <w:rPr>
                <w:sz w:val="20"/>
                <w:szCs w:val="20"/>
                <w:color w:val="auto"/>
              </w:rPr>
            </w:pPr>
            <w:r>
              <w:rPr>
                <w:rFonts w:ascii="Arial" w:cs="Arial" w:eastAsia="Arial" w:hAnsi="Arial"/>
                <w:sz w:val="17"/>
                <w:szCs w:val="17"/>
                <w:b w:val="1"/>
                <w:bCs w:val="1"/>
                <w:color w:val="auto"/>
                <w:w w:val="91"/>
              </w:rPr>
              <w:t>Number of Options:  ___________________________</w:t>
            </w:r>
          </w:p>
        </w:tc>
        <w:tc>
          <w:tcPr>
            <w:tcW w:w="4660" w:type="dxa"/>
            <w:vAlign w:val="bottom"/>
            <w:gridSpan w:val="2"/>
          </w:tcPr>
          <w:p>
            <w:pPr>
              <w:ind w:left="60"/>
              <w:spacing w:after="0"/>
              <w:rPr>
                <w:sz w:val="20"/>
                <w:szCs w:val="20"/>
                <w:color w:val="auto"/>
              </w:rPr>
            </w:pPr>
            <w:r>
              <w:rPr>
                <w:rFonts w:ascii="Arial" w:cs="Arial" w:eastAsia="Arial" w:hAnsi="Arial"/>
                <w:sz w:val="17"/>
                <w:szCs w:val="17"/>
                <w:color w:val="auto"/>
              </w:rPr>
              <w:t>with an Option Price of ___________________</w:t>
            </w:r>
          </w:p>
        </w:tc>
      </w:tr>
      <w:tr>
        <w:trPr>
          <w:trHeight w:val="427"/>
        </w:trPr>
        <w:tc>
          <w:tcPr>
            <w:tcW w:w="3900" w:type="dxa"/>
            <w:vAlign w:val="bottom"/>
          </w:tcPr>
          <w:p>
            <w:pPr>
              <w:spacing w:after="0"/>
              <w:rPr>
                <w:sz w:val="20"/>
                <w:szCs w:val="20"/>
                <w:color w:val="auto"/>
              </w:rPr>
            </w:pPr>
            <w:r>
              <w:rPr>
                <w:rFonts w:ascii="Arial" w:cs="Arial" w:eastAsia="Arial" w:hAnsi="Arial"/>
                <w:sz w:val="17"/>
                <w:szCs w:val="17"/>
                <w:b w:val="1"/>
                <w:bCs w:val="1"/>
                <w:color w:val="auto"/>
              </w:rPr>
              <w:t>Vesting Schedule:</w:t>
            </w:r>
          </w:p>
        </w:tc>
        <w:tc>
          <w:tcPr>
            <w:tcW w:w="24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7"/>
        </w:trPr>
        <w:tc>
          <w:tcPr>
            <w:tcW w:w="3900" w:type="dxa"/>
            <w:vAlign w:val="bottom"/>
          </w:tcPr>
          <w:p>
            <w:pPr>
              <w:spacing w:after="0"/>
              <w:rPr>
                <w:sz w:val="19"/>
                <w:szCs w:val="19"/>
                <w:color w:val="auto"/>
              </w:rPr>
            </w:pPr>
          </w:p>
        </w:tc>
        <w:tc>
          <w:tcPr>
            <w:tcW w:w="4660" w:type="dxa"/>
            <w:vAlign w:val="bottom"/>
            <w:gridSpan w:val="2"/>
          </w:tcPr>
          <w:p>
            <w:pPr>
              <w:spacing w:after="0"/>
              <w:rPr>
                <w:sz w:val="19"/>
                <w:szCs w:val="19"/>
                <w:color w:val="auto"/>
              </w:rPr>
            </w:pPr>
          </w:p>
        </w:tc>
      </w:tr>
      <w:tr>
        <w:trPr>
          <w:trHeight w:val="201"/>
        </w:trPr>
        <w:tc>
          <w:tcPr>
            <w:tcW w:w="3900" w:type="dxa"/>
            <w:vAlign w:val="bottom"/>
            <w:shd w:val="clear" w:color="auto" w:fill="CCEEFF"/>
          </w:tcPr>
          <w:p>
            <w:pPr>
              <w:ind w:left="1680"/>
              <w:spacing w:after="0"/>
              <w:rPr>
                <w:sz w:val="20"/>
                <w:szCs w:val="20"/>
                <w:color w:val="auto"/>
              </w:rPr>
            </w:pPr>
            <w:r>
              <w:rPr>
                <w:rFonts w:ascii="Arial" w:cs="Arial" w:eastAsia="Arial" w:hAnsi="Arial"/>
                <w:sz w:val="17"/>
                <w:szCs w:val="17"/>
                <w:b w:val="1"/>
                <w:bCs w:val="1"/>
                <w:color w:val="auto"/>
              </w:rPr>
              <w:t>Vesting Date</w:t>
            </w:r>
          </w:p>
        </w:tc>
        <w:tc>
          <w:tcPr>
            <w:tcW w:w="4660" w:type="dxa"/>
            <w:vAlign w:val="bottom"/>
            <w:gridSpan w:val="2"/>
            <w:shd w:val="clear" w:color="auto" w:fill="CCEEFF"/>
          </w:tcPr>
          <w:p>
            <w:pPr>
              <w:ind w:left="1840"/>
              <w:spacing w:after="0"/>
              <w:rPr>
                <w:sz w:val="20"/>
                <w:szCs w:val="20"/>
                <w:color w:val="auto"/>
              </w:rPr>
            </w:pPr>
            <w:r>
              <w:rPr>
                <w:rFonts w:ascii="Arial" w:cs="Arial" w:eastAsia="Arial" w:hAnsi="Arial"/>
                <w:sz w:val="17"/>
                <w:szCs w:val="17"/>
                <w:b w:val="1"/>
                <w:bCs w:val="1"/>
                <w:color w:val="auto"/>
              </w:rPr>
              <w:t>Percentage Vesting</w:t>
            </w:r>
          </w:p>
        </w:tc>
      </w:tr>
      <w:tr>
        <w:trPr>
          <w:trHeight w:val="151"/>
        </w:trPr>
        <w:tc>
          <w:tcPr>
            <w:tcW w:w="3900" w:type="dxa"/>
            <w:vAlign w:val="bottom"/>
          </w:tcPr>
          <w:p>
            <w:pPr>
              <w:spacing w:after="0"/>
              <w:rPr>
                <w:sz w:val="13"/>
                <w:szCs w:val="13"/>
                <w:color w:val="auto"/>
              </w:rPr>
            </w:pPr>
          </w:p>
        </w:tc>
        <w:tc>
          <w:tcPr>
            <w:tcW w:w="2460" w:type="dxa"/>
            <w:vAlign w:val="bottom"/>
          </w:tcPr>
          <w:p>
            <w:pPr>
              <w:jc w:val="right"/>
              <w:spacing w:after="0" w:line="151" w:lineRule="exact"/>
              <w:rPr>
                <w:sz w:val="20"/>
                <w:szCs w:val="20"/>
                <w:color w:val="auto"/>
              </w:rPr>
            </w:pPr>
            <w:r>
              <w:rPr>
                <w:rFonts w:ascii="Arial" w:cs="Arial" w:eastAsia="Arial" w:hAnsi="Arial"/>
                <w:sz w:val="17"/>
                <w:szCs w:val="17"/>
                <w:color w:val="auto"/>
              </w:rPr>
              <w:t>33</w:t>
            </w:r>
          </w:p>
        </w:tc>
        <w:tc>
          <w:tcPr>
            <w:tcW w:w="2200" w:type="dxa"/>
            <w:vAlign w:val="bottom"/>
          </w:tcPr>
          <w:p>
            <w:pPr>
              <w:jc w:val="center"/>
              <w:ind w:right="1808"/>
              <w:spacing w:after="0" w:line="151" w:lineRule="exact"/>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 %</w:t>
            </w:r>
          </w:p>
        </w:tc>
      </w:tr>
      <w:tr>
        <w:trPr>
          <w:trHeight w:val="49"/>
        </w:trPr>
        <w:tc>
          <w:tcPr>
            <w:tcW w:w="39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200" w:type="dxa"/>
            <w:vAlign w:val="bottom"/>
          </w:tcPr>
          <w:p>
            <w:pPr>
              <w:jc w:val="center"/>
              <w:ind w:right="1848"/>
              <w:spacing w:after="0" w:line="49" w:lineRule="exact"/>
              <w:rPr>
                <w:sz w:val="20"/>
                <w:szCs w:val="20"/>
                <w:color w:val="auto"/>
              </w:rPr>
            </w:pPr>
            <w:r>
              <w:rPr>
                <w:rFonts w:ascii="Arial" w:cs="Arial" w:eastAsia="Arial" w:hAnsi="Arial"/>
                <w:sz w:val="5"/>
                <w:szCs w:val="5"/>
                <w:color w:val="auto"/>
              </w:rPr>
              <w:t>3</w:t>
            </w:r>
          </w:p>
        </w:tc>
      </w:tr>
      <w:tr>
        <w:trPr>
          <w:trHeight w:val="165"/>
        </w:trPr>
        <w:tc>
          <w:tcPr>
            <w:tcW w:w="3900" w:type="dxa"/>
            <w:vAlign w:val="bottom"/>
          </w:tcPr>
          <w:p>
            <w:pPr>
              <w:spacing w:after="0"/>
              <w:rPr>
                <w:sz w:val="14"/>
                <w:szCs w:val="14"/>
                <w:color w:val="auto"/>
              </w:rPr>
            </w:pPr>
          </w:p>
        </w:tc>
        <w:tc>
          <w:tcPr>
            <w:tcW w:w="2460" w:type="dxa"/>
            <w:vAlign w:val="bottom"/>
          </w:tcPr>
          <w:p>
            <w:pPr>
              <w:jc w:val="right"/>
              <w:spacing w:after="0" w:line="165" w:lineRule="exact"/>
              <w:rPr>
                <w:sz w:val="20"/>
                <w:szCs w:val="20"/>
                <w:color w:val="auto"/>
              </w:rPr>
            </w:pPr>
            <w:r>
              <w:rPr>
                <w:rFonts w:ascii="Arial" w:cs="Arial" w:eastAsia="Arial" w:hAnsi="Arial"/>
                <w:sz w:val="17"/>
                <w:szCs w:val="17"/>
                <w:color w:val="auto"/>
              </w:rPr>
              <w:t>33</w:t>
            </w:r>
          </w:p>
        </w:tc>
        <w:tc>
          <w:tcPr>
            <w:tcW w:w="2200" w:type="dxa"/>
            <w:vAlign w:val="bottom"/>
          </w:tcPr>
          <w:p>
            <w:pPr>
              <w:jc w:val="center"/>
              <w:ind w:right="1808"/>
              <w:spacing w:after="0" w:line="165" w:lineRule="exact"/>
              <w:rPr>
                <w:sz w:val="20"/>
                <w:szCs w:val="20"/>
                <w:color w:val="auto"/>
              </w:rPr>
            </w:pPr>
            <w:r>
              <w:rPr>
                <w:rFonts w:ascii="Arial" w:cs="Arial" w:eastAsia="Arial" w:hAnsi="Arial"/>
                <w:sz w:val="19"/>
                <w:szCs w:val="19"/>
                <w:color w:val="auto"/>
                <w:vertAlign w:val="superscript"/>
              </w:rPr>
              <w:t>1</w:t>
            </w:r>
            <w:r>
              <w:rPr>
                <w:rFonts w:ascii="Arial" w:cs="Arial" w:eastAsia="Arial" w:hAnsi="Arial"/>
                <w:sz w:val="14"/>
                <w:szCs w:val="14"/>
                <w:color w:val="auto"/>
              </w:rPr>
              <w:t>/ %</w:t>
            </w:r>
          </w:p>
        </w:tc>
      </w:tr>
      <w:tr>
        <w:trPr>
          <w:trHeight w:val="49"/>
        </w:trPr>
        <w:tc>
          <w:tcPr>
            <w:tcW w:w="39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200" w:type="dxa"/>
            <w:vAlign w:val="bottom"/>
          </w:tcPr>
          <w:p>
            <w:pPr>
              <w:jc w:val="center"/>
              <w:ind w:right="1848"/>
              <w:spacing w:after="0" w:line="49" w:lineRule="exact"/>
              <w:rPr>
                <w:sz w:val="20"/>
                <w:szCs w:val="20"/>
                <w:color w:val="auto"/>
              </w:rPr>
            </w:pPr>
            <w:r>
              <w:rPr>
                <w:rFonts w:ascii="Arial" w:cs="Arial" w:eastAsia="Arial" w:hAnsi="Arial"/>
                <w:sz w:val="5"/>
                <w:szCs w:val="5"/>
                <w:color w:val="auto"/>
              </w:rPr>
              <w:t>3</w:t>
            </w:r>
          </w:p>
        </w:tc>
      </w:tr>
      <w:tr>
        <w:trPr>
          <w:trHeight w:val="165"/>
        </w:trPr>
        <w:tc>
          <w:tcPr>
            <w:tcW w:w="3900" w:type="dxa"/>
            <w:vAlign w:val="bottom"/>
          </w:tcPr>
          <w:p>
            <w:pPr>
              <w:spacing w:after="0"/>
              <w:rPr>
                <w:sz w:val="14"/>
                <w:szCs w:val="14"/>
                <w:color w:val="auto"/>
              </w:rPr>
            </w:pPr>
          </w:p>
        </w:tc>
        <w:tc>
          <w:tcPr>
            <w:tcW w:w="2460" w:type="dxa"/>
            <w:vAlign w:val="bottom"/>
          </w:tcPr>
          <w:p>
            <w:pPr>
              <w:jc w:val="right"/>
              <w:spacing w:after="0" w:line="165" w:lineRule="exact"/>
              <w:rPr>
                <w:sz w:val="20"/>
                <w:szCs w:val="20"/>
                <w:color w:val="auto"/>
              </w:rPr>
            </w:pPr>
            <w:r>
              <w:rPr>
                <w:rFonts w:ascii="Arial" w:cs="Arial" w:eastAsia="Arial" w:hAnsi="Arial"/>
                <w:sz w:val="17"/>
                <w:szCs w:val="17"/>
                <w:color w:val="auto"/>
              </w:rPr>
              <w:t>33</w:t>
            </w:r>
          </w:p>
        </w:tc>
        <w:tc>
          <w:tcPr>
            <w:tcW w:w="2200" w:type="dxa"/>
            <w:vAlign w:val="bottom"/>
          </w:tcPr>
          <w:p>
            <w:pPr>
              <w:jc w:val="center"/>
              <w:ind w:right="1808"/>
              <w:spacing w:after="0" w:line="165" w:lineRule="exact"/>
              <w:rPr>
                <w:sz w:val="20"/>
                <w:szCs w:val="20"/>
                <w:color w:val="auto"/>
              </w:rPr>
            </w:pPr>
            <w:r>
              <w:rPr>
                <w:rFonts w:ascii="Arial" w:cs="Arial" w:eastAsia="Arial" w:hAnsi="Arial"/>
                <w:sz w:val="19"/>
                <w:szCs w:val="19"/>
                <w:color w:val="auto"/>
                <w:vertAlign w:val="superscript"/>
              </w:rPr>
              <w:t>1</w:t>
            </w:r>
            <w:r>
              <w:rPr>
                <w:rFonts w:ascii="Arial" w:cs="Arial" w:eastAsia="Arial" w:hAnsi="Arial"/>
                <w:sz w:val="14"/>
                <w:szCs w:val="14"/>
                <w:color w:val="auto"/>
              </w:rPr>
              <w:t>/ %</w:t>
            </w:r>
          </w:p>
        </w:tc>
      </w:tr>
      <w:tr>
        <w:trPr>
          <w:trHeight w:val="149"/>
        </w:trPr>
        <w:tc>
          <w:tcPr>
            <w:tcW w:w="3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0" w:type="dxa"/>
            <w:vAlign w:val="bottom"/>
          </w:tcPr>
          <w:p>
            <w:pPr>
              <w:jc w:val="center"/>
              <w:ind w:right="1848"/>
              <w:spacing w:after="0"/>
              <w:rPr>
                <w:sz w:val="20"/>
                <w:szCs w:val="20"/>
                <w:color w:val="auto"/>
              </w:rPr>
            </w:pPr>
            <w:r>
              <w:rPr>
                <w:rFonts w:ascii="Arial" w:cs="Arial" w:eastAsia="Arial" w:hAnsi="Arial"/>
                <w:sz w:val="12"/>
                <w:szCs w:val="12"/>
                <w:color w:val="auto"/>
                <w:w w:val="89"/>
              </w:rPr>
              <w:t>3</w:t>
            </w:r>
          </w:p>
        </w:tc>
      </w:tr>
    </w:tbl>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Option Terms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Vesting:</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Vesting Schedule for any Options awarded is set forth above under “Vesting Schedule.” The Options will only vest if the Grantee is continuously employed by the Company or any of its Affiliates from the Grant Date through the applicable Vesting Date, and except as otherwise determined by the Committee, any unvested Options will be forfeited upon any termination of employment.</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Notwithstanding the prior sentence, if the Grantee has an employment agreement with the Company that provides for continued or accelerated vesting upon certain qualifying terminations, the terms and conditions in that employment agreement will control.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Exercise:</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 Option will be exercisable prior to the date on which it vests. Upon Vesting, the Options will allow the purchase of Shares at the Option Price noted above. Each Option provides for the ability to purchase a single Share.</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Subject to the “Withholding” provision below, the Options shall be exercised by written notice or by any other method permitted by the Committee stating the number of Options to be exercised, with payment of the aggregate Option Price for the number of Options exercised.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39" w:name="page40"/>
    <w:bookmarkEnd w:id="39"/>
    <w:p>
      <w:pPr>
        <w:spacing w:after="0"/>
        <w:rPr>
          <w:sz w:val="20"/>
          <w:szCs w:val="20"/>
          <w:color w:val="auto"/>
        </w:rPr>
      </w:pPr>
      <w:r>
        <w:rPr>
          <w:rFonts w:ascii="Arial" w:cs="Arial" w:eastAsia="Arial" w:hAnsi="Arial"/>
          <w:sz w:val="15"/>
          <w:szCs w:val="15"/>
          <w:color w:val="auto"/>
        </w:rPr>
        <w:t>The aggregate Option Price for the Shares as to which an Option is exercised shall be paid to the Company in full at the time of exercise at the election of the Grantee:</w:t>
      </w:r>
    </w:p>
    <w:p>
      <w:pPr>
        <w:spacing w:after="0" w:line="255" w:lineRule="exact"/>
        <w:rPr>
          <w:sz w:val="20"/>
          <w:szCs w:val="20"/>
          <w:color w:val="auto"/>
        </w:rPr>
      </w:pPr>
    </w:p>
    <w:p>
      <w:pPr>
        <w:ind w:left="1200" w:hanging="596"/>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cash or its equivalent (e.g., by cashier’s check);</w:t>
      </w:r>
    </w:p>
    <w:p>
      <w:pPr>
        <w:spacing w:after="0" w:line="231" w:lineRule="exact"/>
        <w:rPr>
          <w:rFonts w:ascii="Arial" w:cs="Arial" w:eastAsia="Arial" w:hAnsi="Arial"/>
          <w:sz w:val="17"/>
          <w:szCs w:val="17"/>
          <w:color w:val="auto"/>
        </w:rPr>
      </w:pPr>
    </w:p>
    <w:p>
      <w:pPr>
        <w:ind w:left="1200" w:hanging="596"/>
        <w:spacing w:after="0" w:line="268"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the extent permitted by the Committee, in Shares previously owned by the Grantee having a Fair Market Value equal to the aggregate Option Price for the Shares being purchased and satisfying such other requirements as may be imposed by the Committee;</w:t>
      </w:r>
    </w:p>
    <w:p>
      <w:pPr>
        <w:spacing w:after="0" w:line="191" w:lineRule="exact"/>
        <w:rPr>
          <w:rFonts w:ascii="Arial" w:cs="Arial" w:eastAsia="Arial" w:hAnsi="Arial"/>
          <w:sz w:val="17"/>
          <w:szCs w:val="17"/>
          <w:color w:val="auto"/>
        </w:rPr>
      </w:pPr>
    </w:p>
    <w:p>
      <w:pPr>
        <w:ind w:left="1200" w:hanging="596"/>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combination of the foregoing; or</w:t>
      </w:r>
    </w:p>
    <w:p>
      <w:pPr>
        <w:spacing w:after="0" w:line="231" w:lineRule="exact"/>
        <w:rPr>
          <w:rFonts w:ascii="Arial" w:cs="Arial" w:eastAsia="Arial" w:hAnsi="Arial"/>
          <w:sz w:val="17"/>
          <w:szCs w:val="17"/>
          <w:color w:val="auto"/>
        </w:rPr>
      </w:pPr>
    </w:p>
    <w:p>
      <w:pPr>
        <w:ind w:left="1200" w:hanging="596"/>
        <w:spacing w:after="0" w:line="268"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consideration received by the Company under a cashless exercise program (whether through a broker or otherwise) implemented by the Company in connection with the Plan.</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Under no circumstances will fractional Shares be issued; if the Grantee elects to pay the Option Price for the Shares using Shares already owned by him or her, or Shares to be received from his or her exercise of this Option and such payment involves a fraction of a Share, the remaining fraction of such Share shall be redeemed by the Company and the Company shall pay the Grantee the Fair Market Value of such fractional Share in cash in lieu of issuing such fractional Share.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Expiration Date:</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Option will expire at the close of business on the day immediately prior to the seventh (7th) anniversary of the Grant Date, unless sooner forfeited in accordance with the terms and conditions of this Award Agreement or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General Terms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Withholding:</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Pursuant to Section 16.4 of the Plan, the Company shall have the power and the right to deduct or withhold (or cause to be deducted or withheld) from any amount deliverable under the Award or otherwise (including Shares otherwise deliverable), or require the Grantee to remit to the Company, the minimum statutory amount to satisfy federal, state, and local taxes, domestic or foreign, required by law or regulation to be withheld with respect to any taxable event arising in connection with this Award.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Company’s automatic withholding right set out above, the Grantee may elect to satisfy the withholding requirement, in whole or in part:</w:t>
      </w:r>
    </w:p>
    <w:p>
      <w:pPr>
        <w:spacing w:after="0" w:line="232" w:lineRule="exact"/>
        <w:rPr>
          <w:sz w:val="20"/>
          <w:szCs w:val="20"/>
          <w:color w:val="auto"/>
        </w:rPr>
      </w:pPr>
    </w:p>
    <w:p>
      <w:pPr>
        <w:ind w:left="1200" w:hanging="596"/>
        <w:spacing w:after="0"/>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by having the Company withhold Shares; or</w:t>
      </w:r>
    </w:p>
    <w:p>
      <w:pPr>
        <w:spacing w:after="0" w:line="231" w:lineRule="exact"/>
        <w:rPr>
          <w:rFonts w:ascii="Arial" w:cs="Arial" w:eastAsia="Arial" w:hAnsi="Arial"/>
          <w:sz w:val="17"/>
          <w:szCs w:val="17"/>
          <w:color w:val="auto"/>
        </w:rPr>
      </w:pPr>
    </w:p>
    <w:p>
      <w:pPr>
        <w:ind w:left="1200" w:hanging="596"/>
        <w:spacing w:after="0"/>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through an independent broker-dealer arrangement to sell a sufficient number of Shares;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 each case, having a Fair Market Value on the date the tax is to be determined equal to the minimum tax required to be withheld.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auto"/>
        </w:rPr>
        <w:t>Grantee Rights: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Grantee will not have any of the rights of a shareholder with respect to the Shares covered by the Award, whether or not vested, until such Shares are actually issued and delivered to the Grantee.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Change of Control:</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Upon the occurrence of a Change of Control, the Committee may, but shall not be required, to make one or more of the adjustments set forth in Section 14.2 of the Plan to the Award if and to the extent that the Award is outstanding at the time of the Change of Control.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Transferability:</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provided by the Plan, the Award is not in any manner subject to alteration, anticipation, sale, transfer, assignment, pledge or encumbrance.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 Right to Continued Employment: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Grantee’s receipt of the Award does not give the Grantee a right to remain in the employment of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Data Privacy:</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By accepting the Award, the Grantee agrees that any data, including the Grantee’s personal data, may be exchanged among the Company and its Affiliates to the extent the Company determines necessary or advisable to administer the Plan and the Award, as well as with any third-party engaged by the Company to administer the Plan and the Awards granted under the Plan.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Amendment:</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Section 15.2 of the Plan, the Committee may from time to time amend this Award Agreement; provided, however, no amendment shall materially adversely impair the rights of the Grantee under this Award Agreement without the Grantee’s consent.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Options described in this Award Agreement are intended to be exempt from Section 409A under the stock rights exemption thereto, and the Plan and this Award Agreement shall be interpreted and administered consistent with such intentions, and in accordance with Eastman Kodak Company’s Policy Regarding Section 409A Compliance. The Company may unilaterally amend this Award Agreement for purposes of exemption from or compliance with Section 409A if, in its sole discretion, the Company determines that such amendment would not have a material adverse effect with respect to the Grantee’s rights under this Award Agreement. Notwithstanding the foregoing, no person connected with the Plan or the Award in any capacity, including, but not limited to, the Company and its directors, officers, agents and employees makes any representation, commitment, or guarantee that any tax treatment will be applicable with respect to the Award or payments made under this Award Agreement, or that such tax treatment will apply to or be available to the Grantee.</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Award (either at the time of vesting or exercise, or otherwise) will not be includible as compensation or earnings for purposes of any benefit or compensation plan offered by the Company or its Affiliates.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obligations of the Company pursuant hereto are subject to compliance with all applicable governmental laws, regulations, rules and administrative actions, including, but not limited to, the Securities Act of 1933, as amended, and the Exchange Act, and all rules promulgated thereunder. In order to avoid any violations, the Committee may, at any time and from time to time, impose additional restrictions upon the Award.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By accepting the Award, the Grantee agrees to be subject to the terms and conditions of the Plan and this Award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Administrative Guide for the 2015 Performance Period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 for Excellence and Leadership Plan</w:t>
      </w:r>
    </w:p>
    <w:p>
      <w:pPr>
        <w:spacing w:after="0" w:line="216" w:lineRule="exact"/>
        <w:rPr>
          <w:sz w:val="20"/>
          <w:szCs w:val="20"/>
          <w:color w:val="auto"/>
        </w:rPr>
      </w:pPr>
    </w:p>
    <w:p>
      <w:pPr>
        <w:spacing w:after="0"/>
        <w:tabs>
          <w:tab w:leader="none" w:pos="2240" w:val="left"/>
        </w:tabs>
        <w:rPr>
          <w:sz w:val="20"/>
          <w:szCs w:val="20"/>
          <w:color w:val="auto"/>
        </w:rPr>
      </w:pPr>
      <w:r>
        <w:rPr>
          <w:rFonts w:ascii="Arial" w:cs="Arial" w:eastAsia="Arial" w:hAnsi="Arial"/>
          <w:sz w:val="17"/>
          <w:szCs w:val="17"/>
          <w:b w:val="1"/>
          <w:bCs w:val="1"/>
          <w:color w:val="auto"/>
        </w:rPr>
        <w:t>ARTICLE 1.</w:t>
      </w:r>
      <w:r>
        <w:rPr>
          <w:sz w:val="20"/>
          <w:szCs w:val="20"/>
          <w:color w:val="auto"/>
        </w:rPr>
        <w:tab/>
      </w:r>
      <w:r>
        <w:rPr>
          <w:rFonts w:ascii="Arial" w:cs="Arial" w:eastAsia="Arial" w:hAnsi="Arial"/>
          <w:sz w:val="17"/>
          <w:szCs w:val="17"/>
          <w:b w:val="1"/>
          <w:bCs w:val="1"/>
          <w:color w:val="auto"/>
        </w:rPr>
        <w:t>INTRODUCTION</w:t>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Background</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Article 4 of the Executive Compensation for Excellence and Leadership Plan (the “Plan”), the Executive Compensation Committee (the “Committee”) has exclusive responsibility to control, operate, manage and administer the Plan in accordance with its terms.</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4"/>
          <w:szCs w:val="14"/>
          <w:b w:val="1"/>
          <w:bCs w:val="1"/>
          <w:color w:val="auto"/>
        </w:rPr>
        <w:t>Purpose</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Administrative Guide governs the Committee’s grant of Awards for the Plan’s 2015 Performance Period. In addition, this Administrative Guide is intended to establish those requirements necessary to ensure that the Awards for the Performance Period will qualify as “performance-based compensation” for purposes of Section 162(m) of the Code. Unless otherwise noted in this Administrative Guide or determined by the Committee, the terms of the Plan shall apply to Awards granted under the Plan.</w:t>
      </w:r>
    </w:p>
    <w:p>
      <w:pPr>
        <w:spacing w:after="0" w:line="199" w:lineRule="exact"/>
        <w:rPr>
          <w:sz w:val="20"/>
          <w:szCs w:val="20"/>
          <w:color w:val="auto"/>
        </w:rPr>
      </w:pPr>
    </w:p>
    <w:p>
      <w:pPr>
        <w:spacing w:after="0"/>
        <w:tabs>
          <w:tab w:leader="none" w:pos="2240" w:val="left"/>
        </w:tabs>
        <w:rPr>
          <w:sz w:val="20"/>
          <w:szCs w:val="20"/>
          <w:color w:val="auto"/>
        </w:rPr>
      </w:pPr>
      <w:r>
        <w:rPr>
          <w:rFonts w:ascii="Arial" w:cs="Arial" w:eastAsia="Arial" w:hAnsi="Arial"/>
          <w:sz w:val="17"/>
          <w:szCs w:val="17"/>
          <w:b w:val="1"/>
          <w:bCs w:val="1"/>
          <w:color w:val="auto"/>
        </w:rPr>
        <w:t>ARTICLE 2.</w:t>
      </w:r>
      <w:r>
        <w:rPr>
          <w:sz w:val="20"/>
          <w:szCs w:val="20"/>
          <w:color w:val="auto"/>
        </w:rPr>
        <w:tab/>
      </w:r>
      <w:r>
        <w:rPr>
          <w:rFonts w:ascii="Arial" w:cs="Arial" w:eastAsia="Arial" w:hAnsi="Arial"/>
          <w:sz w:val="17"/>
          <w:szCs w:val="17"/>
          <w:b w:val="1"/>
          <w:bCs w:val="1"/>
          <w:color w:val="auto"/>
        </w:rPr>
        <w:t>DEFINITIONS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defined term used in this Administrative Guide, other than those specifically defined in this Administrative Guide, will have the same meaning as that given to it under the terms of the Plan.</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5"/>
          <w:szCs w:val="15"/>
          <w:b w:val="1"/>
          <w:bCs w:val="1"/>
          <w:color w:val="auto"/>
        </w:rPr>
        <w:t>Form 10-K Filing Date</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term “Form 10-K Filing Date” means the date that the Company files, with the Security and Exchange Commission, its Form 10-K for the period ending December 31, 2015.</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Performance Gates</w:t>
      </w:r>
    </w:p>
    <w:p>
      <w:pPr>
        <w:spacing w:after="0" w:line="23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term “Performance Gate” means a performance condition which must be achieved in order for performance against the Plan’s Performance Goal(s) to be considered. Failure to achieve a Performance Gate prevents the funding of any Award Pool regardless of performance against the Performance Goal(s).</w:t>
      </w:r>
    </w:p>
    <w:p>
      <w:pPr>
        <w:spacing w:after="0" w:line="16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Performance Goal(s)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Definitions of the Performance Goal(s) are listed in Appendix A.</w:t>
      </w:r>
    </w:p>
    <w:p>
      <w:pPr>
        <w:spacing w:after="0" w:line="22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5"/>
          <w:szCs w:val="15"/>
          <w:b w:val="1"/>
          <w:bCs w:val="1"/>
          <w:color w:val="auto"/>
        </w:rPr>
        <w:t>Performance Period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“Performance Period” means the 2015 Performance Period that coincides with Kodak’s 2015 fiscal year.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3" w:name="page44"/>
    <w:bookmarkEnd w:id="43"/>
    <w:p>
      <w:pPr>
        <w:spacing w:after="0"/>
        <w:tabs>
          <w:tab w:leader="none" w:pos="2240" w:val="left"/>
        </w:tabs>
        <w:rPr>
          <w:sz w:val="20"/>
          <w:szCs w:val="20"/>
          <w:color w:val="auto"/>
        </w:rPr>
      </w:pPr>
      <w:r>
        <w:rPr>
          <w:rFonts w:ascii="Arial" w:cs="Arial" w:eastAsia="Arial" w:hAnsi="Arial"/>
          <w:sz w:val="17"/>
          <w:szCs w:val="17"/>
          <w:b w:val="1"/>
          <w:bCs w:val="1"/>
          <w:color w:val="auto"/>
        </w:rPr>
        <w:t>ARTICLE 3.</w:t>
      </w:r>
      <w:r>
        <w:rPr>
          <w:sz w:val="20"/>
          <w:szCs w:val="20"/>
          <w:color w:val="auto"/>
        </w:rPr>
        <w:tab/>
      </w:r>
      <w:r>
        <w:rPr>
          <w:rFonts w:ascii="Arial" w:cs="Arial" w:eastAsia="Arial" w:hAnsi="Arial"/>
          <w:sz w:val="17"/>
          <w:szCs w:val="17"/>
          <w:b w:val="1"/>
          <w:bCs w:val="1"/>
          <w:color w:val="auto"/>
        </w:rPr>
        <w:t>ELIGIBILITY</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Only Executives who are Officers under Section 16 of the Exchange Act shall be Participants in the Plan under this Administrative Guide for the 2015 Performance Period.</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Awards will be calculated using the base salary and target EXCEL percentage as of December 31 of the Performance Period. For purposes of Covered Employees as defined by Section 162(m) of the Code, the Committee shall have the authority to exercise Negative Discretion pursuant to Section 5.3.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Unless the Committee provides otherwise, an Executive who becomes a Participant as a result of a job change or promotion during the Performance Period will become a Participant effective on the date of his or her appointment to the new job and will be eligible for a pro-rata Award based on the number of days of participation in EXCEL during the Performance Period.</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amount of any pro-rata Award under the Plan as referenced above will be calculated by multiplying the earned Award by a percentage, the numerator of which is the number of days in the Performance Period during which the executive is a Participant in EXCEL and the denominator of which is 365 days.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Designation of an executive as a Participant for the 2015 Performance Period will not in any manner entitle the Participant to receive payment of an Award for the 2015 Performance Period. The determination as to whether or not such Participant becomes entitled to payment of an Award for the 2015 Performance Period will be decided solely in accordance with the terms of this Administrative Guide and the Plan.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Subject to applicable local laws, regulations and processes, in order to be eligible for and to receive an Award, all eligible Participants must have signed an Employee Agreement in a form acceptable to the Chief Human Resources Officer, Eastman Kodak Company. Any Participant who fails to sign such an Employee Agreement on or prior to the Award Payment Date(s) will not receive an Award.</w:t>
      </w:r>
    </w:p>
    <w:p>
      <w:pPr>
        <w:spacing w:after="0" w:line="198" w:lineRule="exact"/>
        <w:rPr>
          <w:sz w:val="20"/>
          <w:szCs w:val="20"/>
          <w:color w:val="auto"/>
        </w:rPr>
      </w:pPr>
    </w:p>
    <w:p>
      <w:pPr>
        <w:spacing w:after="0"/>
        <w:tabs>
          <w:tab w:leader="none" w:pos="2240" w:val="left"/>
        </w:tabs>
        <w:rPr>
          <w:sz w:val="20"/>
          <w:szCs w:val="20"/>
          <w:color w:val="auto"/>
        </w:rPr>
      </w:pPr>
      <w:r>
        <w:rPr>
          <w:rFonts w:ascii="Arial" w:cs="Arial" w:eastAsia="Arial" w:hAnsi="Arial"/>
          <w:sz w:val="17"/>
          <w:szCs w:val="17"/>
          <w:b w:val="1"/>
          <w:bCs w:val="1"/>
          <w:color w:val="auto"/>
        </w:rPr>
        <w:t>ARTICLE 4.</w:t>
      </w:r>
      <w:r>
        <w:rPr>
          <w:sz w:val="20"/>
          <w:szCs w:val="20"/>
          <w:color w:val="auto"/>
        </w:rPr>
        <w:tab/>
      </w:r>
      <w:r>
        <w:rPr>
          <w:rFonts w:ascii="Arial" w:cs="Arial" w:eastAsia="Arial" w:hAnsi="Arial"/>
          <w:sz w:val="16"/>
          <w:szCs w:val="16"/>
          <w:b w:val="1"/>
          <w:bCs w:val="1"/>
          <w:color w:val="auto"/>
        </w:rPr>
        <w:t>AWARD DESCRIPTION</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color w:val="auto"/>
        </w:rPr>
        <w:t>Terms of Awards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Award granted by the Committee under this Administrative Guide will be subject to the terms, conditions, restrictions and limitations contained in this Administrative Guide as well as those contained in the Plan.</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Form of Awards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Any Awards payable for the 2015 Performance Period will be paid on the Award Payment Date(s) determined by the Company, in cash, Common Stock or other property, or any combination thereof, as determined by the Committee. To the extent an Award is paid in Common Stock, such Common Stock will be issued under the Eastman Kodak Company 2013 Omnibus Incentive Compensation Plan (or any applicable successor plan thereto).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44" w:name="page45"/>
    <w:bookmarkEnd w:id="44"/>
    <w:p>
      <w:pPr>
        <w:spacing w:after="0"/>
        <w:tabs>
          <w:tab w:leader="none" w:pos="2240" w:val="left"/>
        </w:tabs>
        <w:rPr>
          <w:sz w:val="20"/>
          <w:szCs w:val="20"/>
          <w:color w:val="auto"/>
        </w:rPr>
      </w:pPr>
      <w:r>
        <w:rPr>
          <w:rFonts w:ascii="Arial" w:cs="Arial" w:eastAsia="Arial" w:hAnsi="Arial"/>
          <w:sz w:val="17"/>
          <w:szCs w:val="17"/>
          <w:b w:val="1"/>
          <w:bCs w:val="1"/>
          <w:color w:val="auto"/>
        </w:rPr>
        <w:t>ARTICLE 5.</w:t>
      </w:r>
      <w:r>
        <w:rPr>
          <w:sz w:val="20"/>
          <w:szCs w:val="20"/>
          <w:color w:val="auto"/>
        </w:rPr>
        <w:tab/>
      </w:r>
      <w:r>
        <w:rPr>
          <w:rFonts w:ascii="Arial" w:cs="Arial" w:eastAsia="Arial" w:hAnsi="Arial"/>
          <w:sz w:val="17"/>
          <w:szCs w:val="17"/>
          <w:b w:val="1"/>
          <w:bCs w:val="1"/>
          <w:color w:val="auto"/>
        </w:rPr>
        <w:t>AWARD DETERMINATION</w:t>
      </w:r>
    </w:p>
    <w:p>
      <w:pPr>
        <w:spacing w:after="0" w:line="23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5"/>
          <w:szCs w:val="15"/>
          <w:b w:val="1"/>
          <w:bCs w:val="1"/>
          <w:color w:val="auto"/>
        </w:rPr>
        <w:t>Calculation of Award Pool</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Provided that the Performance Gate(s) have been achieved, the percentage derived from the Performance Goal(s) will be multiplied by the aggregate Target Award to determine the Award Pool for the 2015 Performance Period.</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color w:val="auto"/>
        </w:rPr>
        <w:t>Performance Goal(s) and Performance Gate(s)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Performance Goal(s) and Performance Gate(s) for the 2015 Performance Period are attached in Appendix A.</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Results between the dollar amounts for the Performance Goal(s) shown will be interpolated to derive a Performance Percentage for the Performance Period. The Performance Goal(s) are subject to a maximum payout limit of 200%, although, in the discretion of the CEO and subject to the terms of the Plan, individual Awards may exceed this maximum for any Participant except for the Award of a Covered Employee.</w:t>
      </w: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color w:val="auto"/>
        </w:rPr>
        <w:t>Allocation of Award Pool to Covered Employees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Subject to the Committee’s authority to exercise Negative Discretion with regard to the amount of the Award Pool allocated to any Covered Employee for the 2015 Performance Period, each Covered Employee will be allocated an Award no greater than the lesser of: (i) 10% of the Award Pool; or (ii) 500% of his or her annual base salary on December 31, 2014 (or if the Executive was not employed by the Company on such date, 500% of his or her base salary upon hire following December 31, 2014); or (iii) $5,000,000.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Solely for purposes of this Section 5.3, the “Award Pool” will be determined by using the definition of “Aggregate Target Award” as set forth in this Section 5.3.</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purposes of this Section 5.3, “Aggregate Target Award” means the sum of the Target Award amounts on March 17, 2015 for all of the Participants eligible to participate in the Plan on March 17, 2015.</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15"/>
          <w:szCs w:val="15"/>
          <w:b w:val="1"/>
          <w:bCs w:val="1"/>
          <w:color w:val="auto"/>
        </w:rPr>
        <w:t>Certification</w:t>
      </w:r>
    </w:p>
    <w:p>
      <w:pPr>
        <w:spacing w:after="0" w:line="23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Following the completion of the Performance Period, the Committee shall meet to review and certify in writing whether, and to what extent, the Performance Goal(s) and Performance Gate(s) for the Performance Period have been achieved. If the Committee certifies that the Performance Gate(s) and minimum Performance Goal(s) have been achieved, it shall also calculate and certify in writing the Applicable Performance Percentage. By applying the Performance Formula, the Committee shall then determine and certify the total allocation that has been earned for the Performance Period. The Committee may, through the use of discretion, increase or reduce the amount that would otherwise be certified by application of the Performance Formula, if, in its sole judgment, such increase or reduction is appropriate.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5" w:name="page46"/>
    <w:bookmarkEnd w:id="45"/>
    <w:p>
      <w:pPr>
        <w:spacing w:after="0"/>
        <w:tabs>
          <w:tab w:leader="none" w:pos="2240" w:val="left"/>
        </w:tabs>
        <w:rPr>
          <w:sz w:val="20"/>
          <w:szCs w:val="20"/>
          <w:color w:val="auto"/>
        </w:rPr>
      </w:pPr>
      <w:r>
        <w:rPr>
          <w:rFonts w:ascii="Arial" w:cs="Arial" w:eastAsia="Arial" w:hAnsi="Arial"/>
          <w:sz w:val="17"/>
          <w:szCs w:val="17"/>
          <w:b w:val="1"/>
          <w:bCs w:val="1"/>
          <w:color w:val="auto"/>
        </w:rPr>
        <w:t>ARTICLE 6.</w:t>
      </w:r>
      <w:r>
        <w:rPr>
          <w:sz w:val="20"/>
          <w:szCs w:val="20"/>
          <w:color w:val="auto"/>
        </w:rPr>
        <w:tab/>
      </w:r>
      <w:r>
        <w:rPr>
          <w:rFonts w:ascii="Arial" w:cs="Arial" w:eastAsia="Arial" w:hAnsi="Arial"/>
          <w:sz w:val="16"/>
          <w:szCs w:val="16"/>
          <w:b w:val="1"/>
          <w:bCs w:val="1"/>
          <w:color w:val="auto"/>
        </w:rPr>
        <w:t>PAYMENT OF AWARDS</w:t>
      </w:r>
    </w:p>
    <w:p>
      <w:pPr>
        <w:spacing w:after="0" w:line="23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Continued Employment</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Except as otherwise provided by this Article 6, to be eligible to be considered for an Award for the 2015 Performance Period, a Participant must be actively employed by the Company on the Form 10-K Filing Date.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5"/>
          <w:szCs w:val="15"/>
          <w:b w:val="1"/>
          <w:bCs w:val="1"/>
          <w:color w:val="auto"/>
        </w:rPr>
        <w:t>Termination During the Performance Period</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the event a Participant’s employment is terminated during the 2015 Performance Period, whether by the Company or the Participant, for any reason (including, but not limited to the Participant’s death or Disability) other than as part of a divestiture by the Company, the Participant will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 eligible to be considered for an Award for the 2015 Performance Period.</w:t>
      </w:r>
    </w:p>
    <w:p>
      <w:pPr>
        <w:spacing w:after="0" w:line="20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the termination during the 2015 Performance Period is part of a divestiture by the Company, the Participant will be eligible to be considered for a pro-rata Award paid by the Company based on the number of days of participation in EXCEL during the Performance Period before the date of the divestiture only if the successor company has not agreed to accept liability for the Award. The amount of any pro-rata Award will be calculated as described in Article 3 above.</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5"/>
          <w:szCs w:val="15"/>
          <w:b w:val="1"/>
          <w:bCs w:val="1"/>
          <w:color w:val="auto"/>
        </w:rPr>
        <w:t>Termination After Performance Period and Prior to Form 10-K Filing Date</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the event that a Participant is terminated by the Company for Cause after the end of the Performance Period, but before the Form 10-K Filing Date, the Participant will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 eligible to be considered for an Award for the Performance Period.</w:t>
      </w:r>
    </w:p>
    <w:p>
      <w:pPr>
        <w:spacing w:after="0" w:line="19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 the event that a Participant is terminated by the Company after the end of the Performance Period and prior to the Form 10-K Filing Date for any reason other than Cause, the Participant will be eligible to be considered for an Award for the Performance Period, based on certification by the Committee as set forth in Section 5.4 and subsequent management discretion with respect to the Participant’s performance in the Performance Period. If the termination is part of a divestiture by the Company, the Participant will be eligible to be considered for an Award paid by the Company only if the successor company has not agreed to accept liability for the Award.</w:t>
      </w:r>
    </w:p>
    <w:p>
      <w:pPr>
        <w:spacing w:after="0" w:line="174"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 xml:space="preserve">In the event that a Participant voluntarily terminates his or her employment with the Company after the end of the Performance Period and prior to the Form 10-K Filing Date for any reason other than the death or Disability of the Participant, the Participant will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be eligible to be considered for an Award for the Performance Period.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event of the death or Disability of a Participant after the end of the Performance Period and prior to the Form 10-K Filing Date, the Participant will be eligible to be considered for an Award for the Performance Period, based on certification by the Committee as set forth in Section 5.4 and subject to subsequent management discretion with respect to the Participant’s performance in the Performance Period.</w:t>
      </w:r>
    </w:p>
    <w:p>
      <w:pPr>
        <w:spacing w:after="0" w:line="19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6.4</w:t>
      </w:r>
      <w:r>
        <w:rPr>
          <w:sz w:val="20"/>
          <w:szCs w:val="20"/>
          <w:color w:val="auto"/>
        </w:rPr>
        <w:tab/>
      </w:r>
      <w:r>
        <w:rPr>
          <w:rFonts w:ascii="Arial" w:cs="Arial" w:eastAsia="Arial" w:hAnsi="Arial"/>
          <w:sz w:val="15"/>
          <w:szCs w:val="15"/>
          <w:b w:val="1"/>
          <w:bCs w:val="1"/>
          <w:color w:val="auto"/>
        </w:rPr>
        <w:t>Forfeiture</w:t>
      </w:r>
    </w:p>
    <w:p>
      <w:pPr>
        <w:spacing w:after="0" w:line="211" w:lineRule="exact"/>
        <w:rPr>
          <w:sz w:val="20"/>
          <w:szCs w:val="20"/>
          <w:color w:val="auto"/>
        </w:rPr>
      </w:pPr>
    </w:p>
    <w:p>
      <w:pPr>
        <w:jc w:val="both"/>
        <w:ind w:right="160"/>
        <w:spacing w:after="0" w:line="257" w:lineRule="auto"/>
        <w:rPr>
          <w:sz w:val="20"/>
          <w:szCs w:val="20"/>
          <w:color w:val="auto"/>
        </w:rPr>
      </w:pPr>
      <w:r>
        <w:rPr>
          <w:rFonts w:ascii="Arial" w:cs="Arial" w:eastAsia="Arial" w:hAnsi="Arial"/>
          <w:sz w:val="17"/>
          <w:szCs w:val="17"/>
          <w:color w:val="auto"/>
        </w:rPr>
        <w:t>If, at any time, a Participant breaches his or her Employee Agreement or performs any act or engages in any activity which the CEO, in the case of all Participants other than the CEO, or the Committee, in the case of the CEO, determines is inimical to the best interests of Kodak, the Participant will forfeit all of his or her Awards under the Plan.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6" w:name="page47"/>
    <w:bookmarkEnd w:id="46"/>
    <w:p>
      <w:pPr>
        <w:spacing w:after="0"/>
        <w:tabs>
          <w:tab w:leader="none" w:pos="2240" w:val="left"/>
        </w:tabs>
        <w:rPr>
          <w:sz w:val="20"/>
          <w:szCs w:val="20"/>
          <w:color w:val="auto"/>
        </w:rPr>
      </w:pPr>
      <w:r>
        <w:rPr>
          <w:rFonts w:ascii="Arial" w:cs="Arial" w:eastAsia="Arial" w:hAnsi="Arial"/>
          <w:sz w:val="17"/>
          <w:szCs w:val="17"/>
          <w:b w:val="1"/>
          <w:bCs w:val="1"/>
          <w:color w:val="auto"/>
        </w:rPr>
        <w:t>ARTICLE 7.</w:t>
      </w:r>
      <w:r>
        <w:rPr>
          <w:sz w:val="20"/>
          <w:szCs w:val="20"/>
          <w:color w:val="auto"/>
        </w:rPr>
        <w:tab/>
      </w:r>
      <w:r>
        <w:rPr>
          <w:rFonts w:ascii="Arial" w:cs="Arial" w:eastAsia="Arial" w:hAnsi="Arial"/>
          <w:sz w:val="17"/>
          <w:szCs w:val="17"/>
          <w:b w:val="1"/>
          <w:bCs w:val="1"/>
          <w:color w:val="auto"/>
        </w:rPr>
        <w:t>ADMINISTRATION</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This Administrative Guide shall be administered by the Committee. The Committee is authorized to interpret, construe and implement the Administrative Guide, to prescribe, amend and rescind rules and regulations relating to it, and to make all other determinations necessary, appropriate or advisable for its administration. Any determination by the Committee in carrying out, administering or construing this Administrative Guide will be final and binding for all purposes and upon all interested persons and their heirs, successors, and personal representatives.</w:t>
      </w:r>
    </w:p>
    <w:p>
      <w:pPr>
        <w:spacing w:after="0" w:line="199" w:lineRule="exact"/>
        <w:rPr>
          <w:sz w:val="20"/>
          <w:szCs w:val="20"/>
          <w:color w:val="auto"/>
        </w:rPr>
      </w:pPr>
    </w:p>
    <w:p>
      <w:pPr>
        <w:spacing w:after="0"/>
        <w:tabs>
          <w:tab w:leader="none" w:pos="2240" w:val="left"/>
        </w:tabs>
        <w:rPr>
          <w:sz w:val="20"/>
          <w:szCs w:val="20"/>
          <w:color w:val="auto"/>
        </w:rPr>
      </w:pPr>
      <w:r>
        <w:rPr>
          <w:rFonts w:ascii="Arial" w:cs="Arial" w:eastAsia="Arial" w:hAnsi="Arial"/>
          <w:sz w:val="17"/>
          <w:szCs w:val="17"/>
          <w:b w:val="1"/>
          <w:bCs w:val="1"/>
          <w:color w:val="auto"/>
        </w:rPr>
        <w:t>ARTICLE 8.</w:t>
      </w:r>
      <w:r>
        <w:rPr>
          <w:sz w:val="20"/>
          <w:szCs w:val="20"/>
          <w:color w:val="auto"/>
        </w:rPr>
        <w:tab/>
      </w:r>
      <w:r>
        <w:rPr>
          <w:rFonts w:ascii="Arial" w:cs="Arial" w:eastAsia="Arial" w:hAnsi="Arial"/>
          <w:sz w:val="17"/>
          <w:szCs w:val="17"/>
          <w:b w:val="1"/>
          <w:bCs w:val="1"/>
          <w:color w:val="auto"/>
        </w:rPr>
        <w:t>MISCELLANEOUS</w:t>
      </w:r>
    </w:p>
    <w:p>
      <w:pPr>
        <w:spacing w:after="0" w:line="23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5"/>
          <w:szCs w:val="15"/>
          <w:b w:val="1"/>
          <w:bCs w:val="1"/>
          <w:color w:val="auto"/>
        </w:rPr>
        <w:t>Termination/Amendment</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Committee may amend, suspend or terminate this Administrative Guide in whole or in part at any time and for any reason, with or without prior notice. In addition, the Committee, or any person to whom the Committee has delegated the requisite authority, may, at any time and from time to time, amend this Administrative Guide in any manner and for any reason.</w:t>
      </w:r>
    </w:p>
    <w:p>
      <w:pPr>
        <w:spacing w:after="0" w:line="19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Section 409A Compliance</w:t>
      </w:r>
    </w:p>
    <w:p>
      <w:pPr>
        <w:spacing w:after="0" w:line="236" w:lineRule="exact"/>
        <w:rPr>
          <w:sz w:val="20"/>
          <w:szCs w:val="20"/>
          <w:color w:val="auto"/>
        </w:rPr>
      </w:pPr>
    </w:p>
    <w:p>
      <w:pPr>
        <w:jc w:val="both"/>
        <w:spacing w:after="0" w:line="336" w:lineRule="auto"/>
        <w:rPr>
          <w:sz w:val="20"/>
          <w:szCs w:val="20"/>
          <w:color w:val="auto"/>
        </w:rPr>
      </w:pPr>
      <w:r>
        <w:rPr>
          <w:rFonts w:ascii="Arial" w:cs="Arial" w:eastAsia="Arial" w:hAnsi="Arial"/>
          <w:sz w:val="15"/>
          <w:szCs w:val="15"/>
          <w:color w:val="auto"/>
        </w:rPr>
        <w:t>Notwithstanding Section 10.9 of the Plan, the Awards described in this Administrative Guide for the Performance Period are intended to comply with Section 409A of the Code to the extent such arrangements are subject to that law, and the Plan and this Administrative Guide shall be interpreted and administered accordingly.</w:t>
      </w:r>
    </w:p>
    <w:p>
      <w:pPr>
        <w:spacing w:after="0" w:line="14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4"/>
          <w:szCs w:val="14"/>
          <w:b w:val="1"/>
          <w:bCs w:val="1"/>
          <w:color w:val="auto"/>
        </w:rPr>
        <w:t>Section 162(m) of the Code</w:t>
      </w:r>
    </w:p>
    <w:p>
      <w:pPr>
        <w:spacing w:after="0" w:line="23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Generally, if any provision of this Administrative Guide would cause the Awards granted to a Covered Employee not to constitute “qualified performance-based compensation” under Section 162(m) of the Code, that provision, in so far as it pertains to the Covered Employee, will be severed from, and will be deemed not to be a part of, this Administrative Guide, but the other provisions hereof will remain in full force and effect. Further, if this Administrative Guide fails to contain any provision required under Section 162(m) of the Code in order to make the Awards granted hereunder to a Covered Employee be “qualified performance-based compensation,” then this Administrative Guide will be deemed to incorporate such provision, effective as of the date of this Administrative Guide’s adoption by the Committee.</w:t>
      </w:r>
    </w:p>
    <w:p>
      <w:pPr>
        <w:spacing w:after="0" w:line="17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4"/>
          <w:szCs w:val="14"/>
          <w:b w:val="1"/>
          <w:bCs w:val="1"/>
          <w:color w:val="auto"/>
        </w:rPr>
        <w:t>Participant’s Rights Unsecured</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amounts payable under this Administrative Guide will be unfunded, and the right of any Participant or his or her estate to receive payment under this Administrative Guide will be an unsecured claim against the general assets of the Company.</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8.5</w:t>
      </w:r>
      <w:r>
        <w:rPr>
          <w:sz w:val="20"/>
          <w:szCs w:val="20"/>
          <w:color w:val="auto"/>
        </w:rPr>
        <w:tab/>
      </w:r>
      <w:r>
        <w:rPr>
          <w:rFonts w:ascii="Arial" w:cs="Arial" w:eastAsia="Arial" w:hAnsi="Arial"/>
          <w:sz w:val="14"/>
          <w:szCs w:val="14"/>
          <w:b w:val="1"/>
          <w:bCs w:val="1"/>
          <w:color w:val="auto"/>
        </w:rPr>
        <w:t>No Guarantee of Tax Consequences</w:t>
      </w:r>
    </w:p>
    <w:p>
      <w:pPr>
        <w:spacing w:after="0" w:line="200" w:lineRule="exact"/>
        <w:rPr>
          <w:sz w:val="20"/>
          <w:szCs w:val="20"/>
          <w:color w:val="auto"/>
        </w:rPr>
      </w:pP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No person connected with this Administrative Guide in any capacity, including, but not limited to, the Company and its directors, officers, agents and employees makes any representation, commitment, or guarantee that any tax treatment, including, but not limited to, federal, state and local income, estate and gift tax treatment, will be applicable with respect to amounts deferred under this Administrative Guide, or paid to or for the benefit of a Participant under this Administrative Guide, or that such tax treatment will apply to or be available to a Participant on account of participation in this Administrative Guide.</w:t>
      </w:r>
    </w:p>
    <w:p>
      <w:pPr>
        <w:spacing w:after="0" w:line="188" w:lineRule="exact"/>
        <w:rPr>
          <w:sz w:val="20"/>
          <w:szCs w:val="20"/>
          <w:color w:val="auto"/>
        </w:rPr>
      </w:pPr>
    </w:p>
    <w:p>
      <w:pPr>
        <w:jc w:val="center"/>
        <w:spacing w:after="0"/>
        <w:tabs>
          <w:tab w:leader="none" w:pos="180" w:val="left"/>
          <w:tab w:leader="none" w:pos="180" w:val="left"/>
          <w:tab w:leader="none" w:pos="180" w:val="left"/>
          <w:tab w:leader="none" w:pos="180" w:val="left"/>
        </w:tabs>
        <w:rPr>
          <w:sz w:val="20"/>
          <w:szCs w:val="20"/>
          <w:color w:val="auto"/>
        </w:rPr>
      </w:pPr>
      <w:r>
        <w:rPr>
          <w:rFonts w:ascii="Arial" w:cs="Arial" w:eastAsia="Arial" w:hAnsi="Arial"/>
          <w:sz w:val="17"/>
          <w:szCs w:val="17"/>
          <w:color w:val="auto"/>
        </w:rPr>
        <w:t>*</w:t>
        <w:tab/>
        <w:t>*</w:t>
        <w:tab/>
        <w:t>*</w:t>
        <w:tab/>
        <w:t>*</w:t>
        <w:tab/>
        <w: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ind w:left="10460"/>
        <w:spacing w:after="0"/>
        <w:rPr>
          <w:sz w:val="20"/>
          <w:szCs w:val="20"/>
          <w:color w:val="auto"/>
        </w:rPr>
      </w:pPr>
      <w:r>
        <w:rPr>
          <w:rFonts w:ascii="Arial" w:cs="Arial" w:eastAsia="Arial" w:hAnsi="Arial"/>
          <w:sz w:val="17"/>
          <w:szCs w:val="17"/>
          <w:b w:val="1"/>
          <w:bCs w:val="1"/>
          <w:color w:val="auto"/>
        </w:rPr>
        <w:t>Exhibit (31.1)</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 Jeffrey J. Clarke, certify that:</w:t>
      </w:r>
    </w:p>
    <w:p>
      <w:pPr>
        <w:spacing w:after="0" w:line="232" w:lineRule="exact"/>
        <w:rPr>
          <w:sz w:val="20"/>
          <w:szCs w:val="20"/>
          <w:color w:val="auto"/>
        </w:rPr>
      </w:pPr>
    </w:p>
    <w:p>
      <w:pPr>
        <w:ind w:left="300" w:hanging="221"/>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Form 10-Q;</w:t>
      </w:r>
    </w:p>
    <w:p>
      <w:pPr>
        <w:spacing w:after="0" w:line="231" w:lineRule="exact"/>
        <w:rPr>
          <w:rFonts w:ascii="Arial" w:cs="Arial" w:eastAsia="Arial" w:hAnsi="Arial"/>
          <w:sz w:val="17"/>
          <w:szCs w:val="17"/>
          <w:color w:val="auto"/>
        </w:rPr>
      </w:pPr>
    </w:p>
    <w:p>
      <w:pPr>
        <w:ind w:left="300" w:right="100" w:hanging="221"/>
        <w:spacing w:after="0" w:line="300"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00" w:right="100" w:hanging="221"/>
        <w:spacing w:after="0" w:line="268"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left="300" w:hanging="221"/>
        <w:spacing w:after="0"/>
        <w:tabs>
          <w:tab w:leader="none" w:pos="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0"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31" w:lineRule="exact"/>
        <w:rPr>
          <w:rFonts w:ascii="Arial" w:cs="Arial" w:eastAsia="Arial" w:hAnsi="Arial"/>
          <w:sz w:val="15"/>
          <w:szCs w:val="15"/>
          <w:color w:val="auto"/>
        </w:rPr>
      </w:pPr>
    </w:p>
    <w:p>
      <w:pPr>
        <w:ind w:left="300" w:firstLine="2"/>
        <w:spacing w:after="0" w:line="257" w:lineRule="auto"/>
        <w:tabs>
          <w:tab w:leader="none" w:pos="514"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 relating to the registrant, including its consolidated subsidiaries, is made known to us by others within those entities, particularly during the period in which this report prepared;</w:t>
      </w:r>
    </w:p>
    <w:p>
      <w:pPr>
        <w:spacing w:after="0" w:line="201" w:lineRule="exact"/>
        <w:rPr>
          <w:rFonts w:ascii="Arial" w:cs="Arial" w:eastAsia="Arial" w:hAnsi="Arial"/>
          <w:sz w:val="17"/>
          <w:szCs w:val="17"/>
          <w:color w:val="auto"/>
        </w:rPr>
      </w:pPr>
    </w:p>
    <w:p>
      <w:pPr>
        <w:jc w:val="both"/>
        <w:ind w:left="300" w:right="20" w:firstLine="2"/>
        <w:spacing w:after="0" w:line="257" w:lineRule="auto"/>
        <w:tabs>
          <w:tab w:leader="none" w:pos="523"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 assurance regarding the reliability of financial reporting and the preparation of financial statements for external purposes in accordance with generally accepted accoun principles;</w:t>
      </w:r>
    </w:p>
    <w:p>
      <w:pPr>
        <w:spacing w:after="0" w:line="201" w:lineRule="exact"/>
        <w:rPr>
          <w:rFonts w:ascii="Arial" w:cs="Arial" w:eastAsia="Arial" w:hAnsi="Arial"/>
          <w:sz w:val="17"/>
          <w:szCs w:val="17"/>
          <w:color w:val="auto"/>
        </w:rPr>
      </w:pPr>
    </w:p>
    <w:p>
      <w:pPr>
        <w:ind w:left="300" w:firstLine="2"/>
        <w:spacing w:after="0" w:line="268" w:lineRule="auto"/>
        <w:tabs>
          <w:tab w:leader="none" w:pos="514"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 and procedures, as of the end of the period covered by this report based on such evaluation; and</w:t>
      </w:r>
    </w:p>
    <w:p>
      <w:pPr>
        <w:spacing w:after="0" w:line="191" w:lineRule="exact"/>
        <w:rPr>
          <w:rFonts w:ascii="Arial" w:cs="Arial" w:eastAsia="Arial" w:hAnsi="Arial"/>
          <w:sz w:val="17"/>
          <w:szCs w:val="17"/>
          <w:color w:val="auto"/>
        </w:rPr>
      </w:pPr>
    </w:p>
    <w:p>
      <w:pPr>
        <w:jc w:val="both"/>
        <w:ind w:left="300" w:firstLine="2"/>
        <w:spacing w:after="0" w:line="257" w:lineRule="auto"/>
        <w:tabs>
          <w:tab w:leader="none" w:pos="523"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 fourth fiscal quarter in the case of an annual report) that has materially affected, or is reasonably likely to materially affect, the registrant's internal control over financia and</w:t>
      </w:r>
    </w:p>
    <w:p>
      <w:pPr>
        <w:spacing w:after="0" w:line="201" w:lineRule="exact"/>
        <w:rPr>
          <w:rFonts w:ascii="Arial" w:cs="Arial" w:eastAsia="Arial" w:hAnsi="Arial"/>
          <w:sz w:val="17"/>
          <w:szCs w:val="17"/>
          <w:color w:val="auto"/>
        </w:rPr>
      </w:pPr>
    </w:p>
    <w:p>
      <w:pPr>
        <w:ind w:left="300" w:right="100" w:hanging="221"/>
        <w:spacing w:after="0" w:line="268"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7"/>
          <w:szCs w:val="17"/>
          <w:color w:val="auto"/>
        </w:rPr>
      </w:pPr>
    </w:p>
    <w:p>
      <w:pPr>
        <w:ind w:left="300" w:right="20" w:firstLine="2"/>
        <w:spacing w:after="0" w:line="268" w:lineRule="auto"/>
        <w:tabs>
          <w:tab w:leader="none" w:pos="50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 registrant's ability to record, process, summarize and report financial information; and</w:t>
      </w:r>
    </w:p>
    <w:p>
      <w:pPr>
        <w:spacing w:after="0" w:line="191" w:lineRule="exact"/>
        <w:rPr>
          <w:rFonts w:ascii="Arial" w:cs="Arial" w:eastAsia="Arial" w:hAnsi="Arial"/>
          <w:sz w:val="17"/>
          <w:szCs w:val="17"/>
          <w:color w:val="auto"/>
        </w:rPr>
      </w:pPr>
    </w:p>
    <w:p>
      <w:pPr>
        <w:ind w:left="520" w:hanging="218"/>
        <w:spacing w:after="0"/>
        <w:tabs>
          <w:tab w:leader="none" w:pos="5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/s/Jeffrey J. Clarke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Date: May 7, 2015</w:t>
      </w: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520"/>
          </w:cols>
          <w:pgMar w:left="240" w:top="576" w:right="1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(31.2)</w:t>
      </w:r>
    </w:p>
    <w:p>
      <w:pPr>
        <w:spacing w:after="0" w:line="207"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 John N. McMullen, certify that:</w:t>
      </w:r>
    </w:p>
    <w:p>
      <w:pPr>
        <w:spacing w:after="0" w:line="232" w:lineRule="exact"/>
        <w:rPr>
          <w:sz w:val="20"/>
          <w:szCs w:val="20"/>
          <w:color w:val="auto"/>
        </w:rPr>
      </w:pPr>
    </w:p>
    <w:p>
      <w:pPr>
        <w:ind w:left="300" w:hanging="219"/>
        <w:spacing w:after="0"/>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Form 10-Q;</w:t>
      </w:r>
    </w:p>
    <w:p>
      <w:pPr>
        <w:spacing w:after="0" w:line="231" w:lineRule="exact"/>
        <w:rPr>
          <w:rFonts w:ascii="Arial" w:cs="Arial" w:eastAsia="Arial" w:hAnsi="Arial"/>
          <w:sz w:val="17"/>
          <w:szCs w:val="17"/>
          <w:color w:val="auto"/>
        </w:rPr>
      </w:pPr>
    </w:p>
    <w:p>
      <w:pPr>
        <w:ind w:left="300" w:hanging="219"/>
        <w:spacing w:after="0" w:line="336" w:lineRule="auto"/>
        <w:tabs>
          <w:tab w:leader="none" w:pos="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300" w:hanging="219"/>
        <w:spacing w:after="0" w:line="268" w:lineRule="auto"/>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jc w:val="both"/>
        <w:ind w:left="300" w:hanging="219"/>
        <w:spacing w:after="0" w:line="257" w:lineRule="auto"/>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left="300" w:right="480" w:firstLine="4"/>
        <w:spacing w:after="0" w:line="257" w:lineRule="auto"/>
        <w:tabs>
          <w:tab w:leader="none" w:pos="514"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300" w:right="420" w:firstLine="4"/>
        <w:spacing w:after="0" w:line="257" w:lineRule="auto"/>
        <w:tabs>
          <w:tab w:leader="none" w:pos="52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300" w:right="500" w:firstLine="4"/>
        <w:spacing w:after="0" w:line="300" w:lineRule="auto"/>
        <w:tabs>
          <w:tab w:leader="none" w:pos="514"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300" w:right="720" w:firstLine="4"/>
        <w:spacing w:after="0" w:line="257" w:lineRule="auto"/>
        <w:tabs>
          <w:tab w:leader="none" w:pos="523"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300" w:hanging="219"/>
        <w:spacing w:after="0" w:line="268" w:lineRule="auto"/>
        <w:tabs>
          <w:tab w:leader="none" w:pos="34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sz w:val="20"/>
          <w:szCs w:val="20"/>
          <w:color w:val="auto"/>
        </w:rPr>
      </w:pPr>
    </w:p>
    <w:p>
      <w:pPr>
        <w:ind w:left="460" w:right="400" w:hanging="5"/>
        <w:spacing w:after="0" w:line="268" w:lineRule="auto"/>
        <w:tabs>
          <w:tab w:leader="none" w:pos="66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left="460" w:right="500" w:hanging="5"/>
        <w:spacing w:after="0" w:line="268" w:lineRule="auto"/>
        <w:tabs>
          <w:tab w:leader="none" w:pos="67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/s/John N. McMullen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 May 7, 2015</w:t>
      </w:r>
    </w:p>
    <w:p>
      <w:pPr>
        <w:spacing w:after="0" w:line="370"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73025</wp:posOffset>
            </wp:positionV>
            <wp:extent cx="726059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20"/>
          </w:cols>
          <w:pgMar w:left="540" w:top="576" w:right="2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46"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March 31, 2015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380" w:hanging="229"/>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380" w:hanging="229"/>
        <w:spacing w:after="0"/>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/s/Jeffrey J. Clarke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Date: May 7, 2015</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02" w:right="239" w:bottom="1440" w:gutter="0" w:footer="0" w:header="0"/>
        </w:sectPr>
      </w:pPr>
    </w:p>
    <w:bookmarkStart w:id="53" w:name="page54"/>
    <w:bookmarkEnd w:id="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(32.2)</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CERTIFICATION PURSUANT TO</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March 31, 2015 as filed with the Securities and Exchange Commission on the date hereof (the "Report"), I, John N. McMullen, Chief Financial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520" w:hanging="218"/>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520" w:hanging="218"/>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/s/John N. McMullen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 May 7, 2015</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60"/>
          </w:cols>
          <w:pgMar w:left="240" w:top="802" w:right="599" w:bottom="1440" w:gutter="0" w:footer="0" w:header="0"/>
        </w:sectPr>
      </w:pPr>
    </w:p>
    <w:bookmarkStart w:id="55" w:name="page56"/>
    <w:bookmarkEnd w:id="5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13(r) DISCLOSURE</w:t>
      </w:r>
    </w:p>
    <w:p>
      <w:pPr>
        <w:spacing w:after="0" w:line="200" w:lineRule="exact"/>
        <w:rPr>
          <w:sz w:val="20"/>
          <w:szCs w:val="20"/>
          <w:color w:val="auto"/>
        </w:rPr>
      </w:pPr>
    </w:p>
    <w:p>
      <w:pPr>
        <w:spacing w:after="0" w:line="262" w:lineRule="exact"/>
        <w:rPr>
          <w:sz w:val="20"/>
          <w:szCs w:val="20"/>
          <w:color w:val="auto"/>
        </w:rPr>
      </w:pPr>
    </w:p>
    <w:p>
      <w:pPr>
        <w:ind w:firstLine="603"/>
        <w:spacing w:after="0" w:line="271" w:lineRule="auto"/>
        <w:rPr>
          <w:sz w:val="20"/>
          <w:szCs w:val="20"/>
          <w:color w:val="auto"/>
        </w:rPr>
      </w:pPr>
      <w:r>
        <w:rPr>
          <w:rFonts w:ascii="Arial" w:cs="Arial" w:eastAsia="Arial" w:hAnsi="Arial"/>
          <w:sz w:val="16"/>
          <w:szCs w:val="16"/>
          <w:color w:val="auto"/>
        </w:rPr>
        <w:t>Blackstone Holdings I L.P., which may be considered an “affiliate” (as such term is defined in Rule 12b-2 of the Securities in Exchange Act of 1934, as amended) of The Blackstone Group L.P., is a holder of approximately 20% of the outstanding common stock of Kodak and has a representative on Kodak’s Board of Directors. Accordingly, The Blackstone Group L.P. may be deemed an "affiliate" of Kodak. The Blackstone Group L.P. has indicated in its public filings that it may also be considered an affiliate of Travelport Worldwide Limited (“Travelport”). Travelport included the disclosure reproduced below in its Form 10-K for the fiscal year ended December 31, 2014. Kodak has neither independently verified nor has it participated in the preparation of the disclosure reproduced below:</w:t>
      </w:r>
    </w:p>
    <w:p>
      <w:pPr>
        <w:spacing w:after="0" w:line="193" w:lineRule="exact"/>
        <w:rPr>
          <w:sz w:val="20"/>
          <w:szCs w:val="20"/>
          <w:color w:val="auto"/>
        </w:rPr>
      </w:pPr>
    </w:p>
    <w:p>
      <w:pPr>
        <w:ind w:right="20" w:firstLine="603"/>
        <w:spacing w:after="0" w:line="251" w:lineRule="auto"/>
        <w:rPr>
          <w:sz w:val="20"/>
          <w:szCs w:val="20"/>
          <w:color w:val="auto"/>
        </w:rPr>
      </w:pPr>
      <w:r>
        <w:rPr>
          <w:rFonts w:ascii="Arial" w:cs="Arial" w:eastAsia="Arial" w:hAnsi="Arial"/>
          <w:sz w:val="17"/>
          <w:szCs w:val="17"/>
          <w:color w:val="auto"/>
        </w:rPr>
        <w:t>“As part of our global business in the travel industry, we provide certain passenger travel related Travel Commerce Platform and Technology Services to Iran Air. We also provide certain Technology Services to Iran Air Tours. All of these services are either exempt from applicable sanctions prohibitions pursuant to a statutory exemption permitting transactions ordinarily incident to travel or, to the extent not otherwise exempt, specifically licensed by the U.S. Office of Foreign Assets Control. Subject to any changes in the exempt/licensed status of such activities, we intend to continue these business activities, which are directly related to and promote the arrangement of travel for individuals. The gross revenue and net profit attributable to these activities for the year ended December 31, 2014 were approximately $660,000 and $470,000,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Roman"/>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5"/>
    </w:lvl>
    <w:lvl w:ilvl="1">
      <w:lvlJc w:val="left"/>
      <w:lvlText w:val="%2"/>
      <w:numFmt w:val="lowerLetter"/>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2019-12-05T10:15:10Z</dcterms:created>
  <dcterms:modified xsi:type="dcterms:W3CDTF">2019-12-05T10:15:10Z</dcterms:modified>
</cp:coreProperties>
</file>