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060" w:hanging="1469"/>
        <w:spacing w:after="0"/>
        <w:tabs>
          <w:tab w:leader="none" w:pos="20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2040" w:hanging="1449"/>
        <w:spacing w:after="0"/>
        <w:tabs>
          <w:tab w:leader="none" w:pos="20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49"/>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tc>
        <w:tc>
          <w:tcPr>
            <w:tcW w:w="264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183"/>
        </w:trPr>
        <w:tc>
          <w:tcPr>
            <w:tcW w:w="2420" w:type="dxa"/>
            <w:vAlign w:val="bottom"/>
          </w:tcPr>
          <w:p>
            <w:pPr>
              <w:spacing w:after="0"/>
              <w:rPr>
                <w:sz w:val="15"/>
                <w:szCs w:val="15"/>
                <w:color w:val="auto"/>
              </w:rPr>
            </w:pP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company)</w:t>
            </w: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 2017, the registrant had 42,571,360 shares of common stock, $0.01 par value per share, outstanding.</w:t>
      </w:r>
    </w:p>
    <w:p>
      <w:pPr>
        <w:spacing w:after="0" w:line="2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440" w:top="59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gridSpan w:val="6"/>
            <w:vMerge w:val="restart"/>
          </w:tcPr>
          <w:p>
            <w:pPr>
              <w:jc w:val="center"/>
              <w:ind w:right="2220"/>
              <w:spacing w:after="0"/>
              <w:rPr>
                <w:sz w:val="20"/>
                <w:szCs w:val="20"/>
                <w:color w:val="auto"/>
              </w:rPr>
            </w:pPr>
            <w:r>
              <w:rPr>
                <w:rFonts w:ascii="Arial" w:cs="Arial" w:eastAsia="Arial" w:hAnsi="Arial"/>
                <w:sz w:val="18"/>
                <w:szCs w:val="18"/>
                <w:b w:val="1"/>
                <w:bCs w:val="1"/>
                <w:color w:val="auto"/>
                <w:w w:val="95"/>
              </w:rPr>
              <w:t>Part I.—Financial Information</w:t>
            </w:r>
          </w:p>
        </w:tc>
        <w:tc>
          <w:tcPr>
            <w:tcW w:w="232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0" w:type="dxa"/>
            <w:vAlign w:val="bottom"/>
            <w:gridSpan w:val="6"/>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3220" w:type="dxa"/>
            <w:vAlign w:val="bottom"/>
            <w:gridSpan w:val="2"/>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4140" w:type="dxa"/>
            <w:vAlign w:val="bottom"/>
            <w:gridSpan w:val="4"/>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4600" w:type="dxa"/>
            <w:vAlign w:val="bottom"/>
            <w:gridSpan w:val="6"/>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3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 (Unaudited)</w:t>
              </w:r>
            </w:hyperlink>
          </w:p>
        </w:tc>
        <w:tc>
          <w:tcPr>
            <w:tcW w:w="5240" w:type="dxa"/>
            <w:vAlign w:val="bottom"/>
            <w:gridSpan w:val="8"/>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Liquidity and Capital Resources</w:t>
              </w:r>
            </w:hyperlink>
          </w:p>
        </w:tc>
        <w:tc>
          <w:tcPr>
            <w:tcW w:w="1860" w:type="dxa"/>
            <w:vAlign w:val="bottom"/>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3960" w:type="dxa"/>
            <w:vAlign w:val="bottom"/>
            <w:gridSpan w:val="3"/>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7"/>
              </w:rPr>
              <w:t>Part II. —Other Information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6980" w:type="dxa"/>
            <w:vAlign w:val="bottom"/>
            <w:gridSpan w:val="12"/>
          </w:tcPr>
          <w:p>
            <w:pPr>
              <w:spacing w:after="0"/>
              <w:rPr>
                <w:sz w:val="24"/>
                <w:szCs w:val="24"/>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2.</w:t>
            </w:r>
          </w:p>
        </w:tc>
        <w:tc>
          <w:tcPr>
            <w:tcW w:w="83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Securities and Use of Proceeds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00" w:type="dxa"/>
            <w:vAlign w:val="bottom"/>
            <w:gridSpan w:val="5"/>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6.</w:t>
            </w:r>
          </w:p>
        </w:tc>
        <w:tc>
          <w:tcPr>
            <w:tcW w:w="83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tcPr>
          <w:p>
            <w:pPr>
              <w:spacing w:after="0"/>
              <w:rPr>
                <w:sz w:val="24"/>
                <w:szCs w:val="24"/>
                <w:color w:val="auto"/>
              </w:rPr>
            </w:pPr>
          </w:p>
        </w:tc>
        <w:tc>
          <w:tcPr>
            <w:tcW w:w="83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Index to 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40" w:type="dxa"/>
            <w:vAlign w:val="bottom"/>
            <w:tcBorders>
              <w:top w:val="single" w:sz="8" w:color="0000EE"/>
            </w:tcBorders>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7080" w:type="dxa"/>
            <w:vAlign w:val="bottom"/>
            <w:gridSpan w:val="14"/>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939"/>
        </w:trPr>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340" w:type="dxa"/>
            <w:vAlign w:val="bottom"/>
            <w:gridSpan w:val="13"/>
          </w:tcPr>
          <w:p>
            <w:pPr>
              <w:jc w:val="center"/>
              <w:ind w:left="387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300" w:type="dxa"/>
            <w:vAlign w:val="bottom"/>
          </w:tcPr>
          <w:p>
            <w:pPr>
              <w:spacing w:after="0"/>
              <w:rPr>
                <w:sz w:val="20"/>
                <w:szCs w:val="20"/>
                <w:color w:val="auto"/>
              </w:rPr>
            </w:pPr>
          </w:p>
        </w:tc>
        <w:tc>
          <w:tcPr>
            <w:tcW w:w="296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Goodwill impairment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 interest</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 other (income) charges, net and income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(Loss) earnings from continuing operations before income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Equity in loss of equity method investment, net of income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 ATTRIBUTABLE TO EASTMAN</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(loss) earnings per share attributable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Diluted net (loss)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(loss) earnings per share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 INCOME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4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attributable to Eastman Kodak Company</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09"/>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net of tax attributable to Eastman</w:t>
            </w: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COMPREHENSIVE (LOSS) INCOME, NET OF TAX ATTRIBUTABLE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40" w:type="dxa"/>
            <w:vAlign w:val="bottom"/>
          </w:tcPr>
          <w:p>
            <w:pPr>
              <w:ind w:left="100"/>
              <w:spacing w:after="0"/>
              <w:rPr>
                <w:sz w:val="20"/>
                <w:szCs w:val="20"/>
                <w:color w:val="auto"/>
              </w:rPr>
            </w:pPr>
            <w:r>
              <w:rPr>
                <w:rFonts w:ascii="Arial" w:cs="Arial" w:eastAsia="Arial" w:hAnsi="Arial"/>
                <w:sz w:val="18"/>
                <w:szCs w:val="18"/>
                <w:color w:val="auto"/>
              </w:rPr>
              <w:t>TO EASTMAN KODAK COMPANY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$381 and $343,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Accounts payable, trade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DEFICIT</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and asset impairments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(Benefit) provision for deferred income taxes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assets/businesses,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emergence credit facilities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VIE borrowings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Equity transactions of noncontrolling interests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Treasury stock purchases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changes to Kodak’s organization structure effective January 1, 2017 and April 1, 2017 and a change in the presentation of discontinued operations and assets held for sale. In addition to the changes in segment reporting under the new organization structure, solvent recovery income for the Consumer and Film segment previously reported in Cost of Revenues is reported in Revenues and there is a change in the segment measure of profitability. Refer to Note 20, “Segment Information” and Note 21, “Discontinued Operations”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Financial Accounting Standards Board (“FASB”) issued Accounting Standards Update (“ASU”) No 2017-09, Compensation—Stock Compensation (Topic 718) — Scope of Modification Accounting, to clarify when to account for a change to the terms or conditions of a share-based payment award as a modification. Under the new standard, modification is required only if the fair value, the vesting conditions, or the classification of an award as equity or liability changes as a result of the change in terms or conditions. The ASU is effective prospectively for annual and interim periods beginning after December 15, 2017 (January 1, 2018 for Kodak). Early adoption is permitted, including adoption in any interim period, for reporting periods for which financial statements have not yet been issued. Kodak early adopted ASU 2017-09 effective April 1, 2017. The adoption of this guidance had no impact on Kodak’s Consolidated Financial Statements.</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Accounting for Goodwill Impairment. The ASU simplifies the accounting for goodwill impairment by removing Step 2 of the goodwill impairment test, which required a hypothetical purchase price allocation. The ASU requires entities to calculate a goodwill impairment as the amount by which a reporting unit’s carrying value exceeds its fair value, not to exceed the carrying amount of goodwill. The same one-step impairment test applies to goodwill at all reporting units, even those with zero or negative carrying amounts. The ASU requires entities to disclose the amount of goodwill at reporting units with zero or negative carrying amounts. The ASU is effective prospectively for annual periods beginning after December 15, 2019, (January 1, 2020 for Kodak) with early adoption permitted for goodwill impairment tests performed after January 1, 2017. Kodak early adopted ASU 2017-04 effective January 1, 2017. The adoption of this guidance had no impact on Kodak’s Consolidated Financial Statements. As of September 30, 2017, the Unified Workflow Solutions reporting unit had a negative carrying value. Total goodwill assigned to the Unified Workflow Solutions reporting unit is $6 million.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 of Cash Flows, depending on the nature of the activities that gave rise to the restriction. The new standard is effective for annual reporting periods beginning after December 15, 2017, (January 1, 2018 for Kodak) including interim reporting periods within those annual reporting periods. Early adoption in an interim period is permitted, but any adjustments must be reflected as of the beginning of the fiscal year that includes that interim period. Kodak early adopted ASU 2016-18 effective January 1, 2017 which resulted in a decrease of $9 million in net cash flows provided by investing activities from what was previously reported for the nine-month period ended September 30, 2016.</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spacing w:after="0" w:line="297"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Kodak early adopted ASU 2016-15 retrospectively effective January 1, 2017. The adoption of this guidance had no impact on Kodak’s Consolidated Financial Statements.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early adopted ASU 2016-16 on a modified retrospective basis during the first quarter of 2017. The adoption of this guidance had no impact on Kodak’s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2017, the FASB issued ASU 2017-07, Compensation—Retirement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ASU 2017-07 is effective for fiscal years, and interim periods within those years, beginning after December 15, 2017 (January 1, 2018 for Kodak). Retrospective application is required for the presentation of the service cost and other cost components however the restrictions on the capitalization eligibility will be applied prospectively from the date of adoption. The components of net benefit cost are shown in Note 14, “Retirement Plans and Other Postretirement benefits”. The guidance will impact presentation in the Consolidated Financial Statements and the capitalization of costs to inventory. The current presentation of the service cost component is consistent with the requirements of the new standard. Upon adoption, the other components (which are currently being presented within Cost of revenues, Selling and general administrative expenses and Research and development costs) are expected to be presented separately on the face of the Consolidated Statement of Operations. The segment profit measure currently includes only the service cost and amortization of prior service credits components of net periodic pension costs (refer to Note 20, “Segment Information”).</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ASU 2017-05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expects to apply the modified retrospective adoption approach and expects that application of this standard will not have a significant impact on its consolidated financial statements.</w:t>
      </w:r>
    </w:p>
    <w:p>
      <w:pPr>
        <w:spacing w:after="0" w:line="206"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plans to adopt the new standard on the effective date and is currently evaluating the impact of this ASU on its financial statements. Kodak anticipates that the adoption of the amended lease guidance will materially affect its consolidated balance sheet and will require certain changes to its systems and processes.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140"/>
        <w:spacing w:after="0" w:line="272" w:lineRule="auto"/>
        <w:rPr>
          <w:sz w:val="20"/>
          <w:szCs w:val="20"/>
          <w:color w:val="auto"/>
        </w:rPr>
      </w:pPr>
      <w:r>
        <w:rPr>
          <w:rFonts w:ascii="Arial" w:cs="Arial" w:eastAsia="Arial" w:hAnsi="Arial"/>
          <w:sz w:val="17"/>
          <w:szCs w:val="17"/>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requirements in Topic 605, “Revenue Recognition” and most industry-specific guidance. The core principle of ASU 2014-09 is that a company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 revenue when it transfers promised goods or services to customers in an amount that reflects the consideration to which the company expects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in exchange for those goods or services. In addition, the standard requires disclosure of the nature, amount, timing, and uncertainty of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arising from contracts with customers. In July 2015, the FASB deferred the effective date of ASU 2014-09. In 2016 the FASB issued ASU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ASUs 2016-10 through 12 and ASU 2016-20 clarifying guidance regarding principle vs agent considerations, identification of performance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analysis of licensing transactions, impairment considerations and disclosures. The new revenue standards are collectively effective for fiscal years,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within those years, beginning after December 15, 2017 (January 1, 2018 for Kodak) and allow either a full retrospective adoption to 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periods presented or a modified retrospective adoption approach with the cumulative effect of initial application recognized at the date of initial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application. Kodak currently anticipates applying the modified retrospective adoption approach. Brand license revenue recognized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of $6 million would be recognized over time under the new revenue standards, which will result in a transition adjustment of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With the exception of brand license revenue, Kodak has not identified any changes in the timing of revenue recognition which will result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 transition adjustment. Kodak’s implementation efforts are ongoing and such assessments may change prior to the January 1, 2018 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Kodak is in the process of implementing appropriate changes to the business processes, systems and controls to support recognition and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new standard. Training of employees on the impacts of the standard and changes to processes, systems and controls will continue throughout 2017.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Long-term restricted cash as of September 30, 2017 and December 31, 2016 includes $6 million and $7 million, respectively, of security posted related to Brazilian legal contingencies. Long-term restricted cash as of December 31, 2016 also included $25 million supporting compliance with the Excess Availability threshold under the Amended and Restated Credit Agreement (“Amended Credit Agreement”). During the second quarter of 2017, the amount of outstanding letters of credit issued under the Amended Credit Agreement was reduced by $20 million, which had a corresponding reduction in the amount of long-term restricted cash necessary to support compliance with the Excess Availability threshold. See Note 8, “Commitments and Contingencies” and “Sources of Liquidity” in Item 2. Management’s Discussion and Analysis of Financial Condition and Results of Operations for additional information.</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jc w:val="right"/>
              <w:ind w:right="4350"/>
              <w:spacing w:after="0"/>
              <w:rPr>
                <w:sz w:val="20"/>
                <w:szCs w:val="20"/>
                <w:color w:val="auto"/>
              </w:rPr>
            </w:pPr>
            <w:r>
              <w:rPr>
                <w:rFonts w:ascii="Arial" w:cs="Arial" w:eastAsia="Arial" w:hAnsi="Arial"/>
                <w:sz w:val="18"/>
                <w:szCs w:val="18"/>
                <w:b w:val="1"/>
                <w:bCs w:val="1"/>
                <w:color w:val="auto"/>
                <w:w w:val="98"/>
              </w:rPr>
              <w:t>NOTE 3: RECEIVABLES, NET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24"/>
                <w:szCs w:val="24"/>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2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receivables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w w:val="93"/>
              </w:rPr>
              <w:t>Total (net of allowances of $9 as of September 30, 2017 and $8 as of</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ind w:right="300"/>
        <w:spacing w:after="0" w:line="264" w:lineRule="auto"/>
        <w:rPr>
          <w:sz w:val="20"/>
          <w:szCs w:val="20"/>
          <w:color w:val="auto"/>
        </w:rPr>
      </w:pPr>
      <w:r>
        <w:rPr>
          <w:rFonts w:ascii="Arial" w:cs="Arial" w:eastAsia="Arial" w:hAnsi="Arial"/>
          <w:sz w:val="18"/>
          <w:szCs w:val="18"/>
          <w:color w:val="auto"/>
        </w:rPr>
        <w:t>Approximately $26 million of the total trade receivable amounts as of both September 30, 2017 and December 31, 2016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INVENTORIES,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6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19"/>
                <w:szCs w:val="19"/>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changes in the carrying amount of goodwill by reportable segment. The Enterprise Inkjet Systems, Advanced Materials and 3D Printing Technology and Eastman Business Park segments do not have goodwill and are therefore not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b w:val="1"/>
                <w:bCs w:val="1"/>
                <w:color w:val="auto"/>
              </w:rPr>
              <w:t>Print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Flexographic</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5"/>
              </w:rPr>
              <w:t>Software and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97"/>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 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Systems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rPr>
              <w:t>Packaging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and Film</w:t>
            </w:r>
          </w:p>
        </w:tc>
        <w:tc>
          <w:tcPr>
            <w:tcW w:w="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Impairment</w:t>
            </w:r>
          </w:p>
        </w:tc>
        <w:tc>
          <w:tcPr>
            <w:tcW w:w="86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2017</w:t>
            </w: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goodwill and accumulated impairment losses were $96 million and $8 million, respectively, as of December 31, 2016 and $96 million and $64 million, respectively, as of September 30, 2017.</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Print Systems segment has two goodwill reporting units: Prepress Solutions and Electrophotographic Printing Solutions. The Software and Solutions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segment has two goodwill reporting units: Kodak Technology Solutions and Unified Workflow Solutions. The Consumer and Film segment has two goodwill</w:t>
      </w:r>
    </w:p>
    <w:p>
      <w:pPr>
        <w:spacing w:after="0" w:line="32"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reporting units: Consumer Products and Motion Picture, Industrial Chemicals and Films. The Flexographic Packaging segment, Enterprise Inkjet Systems segment, Advanced Materials and 3D Printing Technology segment and Eastman Business Park segment all have one goodwill reporting unit. Goodwill is recorded in the Prepress Solutions, Flexographic Packaging, Unified Workflow Solutions and Consumer Products reporting units.</w:t>
      </w:r>
    </w:p>
    <w:p>
      <w:pPr>
        <w:spacing w:after="0" w:line="20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Given the decline in Kodak’s financial projections for the year and its market capitalization from the last goodwill impairment test (December 31, 2016), Kodak performed an interim goodwill impairment test as of September 30, 2017. Kodak utilized the discounted cash flow method and guideline public company method for the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Based upon the results of Kodak’s September 30, 2017 analysis, Kodak concluded that the Prepress Solutions reporting unit’s carrying value exceeded its fair value and recorded a pre-tax goodwill impairment loss of $56 million in the Consolidated Statement of Operations. No impairment of goodwill was indicated for the other reporting units.</w:t>
      </w: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gross carrying amount and accumulated amortization by major intangible asset category as of September 30, 2017 and December 31, 2016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9"/>
              </w:rPr>
              <w:t>September 30, 2017</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r>
      <w:tr>
        <w:trPr>
          <w:trHeight w:val="205"/>
        </w:trPr>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0"/>
              </w:rPr>
              <w:t>Gross Carrying</w:t>
            </w:r>
          </w:p>
        </w:tc>
        <w:tc>
          <w:tcPr>
            <w:tcW w:w="180" w:type="dxa"/>
            <w:vAlign w:val="bottom"/>
          </w:tcPr>
          <w:p>
            <w:pPr>
              <w:spacing w:after="0"/>
              <w:rPr>
                <w:sz w:val="17"/>
                <w:szCs w:val="17"/>
                <w:color w:val="auto"/>
              </w:rPr>
            </w:pPr>
          </w:p>
        </w:tc>
        <w:tc>
          <w:tcPr>
            <w:tcW w:w="10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1"/>
              </w:rPr>
              <w:t>Accumulated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c>
          <w:tcPr>
            <w:tcW w:w="1160" w:type="dxa"/>
            <w:vAlign w:val="bottom"/>
          </w:tcPr>
          <w:p>
            <w:pPr>
              <w:spacing w:after="0"/>
              <w:rPr>
                <w:sz w:val="17"/>
                <w:szCs w:val="17"/>
                <w:color w:val="auto"/>
              </w:rPr>
            </w:pPr>
          </w:p>
        </w:tc>
      </w:tr>
      <w:tr>
        <w:trPr>
          <w:trHeight w:val="234"/>
        </w:trPr>
        <w:tc>
          <w:tcPr>
            <w:tcW w:w="37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Amortization Period</w:t>
            </w: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Kodak trade name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21 years</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9" w:right="219" w:bottom="1440" w:gutter="0" w:footer="0" w:header="0"/>
        </w:sectPr>
      </w:pPr>
    </w:p>
    <w:bookmarkStart w:id="10" w:name="page11"/>
    <w:bookmarkEnd w:id="10"/>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December 31, 2016</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3"/>
              </w:rPr>
              <w:t>Gross Carrying</w:t>
            </w:r>
          </w:p>
        </w:tc>
        <w:tc>
          <w:tcPr>
            <w:tcW w:w="140" w:type="dxa"/>
            <w:vAlign w:val="bottom"/>
          </w:tcPr>
          <w:p>
            <w:pPr>
              <w:spacing w:after="0"/>
              <w:rPr>
                <w:sz w:val="17"/>
                <w:szCs w:val="17"/>
                <w:color w:val="auto"/>
              </w:rPr>
            </w:pP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Weighted-Average</w:t>
            </w:r>
          </w:p>
        </w:tc>
      </w:tr>
      <w:tr>
        <w:trPr>
          <w:trHeight w:val="234"/>
        </w:trPr>
        <w:tc>
          <w:tcPr>
            <w:tcW w:w="39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Amortization Period</w:t>
            </w:r>
          </w:p>
        </w:tc>
      </w:tr>
      <w:tr>
        <w:trPr>
          <w:trHeight w:val="223"/>
        </w:trPr>
        <w:tc>
          <w:tcPr>
            <w:tcW w:w="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Kodak trade name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Indefinite life</w:t>
            </w: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21 years</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third quarter of 2017, due to canceling its copper mesh touch screen program, Kodak wrote off related intangible assets with a gross carrying amount of $33 million and accumulated amortization of $21 million and recorded an impairment charge of $12 million.</w:t>
      </w: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related to intangible assets was $5 million and $4 million for the three months ended September 30, 2017 and 2016 respectively, and $14 million and $15 million for the nine months ended September 30, 2017 and 2016, respectively.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quarter of 2017, Kodak recorded $4 million to adjust the Prosper intangible asset carrying value to the amount that would have been recorded had the Prosper intangible assets been continuously classified as held and used. Refer to Note 10, “Other Operating Expense (Income), net” and Note 21, “Discontinued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September 30, 2017, is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3980" w:type="dxa"/>
            <w:vAlign w:val="bottom"/>
          </w:tcPr>
          <w:p>
            <w:pPr>
              <w:spacing w:after="0"/>
              <w:rPr>
                <w:sz w:val="20"/>
                <w:szCs w:val="20"/>
                <w:color w:val="auto"/>
              </w:rPr>
            </w:pPr>
            <w:r>
              <w:rPr>
                <w:rFonts w:ascii="Arial" w:cs="Arial" w:eastAsia="Arial" w:hAnsi="Arial"/>
                <w:sz w:val="16"/>
                <w:szCs w:val="16"/>
                <w:color w:val="auto"/>
              </w:rPr>
              <w:t>(in millions)</w:t>
            </w:r>
          </w:p>
        </w:tc>
        <w:tc>
          <w:tcPr>
            <w:tcW w:w="2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Q4 2017</w:t>
            </w:r>
          </w:p>
        </w:tc>
        <w:tc>
          <w:tcPr>
            <w:tcW w:w="320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20"/>
                <w:szCs w:val="20"/>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2018</w:t>
            </w:r>
          </w:p>
        </w:tc>
        <w:tc>
          <w:tcPr>
            <w:tcW w:w="2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5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25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NOTE 6: OTHER CURRENT LIABILITIES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2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revenue</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2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2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Workers compensation</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60" w:type="dxa"/>
            <w:vAlign w:val="bottom"/>
            <w:vMerge w:val="restart"/>
          </w:tcPr>
          <w:p>
            <w:pPr>
              <w:jc w:val="right"/>
              <w:ind w:right="14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7: OTHER LONG-TERM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liabilities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 xml:space="preserve">Embedded conversion features derivative liability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Refer to Note 22,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2017, the Company had outstanding letters of credit of $96 million issued under the Amended Credit Agreement, as well as bank guarantees and letters of credit of $4 million, surety bonds in the amount of $53 million, and restricted cash and deposits of $26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2017, the unreserved portion of these contingencies, inclusive of any related interest and penalties, for which there was at least a reasonable possibility that a loss may be incurred, amounted to approximately $54 million.</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September 30, 2017, Kodak has posted security composed of $6 million of pledged cash reported within Restricted cash in the Consolidated Statement of Financial Position and liens on certain Brazilian assets with a net book value of approximately $73 million. Generally, any encumbrances on the Brazilian assets would be removed to the extent the matter is resolved in Kodak's favor.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$10 million and the outstanding amount for those guarantees is $4 million.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Extended Warranty Arrangements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2016 to September 30, 2017, which is reflected in Other current liabilities in the accompanying Consolidated Statement of Financial Position, was as follows: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2016</w:t>
            </w: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4"/>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 2017</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Deferred revenue on extended warranties as of September 30, 2017</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NOTE 10: OTHER OPERATING EXPENSE (INCOME), NET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(1) (2) (3)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(4)</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line="230" w:lineRule="exact"/>
              <w:rPr>
                <w:sz w:val="20"/>
                <w:szCs w:val="20"/>
                <w:color w:val="auto"/>
              </w:rPr>
            </w:pPr>
            <w:r>
              <w:rPr>
                <w:rFonts w:ascii="Arial" w:cs="Arial" w:eastAsia="Arial" w:hAnsi="Arial"/>
                <w:sz w:val="17"/>
                <w:szCs w:val="17"/>
                <w:color w:val="auto"/>
              </w:rPr>
              <w:t xml:space="preserve">Legal settlements </w:t>
            </w:r>
            <w:r>
              <w:rPr>
                <w:rFonts w:ascii="Arial" w:cs="Arial" w:eastAsia="Arial" w:hAnsi="Arial"/>
                <w:sz w:val="26"/>
                <w:szCs w:val="26"/>
                <w:color w:val="auto"/>
                <w:vertAlign w:val="superscript"/>
              </w:rPr>
              <w:t>(5) (6)</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right="20" w:hanging="572"/>
        <w:spacing w:after="0" w:line="253" w:lineRule="auto"/>
        <w:tabs>
          <w:tab w:leader="none" w:pos="580" w:val="left"/>
        </w:tabs>
        <w:numPr>
          <w:ilvl w:val="0"/>
          <w:numId w:val="3"/>
        </w:numPr>
        <w:rPr>
          <w:rFonts w:ascii="Arial" w:cs="Arial" w:eastAsia="Arial" w:hAnsi="Arial"/>
          <w:sz w:val="13"/>
          <w:szCs w:val="13"/>
          <w:color w:val="auto"/>
        </w:rPr>
      </w:pPr>
      <w:r>
        <w:rPr>
          <w:rFonts w:ascii="Arial" w:cs="Arial" w:eastAsia="Arial" w:hAnsi="Arial"/>
          <w:sz w:val="17"/>
          <w:szCs w:val="17"/>
          <w:color w:val="auto"/>
        </w:rPr>
        <w:t>In the third quarter of 2017, due to canceling its copper mesh touch screen program, Kodak concluded that the carrying value of property, plant and equipment (PP&amp;E) and intangible assets associated with those operations exceeded their fair value. Kodak recorded pre-tax impairment charges in the three months ended September 30, 2017 of $8 million related to the PP&amp;E and $12 million for the intangible assets</w:t>
      </w:r>
    </w:p>
    <w:p>
      <w:pPr>
        <w:spacing w:after="0" w:line="138" w:lineRule="exact"/>
        <w:rPr>
          <w:rFonts w:ascii="Arial" w:cs="Arial" w:eastAsia="Arial" w:hAnsi="Arial"/>
          <w:sz w:val="13"/>
          <w:szCs w:val="13"/>
          <w:color w:val="auto"/>
        </w:rPr>
      </w:pPr>
    </w:p>
    <w:p>
      <w:pPr>
        <w:ind w:left="580" w:right="100" w:hanging="572"/>
        <w:spacing w:after="0" w:line="23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8"/>
          <w:szCs w:val="18"/>
          <w:color w:val="auto"/>
        </w:rPr>
        <w:t>In the first quarter of 2016, due to the exit of its position in silver metal mesh touch screen development, Kodak concluded that the carrying value of PP&amp;E associated with those operations exceeded their fair value and recorded pre-tax impairment charges of $12 million. Kodak also wrote off related intangible assets with a gross carrying amount of $14 million and accumulated amortization of $6 million and recorded an impairment charge of $8 million.</w:t>
      </w:r>
    </w:p>
    <w:p>
      <w:pPr>
        <w:spacing w:after="0" w:line="148" w:lineRule="exact"/>
        <w:rPr>
          <w:rFonts w:ascii="Arial" w:cs="Arial" w:eastAsia="Arial" w:hAnsi="Arial"/>
          <w:sz w:val="14"/>
          <w:szCs w:val="14"/>
          <w:color w:val="auto"/>
        </w:rPr>
      </w:pPr>
    </w:p>
    <w:p>
      <w:pPr>
        <w:ind w:left="520" w:hanging="512"/>
        <w:spacing w:after="0" w:line="246"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concluded the carrying value of the Kodak trade name exceeded its fair value and recorded an impairment charge of $5 million related to the Kodak trade name.</w:t>
      </w:r>
    </w:p>
    <w:p>
      <w:pPr>
        <w:spacing w:after="0" w:line="142" w:lineRule="exact"/>
        <w:rPr>
          <w:rFonts w:ascii="Arial" w:cs="Arial" w:eastAsia="Arial" w:hAnsi="Arial"/>
          <w:sz w:val="15"/>
          <w:szCs w:val="15"/>
          <w:color w:val="auto"/>
        </w:rPr>
      </w:pPr>
    </w:p>
    <w:p>
      <w:pPr>
        <w:ind w:left="520" w:right="80" w:hanging="512"/>
        <w:spacing w:after="0" w:line="30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had the Prosper assets been continuously classified as held and used. Refer to Note 21, “Discontinued Operations’.</w:t>
      </w:r>
    </w:p>
    <w:p>
      <w:pPr>
        <w:spacing w:after="0" w:line="9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third quarter of 2016, Kodak settled a legal contingency and reduced the associated reserve by $6 million.</w:t>
      </w:r>
    </w:p>
    <w:p>
      <w:pPr>
        <w:spacing w:after="0" w:line="171" w:lineRule="exact"/>
        <w:rPr>
          <w:rFonts w:ascii="Arial" w:cs="Arial" w:eastAsia="Arial" w:hAnsi="Arial"/>
          <w:sz w:val="15"/>
          <w:szCs w:val="15"/>
          <w:color w:val="auto"/>
        </w:rPr>
      </w:pPr>
    </w:p>
    <w:p>
      <w:pPr>
        <w:ind w:left="520" w:hanging="512"/>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received $10 million representing net litigation proceeds from DuPont.</w:t>
      </w:r>
    </w:p>
    <w:p>
      <w:pPr>
        <w:spacing w:after="0" w:line="171" w:lineRule="exact"/>
        <w:rPr>
          <w:sz w:val="20"/>
          <w:szCs w:val="20"/>
          <w:color w:val="auto"/>
        </w:rPr>
      </w:pPr>
    </w:p>
    <w:p>
      <w:pPr>
        <w:ind w:left="520" w:right="40" w:hanging="512"/>
        <w:spacing w:after="0" w:line="235" w:lineRule="auto"/>
        <w:tabs>
          <w:tab w:leader="none" w:pos="500" w:val="left"/>
        </w:tabs>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7)</w:t>
      </w:r>
      <w:r>
        <w:rPr>
          <w:sz w:val="20"/>
          <w:szCs w:val="20"/>
          <w:color w:val="auto"/>
        </w:rPr>
        <w:tab/>
      </w:r>
      <w:r>
        <w:rPr>
          <w:rFonts w:ascii="Arial" w:cs="Arial" w:eastAsia="Arial" w:hAnsi="Arial"/>
          <w:sz w:val="18"/>
          <w:szCs w:val="18"/>
          <w:color w:val="auto"/>
        </w:rPr>
        <w:t>On June 30, 2016, Kodak sold certain assets of its brand protection business to eApeiron Solutions Inc. in exchange for cash consideration of approximately $6 million and an equity investment of 19.9%. Kodak is accounting for this investment under the equity method of accounting. Kodak recognized a gain of approximately $7 million on this transaction.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11: OTHER (INCOME) CHARGES, NET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5"/>
                <w:szCs w:val="15"/>
                <w:color w:val="auto"/>
              </w:rPr>
              <w:t>(1)</w:t>
            </w:r>
          </w:p>
        </w:tc>
        <w:tc>
          <w:tcPr>
            <w:tcW w:w="49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22, “Financial Instruments”.</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(benefit) provision and effective tax rate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Three Months 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5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(Benefit) provision for income taxes @ 35%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Difference between tax at effective vs. statutory rate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three and nine months ended September 30, 2017, the difference between Kodak’s recorded (benefit) provision and the (benefit) provision, respectively, that would result from applying the U.S. statutory rate of 35.0% is primarily attributable to: (1) the impact related to existing valuation allowances associated with changes in net deferred tax assets from current earnings and losses, (2) the results from operations in jurisdictions outside the U.S.,</w:t>
      </w:r>
    </w:p>
    <w:p>
      <w:pPr>
        <w:ind w:right="5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benefit associated with the tax impact of a goodwill impairment, and (4) changes in audit reserves, including settlements with taxing authorities in locations outside the U.S.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three and nine months ended September 30, 2016, the difference between Kodak’s recorded provision and the provision that would result from applying the U.S. statutory rate of 35.0% is primarily attributable to: (1) the impact related to existing valuation allowances associated with changes in net deferred tax assets from current earnings and losses, (2) the results from operations in jurisdictions outside the U.S., (3) a provision associated with foreign withholding taxes on undistributed earnings and (4) changes in audit reserves.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2017 were initiated to reduce Kodak’s cost structure as part of its commitment to drive sustainable profitability and included actions associated with the Prosper business cost reduction, voluntary workforce transition plans in the U.S., an office closure in Switzerland, the cancellation of the copper touch screen program, as well as various targeted reductions in manufacturing, service, sales, research and development and other administrative functions.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Exit</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8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2017</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Q2 charges</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(3)</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Q3 charges</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Q3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Q3 other adjustments and reclasses </w:t>
            </w:r>
            <w:r>
              <w:rPr>
                <w:rFonts w:ascii="Arial" w:cs="Arial" w:eastAsia="Arial" w:hAnsi="Arial"/>
                <w:sz w:val="15"/>
                <w:szCs w:val="15"/>
                <w:color w:val="auto"/>
              </w:rPr>
              <w:t>(4)</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2017</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340" w:hanging="512"/>
        <w:spacing w:after="0" w:line="27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62" w:lineRule="exact"/>
        <w:rPr>
          <w:rFonts w:ascii="Arial" w:cs="Arial" w:eastAsia="Arial" w:hAnsi="Arial"/>
          <w:sz w:val="15"/>
          <w:szCs w:val="15"/>
          <w:color w:val="auto"/>
        </w:rPr>
      </w:pPr>
    </w:p>
    <w:p>
      <w:pPr>
        <w:ind w:left="520" w:right="820" w:hanging="512"/>
        <w:spacing w:after="0" w:line="27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$(1) million represents severance related charges for pension plan special termination benefits, which are reflected in Pension and other postretirement liabilities in the Consolidated Statement of Financial Position.</w:t>
      </w:r>
    </w:p>
    <w:p>
      <w:pPr>
        <w:spacing w:after="0" w:line="197" w:lineRule="exact"/>
        <w:rPr>
          <w:rFonts w:ascii="Arial" w:cs="Arial" w:eastAsia="Arial" w:hAnsi="Arial"/>
          <w:sz w:val="15"/>
          <w:szCs w:val="15"/>
          <w:color w:val="auto"/>
        </w:rPr>
      </w:pPr>
    </w:p>
    <w:p>
      <w:pPr>
        <w:ind w:left="480" w:right="280" w:hanging="472"/>
        <w:spacing w:after="0" w:line="277"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$(4) million includes $(5) million of severance related charges for pension plan special termination benefits, which were reclassified to Pension and other postretirement liabilities, and $1 million of foreign currency translation adjustments.</w:t>
      </w:r>
    </w:p>
    <w:p>
      <w:pPr>
        <w:spacing w:after="0" w:line="197" w:lineRule="exact"/>
        <w:rPr>
          <w:rFonts w:ascii="Arial" w:cs="Arial" w:eastAsia="Arial" w:hAnsi="Arial"/>
          <w:sz w:val="15"/>
          <w:szCs w:val="15"/>
          <w:color w:val="auto"/>
        </w:rPr>
      </w:pPr>
    </w:p>
    <w:p>
      <w:pPr>
        <w:ind w:left="480" w:right="860" w:hanging="472"/>
        <w:spacing w:after="0" w:line="277"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$(3) million represents severance related charges for pension plan special termination benefits, which are reflected in Pension and other postretirement liabilities in the Consolidated Statement of Financial Position.</w:t>
      </w:r>
    </w:p>
    <w:p>
      <w:pPr>
        <w:spacing w:after="0" w:line="19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the three months ended September 30, 2017 the $5 million of charges including $1 million of charges for inventory write-downs which were reported in Cost of revenues in the Consolidated Statement of Operations. The remaining $4 million was reported as Restructuring costs and other.</w:t>
      </w:r>
    </w:p>
    <w:p>
      <w:pPr>
        <w:spacing w:after="0" w:line="3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severance costs for the three months ended September 30, 2017 related to the elimination of approximately 100 positions including approximately 25 manufacturing/service positions, 25 research and development positions and 50 administrative positions. The geographic composition of these positions includes approximately 75 in the United States and Canada and 25 throughout the rest of the world.</w:t>
      </w:r>
    </w:p>
    <w:p>
      <w:pPr>
        <w:spacing w:after="0" w:line="20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nine months ended September 30, 2017 the $29 million of charges includes $7 million of charges for inventory write-downs which were reported in Cost of revenues in the Consolidated Statement of Operations. The remaining $22 million was reported as Restructuring costs and other.</w:t>
      </w:r>
    </w:p>
    <w:p>
      <w:pPr>
        <w:spacing w:after="0" w:line="3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severance costs for the nine months ended September 30, 2017 related to the elimination of approximately 300 positions including approximately 100 manufacturing/service positions, 50 research and development positions and 150 administrative positions. The geographic composition of these positions includes approximately 200 in the United States and Canada and 100 throughout the rest of the world.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these initiatives, the majority of the severance will be paid during periods through the first quarter of 2018. However, in some instances, the employees whose positions were eliminated can elect or are required to receive their payments over an extended period of time. In addition, certain exit costs, such as long-term lease payments, will be paid over periods throughout the remainder of 2017 and beyond.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7"/>
          </w:tcPr>
          <w:p>
            <w:pPr>
              <w:ind w:left="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Nine Months Ended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7"/>
              </w:rPr>
              <w:t>Non-</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Non-U.S.</w:t>
            </w:r>
          </w:p>
        </w:tc>
        <w:tc>
          <w:tcPr>
            <w:tcW w:w="14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Non-U.S.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Non-U.S.</w:t>
            </w:r>
          </w:p>
        </w:tc>
        <w:tc>
          <w:tcPr>
            <w:tcW w:w="14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pension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both the three and nine months ended September 30, 2017 and 2016 the special termination benefits charges were incurred as a result of Kodak’s restructuring actions.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Kodak allocated $43 million of the net proceeds received to a derivative liability based on the aggregate fair value of the embedded conversion features on the date of issuance which reduced the net carrying value of the Series A Preferred Stock (see Note 22,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 The holders of Series A Preferred Stock are entitled to cumulative dividends payable quarterly in cash at a rate of 5.50% per annum. The Company declared a cash dividend of approximately $3 million in September 2017, which was paid on October 19, 2017. The accrual for the cash dividend declared is included in Other current liabilities in the accompanying Consolidated Statement of Financial Position as of September 30, 2017. As of September 30, 2017,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240"/>
        <w:spacing w:after="0" w:line="258" w:lineRule="auto"/>
        <w:rPr>
          <w:sz w:val="20"/>
          <w:szCs w:val="20"/>
          <w:color w:val="auto"/>
        </w:rPr>
      </w:pPr>
      <w:r>
        <w:rPr>
          <w:rFonts w:ascii="Arial" w:cs="Arial" w:eastAsia="Arial" w:hAnsi="Arial"/>
          <w:sz w:val="18"/>
          <w:szCs w:val="18"/>
          <w:color w:val="auto"/>
        </w:rPr>
        <w:t>A reconciliation of the amounts used to calculate basic and diluted earnings per share for the three and nine months ended September 30, 2017 follows: (in millions):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attributable</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Eastman Kodak Company</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Loss from continuing operations available to</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Loss from net earnings attributable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to Eastman Kodak Company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net earnings available to</w:t>
            </w:r>
          </w:p>
        </w:tc>
        <w:tc>
          <w:tcPr>
            <w:tcW w:w="6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net loss from continuing operations available to common shareholders for the three and nine months ending September 30, 2017, Kodak calculated diluted earnings per share using weighted-average basic shares outstanding for those periods. If Kodak reported earnings from continuing operations available to common shareholders for the three and nine months ending September 30, 2017, the calculation of diluted earnings per share would have included the assumed conversion of 0.2 million of unvested restricted stock units.</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computation of diluted earnings per share for the three and nine months ended September 30, 2017 also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4.6 million outstanding employee stock options because the effects would have been anti-dilutive.</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Weighted average diluted shares were 42.8 million for the three-month period and 42.5 for the nine-month period ended September 30, 2016, respectively, and included the dilutive effect of 0.4 million and 0.3 million unvested restricted stock units for the three and nine month periods ended September 30, 2016, respectively. In addition, the weighted average diluted shares for the three-month period ended September 30, 2016 included the dilutive effect of net share settled warrants to purchase 0.1 million shares of common stock at an exercise price of $14.93.</w:t>
      </w:r>
    </w:p>
    <w:p>
      <w:pPr>
        <w:spacing w:after="0" w:line="2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computation of diluted earnings per share for the three and nine month periods ended September 30, 2016 excluded the impact of the assumed conversion of net share settled warrants to purchase 1.8 million shares of common stock at an exercise price of $16.12 and the assumed conversion of 2.0 million outstanding employee stock options because they would have been anti-dilutive. In addition, the computation of diluted earnings per share for the nine-month period ended September 30, 2016 excluded the impact of conversion of net share settled warrants to purchase 1.8 million shares of common shares at an exercise price of $14.93 because the effects would have been anti-dilutive.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September 30, 2017 and December 31, 2016, there were 42.6 million and 42.4 million shares of common stock outstanding and 2.0 million shares of Series A preferred stock issued and outstanding, respectively. Treasury stock consisted of approximately 0.5 million shares at both September 30, 2017 and December 31, 2016.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18: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income,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Tax benefit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net of tax</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960" w:type="dxa"/>
            <w:vAlign w:val="bottom"/>
            <w:gridSpan w:val="2"/>
            <w:shd w:val="clear" w:color="auto" w:fill="CFF0FC"/>
          </w:tcPr>
          <w:p>
            <w:pPr>
              <w:jc w:val="right"/>
              <w:ind w:right="125"/>
              <w:spacing w:after="0"/>
              <w:rPr>
                <w:sz w:val="20"/>
                <w:szCs w:val="20"/>
                <w:color w:val="auto"/>
              </w:rPr>
            </w:pPr>
            <w:r>
              <w:rPr>
                <w:rFonts w:ascii="Arial" w:cs="Arial" w:eastAsia="Arial" w:hAnsi="Arial"/>
                <w:sz w:val="15"/>
                <w:szCs w:val="15"/>
                <w:color w:val="auto"/>
              </w:rPr>
              <w:t>(a)</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4540" w:type="dxa"/>
            <w:vAlign w:val="bottom"/>
          </w:tcPr>
          <w:p>
            <w:pPr>
              <w:ind w:left="500"/>
              <w:spacing w:after="0"/>
              <w:rPr>
                <w:sz w:val="20"/>
                <w:szCs w:val="20"/>
                <w:color w:val="auto"/>
              </w:rPr>
            </w:pPr>
            <w:r>
              <w:rPr>
                <w:rFonts w:ascii="Arial" w:cs="Arial" w:eastAsia="Arial" w:hAnsi="Arial"/>
                <w:sz w:val="18"/>
                <w:szCs w:val="18"/>
                <w:color w:val="auto"/>
              </w:rPr>
              <w:t>Amortization of actuarial (gains) losses</w:t>
            </w:r>
          </w:p>
        </w:tc>
        <w:tc>
          <w:tcPr>
            <w:tcW w:w="960" w:type="dxa"/>
            <w:vAlign w:val="bottom"/>
            <w:gridSpan w:val="2"/>
          </w:tcPr>
          <w:p>
            <w:pPr>
              <w:jc w:val="right"/>
              <w:ind w:right="125"/>
              <w:spacing w:after="0"/>
              <w:rPr>
                <w:sz w:val="20"/>
                <w:szCs w:val="20"/>
                <w:color w:val="auto"/>
              </w:rPr>
            </w:pPr>
            <w:r>
              <w:rPr>
                <w:rFonts w:ascii="Arial" w:cs="Arial" w:eastAsia="Arial" w:hAnsi="Arial"/>
                <w:sz w:val="15"/>
                <w:szCs w:val="15"/>
                <w:color w:val="auto"/>
              </w:rPr>
              <w:t>(a)</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Recognition of gains due to settlements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7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65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20: SEGMENT INFORMATION</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is now being reported as a dedicated segment.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Effective April 1, 2017, Kodak made another change to its organizational structure. Digital front-end controllers within the Prosper business in the Enterprise Inkjet Systems segment was moved to the Unified Workflow Solutions business within the Software and Solutions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Prior period segment results have been revised to conform to the current period segment reporting structure.</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Financial information is reported for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Industrial Film and Chemicals, Motion Picture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Consolidated total</w:t>
            </w: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Segment Operational EBITDA and Consolidated (Loss) Earnings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98"/>
              </w:rPr>
              <w:t>Manufacturing costs originally planned to be absorbed by silver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 xml:space="preserve">metal mesh touch screen production </w:t>
            </w:r>
            <w:r>
              <w:rPr>
                <w:rFonts w:ascii="Arial" w:cs="Arial" w:eastAsia="Arial" w:hAnsi="Arial"/>
                <w:sz w:val="15"/>
                <w:szCs w:val="15"/>
                <w:color w:val="auto"/>
              </w:rPr>
              <w:t>(5)</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Goodwill impairment loss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9"/>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Consolidated (loss) earnings from continuing operations before</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0"/>
                <w:szCs w:val="20"/>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left="520" w:right="52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75" w:lineRule="exact"/>
        <w:rPr>
          <w:rFonts w:ascii="Arial" w:cs="Arial" w:eastAsia="Arial" w:hAnsi="Arial"/>
          <w:sz w:val="15"/>
          <w:szCs w:val="15"/>
          <w:color w:val="auto"/>
        </w:rPr>
      </w:pPr>
    </w:p>
    <w:p>
      <w:pPr>
        <w:ind w:left="520" w:right="24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30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right="14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excluded from the segment measure of profit and loss.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Kodak’s segment measure of profit and loss is an adjusted earnings before interest, taxes, depreciation and amortization (“Operational EBITDA”). As demonstrated in the above table, Operational EBITDA represents the (loss) earnings from continuing operations excluding the provision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goodwill impairment losses; interest expense; and other (income) charges, net. Overhead costs no longer absorbed by the Prosper discontinued operations of $4 million and $12 million in the three and nine months ended September 30, 2016, respectively, were also excluded from segment earnings while the business was reported in discontinued operations. As the Prosper business is no longer reported in discontinued operations, overhead allocations are included in the Enterprise Inkjet Solutions segment measure for all periods presented.</w:t>
      </w:r>
    </w:p>
    <w:p>
      <w:pPr>
        <w:spacing w:after="0" w:line="16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Research and Development activities not directly related to the other segments are reported within the Advanced Materials and 3D Printing Technology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PROSPER Enterprise Inkjet Business</w:t>
      </w:r>
    </w:p>
    <w:p>
      <w:pPr>
        <w:spacing w:after="0" w:line="1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results of the Prosper business were previously presented as discontinued operations. However, the held for sale criteria were no longer met as of March 31, 2017. In April 2017, Kodak decided to retain the Prosper business. The assets and liabilities of the Prosper business, previously presented as held for sale, have been reclassified to held and used in the Consolidated Statement of Financial Position as of December 31, 2016, and the results of the Prosper business have been reclassified from discontinued operations to continuing operations for all periods presented. The Prosper business’ assets and liabilities as of March 31, 2017 were measured at the carrying amount before the assets were classified as held for sale, reduced by $12 million representing the depreciation and amortization expense that would have been recognized had the assets been continuously classified as held for use. The $12 million reduction to the carrying value of the Prosper assets was reported in Other operating expense, net in the first quarter of 2017.</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of the results of the Prosper Business to continuing operations had the following impacts on the Consolidated Statement of Operations: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FINANCIAL INSTRUMENTS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Kodak’s foreign currency forward contracts are not designated as hedges and are marked to market through net (loss) earnings at the same time that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exposed assets and liabilities are remeasured through net (loss) earnings (both in Other (income) charges, net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notional amount of such contracts open at September 30, 2017 and December 31, 2016 was approximately $543 million and $340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majority of the contracts of this type held by Kodak as of September 30, 2017 are denominated in Swiss francs and euros. The majority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contracts of this type held by Kodak as of December 31, 2016 were denominated in euros, British pounds, and Chinese renminbi.</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r>
      <w:tr>
        <w:trPr>
          <w:trHeight w:val="223"/>
        </w:trPr>
        <w:tc>
          <w:tcPr>
            <w:tcW w:w="49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derivatives not designated as hedging</w:t>
            </w:r>
          </w:p>
        </w:tc>
        <w:tc>
          <w:tcPr>
            <w:tcW w:w="9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Kodak had no derivatives designated as hedging instruments for the three and nine months ended September 30, 2017 and 2016.</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liability which is reported in Other long-term liabilities in the Consolidated Statement of Financial Position. The derivative liability is being accounted for at fair value with changes in fair value being reported in Other (income) charges, net in the Consolidated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Neither the fair value of marketable securities nor the gross fair values of the foreign currency forward contracts was material as of September 30, 2017 and December 31, 2016.</w:t>
      </w:r>
    </w:p>
    <w:p>
      <w:pPr>
        <w:spacing w:after="0" w:line="21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2017.</w:t>
      </w:r>
    </w:p>
    <w:p>
      <w:pPr>
        <w:spacing w:after="0" w:line="15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fair value of the embedded conversion features derivative liability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September 30, 2017 and December 31, 2016:</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16"/>
        </w:trPr>
        <w:tc>
          <w:tcPr>
            <w:tcW w:w="608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260" w:type="dxa"/>
            <w:vAlign w:val="bottom"/>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6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42.85%</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values of long-term borrowings (Level 2 fair value measurements) are determined by reference to quoted market prices of similar instruments, if available, or by pricing models based on the value of related cash flows discounted at current market interest rates. The fair values of long-term borrowings were $411 million and $406 million at September 30, 2017 and December 31,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cash and cash equivalents and restricted cash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Kodak’s Annual Report on Form 10–K for the year ended December 31, 2016 under the headings “Business,” “Risk Factors,” “Legal Proceedings,” and/or “Management’s Discussion and Analysis of Financial Condition and Results of Operations–Liquidity and Capital Resources,” in the corresponding sections of this report on Form 10-Q and in Kodak’s quarterly report on Form 10-Q for the quarters ended March 31, 2017 and June 30, 2017, and in other filings Kodak makes with the SEC from time to time, as well as the following:</w:t>
      </w:r>
    </w:p>
    <w:p>
      <w:pPr>
        <w:spacing w:after="0" w:line="6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Kodak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in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declined $32 million (8%) and $94 million (8%) compared to the prior year quarter and first nine months,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90"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product investment in growth engines - Sonora, Prosper, FLEXCEL NX Systems and Plates, Advanced Materials and 3D Printing and Software and Services;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its market leadership position and cash flows associated with Print Systems;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90"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61% of Kodak’s revenues for both the three and nine months ended September 30,</w:t>
      </w:r>
    </w:p>
    <w:p>
      <w:pPr>
        <w:spacing w:after="0" w:line="9" w:lineRule="exact"/>
        <w:rPr>
          <w:rFonts w:ascii="Arial" w:cs="Arial" w:eastAsia="Arial" w:hAnsi="Arial"/>
          <w:sz w:val="17"/>
          <w:szCs w:val="17"/>
          <w:color w:val="auto"/>
        </w:rPr>
      </w:pPr>
    </w:p>
    <w:p>
      <w:pPr>
        <w:ind w:left="1040"/>
        <w:spacing w:after="0" w:line="256" w:lineRule="auto"/>
        <w:rPr>
          <w:rFonts w:ascii="Arial" w:cs="Arial" w:eastAsia="Arial" w:hAnsi="Arial"/>
          <w:sz w:val="17"/>
          <w:szCs w:val="17"/>
          <w:color w:val="auto"/>
        </w:rPr>
      </w:pPr>
      <w:r>
        <w:rPr>
          <w:rFonts w:ascii="Arial" w:cs="Arial" w:eastAsia="Arial" w:hAnsi="Arial"/>
          <w:sz w:val="16"/>
          <w:szCs w:val="16"/>
          <w:color w:val="auto"/>
        </w:rPr>
        <w:t>2017. Print Systems’ revenues declined $18 million (7%) and $58 million (8%) compared with the prior year quarter and first nine months, respectively. Segment earnings declined $14 million (52%) and $25 million (37%) compared with the prior year quarter and first nine months, respectively, driven by pricing and volume pressures.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37" w:lineRule="exact"/>
        <w:rPr>
          <w:rFonts w:ascii="Arial" w:cs="Arial" w:eastAsia="Arial" w:hAnsi="Arial"/>
          <w:sz w:val="17"/>
          <w:szCs w:val="17"/>
          <w:color w:val="auto"/>
        </w:rPr>
      </w:pPr>
    </w:p>
    <w:p>
      <w:pPr>
        <w:ind w:left="1040" w:right="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 decreased $14 million (30%) and $18 million (15%) but the segment earnings improved $9 million and $20 million compared with the prior year quarter and first nine months, respectively, driven by a streamlining of the Prosper business, as well as a favorable comparison for a customer cost in the prior year period.</w:t>
      </w:r>
    </w:p>
    <w:p>
      <w:pPr>
        <w:spacing w:after="0" w:line="150" w:lineRule="exact"/>
        <w:rPr>
          <w:rFonts w:ascii="Arial" w:cs="Arial" w:eastAsia="Arial" w:hAnsi="Arial"/>
          <w:sz w:val="17"/>
          <w:szCs w:val="17"/>
          <w:color w:val="auto"/>
        </w:rPr>
      </w:pPr>
    </w:p>
    <w:p>
      <w:pPr>
        <w:ind w:left="1040" w:right="80" w:hanging="519"/>
        <w:spacing w:after="0" w:line="253"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Within the Flexographic Packaging segment, growth in the installed base of FLEXCEL NX System computer-to-plate (CtP) imaging and related equipment is expected to drive continued growth of FLEXCEL NX printing consumables. The Other Packaging Business includes packaging printing products and services that are in mature stages in their product life cycles. Flexographic Packaging revenue and segment earnings were unchanged compared to the prior year quarter and increased $6 million (6%) and $4 million (24%), respectively, compared with the prior year first nine months. Segment revenue growth from FLEXCEL NX consumables in the quarter and first nine months was mitigated by the impact on segment revenue from declines in FLEXCEL NX equipment sales. FLEXCEL NX consumables experience shifts in demand from quarter to quarter based on order patterns of existing customers and the rate at which new customers ramp-up plate volume. FLEXCEL NX equipment sales have been affected by the timing of trade shows in the prior and current year. Drupa 2016 was held in May, and many of the orders taken at the show were installed in the third quarter of 2016. In 2017, the largest packaging industry trade show (Label Expo) was held in September, resulting in different quarterly comparisons on CtP equipment unit sales from year to year.</w:t>
      </w:r>
    </w:p>
    <w:p>
      <w:pPr>
        <w:spacing w:after="0" w:line="140" w:lineRule="exact"/>
        <w:rPr>
          <w:rFonts w:ascii="Arial" w:cs="Arial" w:eastAsia="Arial" w:hAnsi="Arial"/>
          <w:sz w:val="16"/>
          <w:szCs w:val="16"/>
          <w:color w:val="auto"/>
        </w:rPr>
      </w:pPr>
    </w:p>
    <w:p>
      <w:pPr>
        <w:ind w:left="1040" w:right="160" w:hanging="519"/>
        <w:spacing w:after="0" w:line="22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as well as businesses that leverage existing technologies and intellectual property in new applications. The contributions these business initiatives make to earnings are expected to grow with a modest amount of additional investment. Sales in Kodak Technology Solutions are project-based and can vary from year to year depending on the nature and number of projects in existence that year.</w:t>
      </w:r>
    </w:p>
    <w:p>
      <w:pPr>
        <w:spacing w:after="0" w:line="148" w:lineRule="exact"/>
        <w:rPr>
          <w:rFonts w:ascii="Arial" w:cs="Arial" w:eastAsia="Arial" w:hAnsi="Arial"/>
          <w:sz w:val="18"/>
          <w:szCs w:val="18"/>
          <w:color w:val="auto"/>
        </w:rPr>
      </w:pPr>
    </w:p>
    <w:p>
      <w:pPr>
        <w:ind w:left="1040" w:right="100" w:hanging="519"/>
        <w:spacing w:after="0" w:line="242"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Consumer and Film’s revenue was unchanged compared to the prior year quarter and declined $23 million (13%) compared with the prior year first nine months. Segment earnings declined $3 million and $28 million compared with the prior year quarter and first nine months, respectively, driven by the declining installed base of consumer inkjet printers, increased unit costs in the film businesses and one-time items that favorably impacted the prior year. A modification to a brand licensing agreement improved current quarter results. Kodak plans to continue to promote the use of film to utilize as much film manufacturing capacity as possible.</w:t>
      </w:r>
    </w:p>
    <w:p>
      <w:pPr>
        <w:spacing w:after="0" w:line="67" w:lineRule="exact"/>
        <w:rPr>
          <w:rFonts w:ascii="Arial" w:cs="Arial" w:eastAsia="Arial" w:hAnsi="Arial"/>
          <w:sz w:val="17"/>
          <w:szCs w:val="17"/>
          <w:color w:val="auto"/>
        </w:rPr>
      </w:pPr>
    </w:p>
    <w:p>
      <w:pPr>
        <w:ind w:left="1040" w:right="240" w:hanging="519"/>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(“EBP”), which helps cost absorption for both Kodak operations and tenants at EBP.</w:t>
      </w:r>
    </w:p>
    <w:p>
      <w:pPr>
        <w:spacing w:after="0" w:line="61"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120" w:hanging="519"/>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is now being reported as a dedicated segment.</w:t>
      </w:r>
    </w:p>
    <w:p>
      <w:pPr>
        <w:ind w:right="340"/>
        <w:spacing w:after="0" w:line="261" w:lineRule="auto"/>
        <w:rPr>
          <w:sz w:val="20"/>
          <w:szCs w:val="20"/>
          <w:color w:val="auto"/>
        </w:rPr>
      </w:pPr>
      <w:r>
        <w:rPr>
          <w:rFonts w:ascii="Arial" w:cs="Arial" w:eastAsia="Arial" w:hAnsi="Arial"/>
          <w:sz w:val="18"/>
          <w:szCs w:val="18"/>
          <w:color w:val="auto"/>
        </w:rPr>
        <w:t>Additionally, effective April 1, 2017, digital front-end controllers within the Prosper business in the Enterprise Inkjet Systems segment was moved to the Unified Workflow Solutions business within the Software and Solutions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period segment results have been revised to conform to the current period segment reporting structure.</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information is reported for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040" w:right="80" w:hanging="519"/>
        <w:spacing w:after="0" w:line="28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040" w:right="4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right="40" w:hanging="376"/>
        <w:spacing w:after="0" w:line="272"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40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KODAK VERSAMARK Products are the predecessor products to the PROSPER Press. Users of KODAK VERSAMARK Products continue to purchase ink and other consumables as well as service from Kodak.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117" w:lineRule="exact"/>
        <w:rPr>
          <w:sz w:val="20"/>
          <w:szCs w:val="20"/>
          <w:color w:val="auto"/>
        </w:rPr>
      </w:pPr>
    </w:p>
    <w:p>
      <w:pPr>
        <w:ind w:left="1140" w:right="180" w:hanging="376"/>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Packaging Business:</w:t>
      </w:r>
    </w:p>
    <w:p>
      <w:pPr>
        <w:spacing w:after="0" w:line="252" w:lineRule="exact"/>
        <w:rPr>
          <w:sz w:val="20"/>
          <w:szCs w:val="20"/>
          <w:color w:val="auto"/>
        </w:rPr>
      </w:pPr>
    </w:p>
    <w:p>
      <w:pPr>
        <w:ind w:left="1140" w:right="160" w:hanging="376"/>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as well as businesses that leverage existing Kodak technologies and intellectual property in new applications.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Unified Workflow Solutions:</w:t>
      </w:r>
    </w:p>
    <w:p>
      <w:pPr>
        <w:spacing w:after="0" w:line="225" w:lineRule="exact"/>
        <w:rPr>
          <w:sz w:val="20"/>
          <w:szCs w:val="20"/>
          <w:color w:val="auto"/>
        </w:rPr>
      </w:pPr>
    </w:p>
    <w:p>
      <w:pPr>
        <w:ind w:left="1140" w:hanging="376"/>
        <w:spacing w:after="0" w:line="25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Technology Solutions:</w:t>
      </w:r>
    </w:p>
    <w:p>
      <w:pPr>
        <w:spacing w:after="0" w:line="252" w:lineRule="exact"/>
        <w:rPr>
          <w:sz w:val="20"/>
          <w:szCs w:val="20"/>
          <w:color w:val="auto"/>
        </w:rPr>
      </w:pPr>
    </w:p>
    <w:p>
      <w:pPr>
        <w:ind w:left="1140" w:right="300" w:hanging="376"/>
        <w:spacing w:after="0" w:line="279"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Consumer and Film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ind w:left="1140" w:right="160" w:hanging="376"/>
        <w:spacing w:after="0" w:line="271"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licensing of Kodak brands to third parties and consumer products. Kodak currently licenses its brand for use with a range of consumer products including batteries, cameras and camera accessories, printers and recordable media. Kodak intends to continue efforts to grow its portfolio of consumer product licenses to generate both ongoing royalty streams and upfront payments.</w:t>
      </w: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120" w:hanging="376"/>
        <w:spacing w:after="0" w:line="25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manufactures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 Inks and Dispersions.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20" w:hanging="376"/>
        <w:spacing w:after="0" w:line="25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and advertising industries.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higher-level of investment has been required. Going forward, Advanced Materials and 3D Printing Technology will significantly reduce the level of this investment and only concentrate on the opportunities that are commercialized or nearly commercialized with identified markets and customers.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w:t>
      </w:r>
    </w:p>
    <w:p>
      <w:pPr>
        <w:spacing w:after="0" w:line="333" w:lineRule="exact"/>
        <w:rPr>
          <w:sz w:val="20"/>
          <w:szCs w:val="20"/>
          <w:color w:val="auto"/>
        </w:rPr>
      </w:pPr>
    </w:p>
    <w:p>
      <w:pPr>
        <w:jc w:val="both"/>
        <w:ind w:left="1140" w:hanging="565"/>
        <w:spacing w:after="0" w:line="256"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contemplated addressing in this category, but the singular focus now is light blocking particles for the textile market.</w:t>
      </w:r>
    </w:p>
    <w:p>
      <w:pPr>
        <w:ind w:left="1140" w:right="140" w:hanging="565"/>
        <w:spacing w:after="0" w:line="302"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material revenue generation from intellectual property licensing and new materials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hanging="619"/>
        <w:spacing w:after="0" w:line="255"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3D Printing products have the potential to offer many advantages over traditionally manufactured products, including lower cost points, freedom of digital design, customization for small or large runs, and improvements in sustainable manufacturing. Kodak has been focusing its 3D printed touch screen technology on industrial applications (such as consumer appliances). Kodak has decided to cancel the copper mesh touch screen program and to focus on printed electronics partnerships and/or licensing opportunities and materials development for 3D printing. On materials development for 3D printing, Kodak is working with 3D printing customers and is producing materials for their printers.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Operational EBITDA and Consolidated (Loss) Earnings from Continuing Operations Before Income Taxes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8"/>
              </w:rPr>
              <w:t>Manufacturing costs originally planned to be absorbed by silver</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metal mesh touch screen production </w:t>
            </w:r>
            <w:r>
              <w:rPr>
                <w:rFonts w:ascii="Arial" w:cs="Arial" w:eastAsia="Arial" w:hAnsi="Arial"/>
                <w:sz w:val="15"/>
                <w:szCs w:val="15"/>
                <w:color w:val="auto"/>
              </w:rPr>
              <w:t>(5)</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Goodwill impairment loss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w w:val="98"/>
              </w:rPr>
              <w:t>Consolidated (loss) earnings from continuing operations before</w:t>
            </w: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2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right="460" w:hanging="472"/>
        <w:spacing w:after="0" w:line="277" w:lineRule="auto"/>
        <w:tabs>
          <w:tab w:leader="none" w:pos="4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62" w:lineRule="exact"/>
        <w:rPr>
          <w:rFonts w:ascii="Arial" w:cs="Arial" w:eastAsia="Arial" w:hAnsi="Arial"/>
          <w:sz w:val="15"/>
          <w:szCs w:val="15"/>
          <w:color w:val="auto"/>
        </w:rPr>
      </w:pPr>
    </w:p>
    <w:p>
      <w:pPr>
        <w:ind w:left="520" w:right="60" w:hanging="512"/>
        <w:spacing w:after="0" w:line="277"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160" w:hanging="512"/>
        <w:spacing w:after="0" w:line="277"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line="277"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excluded from the segment measure of profit and loss.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Kodak’s segment measure of profit and loss is an adjusted earnings before interest, taxes, depreciation and amortization (“Operational EBITDA”). As demonstrated in the above table, Operational EBITDA represents the (loss) earnings from continuing operations excluding the provision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goodwill impairment losses; interest expense; and other (income) charges, net. Overhead costs no longer absorbed by the Prosper discontinued operations of $4 million and $12 million in the three and nine months ended September 30, 2016, respectively, were also excluded from segment earnings while the business was reported in discontinued operations. As the Prosper business is no longer reported in discontinued operations, overhead allocations are included in the Enterprise Inkjet Solutions segment measure for all periods presented.</w:t>
      </w:r>
    </w:p>
    <w:p>
      <w:pPr>
        <w:spacing w:after="0" w:line="166"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2017 COMPARED WITH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9"/>
          </w:tcPr>
          <w:p>
            <w:pPr>
              <w:jc w:val="right"/>
              <w:ind w:right="44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rPr>
              <w:t>% of</w:t>
            </w: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rPr>
              <w:t>% of</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Sales</w:t>
            </w:r>
          </w:p>
        </w:tc>
        <w:tc>
          <w:tcPr>
            <w:tcW w:w="8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Sales</w:t>
            </w: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w w:val="98"/>
              </w:rPr>
              <w:t>Selling, general and administrative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7"/>
              </w:rPr>
              <w:t>Other operating expense (income),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Goodwill impairment 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operations before interest expense,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charges, net and</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(Loss) earnings from continuing</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operations before income taxes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Equity in loss of equity method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investment, net of income taxes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w w:val="97"/>
              </w:rPr>
              <w:t>Loss from discontinued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Less: Net loss attributable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EASTMAN KODAK COMPANY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September 30, 2017 revenues declined approximately $32 million compared with the same period in 2016. The decline was primarily driven by volume and pricing declines within Print Systems ($21 million) and volume declines within Enterprise Inkjet Systems ($14 million) and Consumer and Film ($6 million). Partially offsetting these impacts was a royalty payment from the modification of a brand licensing arrangement ($6 million). See segment discussions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nine months ended September 30, 2017 revenues declined approximately $94 million compared with the same period in 2016. The decline was primarily driven by volume and pricing declines within Print Systems ($54 million) and volume declines within Consumer and Film ($28 million) and Enterprise Inkjet Systems ($16 million). Also contributing to the decline was the unfavorable impact of foreign currency ($9 million). Partially offsetting these impacts were volume improvements within Flexographic Packaging ($8 million) and the modification of a brand licensing arrangement ($6 million). See segment discussions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decrease in gross profit for the three months ended September 30, 2017 of approximately $6 million compared with the same period in 2016 reflected volume and pricing declines within Print Systems ($15 million) and higher manufacturing costs within Consumer and Film ($7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Partially offsetting these declines were a royalty payment from the modification of a brand licensing arrangement ($6 million) and the deconsolidation of the RED utilities variable interest entity ($6 million). See segment discussions for additional details.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decrease in gross profit for the nine months ended September 30, 2017 of approximately $27 million compared with the same period in 2016 reflected volume and pricing declines within Print Systems ($33 million), increased manufacturing costs in Consumer and Film ($15 million), volume declines within Consumer and Film ($13 million) and increased inventory write-offs due to restructuring ($7 million). Partially offsetting these declines were manufacturing cost improvements within Print Systems ($5 million) and Enterprise Inkjet Systems ($4 million), a royalty payment from the modification of a brand licensing arrangement ($6 million), volume improvements within Flexographic Packaging ($5 million), reduced costs with the deconsolidation of the RED utilities variable interest entity ($10 million) and lower depreciation expense ($8 million, excluding depreciation within the RED utilities variable interest entity). See segment discussions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Consolidated SG&amp;A decreased $1 million for the three months ended September 30, 2017 primarily due to lower investment in segment selling and marketing activities ($2 million) driven by a lower investment in Enterprise Inkjet Systems. For the nine months ended September 30, 2017, consolidated SG&amp;A increased $2 million due to lower pension income ($10 million) partially offset by higher costs in 2016 from participation in drupa 2016 ($6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Consolidated R&amp;D expenses decreased $3 million for the three months ended September 30, 2017 primarily due to lower spending on the Super 8 movie camera in the current year period ($2 million). For the nine months ended September 30, 2017, consolidated R&amp;D expenses decreased $4 million, due to lower investment in segment R&amp;D activities ($6 million), primarily reflecting reduced investment in Enterprise Inkjet Systems, partially offset by lower pension income ($2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74"/>
              </w:rPr>
              <w:t>(18)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4"/>
              </w:rPr>
              <w:t>(58)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decrease in Print Systems revenues for the three months ended September 30, 2017 of approximately $18 million primarily reflected lower pricing ($11 million) due to competitive pressures in the industry and lower volumes ($7 million) driven by declines in plates in Prepress Solutions. Also contributing to the decline was lower volume in Electrophotographic Printing Solutions ($3 million) due to declines in consumables and service. Offsetting these declines was the favorable impact of foreign currency ($3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Print Systems revenues for the nine months ended September 30, 2017 of approximately $58 million primarily reflected lower pricing ($24 million) due to competitive pressures in the industry and lower volumes ($17 million) driven by declines in plates and service in Prepress Solutions. Also contributing to the decline was lower volume in Electrophotographic Printing Solutions ($12 million) due to declines in consumables and service. Unfavorable foreign currency ($4 million) also negatively impacted revenues.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Print Systems Operational EBITDA for the three months ended September 30, 2017 of approximately $14 million reflected lower pricing in Prepress Solutions ($11 million) as well as lower volume in Electrophotographic Printing Solutions ($3 million). Manufacturing cost improvements in Prepress plates ($3 million) were offset by higher aluminum costs ($4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decrease in Print Systems Operational EBITDA for the nine months ended September 30, 2017 of approximately $25 million reflected pricing and volume declines in Prepress Solutions ($24 million and $3 million, respectively) as well as lower volume in Electrophotographic Printing Solutions ($6 million). Partially offsetting these declines were manufacturing costs improvements in Prepress plates and service due to improved manufacturing efficiency ($11 million) partially offset by higher aluminum costs ($6 million) and lower investment in marketing, advertising and sales activities ($2 million) driven by the prior year participation in drupa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176"/>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7"/>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9"/>
                <w:szCs w:val="19"/>
                <w:color w:val="auto"/>
              </w:rPr>
            </w:pP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jc w:val="both"/>
        <w:ind w:right="220"/>
        <w:spacing w:after="0" w:line="265" w:lineRule="auto"/>
        <w:rPr>
          <w:sz w:val="20"/>
          <w:szCs w:val="20"/>
          <w:color w:val="auto"/>
        </w:rPr>
      </w:pPr>
      <w:r>
        <w:rPr>
          <w:rFonts w:ascii="Arial" w:cs="Arial" w:eastAsia="Arial" w:hAnsi="Arial"/>
          <w:sz w:val="18"/>
          <w:szCs w:val="18"/>
          <w:color w:val="auto"/>
        </w:rPr>
        <w:t>The decrease in Enterprise Inkjet Systems revenues for the three months ended September 30, 2017 of approximately $14 million primarily reflected lower volume of PROSPER systems ($11 million), due to focusing on high volume applications, and components ($6 million), due to a strong quarter in the prior year driven by the timing of drupa 2016. In addition, volume of VERSAMARK service and consumables decreased due to declines in the installed base of VERSAMARK systems ($2 million). These declines were partially offset by a revenue reduction due to consideration provided to a customer in the prior year ($5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Enterprise Inkjet Systems revenues for the nine months ended September 30, 2017 of approximately $18 million primarily reflected lower</w:t>
      </w:r>
    </w:p>
    <w:p>
      <w:pPr>
        <w:spacing w:after="0" w:line="4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volume of PROSPER systems ($15 million), due to focusing on high volume applications, and components ($6 million), due to a strong third quarter in the prior year driven by the timing of drupa 2016. In addition, volume of VERSAMARK service and consumables decreased due to declines in the installed base of VERSAMARK systems ($7 million). These unfavorable drivers were partially offset by increased volume of PROSPER service and consumable sales ($6 million) primarily driven by a larger installed base of PROSPER systems and components, a revenue reduction due to consideration provided to a customer in the prior year ($5 million) and higher volume of VERSAMARK equipment sales ($2 million) due to the sale of used equipment in the first quarter of 2017. Unfavorable foreign currency ($2 million) also negatively impacted revenues</w:t>
      </w:r>
      <w:r>
        <w:rPr>
          <w:rFonts w:ascii="Arial" w:cs="Arial" w:eastAsia="Arial" w:hAnsi="Arial"/>
          <w:sz w:val="20"/>
          <w:szCs w:val="20"/>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increase in Enterprise Inkjet Systems Operational EBITDA for the three months ended September 30, 2017 of approximately $9 million was primarily due to a lower level of investment in marketing, advertising and sales activities ($3 million) and R&amp;D activities ($1 million) as well as a revenue reduction due to consideration provided to a customer in the prior year ($4 million). A portion of the lower investments in marketing, advertising and sales and R&amp;D activities represents savings from the PROSPER restructuring actions announced in January 2017 (refer to the “Restructuring Costs and Other – Prosper Business Cost Reduction” section in this Management’s Discussion and Analysis). The negative impact of the lower volume of PROSPER component sales was largely offset by the positive impact on profitability from the volume reduction in PROSPER systems.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increase in Enterprise Inkjet Systems Operational EBITDA for the nine months ended September 30, 2017 of approximately $20 million was primarily due to a lower level of investment in marketing, advertising and sales activities ($10 million) due in part to the $3 million for participation in drupa 2016 in the prior year and R&amp;D activities ($4 million), and a revenue reduction due to consideration provided to a customer in the prior year ($4 million). A portion of the lower investments in marketing, advertising and sales and R&amp;D activities represents savings from the PROSPER restructuring actions announced in January 2017 (refer to the “Restructuring Costs and Other – Prosper Business Cost Reduction” section in this Management’s Discussion and Analysis). The negative impact of the lower volume of PROSPER component sales was largely offset by the positive impact on profitability from the volume reduction in PROSPER systems.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FLEXOGRAPHIC PACKAGING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6"/>
          </w:tcPr>
          <w:p>
            <w:pPr>
              <w:jc w:val="right"/>
              <w:ind w:right="36"/>
              <w:spacing w:after="0"/>
              <w:rPr>
                <w:sz w:val="20"/>
                <w:szCs w:val="20"/>
                <w:color w:val="auto"/>
              </w:rPr>
            </w:pPr>
            <w:r>
              <w:rPr>
                <w:rFonts w:ascii="Arial" w:cs="Arial" w:eastAsia="Arial" w:hAnsi="Arial"/>
                <w:sz w:val="18"/>
                <w:szCs w:val="18"/>
                <w:b w:val="1"/>
                <w:bCs w:val="1"/>
                <w:color w:val="auto"/>
                <w:w w:val="92"/>
              </w:rPr>
              <w:t>Three Months Ended 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Flexographic Packaging revenues for the three months ended September 30, 2017 were unchanged compared to the prior year period, reflecting volume improvements in FLEXCEL NX consumables ($2 million) due to a larger installed base of FLEXCEL NX systems offset by fewer FLEXCEL NX unit placements ($2 million), due to a strong quarter in the prior year driven by the timing of drupa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increase in Flexographic Packaging revenues for the nine months ended September 30, 2017 of approximately $6 million primarily reflected volume improvements in FLEXCEL NX consumables ($11 million) due to a larger installed base of FLEXCEL NX systems partially offset by fewer FLEXCEL NX unit placements ($2 million), declining revenues from other packaging products ($1 million) and unfavorable foreign exchange ($1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Flexographic Packaging Operational EBITDA was unchanged for the three months ended September 30, 2017 compared to the prior year period. Product cost improvements ($1 million) and the favorable impact of currency ($1 million) were partially offset by increased investment in marketing and sales activities ($1 million) and fewer FLEXCEL NX unit placements ($1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Flexographic Packaging Operational EBITDA increased for the nine months ended September 30, 2017 by approximately $4 million. Volume improvements in FLEXCEL NX consumables ($7 million) and product cost improvements ($1 million) were partially offset by volume and pricing declines in other packaging products ($2 million) and increased investment in marketing and sales activities ($2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SOFTWARE AND SOLUTIONS SEGMENT</w:t>
            </w:r>
          </w:p>
        </w:tc>
        <w:tc>
          <w:tcPr>
            <w:tcW w:w="160" w:type="dxa"/>
            <w:vAlign w:val="bottom"/>
          </w:tcPr>
          <w:p>
            <w:pPr>
              <w:spacing w:after="0"/>
              <w:rPr>
                <w:sz w:val="20"/>
                <w:szCs w:val="20"/>
                <w:color w:val="auto"/>
              </w:rPr>
            </w:pPr>
          </w:p>
        </w:tc>
        <w:tc>
          <w:tcPr>
            <w:tcW w:w="2960" w:type="dxa"/>
            <w:vAlign w:val="bottom"/>
            <w:gridSpan w:val="7"/>
            <w:vMerge w:val="restart"/>
          </w:tcPr>
          <w:p>
            <w:pPr>
              <w:jc w:val="right"/>
              <w:ind w:right="47"/>
              <w:spacing w:after="0"/>
              <w:rPr>
                <w:sz w:val="20"/>
                <w:szCs w:val="20"/>
                <w:color w:val="auto"/>
              </w:rPr>
            </w:pPr>
            <w:r>
              <w:rPr>
                <w:rFonts w:ascii="Arial" w:cs="Arial" w:eastAsia="Arial" w:hAnsi="Arial"/>
                <w:sz w:val="18"/>
                <w:szCs w:val="18"/>
                <w:b w:val="1"/>
                <w:bCs w:val="1"/>
                <w:color w:val="auto"/>
                <w:w w:val="92"/>
              </w:rPr>
              <w:t>Three Months Ended 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8"/>
            <w:vMerge w:val="restart"/>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left="5560" w:right="1860" w:hanging="5555"/>
        <w:spacing w:after="0" w:line="528" w:lineRule="auto"/>
        <w:rPr>
          <w:sz w:val="20"/>
          <w:szCs w:val="20"/>
          <w:color w:val="auto"/>
        </w:rPr>
      </w:pPr>
      <w:r>
        <w:rPr>
          <w:rFonts w:ascii="Arial" w:cs="Arial" w:eastAsia="Arial" w:hAnsi="Arial"/>
          <w:sz w:val="18"/>
          <w:szCs w:val="18"/>
          <w:color w:val="auto"/>
        </w:rPr>
        <w:t>Software and Solutions revenues for the three months ended September 30, 2017 were unchanged compared to the prior year period.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color w:val="auto"/>
        </w:rPr>
        <w:t xml:space="preserve">The decrease in Software and Solutions revenues for the nine months ended September 30, 2017 </w:t>
      </w:r>
      <w:r>
        <w:rPr>
          <w:rFonts w:ascii="Arial" w:cs="Arial" w:eastAsia="Arial" w:hAnsi="Arial"/>
          <w:sz w:val="19"/>
          <w:szCs w:val="19"/>
          <w:color w:val="auto"/>
        </w:rPr>
        <w:t>of</w:t>
      </w:r>
      <w:r>
        <w:rPr>
          <w:rFonts w:ascii="Arial" w:cs="Arial" w:eastAsia="Arial" w:hAnsi="Arial"/>
          <w:sz w:val="18"/>
          <w:szCs w:val="18"/>
          <w:color w:val="auto"/>
        </w:rPr>
        <w:t xml:space="preserve"> approximately $2 million primarily reflected volume declines in Kodak Technology Solutions due to the divestitures of the Design2Launch and brand protection businesses in the second quarter of 2016 ($2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900"/>
        <w:spacing w:after="0" w:line="399" w:lineRule="auto"/>
        <w:rPr>
          <w:sz w:val="20"/>
          <w:szCs w:val="20"/>
          <w:color w:val="auto"/>
        </w:rPr>
      </w:pPr>
      <w:r>
        <w:rPr>
          <w:rFonts w:ascii="Arial" w:cs="Arial" w:eastAsia="Arial" w:hAnsi="Arial"/>
          <w:sz w:val="18"/>
          <w:szCs w:val="18"/>
          <w:color w:val="auto"/>
        </w:rPr>
        <w:t xml:space="preserve">The improvement in Software and Solutions Operational EBITDA for the three months ended September 30, 2017 was approximately $1 million. </w:t>
      </w:r>
      <w:r>
        <w:rPr>
          <w:rFonts w:ascii="Arial" w:cs="Arial" w:eastAsia="Arial" w:hAnsi="Arial"/>
          <w:sz w:val="18"/>
          <w:szCs w:val="18"/>
          <w:b w:val="1"/>
          <w:bCs w:val="1"/>
          <w:color w:val="auto"/>
        </w:rPr>
        <w:t>Year to Date</w:t>
      </w:r>
    </w:p>
    <w:p>
      <w:pPr>
        <w:spacing w:after="0" w:line="1"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The improvement in Software and Solutions Operational EBITDA for the nine months ended September 30, 2017 of approximately $1 million primarily reflects a lower level of R&amp;D expenses ($2 million) partially offset by increased sales and marketing initiatives ($1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Pr>
          <w:p>
            <w:pPr>
              <w:spacing w:after="0"/>
              <w:rPr>
                <w:sz w:val="24"/>
                <w:szCs w:val="24"/>
                <w:color w:val="auto"/>
              </w:rPr>
            </w:pPr>
          </w:p>
        </w:tc>
        <w:tc>
          <w:tcPr>
            <w:tcW w:w="314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7"/>
                <w:szCs w:val="17"/>
                <w:color w:val="auto"/>
                <w:w w:val="72"/>
              </w:rPr>
              <w:t>(23)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Consumer and Film revenues for the three months ended September 30, 2017 were unchanged reflecting a royalty payment from the modification of a brand licensing arrangement ($6 million) offset by volume declines in Consumer Inkjet Systems ($3 million) driven by lower sales of ink to the existing installed base of printers and volume declines in Industrial Film and Chemicals ($3 million) driven by lower demand for photo paper chemicals. The brand licensing modification provided for a payment upon signing satisfying annual minimum royalty payments through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decrease in Consumer and Film revenues for the nine months ended September 30, 2017 of approximately $23 million reflected volume declines in Consumer Inkjet Systems ($13 million) driven by lower sales of ink to the existing installed base of printers, volume declines in Industrial Film and Chemicals ($7 million) driven by lower demand for photo paper chemicals and lower volume in Motion Picture ($2 million). These unfavorable impacts were offset by a royalty payment from the modification of a brand licensing arrangement ($6 million). The brand licensing modification provided for a payment upon signing satisfying annual minimum royalty payments through 2023. Additionally, the prior year included $5 million fulfillment of a significant industrial film order and $3 million related to the fulfillment of motion picture film volume commitments.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decrease in Consumer and Film Operational EBITDA for the three months ended September 30, 2017 of approximately $3 million reflected volume declines in Consumer Inkjet Systems ($3 million) driven by lower sales of ink to the existing installed base of printers, unfavorable manufacturing costs in Motion Picture ($5 million), and unfavorable cost absorption in Industrial and Film Chemicals ($5 million). This was offset by the brand licensing revenue ($6 million) and lower R&amp;D costs ($2 million) as the prior year included higher investment in the Super 8 movie camera.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decrease in Consumer and Film Operational EBITDA for the nine months ended September 30, 2017 of approximately $28 million reflected volume declines in Consumer Inkjet Systems ($10 million) driven by lower sales of ink to the existing installed base of printers, unfavorable cost absorption in Industrial Film and Chemicals ($8 million), unfavorable manufacturing costs in Motion Picture ($8 million) and higher SG&amp;A ($6 million) driven by an increased investment in sales and marketing initiatives. This was offset by the brand licensing revenue ($6 million) and lower costs in Consumer Inkjet Systems ($2 million). The prior year included the impact of a significant industrial film order ($4 million) and the fulfillment of motion picture film volume commitments ($3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6120" w:type="dxa"/>
            <w:vAlign w:val="bottom"/>
            <w:gridSpan w:val="7"/>
          </w:tcPr>
          <w:p>
            <w:pPr>
              <w:spacing w:after="0"/>
              <w:rPr>
                <w:sz w:val="20"/>
                <w:szCs w:val="20"/>
                <w:color w:val="auto"/>
              </w:rPr>
            </w:pPr>
            <w:r>
              <w:rPr>
                <w:rFonts w:ascii="Arial" w:cs="Arial" w:eastAsia="Arial" w:hAnsi="Arial"/>
                <w:sz w:val="18"/>
                <w:szCs w:val="18"/>
                <w:b w:val="1"/>
                <w:bCs w:val="1"/>
                <w:color w:val="auto"/>
              </w:rPr>
              <w:t>ADVANCED MATERIALS AND 3D PRINTING TECHNOLOGY SEGMENT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8"/>
          </w:tcPr>
          <w:p>
            <w:pPr>
              <w:jc w:val="right"/>
              <w:ind w:right="17"/>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 Change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FF0FC"/>
          </w:tcPr>
          <w:p>
            <w:pPr>
              <w:jc w:val="right"/>
              <w:ind w:right="65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Advanced Materials and 3D Printing Technology Operational EBITDA was unchanged. R&amp;D not directly related to other segments is included in the Advanced Materials and 3D Printing Technology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Eastman Business Park revenue and Operational EBITDA did not change significantly.</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 tenant that represented approximately thirty percent of segment revenues, for both the nine months ended September 30, 2017 and the year ended December 31, 2016 notified Kodak that it does not plan to renew its lease upon expiration in the third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Kodak recorded $5 million and $29 million of charges for the three and nine months ended September 30, 2017, respectively, of which $4 million and $22 million, respectively, was reported as Restructuring costs and other and $1 million and $7 million, respectively, was reported as Cost of revenues in the accompanying Consolidated Statement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Kodak made cash payments related to restructuring of approximately $2 million and $9 million during the three and nine months ended September 30, 2017.</w:t>
      </w: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restructuring actions implemented in the nine months of 2017 are expected to generate future annual cash savings of approximately $23 million. These savings are expected to reduce future annual Cost of revenues, SG&amp;A and R&amp;D expenses by $7 million, $11 million, and $5 million, respectively. Kodak began realizing a portion of these savings in the first nine months, and expects the majority of the annual savings to be in effect by the end of 2017 as actions are completed.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Prosper Business Cost Reduction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January 12, 2017, Kodak announced an action to streamline costs in its Prosper business.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 </w:t>
      </w:r>
      <w:r>
        <w:rPr>
          <w:rFonts w:ascii="Arial" w:cs="Arial" w:eastAsia="Arial" w:hAnsi="Arial"/>
          <w:sz w:val="18"/>
          <w:szCs w:val="18"/>
          <w:color w:val="auto"/>
          <w:highlight w:val="white"/>
        </w:rPr>
        <w:t>Kodak expects the action to be</w:t>
      </w:r>
      <w:r>
        <w:rPr>
          <w:rFonts w:ascii="Arial" w:cs="Arial" w:eastAsia="Arial" w:hAnsi="Arial"/>
          <w:sz w:val="18"/>
          <w:szCs w:val="18"/>
          <w:color w:val="auto"/>
        </w:rPr>
        <w:t xml:space="preserve"> </w:t>
      </w:r>
      <w:r>
        <w:rPr>
          <w:rFonts w:ascii="Arial" w:cs="Arial" w:eastAsia="Arial" w:hAnsi="Arial"/>
          <w:sz w:val="18"/>
          <w:szCs w:val="18"/>
          <w:color w:val="auto"/>
          <w:highlight w:val="white"/>
        </w:rPr>
        <w:t>substantially completed by the end of the fourth quarter of 2017.</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this decision, Kodak currently expects to incur total restructuring and related charges of $12 to $16 million, including $4 to $6 million of charges related to separation benefits, $6 million of non-cash related charges for inventory write-downs, $2 to $3 million of non-cash related charges for asset write-offs and up to $1 million in other cash related charges associated with this action.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and nine months ended September 30, 2017 under this program, Kodak incurred severance charges of $1 million and $4 million, inventory write-downs of $0 million and $6 million, and asset write-offs of $0 million and $2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UPDATE</w:t>
      </w:r>
    </w:p>
    <w:p>
      <w:pPr>
        <w:spacing w:after="0" w:line="25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Updates to critical accounting policies and estimates in Kodak’s 2016 Annual Report on Form 10-K are presented in this section. Refer to Item 7. “Management’s Discussion and Analysis of Financial Condition and Results of Operations” in the 2016 Annual Report on Form 10-K for a complete discussion of all Kodak’s critical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2017, Kodak’s deferred tax asset valuation allowance is $1,193 million. Of this amount, $249 million was attributable to the Company’s net deferred tax assets outside the U.S. of $336 million, and $944 million related to the Company’s net deferred tax assets in the U.S. of $905 million, for which Kodak believes it is more likely than not that the assets will not be realized.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Kodak has improved profitability in its businesses, particularly outside the U.S. Accordingly, Kodak may be able to make the determination that the realization of those deferred tax assets in certain foreign jurisdictions are more likely than not in the near future. If Kodak was to make a determination that it is more likely than not that deferred tax assets, for which there is currently a valuation allowance, would be realized, the related valuation allowance would be reduced and a benefit to earnings would be recorded.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Utilization of post-emergence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testing period (generally three years). The Company has a relatively high concentration of five percent stockholders. There have been several recently reported transactions with those five percent stockholders that, combined with future transactions, could aggregate an ownership change during the testing period in excess of 50 percentage points. A Section 382 ownership change would significantly impair Kodak’s ability to utilize NOLs and tax credits in the U.S. As of December 31, 2016, Kodak had available U.S. NOL carry-forwards for income tax purposes of approximately $801 million and unused foreign tax credits of $335 million. Any impairment of these tax attributes would be fully offset by a corresponding decrease in Kodak’s U.S. valuation allowance, which would result in no net tax provision.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Useful Lives of Long-Lived Assets, Including Goodwill and Intangible Assets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Kodak performs its annual goodwill impairment test as of December 31</w:t>
      </w:r>
      <w:r>
        <w:rPr>
          <w:rFonts w:ascii="Arial" w:cs="Arial" w:eastAsia="Arial" w:hAnsi="Arial"/>
          <w:sz w:val="13"/>
          <w:szCs w:val="13"/>
          <w:color w:val="auto"/>
        </w:rPr>
        <w:t>st</w:t>
      </w:r>
      <w:r>
        <w:rPr>
          <w:rFonts w:ascii="Arial" w:cs="Arial" w:eastAsia="Arial" w:hAnsi="Arial"/>
          <w:sz w:val="16"/>
          <w:szCs w:val="16"/>
          <w:color w:val="auto"/>
        </w:rPr>
        <w:t>. Given the decline in Kodak’s financial projections for the year and market capitalization from the last goodwill impairment test (December 31, 2016), Kodak performed an interim goodwill impairment test as of September 30, 2017.</w:t>
      </w:r>
    </w:p>
    <w:p>
      <w:pPr>
        <w:spacing w:after="0" w:line="15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Print Systems segment has two goodwill reporting units: Prepress Solutions and Electrophotographic Printing Solutions. The Software and Solutions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segment has two goodwill reporting units: Kodak Technology Solutions and Unified Workflow Solutions. The Consumer and Film segment has two goodwill</w:t>
      </w:r>
    </w:p>
    <w:p>
      <w:pPr>
        <w:spacing w:after="0" w:line="32"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reporting units: Consumer Products and Motion Picture, Industrial Chemicals and Films. The Flexographic Packaging segment, Enterprise Inkjet Systems segment, Advanced Materials and 3D Printing Technology segment and Eastman Business Park segment all have one goodwill reporting unit. Goodwill is recorded in the Prepress Solutions, Flexographic Packaging, Unified Workflow Solutions and Consumer Products reporting units.</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Kodak early adopted ASU 2017-04 effective January 1, 2017 which requires entities to calculate a goodwill impairment as the amount by which a reporting unit’s carrying value exceeds its fair value, not to exceed the carrying amount of goodwill.</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22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Kodak performed a quantitative test of impairment for all reporting units as of September 30, 2017. Kodak utilized the discounted cash flow method and guideline public company method for the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7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To estimate fair value utilizing the discounted cash flow method, Kodak established an estimate of future cash flows for the period ranging from October 1, 2017 to December 31, 2022 and discounted the estimated future cash flows to present value. The expected cash flows were derived from earnings forecasts and assumptions regarding growth and margin projections, as applicable. The discount rates are estimated based on an after-tax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10.2% to 45.0% were utilized in the valuation based on Kodak’s best estimates of the after-tax weighted-average cost of capital of each reporting unit.</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terminal value was included for all reporting units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Based upon the results of Kodak’s September 30, 2017 analysis, Kodak concluded that the Prepress Solutions reporting unit’s carrying value exceeded its fair value and recorded a pre-tax goodwill impairment loss of $56 million in the Consolidated Statement of Operations. As a result of the impairment, Kodak recorded an $18 million tax benefit. No impairment of goodwill was indicated for the other reporting units. Impairment of goodwill could occur in the future if a reporting unit’s fair value changes significantly, if Kodak’s market capitalization significantly declines, if a reporting unit’s carrying value changes materially compared with changes in its fair value, or as a result of changes in operating segments or reporting units.</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Kodak performs its annual indefinite-lived intangible asset impairment test as of December 31</w:t>
      </w:r>
      <w:r>
        <w:rPr>
          <w:rFonts w:ascii="Arial" w:cs="Arial" w:eastAsia="Arial" w:hAnsi="Arial"/>
          <w:sz w:val="15"/>
          <w:szCs w:val="15"/>
          <w:color w:val="auto"/>
        </w:rPr>
        <w:t>st</w:t>
      </w:r>
      <w:r>
        <w:rPr>
          <w:rFonts w:ascii="Arial" w:cs="Arial" w:eastAsia="Arial" w:hAnsi="Arial"/>
          <w:sz w:val="18"/>
          <w:szCs w:val="18"/>
          <w:color w:val="auto"/>
        </w:rPr>
        <w:t>. Given the revised financial projections, Kodak performed an interim impairment test related to the Kodak trade name as of September 30, 2017.</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of the Kodak trade name, which has a carrying value of $40 million, was valued using the income approach, specifically the relief from royalty method based on the following significant assumptions: (a) forecasted revenues ranging from October 1, 2017 to December 31, 2022, including a terminal year with growth rates ranging from –4.5% to 2.5%; (b) royalty rates ranging from .4% to 1% of expected net sales determined with regard to comparable market transactions and profitability analysis; and (c) discount rates ranging from 10.2% to 45.0%, which were based on the after-tax weighted-average cost of capital.</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the results of Kodak’s September 30, 2017 assessment, the fair value of the Kodak trade name exceeded its carrying value by 8% and no impairment was indicated. Impairment of the Kodak trade name could occur in the future if expected revenues decline or if there are significant changes in the discount or royalty rates.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6"/>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6"/>
            <w:vMerge w:val="restart"/>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4"/>
          </w:tcPr>
          <w:p>
            <w:pPr>
              <w:ind w:left="56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right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w w:val="99"/>
              </w:rPr>
              <w:t>478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2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gridSpan w:val="7"/>
          </w:tcPr>
          <w:p>
            <w:pPr>
              <w:jc w:val="center"/>
              <w:ind w:left="294"/>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Borders>
              <w:bottom w:val="single" w:sz="8" w:color="auto"/>
            </w:tcBorders>
            <w:gridSpan w:val="7"/>
          </w:tcPr>
          <w:p>
            <w:pPr>
              <w:jc w:val="center"/>
              <w:ind w:left="294"/>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gridSpan w:val="2"/>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(32)</w:t>
            </w:r>
          </w:p>
        </w:tc>
        <w:tc>
          <w:tcPr>
            <w:tcW w:w="600" w:type="dxa"/>
            <w:vAlign w:val="bottom"/>
            <w:gridSpan w:val="2"/>
          </w:tcPr>
          <w:p>
            <w:pPr>
              <w:jc w:val="right"/>
              <w:ind w:right="417"/>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(45)</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62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operating activities increased $45 million for the nine months ended September 30, 2017 as compared with the corresponding period in 2016 due to increased cash usage for working capital driven by inventory increases in anticipation of sequential quarter sales growth at higher rates relative to prior year sequential quarter sales growth, less cash provided by accounts receivable and lower cash earnings partially offset by reduced payments for current liabilities in the current year.</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earnings included lower interest expense ($24 million) in the current year period primarily due to the prepayment of the Senior Secured Second Lien Term Credit Agreement and $10 million in net litigation proceeds from DuPont received in the prior year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increased $9 million for the nine months ended September 30, 2017 as compared with the corresponding period in 2016 primarily due to a decrease in proceeds received from sales of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cash used in financing activities decreased $1 million in the nine months ended September 30, 2017 as compared with the corresponding period in 2016, primarily due to repayments of emergence credit facilities in the prior year period partially offset by the dividend payments made to the holders of Series A Preferred Stock and larger payment of contingent consideration related to the sale of a business made in the current year period. In addition, the prior year period included financing activities associated with the RED variable interest entity, which was deconsolidated as of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$20 million of net availability as of September 30, 2017. The amount of available liquidity is subject to fluctuations and includes cash balances held by various entities worldwide. At September 30, 2017 and December 31, 2016 approximately $154 million and $205 million, respectively, of cash and cash equivalents were held within the U.S. and approximately $188 million and $229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September 30, 2017, outstanding inter-company loans to the U.S. were $388 million which includes short-term intercompany loans of $95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$106 million of cash and cash equivalents was held as of September 30, 2017, there are limitations related to net asset balances that may impact the ability to make cash available to other jurisdictions in the 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pacing w:after="0" w:line="20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September 30, 2017 and December 31, 2016, Kodak had funded $0 million and $25 million, respectively, to the Eligible Cash account held with the Amended and Restated Credit Agreement Administrative Agent which was classified as Restricted cash in the Consolidated Statement of Financial Position, supporting the Excess Availability amount. During the second quarter of 2017, the Company reduced the amount of outstanding letters of credit issued under the Amended Credit Agreement by $20 million, which increased the amount of Excess Availability by a corresponding amount, enabling the Company to release the Eligible Cash. The reduction of outstanding letters of credit was primarily attributable to the substitution of partially collateralized surety bonds in place of outstanding letters of credit. If the Company’s credit ratings were to decline, the Company would be required to provide up to $19 million of letters of credit to the issuers of the surety bonds to fully collateralize the bonds. Under the Amended Credit Agreement, if Excess Availability ($20 million at September 30, 2017) falls below 12.5% of lender commitments ($18.75 million at September 30, 2017), Kodak would be required to be in compliance with the minimum Fixed Charge Coverage Ratio (the only financial covenant in the Amended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September 30, 2017, Kodak is not required to have a minimum Fixed Charge Coverage Ratio of 1.0 to 1.0. As of September 30, 2017, Kodak is in compliance with all covenants under the Amended Credit Agreement and, had Kodak been required to have a Fixed Charge Coverage Ratio of 1.0 to 1.0, EBITDA (as defined in the Amended Credit agreement) exceeded Fixed Charges by approximately $1 million.</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Senior Secured First Lien Term Credit Agreement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September 30, 2017, Kodak’s EBITDA, as calculated under the Term Credit Agreement, exceeded the EBITDA necessary to satisfy the covenant ratio by approximately $13 million.</w:t>
      </w:r>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20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holders of the 5.50% Series A Convertible Preferred Stock are entitled to cumulative dividends payable quarterly in cash at a rate of 5.50% per annum. The Company declared a cash dividend of approximately $3 million in September 2017, which was paid on October 19, 2017.</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8" w:name="page39"/>
    <w:bookmarkEnd w:id="38"/>
    <w:p>
      <w:pPr>
        <w:ind w:right="62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$11 million to its defined benefit pension and postretirement benefit plans in the first nine months of 2017. For the balance of 2017, the forecasted contribution (funded plans) and benefit payment (unfunded plans) requirements for its pension and postretirement plans are approximately $6 million.</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flow from investing activities included $28 million of capital expenditures for the nine months ended September 30, 2017. Kodak expects approximately $30 million to $35 million of total capital expenditures for 2017. 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$4 million in the first nine months of 2017, expects to invest approximately $12 million for the full year 2017 and expects the total investment for the project to be approximately $16 million.</w:t>
      </w:r>
    </w:p>
    <w:p>
      <w:pPr>
        <w:spacing w:after="0" w:line="2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Kodak believes that its liquidity position is adequate to fund its operating and investing needs for the next year and to provide the flexibility to respond as necessary to any changes in the business environment.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September 30, 2017 and December 31, 2016, the fair value of open forward contracts would have decreased at both dates by $20 million. Such changes in fair value would be substantially offset by the revaluation or settlement of the underlying positions hedged.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Kodak’s Senior Secured First Lien Term Credit Agreement and Amended Credit Agreement are in variable-rate instruments, the Senior Secured First Lien Term Credit Agreement with an interest rate floor. At September 30, 2017 the three-month LIBOR rate was approximately 1.33%. At December 31, 2016 the one-month LIBOR rate was approximately 0.77%. When LIBOR rates rise above the 1% floor, interest expense increases approximately $4 million per annum for each 1% of LIBOR above the floor.</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2017 was not significant to Kodak.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2017, Kodak maintained accruals of approximately $11 million for claims aggregating approximately $210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2016 Form 10-K. The Risk Factors remain applicable from the 2016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060" w:hanging="512"/>
        <w:spacing w:after="0" w:line="407" w:lineRule="auto"/>
        <w:tabs>
          <w:tab w:leader="none" w:pos="51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w:t>
      </w:r>
      <w:r>
        <w:rPr>
          <w:rFonts w:ascii="Arial" w:cs="Arial" w:eastAsia="Arial" w:hAnsi="Arial"/>
          <w:sz w:val="18"/>
          <w:szCs w:val="18"/>
          <w:color w:val="auto"/>
        </w:rPr>
        <w:t>September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2" w:lineRule="exact"/>
        <w:rPr>
          <w:rFonts w:ascii="Arial" w:cs="Arial" w:eastAsia="Arial" w:hAnsi="Arial"/>
          <w:sz w:val="18"/>
          <w:szCs w:val="18"/>
          <w:b w:val="1"/>
          <w:bCs w:val="1"/>
          <w:color w:val="auto"/>
        </w:rPr>
      </w:pPr>
    </w:p>
    <w:p>
      <w:pPr>
        <w:ind w:left="520" w:right="4660" w:hanging="512"/>
        <w:spacing w:after="0" w:line="407" w:lineRule="auto"/>
        <w:tabs>
          <w:tab w:leader="none" w:pos="51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w:t>
      </w:r>
      <w:r>
        <w:rPr>
          <w:rFonts w:ascii="Arial" w:cs="Arial" w:eastAsia="Arial" w:hAnsi="Arial"/>
          <w:sz w:val="18"/>
          <w:szCs w:val="18"/>
          <w:color w:val="auto"/>
        </w:rPr>
        <w:t>September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August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September 1 through 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36,283</w:t>
            </w:r>
          </w:p>
        </w:tc>
        <w:tc>
          <w:tcPr>
            <w:tcW w:w="1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40,592</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26"/>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560" w:right="4920" w:hanging="5174"/>
        <w:spacing w:after="0" w:line="528"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required as part of this report are listed in the index appearing below.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gridSpan w:val="5"/>
          </w:tcPr>
          <w:p>
            <w:pPr>
              <w:jc w:val="center"/>
              <w:ind w:right="416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gridSpan w:val="5"/>
          </w:tcPr>
          <w:p>
            <w:pPr>
              <w:jc w:val="center"/>
              <w:ind w:right="4160"/>
              <w:spacing w:after="0"/>
              <w:rPr>
                <w:sz w:val="20"/>
                <w:szCs w:val="20"/>
                <w:color w:val="auto"/>
              </w:rPr>
            </w:pPr>
            <w:r>
              <w:rPr>
                <w:rFonts w:ascii="Arial" w:cs="Arial" w:eastAsia="Arial" w:hAnsi="Arial"/>
                <w:sz w:val="18"/>
                <w:szCs w:val="18"/>
                <w:b w:val="1"/>
                <w:bCs w:val="1"/>
                <w:color w:val="auto"/>
                <w:w w:val="91"/>
              </w:rPr>
              <w:t>Index to Exhibits</w:t>
            </w:r>
          </w:p>
        </w:tc>
      </w:tr>
      <w:tr>
        <w:trPr>
          <w:trHeight w:val="419"/>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signed by Jeffrey J. Clarke, filed herewith.</w:t>
              </w:r>
            </w:hyperlink>
          </w:p>
        </w:tc>
      </w:tr>
      <w:tr>
        <w:trPr>
          <w:trHeight w:val="20"/>
        </w:trPr>
        <w:tc>
          <w:tcPr>
            <w:tcW w:w="154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43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Certification signed by David E. Bullwinkle, filed herewith.</w:t>
              </w:r>
            </w:hyperlink>
          </w:p>
        </w:tc>
        <w:tc>
          <w:tcPr>
            <w:tcW w:w="5580" w:type="dxa"/>
            <w:vAlign w:val="bottom"/>
            <w:gridSpan w:val="3"/>
          </w:tcPr>
          <w:p>
            <w:pPr>
              <w:spacing w:after="0"/>
              <w:rPr>
                <w:sz w:val="24"/>
                <w:szCs w:val="24"/>
                <w:color w:val="auto"/>
              </w:rPr>
            </w:pP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Pursuant to 18 U.S.C. Section 1350, as Adopted Pursuant to Section 906 of the Sarbanes-Oxley Act of 2002, signed by</w:t>
              </w:r>
            </w:hyperlink>
          </w:p>
        </w:tc>
        <w:tc>
          <w:tcPr>
            <w:tcW w:w="380" w:type="dxa"/>
            <w:vAlign w:val="bottom"/>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Jeffrey J. Clarke, filed herewith.</w:t>
              </w:r>
            </w:hyperlink>
          </w:p>
        </w:tc>
        <w:tc>
          <w:tcPr>
            <w:tcW w:w="7580" w:type="dxa"/>
            <w:vAlign w:val="bottom"/>
            <w:gridSpan w:val="6"/>
          </w:tcPr>
          <w:p>
            <w:pPr>
              <w:spacing w:after="0"/>
              <w:rPr>
                <w:sz w:val="17"/>
                <w:szCs w:val="17"/>
                <w:color w:val="auto"/>
              </w:rPr>
            </w:pP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rPr>
              <w:t>(32.2)</w:t>
            </w:r>
          </w:p>
        </w:tc>
        <w:tc>
          <w:tcPr>
            <w:tcW w:w="94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Certification Pursuant to 18 U.S.C. Section 1350, as Adopted Pursuant to Section 906 of the Sarbanes-Oxley Act of 2002 signed by</w:t>
              </w:r>
            </w:hyperlink>
          </w:p>
        </w:tc>
        <w:tc>
          <w:tcPr>
            <w:tcW w:w="420" w:type="dxa"/>
            <w:vAlign w:val="bottom"/>
            <w:gridSpan w:val="2"/>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David E. Bullwinkle, filed herewith.</w:t>
              </w:r>
            </w:hyperlink>
          </w:p>
        </w:tc>
        <w:tc>
          <w:tcPr>
            <w:tcW w:w="7280" w:type="dxa"/>
            <w:vAlign w:val="bottom"/>
            <w:gridSpan w:val="5"/>
          </w:tcPr>
          <w:p>
            <w:pPr>
              <w:spacing w:after="0"/>
              <w:rPr>
                <w:sz w:val="17"/>
                <w:szCs w:val="17"/>
                <w:color w:val="auto"/>
              </w:rPr>
            </w:pPr>
          </w:p>
        </w:tc>
      </w:tr>
      <w:tr>
        <w:trPr>
          <w:trHeight w:val="480"/>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46"/>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932"/>
        </w:trPr>
        <w:tc>
          <w:tcPr>
            <w:tcW w:w="1540" w:type="dxa"/>
            <w:vAlign w:val="bottom"/>
          </w:tcPr>
          <w:p>
            <w:pPr>
              <w:spacing w:after="0"/>
              <w:rPr>
                <w:sz w:val="24"/>
                <w:szCs w:val="24"/>
                <w:color w:val="auto"/>
              </w:rPr>
            </w:pPr>
          </w:p>
        </w:tc>
        <w:tc>
          <w:tcPr>
            <w:tcW w:w="9480" w:type="dxa"/>
            <w:vAlign w:val="bottom"/>
            <w:gridSpan w:val="5"/>
          </w:tcPr>
          <w:p>
            <w:pPr>
              <w:jc w:val="center"/>
              <w:ind w:right="1140"/>
              <w:spacing w:after="0"/>
              <w:rPr>
                <w:sz w:val="20"/>
                <w:szCs w:val="20"/>
                <w:color w:val="auto"/>
              </w:rPr>
            </w:pPr>
            <w:r>
              <w:rPr>
                <w:rFonts w:ascii="Arial" w:cs="Arial" w:eastAsia="Arial" w:hAnsi="Arial"/>
                <w:sz w:val="18"/>
                <w:szCs w:val="18"/>
                <w:color w:val="auto"/>
                <w:w w:val="99"/>
              </w:rPr>
              <w:t>[41]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November 8, 2017</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80" w:right="340" w:firstLine="4"/>
        <w:spacing w:after="0" w:line="308" w:lineRule="auto"/>
        <w:tabs>
          <w:tab w:leader="none" w:pos="7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80" w:right="80" w:firstLine="4"/>
        <w:spacing w:after="0" w:line="277" w:lineRule="auto"/>
        <w:tabs>
          <w:tab w:leader="none" w:pos="71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ectPr>
          <w:pgSz w:w="11900" w:h="16838" w:orient="portrait"/>
          <w:cols w:equalWidth="0" w:num="1">
            <w:col w:w="10580"/>
          </w:cols>
          <w:pgMar w:left="620" w:top="121" w:right="6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2017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ectPr>
          <w:pgSz w:w="11900" w:h="16838" w:orient="portrait"/>
          <w:cols w:equalWidth="0" w:num="1">
            <w:col w:w="10840"/>
          </w:cols>
          <w:pgMar w:left="240" w:top="337" w:right="8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2017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3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2019-12-29T03:12:05Z</dcterms:created>
  <dcterms:modified xsi:type="dcterms:W3CDTF">2019-12-29T03:12:05Z</dcterms:modified>
</cp:coreProperties>
</file>