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5437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43750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Lynch Kathleen B.</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500"/>
        <w:spacing w:after="0" w:line="318" w:lineRule="auto"/>
        <w:rPr>
          <w:sz w:val="20"/>
          <w:szCs w:val="20"/>
          <w:color w:val="auto"/>
        </w:rPr>
      </w:pPr>
      <w:r>
        <w:rPr>
          <w:rFonts w:ascii="Times New Roman" w:cs="Times New Roman" w:eastAsia="Times New Roman" w:hAnsi="Times New Roman"/>
          <w:sz w:val="16"/>
          <w:szCs w:val="16"/>
          <w:color w:val="0000FF"/>
        </w:rPr>
        <w:t>C/O EASTMAN KODAK COMPANY 343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EASTMAN KODAK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KODK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05/19/2026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0" w:lineRule="exact"/>
        <w:rPr>
          <w:sz w:val="24"/>
          <w:szCs w:val="24"/>
          <w:color w:val="auto"/>
        </w:rPr>
      </w:pPr>
    </w:p>
    <w:p>
      <w:pPr>
        <w:sectPr>
          <w:pgSz w:w="11900" w:h="16838" w:orient="portrait"/>
          <w:cols w:equalWidth="0" w:num="3">
            <w:col w:w="3180" w:space="720"/>
            <w:col w:w="3101" w:space="720"/>
            <w:col w:w="335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0" w:type="dxa"/>
            <w:vAlign w:val="bottom"/>
            <w:gridSpan w:val="7"/>
          </w:tcPr>
          <w:p>
            <w:pPr>
              <w:jc w:val="center"/>
              <w:ind w:right="242"/>
              <w:spacing w:after="0" w:line="107" w:lineRule="exact"/>
              <w:rPr>
                <w:sz w:val="20"/>
                <w:szCs w:val="20"/>
                <w:color w:val="auto"/>
              </w:rPr>
            </w:pPr>
            <w:r>
              <w:rPr>
                <w:rFonts w:ascii="Arial" w:cs="Arial" w:eastAsia="Arial" w:hAnsi="Arial"/>
                <w:sz w:val="11"/>
                <w:szCs w:val="11"/>
                <w:color w:val="auto"/>
              </w:rPr>
              <w:t>4. If Amendment, Date of Original Filed (Month/Day/Year)</w:t>
            </w:r>
          </w:p>
        </w:tc>
        <w:tc>
          <w:tcPr>
            <w:tcW w:w="3540" w:type="dxa"/>
            <w:vAlign w:val="bottom"/>
            <w:gridSpan w:val="9"/>
          </w:tcPr>
          <w:p>
            <w:pPr>
              <w:ind w:left="180"/>
              <w:spacing w:after="0" w:line="10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8"/>
              </w:rPr>
              <w:t>ROCHESTER</w:t>
            </w:r>
          </w:p>
        </w:tc>
        <w:tc>
          <w:tcPr>
            <w:tcW w:w="26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14650</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40" w:type="dxa"/>
            <w:vAlign w:val="bottom"/>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6"/>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6"/>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10,000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6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20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61"/>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w w:val="99"/>
              </w:rPr>
              <w:t>Acquired (A) or</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color w:val="008000"/>
                <w:w w:val="85"/>
              </w:rPr>
              <w:t>(1)</w:t>
            </w: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008000"/>
                <w:w w:val="85"/>
              </w:rPr>
              <w:t>(1)</w:t>
            </w: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16,393</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vMerge w:val="restart"/>
          </w:tcPr>
          <w:p>
            <w:pPr>
              <w:ind w:left="260"/>
              <w:spacing w:after="0"/>
              <w:rPr>
                <w:sz w:val="20"/>
                <w:szCs w:val="20"/>
                <w:color w:val="auto"/>
              </w:rPr>
            </w:pPr>
            <w:r>
              <w:rPr>
                <w:rFonts w:ascii="Arial" w:cs="Arial" w:eastAsia="Arial" w:hAnsi="Arial"/>
                <w:sz w:val="11"/>
                <w:szCs w:val="11"/>
                <w:color w:val="auto"/>
                <w:w w:val="82"/>
              </w:rPr>
              <w:t>$</w:t>
            </w:r>
            <w:r>
              <w:rPr>
                <w:rFonts w:ascii="Times New Roman" w:cs="Times New Roman" w:eastAsia="Times New Roman" w:hAnsi="Times New Roman"/>
                <w:sz w:val="12"/>
                <w:szCs w:val="12"/>
                <w:color w:val="0000FF"/>
                <w:w w:val="82"/>
              </w:rPr>
              <w:t>0</w:t>
            </w: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05/19/2026</w:t>
            </w:r>
          </w:p>
        </w:tc>
        <w:tc>
          <w:tcPr>
            <w:tcW w:w="1040" w:type="dxa"/>
            <w:vAlign w:val="bottom"/>
          </w:tcPr>
          <w:p>
            <w:pPr>
              <w:spacing w:after="0"/>
              <w:rPr>
                <w:sz w:val="7"/>
                <w:szCs w:val="7"/>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460" w:type="dxa"/>
            <w:vAlign w:val="bottom"/>
          </w:tcPr>
          <w:p>
            <w:pPr>
              <w:spacing w:after="0"/>
              <w:rPr>
                <w:sz w:val="7"/>
                <w:szCs w:val="7"/>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89"/>
              </w:rPr>
              <w:t>16,393</w:t>
            </w:r>
          </w:p>
        </w:tc>
        <w:tc>
          <w:tcPr>
            <w:tcW w:w="200" w:type="dxa"/>
            <w:vAlign w:val="bottom"/>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05/19/2026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05/19/2026</w:t>
            </w: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ind w:left="80"/>
              <w:spacing w:after="0" w:line="64" w:lineRule="exact"/>
              <w:rPr>
                <w:sz w:val="20"/>
                <w:szCs w:val="20"/>
                <w:color w:val="auto"/>
              </w:rPr>
            </w:pPr>
            <w:r>
              <w:rPr>
                <w:rFonts w:ascii="Times New Roman" w:cs="Times New Roman" w:eastAsia="Times New Roman" w:hAnsi="Times New Roman"/>
                <w:sz w:val="7"/>
                <w:szCs w:val="7"/>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Phantom</w:t>
            </w:r>
          </w:p>
        </w:tc>
        <w:tc>
          <w:tcPr>
            <w:tcW w:w="640" w:type="dxa"/>
            <w:vAlign w:val="bottom"/>
            <w:gridSpan w:val="2"/>
            <w:vMerge w:val="restart"/>
          </w:tcPr>
          <w:p>
            <w:pPr>
              <w:jc w:val="right"/>
              <w:ind w:right="88"/>
              <w:spacing w:after="0" w:line="276"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(2)</w:t>
            </w:r>
          </w:p>
        </w:tc>
        <w:tc>
          <w:tcPr>
            <w:tcW w:w="1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05/19/2026</w:t>
            </w:r>
          </w:p>
        </w:tc>
        <w:tc>
          <w:tcPr>
            <w:tcW w:w="1040" w:type="dxa"/>
            <w:vAlign w:val="bottom"/>
          </w:tcPr>
          <w:p>
            <w:pPr>
              <w:spacing w:after="0"/>
              <w:rPr>
                <w:sz w:val="11"/>
                <w:szCs w:val="11"/>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16,393</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jc w:val="center"/>
              <w:ind w:right="2"/>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16,393</w:t>
            </w:r>
          </w:p>
        </w:tc>
        <w:tc>
          <w:tcPr>
            <w:tcW w:w="40" w:type="dxa"/>
            <w:vAlign w:val="bottom"/>
          </w:tcPr>
          <w:p>
            <w:pPr>
              <w:spacing w:after="0"/>
              <w:rPr>
                <w:sz w:val="11"/>
                <w:szCs w:val="11"/>
                <w:color w:val="auto"/>
              </w:rPr>
            </w:pPr>
          </w:p>
        </w:tc>
        <w:tc>
          <w:tcPr>
            <w:tcW w:w="700" w:type="dxa"/>
            <w:vAlign w:val="bottom"/>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81,754</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gridSpan w:val="2"/>
            <w:vMerge w:val="restart"/>
          </w:tcPr>
          <w:p>
            <w:pPr>
              <w:jc w:val="right"/>
              <w:ind w:right="88"/>
              <w:spacing w:after="0" w:line="214"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jc w:val="center"/>
              <w:ind w:right="2"/>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12,726</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05/20/2026</w:t>
            </w:r>
          </w:p>
        </w:tc>
        <w:tc>
          <w:tcPr>
            <w:tcW w:w="1040" w:type="dxa"/>
            <w:vAlign w:val="bottom"/>
          </w:tcPr>
          <w:p>
            <w:pPr>
              <w:spacing w:after="0"/>
              <w:rPr>
                <w:sz w:val="6"/>
                <w:szCs w:val="6"/>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12,726</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12,726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tcPr>
          <w:p>
            <w:pPr>
              <w:ind w:left="80"/>
              <w:spacing w:after="0" w:line="77"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-2662555</wp:posOffset>
            </wp:positionV>
            <wp:extent cx="28575" cy="266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676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jc w:val="both"/>
        <w:ind w:left="40" w:right="30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convert into common stock on a one-for-one basis. Upon vesting on 5/19/2026, Ms. Lynch deferred the receipt of 16,393 shares of common stock and received instead 16,393 shares of phantom stock pursuant to the terms of the Eastman Kodak Company Deferred Compensation Plan for Directors (the "Plan"). As a result, Ms. Lynch is reporting the disposition of 16,393 shares of common stock in exchange for an equal number of shares of phantom stock under the Plan.</w:t>
      </w:r>
    </w:p>
    <w:p>
      <w:pPr>
        <w:spacing w:after="0" w:line="24" w:lineRule="exact"/>
        <w:rPr>
          <w:rFonts w:ascii="Times New Roman" w:cs="Times New Roman" w:eastAsia="Times New Roman" w:hAnsi="Times New Roman"/>
          <w:sz w:val="13"/>
          <w:szCs w:val="13"/>
          <w:color w:val="008000"/>
        </w:rPr>
      </w:pPr>
    </w:p>
    <w:p>
      <w:pPr>
        <w:ind w:left="40" w:right="28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a right to receive one share of common stock and becomes payable at the election of Ms. Lynch in the year following the year of her separation from service as a director in either a single lump sum payment or in a maximum of ten annual installments.</w:t>
      </w:r>
    </w:p>
    <w:p>
      <w:pPr>
        <w:spacing w:after="0" w:line="21" w:lineRule="exact"/>
        <w:rPr>
          <w:rFonts w:ascii="Times New Roman" w:cs="Times New Roman" w:eastAsia="Times New Roman" w:hAnsi="Times New Roman"/>
          <w:sz w:val="13"/>
          <w:szCs w:val="13"/>
          <w:color w:val="008000"/>
        </w:rPr>
      </w:pPr>
    </w:p>
    <w:p>
      <w:pPr>
        <w:ind w:left="40" w:right="28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which convert into common stock on a one-for-one basis, were granted under the Company's 2013 Omnibus Incentive Plan, as amended, in a transaction exempt under Rule 16b-3 and, except as otherwise provided in the award notice, vest on the day immediately preceding the Company's 2027 annual meeting of shareholders.</w:t>
      </w:r>
    </w:p>
    <w:p>
      <w:pPr>
        <w:spacing w:after="0" w:line="19"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Roger W. Byrd, Attorney-in-</w:t>
            </w:r>
          </w:p>
        </w:tc>
        <w:tc>
          <w:tcPr>
            <w:tcW w:w="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05/21/2026</w:t>
            </w:r>
          </w:p>
        </w:tc>
        <w:tc>
          <w:tcPr>
            <w:tcW w:w="0" w:type="dxa"/>
            <w:vAlign w:val="bottom"/>
          </w:tcPr>
          <w:p>
            <w:pPr>
              <w:spacing w:after="0"/>
              <w:rPr>
                <w:sz w:val="1"/>
                <w:szCs w:val="1"/>
                <w:color w:val="auto"/>
              </w:rPr>
            </w:pPr>
          </w:p>
        </w:tc>
      </w:tr>
      <w:tr>
        <w:trPr>
          <w:trHeight w:val="80"/>
        </w:trPr>
        <w:tc>
          <w:tcPr>
            <w:tcW w:w="17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Kathleen B. Lynch</w:t>
            </w:r>
          </w:p>
        </w:tc>
        <w:tc>
          <w:tcPr>
            <w:tcW w:w="36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80" w:type="dxa"/>
            <w:vAlign w:val="bottom"/>
            <w:tcBorders>
              <w:bottom w:val="single" w:sz="8" w:color="auto"/>
            </w:tcBorders>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3429" TargetMode="External"/><Relationship Id="rId14"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2026-05-21T15:58:11Z</dcterms:created>
  <dcterms:modified xsi:type="dcterms:W3CDTF">2026-05-21T15:58:11Z</dcterms:modified>
</cp:coreProperties>
</file>