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2260" w:hanging="1469"/>
        <w:spacing w:after="0"/>
        <w:tabs>
          <w:tab w:leader="none" w:pos="22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2240" w:hanging="1449"/>
        <w:spacing w:after="0"/>
        <w:tabs>
          <w:tab w:leader="none" w:pos="2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4"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-7620</wp:posOffset>
            </wp:positionV>
            <wp:extent cx="781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EASTMAN KODAK COMPANY</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5540" w:type="dxa"/>
            <w:vAlign w:val="bottom"/>
          </w:tcPr>
          <w:p>
            <w:pPr>
              <w:jc w:val="center"/>
              <w:ind w:right="1539"/>
              <w:spacing w:after="0"/>
              <w:rPr>
                <w:sz w:val="20"/>
                <w:szCs w:val="20"/>
                <w:color w:val="auto"/>
              </w:rPr>
            </w:pPr>
            <w:r>
              <w:rPr>
                <w:rFonts w:ascii="Arial" w:cs="Arial" w:eastAsia="Arial" w:hAnsi="Arial"/>
                <w:sz w:val="18"/>
                <w:szCs w:val="18"/>
                <w:b w:val="1"/>
                <w:bCs w:val="1"/>
                <w:color w:val="auto"/>
                <w:w w:val="98"/>
              </w:rPr>
              <w:t>NEW JERSEY</w:t>
            </w:r>
          </w:p>
        </w:tc>
        <w:tc>
          <w:tcPr>
            <w:tcW w:w="2740" w:type="dxa"/>
            <w:vAlign w:val="bottom"/>
          </w:tcPr>
          <w:p>
            <w:pPr>
              <w:jc w:val="right"/>
              <w:ind w:right="41"/>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5540" w:type="dxa"/>
            <w:vAlign w:val="bottom"/>
          </w:tcPr>
          <w:p>
            <w:pPr>
              <w:jc w:val="center"/>
              <w:ind w:right="1539"/>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2740" w:type="dxa"/>
            <w:vAlign w:val="bottom"/>
          </w:tcPr>
          <w:p>
            <w:pPr>
              <w:jc w:val="center"/>
              <w:ind w:left="15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5540" w:type="dxa"/>
            <w:vAlign w:val="bottom"/>
          </w:tcPr>
          <w:p>
            <w:pPr>
              <w:jc w:val="center"/>
              <w:ind w:right="151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91"/>
        </w:trPr>
        <w:tc>
          <w:tcPr>
            <w:tcW w:w="554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left="200"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9" w:lineRule="exact"/>
        <w:rPr>
          <w:sz w:val="24"/>
          <w:szCs w:val="24"/>
          <w:color w:val="auto"/>
        </w:rPr>
      </w:pPr>
    </w:p>
    <w:p>
      <w:pPr>
        <w:ind w:left="200"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left="200" w:right="3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89" w:lineRule="exact"/>
        <w:rPr>
          <w:sz w:val="24"/>
          <w:szCs w:val="24"/>
          <w:color w:val="auto"/>
        </w:rPr>
      </w:pPr>
    </w:p>
    <w:p>
      <w:pPr>
        <w:ind w:left="200" w:right="120"/>
        <w:spacing w:after="0" w:line="277" w:lineRule="auto"/>
        <w:rPr>
          <w:sz w:val="20"/>
          <w:szCs w:val="20"/>
          <w:color w:val="auto"/>
        </w:rPr>
      </w:pPr>
      <w:r>
        <w:rPr>
          <w:rFonts w:ascii="Arial" w:cs="Arial" w:eastAsia="Arial" w:hAnsi="Arial"/>
          <w:sz w:val="18"/>
          <w:szCs w:val="18"/>
          <w:color w:val="auto"/>
        </w:rPr>
        <w:t>See definition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7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gridSpan w:val="2"/>
          </w:tcPr>
          <w:p>
            <w:pPr>
              <w:ind w:left="17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41" w:lineRule="exact"/>
        <w:rPr>
          <w:sz w:val="24"/>
          <w:szCs w:val="24"/>
          <w:color w:val="auto"/>
        </w:rPr>
      </w:pPr>
    </w:p>
    <w:p>
      <w:pPr>
        <w:ind w:left="20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200" w:right="1820"/>
        <w:spacing w:after="0" w:line="3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 2019, the registrant had 43,000,688 shares of common stock, $0.01 par value per share, outstanding. Securities registered pursuant to Section 12 (b)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2900" w:type="dxa"/>
            <w:vAlign w:val="bottom"/>
            <w:gridSpan w:val="4"/>
          </w:tcPr>
          <w:p>
            <w:pPr>
              <w:jc w:val="center"/>
              <w:ind w:right="1600"/>
              <w:spacing w:after="0"/>
              <w:rPr>
                <w:sz w:val="20"/>
                <w:szCs w:val="20"/>
                <w:color w:val="auto"/>
              </w:rPr>
            </w:pPr>
            <w:r>
              <w:rPr>
                <w:rFonts w:ascii="Arial" w:cs="Arial" w:eastAsia="Arial" w:hAnsi="Arial"/>
                <w:sz w:val="18"/>
                <w:szCs w:val="18"/>
                <w:color w:val="auto"/>
                <w:w w:val="90"/>
              </w:rPr>
              <w:t>Title of each class</w:t>
            </w:r>
          </w:p>
        </w:tc>
        <w:tc>
          <w:tcPr>
            <w:tcW w:w="29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Trading Symbol (s)</w:t>
            </w:r>
          </w:p>
        </w:tc>
        <w:tc>
          <w:tcPr>
            <w:tcW w:w="440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Name of each exchange on which registered</w:t>
            </w:r>
          </w:p>
        </w:tc>
      </w:tr>
      <w:tr>
        <w:trPr>
          <w:trHeight w:val="439"/>
        </w:trPr>
        <w:tc>
          <w:tcPr>
            <w:tcW w:w="1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30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37"/>
        </w:trPr>
        <w:tc>
          <w:tcPr>
            <w:tcW w:w="414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Common stock, par value $0.01 per share</w:t>
            </w:r>
          </w:p>
        </w:tc>
        <w:tc>
          <w:tcPr>
            <w:tcW w:w="740" w:type="dxa"/>
            <w:vAlign w:val="bottom"/>
          </w:tcPr>
          <w:p>
            <w:pPr>
              <w:spacing w:after="0"/>
              <w:rPr>
                <w:sz w:val="20"/>
                <w:szCs w:val="20"/>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8"/>
                <w:szCs w:val="18"/>
                <w:color w:val="auto"/>
              </w:rPr>
              <w:t>KODK</w:t>
            </w:r>
          </w:p>
        </w:tc>
        <w:tc>
          <w:tcPr>
            <w:tcW w:w="760" w:type="dxa"/>
            <w:vAlign w:val="bottom"/>
          </w:tcPr>
          <w:p>
            <w:pPr>
              <w:spacing w:after="0"/>
              <w:rPr>
                <w:sz w:val="20"/>
                <w:szCs w:val="20"/>
                <w:color w:val="auto"/>
              </w:rPr>
            </w:pPr>
          </w:p>
        </w:tc>
        <w:tc>
          <w:tcPr>
            <w:tcW w:w="36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New York Stock Exchange</w:t>
            </w:r>
          </w:p>
        </w:tc>
      </w:tr>
      <w:tr>
        <w:trPr>
          <w:trHeight w:val="500"/>
        </w:trPr>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gridSpan w:val="2"/>
          </w:tcPr>
          <w:p>
            <w:pPr>
              <w:jc w:val="right"/>
              <w:ind w:right="37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2"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2019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5"/>
              </w:rPr>
              <w:t>Part I.—Financial Information</w:t>
            </w:r>
          </w:p>
        </w:tc>
        <w:tc>
          <w:tcPr>
            <w:tcW w:w="4240" w:type="dxa"/>
            <w:vAlign w:val="bottom"/>
          </w:tcPr>
          <w:p>
            <w:pPr>
              <w:ind w:left="37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gridSpan w:val="4"/>
            <w:vMerge w:val="continue"/>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 of Operations (Unaudited)</w:t>
              </w:r>
            </w:hyperlink>
          </w:p>
        </w:tc>
        <w:tc>
          <w:tcPr>
            <w:tcW w:w="2800" w:type="dxa"/>
            <w:vAlign w:val="bottom"/>
            <w:gridSpan w:val="5"/>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(Loss) Income (Unaudited)</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41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900" w:type="dxa"/>
            <w:vAlign w:val="bottom"/>
            <w:tcBorders>
              <w:top w:val="single" w:sz="8" w:color="0000EE"/>
            </w:tcBorders>
          </w:tcPr>
          <w:p>
            <w:pPr>
              <w:spacing w:after="0"/>
              <w:rPr>
                <w:sz w:val="19"/>
                <w:szCs w:val="19"/>
                <w:color w:val="auto"/>
              </w:rPr>
            </w:pPr>
          </w:p>
        </w:tc>
        <w:tc>
          <w:tcPr>
            <w:tcW w:w="1380" w:type="dxa"/>
            <w:vAlign w:val="bottom"/>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2740" w:type="dxa"/>
            <w:vAlign w:val="bottom"/>
            <w:gridSpan w:val="4"/>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3"/>
        </w:trPr>
        <w:tc>
          <w:tcPr>
            <w:tcW w:w="7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(Unaudited)</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vMerge w:val="continue"/>
          </w:tcPr>
          <w:p>
            <w:pPr>
              <w:spacing w:after="0"/>
              <w:rPr>
                <w:sz w:val="19"/>
                <w:szCs w:val="19"/>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23"/>
        </w:trPr>
        <w:tc>
          <w:tcPr>
            <w:tcW w:w="7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64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Liquidity and Capital Resources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23"/>
        </w:trPr>
        <w:tc>
          <w:tcPr>
            <w:tcW w:w="740" w:type="dxa"/>
            <w:vAlign w:val="bottom"/>
            <w:vMerge w:val="continue"/>
          </w:tcPr>
          <w:p>
            <w:pPr>
              <w:spacing w:after="0"/>
              <w:rPr>
                <w:sz w:val="19"/>
                <w:szCs w:val="19"/>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140" w:type="dxa"/>
            <w:vAlign w:val="bottom"/>
            <w:gridSpan w:val="7"/>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358"/>
        </w:trPr>
        <w:tc>
          <w:tcPr>
            <w:tcW w:w="7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Part II. —Other Information</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5120" w:type="dxa"/>
            <w:vAlign w:val="bottom"/>
            <w:gridSpan w:val="10"/>
          </w:tcPr>
          <w:p>
            <w:pPr>
              <w:spacing w:after="0"/>
              <w:rPr>
                <w:sz w:val="24"/>
                <w:szCs w:val="24"/>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64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vMerge w:val="continue"/>
          </w:tcPr>
          <w:p>
            <w:pPr>
              <w:spacing w:after="0"/>
              <w:rPr>
                <w:sz w:val="19"/>
                <w:szCs w:val="19"/>
                <w:color w:val="auto"/>
              </w:rPr>
            </w:pPr>
          </w:p>
        </w:tc>
        <w:tc>
          <w:tcPr>
            <w:tcW w:w="64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Securities and Use of Proceeds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2640" w:type="dxa"/>
            <w:vAlign w:val="bottom"/>
            <w:gridSpan w:val="3"/>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Exhibits</w:t>
              </w:r>
            </w:hyperlink>
          </w:p>
        </w:tc>
        <w:tc>
          <w:tcPr>
            <w:tcW w:w="5860" w:type="dxa"/>
            <w:vAlign w:val="bottom"/>
            <w:gridSpan w:val="15"/>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66"/>
        </w:trPr>
        <w:tc>
          <w:tcPr>
            <w:tcW w:w="74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Index to Exhibits</w:t>
              </w:r>
            </w:hyperlink>
          </w:p>
        </w:tc>
        <w:tc>
          <w:tcPr>
            <w:tcW w:w="5220" w:type="dxa"/>
            <w:vAlign w:val="bottom"/>
            <w:gridSpan w:val="12"/>
          </w:tcPr>
          <w:p>
            <w:pPr>
              <w:spacing w:after="0"/>
              <w:rPr>
                <w:sz w:val="24"/>
                <w:szCs w:val="24"/>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5700" w:type="dxa"/>
            <w:vAlign w:val="bottom"/>
            <w:gridSpan w:val="14"/>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939"/>
        </w:trPr>
        <w:tc>
          <w:tcPr>
            <w:tcW w:w="740" w:type="dxa"/>
            <w:vAlign w:val="bottom"/>
          </w:tcPr>
          <w:p>
            <w:pPr>
              <w:spacing w:after="0"/>
              <w:rPr>
                <w:sz w:val="24"/>
                <w:szCs w:val="24"/>
                <w:color w:val="auto"/>
              </w:rPr>
            </w:pPr>
          </w:p>
        </w:tc>
        <w:tc>
          <w:tcPr>
            <w:tcW w:w="5080" w:type="dxa"/>
            <w:vAlign w:val="bottom"/>
            <w:gridSpan w:val="15"/>
          </w:tcPr>
          <w:p>
            <w:pPr>
              <w:jc w:val="center"/>
              <w:ind w:left="477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5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1320" w:type="dxa"/>
            <w:vAlign w:val="bottom"/>
          </w:tcPr>
          <w:p>
            <w:pPr>
              <w:spacing w:after="0"/>
              <w:rPr>
                <w:sz w:val="20"/>
                <w:szCs w:val="20"/>
                <w:color w:val="auto"/>
              </w:rPr>
            </w:pPr>
          </w:p>
        </w:tc>
        <w:tc>
          <w:tcPr>
            <w:tcW w:w="1840" w:type="dxa"/>
            <w:vAlign w:val="bottom"/>
            <w:gridSpan w:val="3"/>
            <w:vMerge w:val="restart"/>
          </w:tcPr>
          <w:p>
            <w:pPr>
              <w:jc w:val="right"/>
              <w:ind w:right="25"/>
              <w:spacing w:after="0"/>
              <w:rPr>
                <w:sz w:val="20"/>
                <w:szCs w:val="20"/>
                <w:color w:val="auto"/>
              </w:rPr>
            </w:pPr>
            <w:r>
              <w:rPr>
                <w:rFonts w:ascii="Arial" w:cs="Arial" w:eastAsia="Arial" w:hAnsi="Arial"/>
                <w:sz w:val="18"/>
                <w:szCs w:val="18"/>
                <w:b w:val="1"/>
                <w:bCs w:val="1"/>
                <w:color w:val="auto"/>
                <w:w w:val="96"/>
              </w:rPr>
              <w:t>Three Months Ended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b w:val="1"/>
                <w:bCs w:val="1"/>
                <w:color w:val="auto"/>
              </w:rPr>
              <w:t>March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Sales</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9"/>
                <w:szCs w:val="19"/>
                <w:color w:val="auto"/>
              </w:rPr>
            </w:pP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1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Sales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1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3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1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1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other charges, net and income taxes</w:t>
            </w:r>
          </w:p>
        </w:tc>
        <w:tc>
          <w:tcPr>
            <w:tcW w:w="1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13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 charges, net</w:t>
            </w:r>
          </w:p>
        </w:tc>
        <w:tc>
          <w:tcPr>
            <w:tcW w:w="1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3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 and diluted loss per share attributable</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to Eastman Kodak Company common shareholders:</w:t>
            </w: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32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(0.40)</w:t>
            </w: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3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7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0" w:type="dxa"/>
            <w:vAlign w:val="bottom"/>
            <w:shd w:val="clear" w:color="auto" w:fill="CFF0FC"/>
          </w:tcPr>
          <w:p>
            <w:pPr>
              <w:spacing w:after="0" w:line="169" w:lineRule="exact"/>
              <w:rPr>
                <w:sz w:val="20"/>
                <w:szCs w:val="20"/>
                <w:color w:val="auto"/>
              </w:rPr>
            </w:pPr>
            <w:r>
              <w:rPr>
                <w:rFonts w:ascii="Arial" w:cs="Arial" w:eastAsia="Arial" w:hAnsi="Arial"/>
                <w:sz w:val="18"/>
                <w:szCs w:val="18"/>
                <w:color w:val="auto"/>
              </w:rPr>
              <w:t>Number of common shares used in basic and diluted net</w:t>
            </w:r>
          </w:p>
        </w:tc>
        <w:tc>
          <w:tcPr>
            <w:tcW w:w="1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per share</w:t>
            </w:r>
          </w:p>
        </w:tc>
        <w:tc>
          <w:tcPr>
            <w:tcW w:w="1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16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0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 net of tax</w:t>
            </w:r>
          </w:p>
        </w:tc>
        <w:tc>
          <w:tcPr>
            <w:tcW w:w="15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COMPREHENSIVE LOSS, NET OF TAX</w:t>
            </w:r>
          </w:p>
        </w:tc>
        <w:tc>
          <w:tcPr>
            <w:tcW w:w="150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00" w:type="dxa"/>
            <w:vAlign w:val="bottom"/>
            <w:tcBorders>
              <w:bottom w:val="single" w:sz="8" w:color="auto"/>
            </w:tcBorders>
          </w:tcPr>
          <w:p>
            <w:pPr>
              <w:jc w:val="right"/>
              <w:ind w:right="10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$8 and $9, respectively</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$431 and $422,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portion of operating leases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deficit</w:t>
            </w: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1,538</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trade payables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borrowings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restricted cash and cash in assets held for sale,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cash equivalents, restricted cash and cash in assets held for sale,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7"/>
                <w:szCs w:val="17"/>
                <w:b w:val="1"/>
                <w:bCs w:val="1"/>
                <w:color w:val="auto"/>
                <w:w w:val="94"/>
              </w:rPr>
              <w:t>Three-Month Period Ending March 31, 2019</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7"/>
                <w:szCs w:val="17"/>
                <w:b w:val="1"/>
                <w:bCs w:val="1"/>
                <w:color w:val="auto"/>
                <w:w w:val="95"/>
              </w:rPr>
              <w:t>Eastman Kodak Company Common Shareholders</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Paid in</w:t>
            </w:r>
          </w:p>
        </w:tc>
        <w:tc>
          <w:tcPr>
            <w:tcW w:w="100" w:type="dxa"/>
            <w:vAlign w:val="bottom"/>
          </w:tcPr>
          <w:p>
            <w:pPr>
              <w:spacing w:after="0"/>
              <w:rPr>
                <w:sz w:val="12"/>
                <w:szCs w:val="12"/>
                <w:color w:val="auto"/>
              </w:rPr>
            </w:pPr>
          </w:p>
        </w:tc>
        <w:tc>
          <w:tcPr>
            <w:tcW w:w="11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1"/>
        </w:trPr>
        <w:tc>
          <w:tcPr>
            <w:tcW w:w="332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2018</w:t>
            </w:r>
          </w:p>
        </w:tc>
        <w:tc>
          <w:tcPr>
            <w:tcW w:w="360" w:type="dxa"/>
            <w:vAlign w:val="bottom"/>
          </w:tcPr>
          <w:p>
            <w:pPr>
              <w:spacing w:after="0"/>
              <w:rPr>
                <w:sz w:val="14"/>
                <w:szCs w:val="14"/>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569"/>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w:t>
            </w: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2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auto"/>
            </w:tcBorders>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2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of ASU 2016-02</w:t>
            </w:r>
          </w:p>
        </w:tc>
        <w:tc>
          <w:tcPr>
            <w:tcW w:w="3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FF0FC"/>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2019</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7"/>
                <w:szCs w:val="17"/>
                <w:b w:val="1"/>
                <w:bCs w:val="1"/>
                <w:color w:val="auto"/>
                <w:w w:val="94"/>
              </w:rPr>
              <w:t>Three-Month Period Ending March 31, 2018</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12"/>
          </w:tcPr>
          <w:p>
            <w:pPr>
              <w:jc w:val="right"/>
              <w:ind w:right="500"/>
              <w:spacing w:after="0"/>
              <w:rPr>
                <w:sz w:val="20"/>
                <w:szCs w:val="20"/>
                <w:color w:val="auto"/>
              </w:rPr>
            </w:pPr>
            <w:r>
              <w:rPr>
                <w:rFonts w:ascii="Arial" w:cs="Arial" w:eastAsia="Arial" w:hAnsi="Arial"/>
                <w:sz w:val="17"/>
                <w:szCs w:val="17"/>
                <w:b w:val="1"/>
                <w:bCs w:val="1"/>
                <w:color w:val="auto"/>
                <w:w w:val="95"/>
              </w:rPr>
              <w:t>Eastman Kodak Company Common Shareholders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Paid in</w:t>
            </w:r>
          </w:p>
        </w:tc>
        <w:tc>
          <w:tcPr>
            <w:tcW w:w="100" w:type="dxa"/>
            <w:vAlign w:val="bottom"/>
          </w:tcPr>
          <w:p>
            <w:pPr>
              <w:spacing w:after="0"/>
              <w:rPr>
                <w:sz w:val="12"/>
                <w:szCs w:val="12"/>
                <w:color w:val="auto"/>
              </w:rPr>
            </w:pPr>
          </w:p>
        </w:tc>
        <w:tc>
          <w:tcPr>
            <w:tcW w:w="11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Treasury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1"/>
        </w:trPr>
        <w:tc>
          <w:tcPr>
            <w:tcW w:w="332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2017</w:t>
            </w:r>
          </w:p>
        </w:tc>
        <w:tc>
          <w:tcPr>
            <w:tcW w:w="360" w:type="dxa"/>
            <w:vAlign w:val="bottom"/>
          </w:tcPr>
          <w:p>
            <w:pPr>
              <w:spacing w:after="0"/>
              <w:rPr>
                <w:sz w:val="14"/>
                <w:szCs w:val="14"/>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569"/>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(174)</w:t>
            </w:r>
          </w:p>
        </w:tc>
        <w:tc>
          <w:tcPr>
            <w:tcW w:w="20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w:t>
            </w: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2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Borders>
              <w:right w:val="single" w:sz="8" w:color="auto"/>
            </w:tcBorders>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20" w:type="dxa"/>
            <w:vAlign w:val="bottom"/>
          </w:tcPr>
          <w:p>
            <w:pPr>
              <w:ind w:left="140"/>
              <w:spacing w:after="0"/>
              <w:rPr>
                <w:sz w:val="20"/>
                <w:szCs w:val="20"/>
                <w:color w:val="auto"/>
              </w:rPr>
            </w:pPr>
            <w:r>
              <w:rPr>
                <w:rFonts w:ascii="Arial" w:cs="Arial" w:eastAsia="Arial" w:hAnsi="Arial"/>
                <w:sz w:val="17"/>
                <w:szCs w:val="17"/>
                <w:color w:val="auto"/>
              </w:rPr>
              <w:t>of ASU 2014-09</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Equity (deficit) as of March 31, 2018</w:t>
            </w:r>
          </w:p>
        </w:tc>
        <w:tc>
          <w:tcPr>
            <w:tcW w:w="36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2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2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2018 (the “2018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2019, the Company had $395 million of outstanding indebtedness under the Senior Secured First Lien Term Credit Agreement (the “Term Credit Agreement”). On April 12, 2019, the Company prepaid approximately $312 million of the loans made under the Term Credit Agreement using proceeds from the sale of Kodak’s Flexographic Packaging business (“FPD”) (Refer to Note 22, “Discontinued Operations”). The loans made under the Term Credit Agreement become due on the earlier to occur of (i) the maturity date of September 3, 2019 or (ii) the acceleration of such loans following the occurrence of an event of default (as defined in the Term Credit Agreement). The Company also has issued approximately $85 million of letters of credit under the Amended and Restated Credit Agreement (the “ABL Credit Agreement”) as of both March 31, 2019 and December 31, 2018. Should the Company not repay, refinance or extend the maturity of the loans under the Term Credit Agreement prior to June 5, 2019, the termination date will occur under the ABL Credit Agreement on such date unless the ABL Credit Agreement has been amended in the interim. Upon the occurrence of the termination date under the ABL Credit Agreement, the obligations thereunder will become due and the Company will need to provide alternate collateral in place of the letters of credit issued under the ABL Credit Agreement.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2019 and December 31, 2018, Kodak had approximately $240 million and $246 million, respectively, of cash and cash equivalents. $94 million and $117 million was held in the U.S. as of March 31, 2019 and December 31, 2018, respectively, and $146 million and $129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March 31, 2019 and December 31, 2018 were $386 million and $390 million, respectively, which includes short-term intercompany loans from Kodak’s international finance center of $87 million and $92 million as of March 31, 2019 and December 31, 2018, respectively. In China, where approximately $88 million and $72 million of cash and cash equivalents was held as of March 31, 2019 and December 31, 2018, respectively, there are limitations related to net asset balances that may impact the ability to make cash available to other jurisdictions in the world. Kodak had a net decrease in cash, cash equivalents, restricted cash and cash in assets held for sale of $10 million and $102 million for the three months ended March 31, 2019 and the year ended December 31, 2018, respectively.</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As of the date of issuance of these financial statements, Kodak has debt coming due within twelve months and does not have committed financing or available liquidity to meet such debt obligations if they were to become due in accordance with their current terms.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line="271" w:lineRule="auto"/>
        <w:rPr>
          <w:sz w:val="20"/>
          <w:szCs w:val="20"/>
          <w:color w:val="auto"/>
        </w:rPr>
      </w:pPr>
      <w:r>
        <w:rPr>
          <w:rFonts w:ascii="Arial" w:cs="Arial" w:eastAsia="Arial" w:hAnsi="Arial"/>
          <w:sz w:val="17"/>
          <w:szCs w:val="17"/>
          <w:color w:val="auto"/>
        </w:rPr>
        <w:t>Reporting requirements under the Term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Lenders may take the position that the going concern explanatory paragraph contained in the audit report on the Company’s financial statements as of and for the year ended December 31, 2018 does not satisfy the requirements under the Term Credit Agreement. Under the Term Credit Agreement, if notice of a failure to comply with the reporting covenant is given to the Company by the lenders, an event of default would occur thereunder if such failure is not cured within thirty days after such notice is given, unless such event of default is waived by the requisite lenders. In the event of default, the debt could become immediately due.</w:t>
      </w:r>
    </w:p>
    <w:p>
      <w:pPr>
        <w:spacing w:after="0" w:line="20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ABL Credit Agreement contains an opinion delivery requirement that corresponds to the requirement under the Term Credit Agreement, although under the ABL Credit Agreement there is an additional requirement that the opinion be reasonably acceptable to the agent under the ABL Credit Agreement. On March 31, 2019 the Company obtained a waiver from the agent and lenders under the ABL Credit Agreement with respect to any event of default under the reporting covenant that may be deemed to have occurred in relation to the going concern explanatory paragraph in the audit report. Such waiver does not waive any cross-default that may occur in the event of the occurrence of an event of default under the Term Credit Agreement as described above.</w:t>
      </w:r>
    </w:p>
    <w:p>
      <w:pPr>
        <w:spacing w:after="0" w:line="185"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The Company has been engaged in negotiations to refinance the remaining $83 million of the loans under the Term Credit Agreement not repaid from proceeds from the sale of FPD. The Company intends to complete the refinancing prior to the maturity of the Term Credit Agreement or ABL Credit Agreement and prior to the date on which any event of default would occur under the Term Credit Agreement.</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Additionally, Kodak is facing liquidity challenges due to operating losses and negative cash flow. Based on forecasted cash flows, there are uncertainties regarding Kodak’s ability to meet commitments in the U.S. as they come due. Kodak’s plans to improve cash flow include reducing interest expense by decreasing the debt balance using proceeds from asset sales, including the sale of the FPD; further restructuring Kodak’s cost structure; and paring investment in new technology by eliminating, slowing, and partnering with investors in product development programs.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refinancing of the loans under the Term Credit Agreement is not solely within Kodak’s control. Executing agreements for a refinancing of the loans under the Term Credit Agreement and the timing for a closing of a refinancing of the loans under the Term Credit Agreement are dependent upon several external factors outside Kodak’s control, including but not limited to, the ability of the Company to reach acceptable agreements with different counterparties and the time required to meet conditions to closing under the terms of any refinancing.</w:t>
      </w:r>
    </w:p>
    <w:p>
      <w:pPr>
        <w:spacing w:after="0" w:line="21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Kodak makes no assurances regarding the likelihood, certainty or timing of consummating a refinancing of the Company’s existing debt, or regarding the sufficiency of any such refinancing to meet Kodak’s debt obligations, including compliance with debt covenants, or other commitments in the U.S. as they come due.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raise substantial doubt about Kodak’s ability to continue as a going concern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the Term Credit Agreement, the ABL Credit Agreement and debt covenants see Note 7, “Debt and Finance Leases”.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Kodak’s new organization structure as of January 2019. In addition to the changes in segment reporting under the new organization structure there is a change in the segment measure of profitability. The segment measure of profitability was changed to exclude the costs, net of any rental income received, of underutilized portions of certain properties. Additionally, the allocation of costs from Eastman Business Park (“EBP”) to the Brand, Film and Imaging segment and Advanced Materials and 3D Printing Technology segment as tenants of EBP and to each of the segments as users of shared corporate space at the global headquarters changed. Refer to Note 21, “Segment Information” for 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February 2018, the Financial Accounting Standards Board (“FASB”) issued Accounting Standard Update (“ASU”) 2018-02, “Income Statement— 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Kodak adopted the new standard on January 1, 2019. The adoption of this ASU did not have an impact on the Consolidated Financial Statements as a result of Kodak’s U.S. valuation allowance.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ind w:right="60"/>
        <w:spacing w:after="0" w:line="268" w:lineRule="auto"/>
        <w:rPr>
          <w:sz w:val="20"/>
          <w:szCs w:val="20"/>
          <w:color w:val="auto"/>
        </w:rPr>
      </w:pPr>
      <w:r>
        <w:rPr>
          <w:rFonts w:ascii="Arial" w:cs="Arial" w:eastAsia="Arial" w:hAnsi="Arial"/>
          <w:sz w:val="17"/>
          <w:szCs w:val="17"/>
          <w:color w:val="auto"/>
        </w:rPr>
        <w:t>In February 2016, the FASB issued ASU 2016-02, Leases (Topic 842). Topic 842 (as amended by ASU’s 2018-01, 10, 11 and 20) requires lessees to recognize most leases on their balance sheets as lease liabilities with corresponding right-of-use assets and eliminates certain real estate-specific provisions. The new standard requires lessors to account for leases using an approach that is substantially equivalent to existing guidance for sales-type leases and operating leases. The new leasing standard is effective for fiscal years, and for interim periods within those fiscal years, beginning after December 15, 2018 (January 1, 2019 for Kodak). The original guidance required application on a modified retrospective basis to the earliest period presented. ASU 2018-11, Targeted improvements to ASC 842, includes an option to not restate comparative periods in transition and elect to use the effective date of ASC 842 as the date of initial application of transition. Kodak adopted the new standard on the effective date applying the new transition method allowed under ASU 2018-11. Kodak elected the package of practical expedients which permitted Kodak to not reassess (1) whether any expired or existing contracts are or contain leases, (2) the lease classification for any existing leases, and (3) any initial direct costs for any existing leases as of the effective date. Kodak did not elect the hindsight practical expedient which permits entities to use hindsight in determining the lease term and assessing impairment. The adoption of the amended lease guidance increased the assets and liabilities recorded in the Consolidated Statement of Financial Position due to the recognition of right-of-use assets and liabilities. Kodak recognized a cumulative-effect adjustment to increase retained earnings of approximately $5 million due to the derecognition of assets and deferred gain on previous sale-leaseback transactions. As a lessor, recognition of rental revenue remained mainly consistent with previous guidance, apart from the narrower definition of initial direct costs that can be capitalized. The impact of adoption on the Consolidated Statement of Financial Position is presented below:</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Adjustments Due</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January 1,</w:t>
            </w:r>
          </w:p>
        </w:tc>
      </w:tr>
      <w:tr>
        <w:trPr>
          <w:trHeight w:val="234"/>
        </w:trPr>
        <w:tc>
          <w:tcPr>
            <w:tcW w:w="46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ASU 2016-02</w:t>
            </w:r>
          </w:p>
        </w:tc>
        <w:tc>
          <w:tcPr>
            <w:tcW w:w="18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rent payable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Deferred gain on previous sale leaseback transaction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fixed assets from previous sale leaseback transaction</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left="1520" w:right="260" w:hanging="378"/>
        <w:spacing w:after="0" w:line="27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Deferred amounts were previously reported in Other current liabilities ($1 million) and Other long-term liabilities ($14 million) in the Consolidated Statements of Financial Position.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(December 31, 2020 for Kodak). Early adoption is permitted. The standard addresses disclosures only and will not have an impact on Kodak’s consolidated financial statements.</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ASC 820 by adding, changing, or removing certain disclosures. The ASU applies to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Kodak retrospectively early adopted the provisions of the ASU that removed or modified disclosures in the fourth quarter of 2018 and expects to prospectively adopt the provisions related to new disclosures January 1, 2020. The standard addresses disclosures only and will not have an impact on Kodak’s consolidated financial statements.</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Early adoption is permitted.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80"/>
        <w:spacing w:after="0" w:line="277" w:lineRule="auto"/>
        <w:rPr>
          <w:sz w:val="20"/>
          <w:szCs w:val="20"/>
          <w:color w:val="auto"/>
        </w:rPr>
      </w:pPr>
      <w:r>
        <w:rPr>
          <w:rFonts w:ascii="Arial" w:cs="Arial" w:eastAsia="Arial" w:hAnsi="Arial"/>
          <w:sz w:val="16"/>
          <w:szCs w:val="16"/>
          <w:color w:val="auto"/>
        </w:rPr>
        <w:t xml:space="preserve">The ASU should be applied either retrospectively or prospectively to all implementation costs incurred after the date of adoption. </w:t>
      </w:r>
      <w:r>
        <w:rPr>
          <w:rFonts w:ascii="Arial" w:cs="Arial" w:eastAsia="Arial" w:hAnsi="Arial"/>
          <w:sz w:val="18"/>
          <w:szCs w:val="18"/>
          <w:color w:val="auto"/>
        </w:rPr>
        <w:t>Kodak is currently evaluating</w:t>
      </w:r>
      <w:r>
        <w:rPr>
          <w:rFonts w:ascii="Arial" w:cs="Arial" w:eastAsia="Arial" w:hAnsi="Arial"/>
          <w:sz w:val="16"/>
          <w:szCs w:val="16"/>
          <w:color w:val="auto"/>
        </w:rPr>
        <w:t xml:space="preserve"> </w:t>
      </w:r>
      <w:r>
        <w:rPr>
          <w:rFonts w:ascii="Arial" w:cs="Arial" w:eastAsia="Arial" w:hAnsi="Arial"/>
          <w:sz w:val="18"/>
          <w:szCs w:val="18"/>
          <w:color w:val="auto"/>
        </w:rPr>
        <w:t>the impact of this ASU.</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(including amendments in ASU 2018-19)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Kodak is currently evaluating the impact of this ASU.</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included in assets held for sale</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Flows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Long-term restricted cash includes $4 million and $5 million of security posted related to Brazilian legal contingencies as of March 31, 2019 and December 31, 2018, respectively. Long-term restricted cash also includes $0 million and $3 million as of March 31, 2019 and December 31, 2018, respectively, supporting compliance with the Excess Availability threshold under the ABL Credit Agreement.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6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Work in process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7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 net of reserve of $4 and $4, respectively</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691"/>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66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5: OTHER CURRENT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Customer rebates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Series A Preferred Stock dividends payable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6: OTHER LONG-TERM LIABILITIES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20" w:right="260" w:hanging="278"/>
        <w:spacing w:after="0" w:line="277" w:lineRule="auto"/>
        <w:tabs>
          <w:tab w:leader="none" w:pos="142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decreased $14 million due to the adoption of ASU 2016-02. Also see the Recently Adopted Accounting Pronouncements subsection of Note 1, “Basis of Presentation and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DEBT AND FINANCE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finance leases and related maturities and interest rates were as follows at March 31, 2019 and December 31, 2018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8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Interest Rate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Term note</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1740" w:type="dxa"/>
            <w:vAlign w:val="bottom"/>
          </w:tcPr>
          <w:p>
            <w:pPr>
              <w:jc w:val="right"/>
              <w:ind w:right="574"/>
              <w:spacing w:after="0"/>
              <w:rPr>
                <w:sz w:val="20"/>
                <w:szCs w:val="20"/>
                <w:color w:val="auto"/>
              </w:rPr>
            </w:pPr>
            <w:r>
              <w:rPr>
                <w:rFonts w:ascii="Arial" w:cs="Arial" w:eastAsia="Arial" w:hAnsi="Arial"/>
                <w:sz w:val="18"/>
                <w:szCs w:val="18"/>
                <w:color w:val="auto"/>
              </w:rPr>
              <w:t>9.00%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Finance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4"/>
          </w:tcPr>
          <w:p>
            <w:pPr>
              <w:spacing w:after="0"/>
              <w:rPr>
                <w:sz w:val="20"/>
                <w:szCs w:val="20"/>
                <w:color w:val="auto"/>
              </w:rPr>
            </w:pPr>
            <w:r>
              <w:rPr>
                <w:rFonts w:ascii="Arial" w:cs="Arial" w:eastAsia="Arial" w:hAnsi="Arial"/>
                <w:sz w:val="18"/>
                <w:szCs w:val="18"/>
                <w:color w:val="auto"/>
              </w:rPr>
              <w:t>Non-current portion:</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Finance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RED-Rochester,</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rPr>
              <w:t>LLC</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60" w:type="dxa"/>
            <w:vAlign w:val="bottom"/>
          </w:tcPr>
          <w:p>
            <w:pPr>
              <w:spacing w:after="0"/>
              <w:rPr>
                <w:sz w:val="20"/>
                <w:szCs w:val="20"/>
                <w:color w:val="auto"/>
              </w:rPr>
            </w:pPr>
          </w:p>
        </w:tc>
        <w:tc>
          <w:tcPr>
            <w:tcW w:w="1740" w:type="dxa"/>
            <w:vAlign w:val="bottom"/>
          </w:tcPr>
          <w:p>
            <w:pPr>
              <w:jc w:val="right"/>
              <w:ind w:right="534"/>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3, 2013, the Company entered into (i) the First Lien Term Credit Agreement (the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w:t>
      </w:r>
    </w:p>
    <w:p>
      <w:pPr>
        <w:spacing w:after="0" w:line="2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Additionally, the Company and its U.S. subsidiaries (the “Subsidiary Guarantors”) entered into an Asset Based Revolving Credit Agreement (the “Original ABL Credit Agreement” and together with the Term Credit Agreement and the Second Lien Term Credit Agreement,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 and the Second Lien Term Credit Agreement were $664 million ($695 million aggregate principal less $15 million stated discount and $16 million in debt transaction costs). The loans made under the Term Credit Agreement become due on the earlier to occur of (i) the maturity date of September 3, 2019 or (ii) the acceleration of such loans following the occurrence of an event of default (as defined in the Term Credit Agreement). The Second Lien Term Credit Agreement was prepaid and terminated on November 15, 2016 using proceeds from the sale of Series A Convertible Preferred Stock together with cash on hand.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46" w:lineRule="exact"/>
        <w:rPr>
          <w:sz w:val="20"/>
          <w:szCs w:val="20"/>
          <w:color w:val="auto"/>
        </w:rPr>
      </w:pPr>
    </w:p>
    <w:p>
      <w:pPr>
        <w:ind w:right="80" w:firstLine="8"/>
        <w:spacing w:after="0" w:line="252"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dispose of assets, (iv) 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First Lien Loans bear interest at the rate of LIBOR plus 6.25% per annum, with a LIBOR floor of 1% or Alternate Base Rate (as defined in the Term Credit Agreement) plus 5.25%.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Original ABL Credit Agreement are secured by: (i) a first lien on cash, accounts receivable, inventory, machinery and equipment (the “ABL Collateral”) and (ii) a second lien on the Term Collateral. The Company may voluntarily prepay the First Lien Loans.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As defined in the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During 2016 and 2017, Kodak prepaid $11 million of principal under the Term Credit Agreement. Under the terms of the Term Credit Agreement, the prepayments were applied first to the installment principal payments of $4 million due over the next twelve months, then ratably to the remaining scheduled payments. With the prepayments, Kodak does not owe any future scheduled principal payments until the maturity date of the loan.</w:t>
      </w:r>
    </w:p>
    <w:p>
      <w:pPr>
        <w:spacing w:after="0" w:line="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an annual basis, the Company will prepay on June 30 of the following fiscal year loans in an amount equal to a percentage of Excess Cash Flow (“ECF”) as defined in the Term Credit Agreement, provided no such prepayment is required if such prepayment would cause U.S. liquidity (as defined in the Term Credit Agreement) to be less than $100 million or the Secured Leverage ratio is less than 2.25 to 1.00. For the year ended December 31, 2018 ECF was a negative amount. Therefore, no prepayment of loans under the Term Credit Agreement will be required. Any mandatory prepayments as described above shall be reduced by any mandatory prepayments of the First Lien Loans.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April 12, 2019, the Company prepaid approximately $312 million of the loans made under the Term Credit Agreement using proceeds from the sale of FPD.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May 26, 2016, the Company and certain of its domestic subsidiaries (the “Subsidiary Guarantors”) entered into an Amended and Restated Credit Agreement (the “ABL Credit Agreement”) with the lenders party thereto (the “Lenders”), Bank of America, N.A., as administrative and collateral agent, and Bank of America, N.A. and JPMorgan Chase Bank, N.A., as joint lead arrangers and joint bookrunners, which amended and restated the Original ABL Credit Agreement. Each of the capitalized but undefined terms used in the context of describing the ABL Credit Agreement has the meaning ascribed to such term in the ABL Credit Agreement.</w:t>
      </w:r>
    </w:p>
    <w:p>
      <w:pPr>
        <w:spacing w:after="0" w:line="21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ABL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ABL Credit Agreement, among other things, lowered reserve requirements by eliminating the Availability Block and removed the ability to use Qualified Cash to support Excess Availability.</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ABL Credit Agreement.</w:t>
      </w:r>
    </w:p>
    <w:p>
      <w:pPr>
        <w:spacing w:after="0" w:line="20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Lenders will make available asset-based revolving loans (the “ABL Loans”) and letters of credit in an aggregate amount of up to $150 million, subject to the Borrowing Base. The Company has issued approximately $85 million of letters of credit under the ABL Credit Agreement as of both March 31, 2019 and December 31, 2018. The Company had approximately $21 million and $19 million of Excess Availability under the ABL Credit Agreement as of March 31, 2019 and December 31, 2018, respectively. Availability is subject to the borrowing base calculation, reserves and other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$10 million, as of March 31, 2019 (which $10 million decreases by $1 million per quarter) and (iv) Eligible Cash less (a) Rent and Charges Reserves, (b) Principal Outstanding and (c) Outstanding Letters of Credit.</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Under the ABL Credit Agreement, Kodak is required to maintain a minimum Fixed Charge Coverage Ratio of 1.00 to 1.00 when Excess Availability is less than 12.5% of lender commitments. As of March 31, 2019 and December 31, 2018, 12.5% of lender commitments were $18.75 million.</w:t>
      </w:r>
    </w:p>
    <w:p>
      <w:pPr>
        <w:spacing w:after="0" w:line="174"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March 31, 2019 and December 31, 2018, Kodak is not required to have a minimum Fixed Charges Coverage Ratio of 1.0 to 1.0.</w:t>
      </w:r>
    </w:p>
    <w:p>
      <w:pPr>
        <w:spacing w:after="0" w:line="19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March 31, 2019, and December 31, 2018, Kodak had funded $0 million and $3 million respectively, to the Eligible Cash account, held with the ABL Credit Agreement Administrative Agent, which is classified as Restricted Cash in the Consolidated Statement of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Covenant Compliance</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Under the Term Credit Agreement, the Company is required to maintain a Secured Leverage Ratio (as defined therein) not to exceed specified levels. The Secured Leverage Ratio under the Term Credit Agreement is tested at the end of each quarter based on the prior four quarters. The maximum Secured Leverage Ratio permitted under the Term Credit Agreement is 2.75:1.</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ABL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$4 million and $2 million for the three months ended March 31, 2019 and 2018, respectively, which represents 1% and 0% of Kodak’s consolidated sales, respectively. These subsidiaries had assets of $23 million and $21 million as of March 31, 2019 and December 31, 2018, respectively, which represents 1% of Kodak’s consolidated assets as of both periods. EBITDA of the Unrestricted Subsidiaries, as calculated under the Credit Agreements, is a loss and is excluded from the calculation of the Secured Leverage Ratio. Therefore, designating these Subsidiaries as Unrestricted had the impact of improving the Secured Leverage Ratio.</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Reporting requirements under the Term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Lenders may take the position that the going concern explanatory paragraph contained in the audit report on the Company’s financial statements as of and for the year ended December 31, 2018 does not satisfy the requirements under the Term Credit</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Agreement. Under the Term Credit Agreement, if notice of a failure to comply with the reporting covenant is given to the Company by the lenders, an event of default would occur thereunder if such failure is not cured within thirty days after such notice is given, unless such event of default is waived by the requisite lenders. In the event of default, the debt could become immediately due.</w:t>
      </w:r>
    </w:p>
    <w:p>
      <w:pPr>
        <w:spacing w:after="0" w:line="25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ABL Credit Agreement contains an opinion delivery requirement that corresponds to the requirement under the Term Credit Agreement, although under the ABL Credit Agreement there is an additional requirement that the opinion be reasonably acceptable to the agent under the ABL Credit Agreement. On March 31, 2019 the Company obtained a waiver from the agent and lenders under the ABL Credit Agreement with respect to any event of default under the reporting covenant that may be deemed to have occurred in relation to the going concern explanatory paragraph in the audit report. Such waiver does not waive any cross-default that may occur in the event of the occurrence of an event of default under the Term Credit Agreement as described above.</w:t>
      </w:r>
    </w:p>
    <w:p>
      <w:pPr>
        <w:spacing w:after="0" w:line="22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intends to amend and restate or refinance the Term Credit Agreement prior to the maturity of the Term Credit Agreement or ABL Credit Agreement and prior to the date on which any event of default would occur under the Term Credit Agreement.</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 intends to conduct its operations in a manner that will result in compliance with the Credit Agreements;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the Credit Agreements which, among other remedies, would entitle the lenders or their agents to declare the outstanding obligations under the Term Credit Agreement to be immediately due and payable. There is no assurance Kodak will be able to complete any non-operational transaction it may undertake to maintain compliance with covenants under the Credit Agreements or to refinance, or otherwise pay, the First Lien Loans on or before the maturity date of September 3, 2019 or the obligations under the ABL Credit Agreement on June 5, 2019 if the First Lien Loans are not refinanced or paid on or before such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also the Going Concern subsection of Note 1, “Basis of Presentation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RED-Rochester, LLC</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January 2019 Kodak entered into a series of agreements with RED-Rochester, LLC (“RED”), which provides utilities to the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REDEEMABLE, CONVERTIBLE SERIES A PREFERRED STOCK</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has classified the Series A Preferred Stock as temporary equity in the Consolidated Statement of Financial Position.</w:t>
      </w:r>
    </w:p>
    <w:p>
      <w:pPr>
        <w:spacing w:after="0" w:line="20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Kodak allocated $43 million of the net proceeds received to a derivative liability based on the aggregate fair value of the embedded conversion features on the date of issuance which reduced the net carrying value of the Series A Preferred Stock (see Note 23,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quarter of 2019.</w:t>
      </w:r>
    </w:p>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allowed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w:t>
      </w:r>
    </w:p>
    <w:p>
      <w:pPr>
        <w:spacing w:after="0" w:line="1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March 31, 2019,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lessee</w:t>
      </w:r>
    </w:p>
    <w:p>
      <w:pPr>
        <w:spacing w:after="0" w:line="23"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Kodak determines if an arrangement is a lease at inception. Kodak’s operating lease agreements are primarily for real estate space and vehicles and are included within operating lease right-of-use (“ROU”) assets and operating lease liabilities on the Consolidated Statement of Financial Position.</w:t>
      </w:r>
    </w:p>
    <w:p>
      <w:pPr>
        <w:spacing w:after="0" w:line="16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ROU assets and liabilities are recognized at the lease commencement date based on the present value of lease payments over the lease</w:t>
      </w:r>
    </w:p>
    <w:p>
      <w:pPr>
        <w:spacing w:after="0" w:line="290" w:lineRule="auto"/>
        <w:rPr>
          <w:sz w:val="20"/>
          <w:szCs w:val="20"/>
          <w:color w:val="auto"/>
        </w:rPr>
      </w:pPr>
      <w:r>
        <w:rPr>
          <w:rFonts w:ascii="Arial" w:cs="Arial" w:eastAsia="Arial" w:hAnsi="Arial"/>
          <w:sz w:val="16"/>
          <w:szCs w:val="16"/>
          <w:color w:val="auto"/>
        </w:rPr>
        <w:t>term. Variable lease payments are excluded from the measurement of ROU assets and lease liabilities and are recognized in the period in which the obligation for those payments is incurred. Rental expense for lease payments related to operating leases is recognized on a straight-line basis over the lease term. Many of the leases include rental escalation clauses, renewal options and/or termination options that are factored into the determination of lease payments if reasonably assured to be exercised. Kodak does not separate lease and non-lease components of contracts for real estate leases. When available, the rate implicit in the lease is used to discount lease payments to present value; however, many leases do not provide a readily determinable implicit rate. Therefore, Kodak must estimate its incremental borrowing rate to discount the lease payments based on information available at lease commencement.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540" w:type="dxa"/>
            <w:vAlign w:val="bottom"/>
            <w:gridSpan w:val="3"/>
          </w:tcPr>
          <w:p>
            <w:pPr>
              <w:spacing w:after="0"/>
              <w:rPr>
                <w:sz w:val="20"/>
                <w:szCs w:val="20"/>
                <w:color w:val="auto"/>
              </w:rPr>
            </w:pPr>
            <w:r>
              <w:rPr>
                <w:rFonts w:ascii="Arial" w:cs="Arial" w:eastAsia="Arial" w:hAnsi="Arial"/>
                <w:sz w:val="18"/>
                <w:szCs w:val="18"/>
                <w:color w:val="auto"/>
              </w:rPr>
              <w:t>The table below presents the lease-related assets and liabilities on the balance sheet: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Classification in the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000" w:type="dxa"/>
            <w:vAlign w:val="bottom"/>
            <w:gridSpan w:val="2"/>
          </w:tcPr>
          <w:p>
            <w:pPr>
              <w:ind w:left="1140"/>
              <w:spacing w:after="0"/>
              <w:rPr>
                <w:sz w:val="20"/>
                <w:szCs w:val="20"/>
                <w:color w:val="auto"/>
              </w:rPr>
            </w:pPr>
            <w:r>
              <w:rPr>
                <w:rFonts w:ascii="Arial" w:cs="Arial" w:eastAsia="Arial" w:hAnsi="Arial"/>
                <w:sz w:val="16"/>
                <w:szCs w:val="16"/>
                <w:b w:val="1"/>
                <w:bCs w:val="1"/>
                <w:color w:val="auto"/>
              </w:rPr>
              <w:t>(in millions)</w:t>
            </w:r>
          </w:p>
        </w:tc>
        <w:tc>
          <w:tcPr>
            <w:tcW w:w="4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 Statement of Financial Position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88"/>
              </w:rPr>
              <w:t>Operating lease right-of-use assets</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454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89"/>
              </w:rPr>
              <w:t>Property, plant and equipment, net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Total lease assets</w:t>
            </w: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840" w:type="dxa"/>
            <w:vAlign w:val="bottom"/>
            <w:tcBorders>
              <w:top w:val="single" w:sz="8" w:color="CFF0FC"/>
            </w:tcBorders>
            <w:shd w:val="clear" w:color="auto" w:fill="CFF0FC"/>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0"/>
              </w:rPr>
              <w:t>Current portion of operating leases</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2"/>
              </w:rPr>
              <w:t>Short-term borrowings and current portion of long-term debt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Noncurrent</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0"/>
              </w:rPr>
              <w:t>Operating leases, net of current portion</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tcBorders>
              <w:bottom w:val="single" w:sz="8" w:color="CFF0FC"/>
            </w:tcBorders>
          </w:tcPr>
          <w:p>
            <w:pPr>
              <w:jc w:val="center"/>
              <w:ind w:right="70"/>
              <w:spacing w:after="0"/>
              <w:rPr>
                <w:sz w:val="20"/>
                <w:szCs w:val="20"/>
                <w:color w:val="auto"/>
              </w:rPr>
            </w:pPr>
            <w:r>
              <w:rPr>
                <w:rFonts w:ascii="Arial" w:cs="Arial" w:eastAsia="Arial" w:hAnsi="Arial"/>
                <w:sz w:val="18"/>
                <w:szCs w:val="18"/>
                <w:color w:val="auto"/>
                <w:w w:val="91"/>
              </w:rPr>
              <w:t>Long-term debt, net of current portion</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4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w w:val="88"/>
              </w:rPr>
              <w:t>Weighted-average remaining lease term</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Finance </w:t>
            </w:r>
            <w:r>
              <w:rPr>
                <w:rFonts w:ascii="Arial" w:cs="Arial" w:eastAsia="Arial" w:hAnsi="Arial"/>
                <w:sz w:val="15"/>
                <w:szCs w:val="15"/>
                <w:color w:val="auto"/>
              </w:rPr>
              <w:t>(1)</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 years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Operating </w:t>
            </w:r>
            <w:r>
              <w:rPr>
                <w:rFonts w:ascii="Arial" w:cs="Arial" w:eastAsia="Arial" w:hAnsi="Arial"/>
                <w:sz w:val="15"/>
                <w:szCs w:val="15"/>
                <w:color w:val="auto"/>
              </w:rPr>
              <w:t>(2)</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hanging="374"/>
        <w:spacing w:after="0" w:line="277"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8"/>
          <w:szCs w:val="18"/>
          <w:color w:val="auto"/>
        </w:rPr>
        <w:t>One finance lease has a remaining term of 968 years. The weighted-average lease term excluding the lease with a remaining term of 968 years is 3 years.</w:t>
      </w:r>
    </w:p>
    <w:p>
      <w:pPr>
        <w:spacing w:after="0" w:line="197" w:lineRule="exact"/>
        <w:rPr>
          <w:rFonts w:ascii="Arial" w:cs="Arial" w:eastAsia="Arial" w:hAnsi="Arial"/>
          <w:sz w:val="15"/>
          <w:szCs w:val="15"/>
          <w:color w:val="auto"/>
        </w:rPr>
      </w:pPr>
    </w:p>
    <w:p>
      <w:pPr>
        <w:ind w:left="760" w:hanging="374"/>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8"/>
          <w:szCs w:val="18"/>
          <w:color w:val="auto"/>
        </w:rPr>
        <w:t>Upon adoption of ASC 842, the discount rate used for existing operating leases was established at January 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Costs</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table below presents certain information related to the lease costs for finance and operating leases. Lease costs are presented gross of sublease income. See Kodak as Lessor section below for income from subleases.</w:t>
      </w:r>
    </w:p>
    <w:p>
      <w:pPr>
        <w:spacing w:after="0" w:line="220"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p>
      <w:pPr>
        <w:ind w:left="1140"/>
        <w:spacing w:after="0"/>
        <w:tabs>
          <w:tab w:leader="none" w:pos="8840" w:val="left"/>
        </w:tabs>
        <w:rPr>
          <w:sz w:val="20"/>
          <w:szCs w:val="20"/>
          <w:color w:val="auto"/>
        </w:rPr>
      </w:pPr>
      <w:r>
        <w:rPr>
          <w:rFonts w:ascii="Arial" w:cs="Arial" w:eastAsia="Arial" w:hAnsi="Arial"/>
          <w:sz w:val="16"/>
          <w:szCs w:val="16"/>
          <w:b w:val="1"/>
          <w:bCs w:val="1"/>
          <w:color w:val="auto"/>
        </w:rPr>
        <w:t>(in millions)</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29210</wp:posOffset>
            </wp:positionV>
            <wp:extent cx="579755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Finance lease cost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Amortization of leased assets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Interest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lease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supplemental cash flow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20320</wp:posOffset>
            </wp:positionV>
            <wp:extent cx="579755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2"/>
          </w:tcPr>
          <w:p>
            <w:pPr>
              <w:jc w:val="right"/>
              <w:ind w:right="90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2019</w:t>
      </w:r>
    </w:p>
    <w:p>
      <w:pPr>
        <w:spacing w:after="0" w:line="35" w:lineRule="exact"/>
        <w:rPr>
          <w:sz w:val="20"/>
          <w:szCs w:val="20"/>
          <w:color w:val="auto"/>
        </w:rPr>
      </w:pPr>
    </w:p>
    <w:p>
      <w:pPr>
        <w:sectPr>
          <w:pgSz w:w="11900" w:h="16838" w:orient="portrait"/>
          <w:cols w:equalWidth="0" w:num="2">
            <w:col w:w="7200" w:space="720"/>
            <w:col w:w="3440"/>
          </w:cols>
          <w:pgMar w:left="240" w:top="125" w:right="29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cash flows for operating leases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cash flow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Financing cash flow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2"/>
          </w:tcPr>
          <w:p>
            <w:pPr>
              <w:jc w:val="right"/>
              <w:ind w:right="90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00" w:space="720"/>
            <w:col w:w="3440"/>
          </w:cols>
          <w:pgMar w:left="240" w:top="125" w:right="2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Undiscounted Cash Flows</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table below reconciles the undiscounted cash flows for the next five years and thereafter to the finance lease liabilities and operating lease liabilities recorded on the balance sheet.</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Operating Leases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Finance Leases</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Q2 - Q4 2019</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2020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obligations</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Future minimum contractual lease payments for operating leases having initial or remaining noncancelable lease terms in excess of one year as of December 31, 2018 were as follows: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December 31,</w:t>
            </w:r>
          </w:p>
        </w:tc>
      </w:tr>
      <w:tr>
        <w:trPr>
          <w:trHeight w:val="234"/>
        </w:trPr>
        <w:tc>
          <w:tcPr>
            <w:tcW w:w="59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Kodak as lessor</w:t>
      </w:r>
    </w:p>
    <w:p>
      <w:pPr>
        <w:spacing w:after="0" w:line="2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Kodak places its own equipment at customer sites under sales-type and operating lease arrangements. Arrangements classified as sales-type leases generally transfer title to the equipment by the end of the lease term or have a lease term that is for a major part of the remaining economic life of the equipment; and collectability is considered probable. If the arrangement meets the criteria for a sales-type lease but collectability is not considered probable, Kodak will not derecognize the asset and will record all payments received as a liability until the earlier of collectability becoming probable or the lease is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terminated. Contracts with customers may include multiple performance obligations including equipment, optional software licenses and service agreements. For such arrangements, revenue is allocated to each performance obligation based on its relative standalone selling price. Kodak has no direct financing leases.</w:t>
      </w: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Eastman Business Park segment’s core operations are to lease real estate. Kodak also leases underutilized portions of real estate properties to third parties under both operating lease and sublease agreements. Payments received under operating lease agreements as part of the Eastman Business Park segment are reported in Revenues in the Consolidated Statement of Operations. Payments received under lease agreements for underutilized space are reported as cost reductions in Cost of revenues, SG&amp;A expenses, R&amp;D costs and Other charges, net. The lease arrangements are for various periods and are generally renewable. Renewal options and/or termination options are factored into the determination of lease payments if considered probable. Kodak does not separate lease and non-lease components of contracts for real estate leases.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8" w:name="page19"/>
    <w:bookmarkEnd w:id="18"/>
    <w:p>
      <w:pPr>
        <w:ind w:right="200"/>
        <w:spacing w:after="0" w:line="264" w:lineRule="auto"/>
        <w:rPr>
          <w:sz w:val="20"/>
          <w:szCs w:val="20"/>
          <w:color w:val="auto"/>
        </w:rPr>
      </w:pPr>
      <w:r>
        <w:rPr>
          <w:rFonts w:ascii="Arial" w:cs="Arial" w:eastAsia="Arial" w:hAnsi="Arial"/>
          <w:sz w:val="18"/>
          <w:szCs w:val="18"/>
          <w:color w:val="auto"/>
        </w:rPr>
        <w:t>Kodak’s net investment in sales-type leases as of March 31, 2019 and December 31, 2018 were $4 million and $3 million, respectively. The current portion of the net investment in sales-type leases is included in Trade receivables in the Consolidated Statement of Financial Position. The portion of the net investment in sales-type leases due after one year is included in Other long-term assets.</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reconciles the undiscounted cash flows to be received for the next five years and thereafter to the net investment in sales-type leases recorded on the balance sheet:</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Q2 - Q4 2019</w:t>
            </w: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20"/>
                <w:szCs w:val="20"/>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9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Less: unearned interest</w:t>
            </w:r>
          </w:p>
        </w:tc>
        <w:tc>
          <w:tcPr>
            <w:tcW w:w="9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9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Net investment in sales-type leases</w:t>
            </w: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Undiscounted cash flows to be received for the next five years and thereafter for operating leases and subleases are: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43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Q2 - Q4 2019</w:t>
            </w:r>
          </w:p>
        </w:tc>
        <w:tc>
          <w:tcPr>
            <w:tcW w:w="1380" w:type="dxa"/>
            <w:vAlign w:val="bottom"/>
            <w:shd w:val="clear" w:color="auto" w:fill="CFF0FC"/>
          </w:tcPr>
          <w:p>
            <w:pPr>
              <w:spacing w:after="0"/>
              <w:rPr>
                <w:sz w:val="20"/>
                <w:szCs w:val="20"/>
                <w:color w:val="auto"/>
              </w:rPr>
            </w:pPr>
          </w:p>
        </w:tc>
        <w:tc>
          <w:tcPr>
            <w:tcW w:w="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2020</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3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jc w:val="right"/>
              <w:ind w:right="317"/>
              <w:spacing w:after="0"/>
              <w:rPr>
                <w:sz w:val="20"/>
                <w:szCs w:val="20"/>
                <w:color w:val="auto"/>
              </w:rPr>
            </w:pPr>
            <w:r>
              <w:rPr>
                <w:rFonts w:ascii="Arial" w:cs="Arial" w:eastAsia="Arial" w:hAnsi="Arial"/>
                <w:sz w:val="18"/>
                <w:szCs w:val="18"/>
                <w:color w:val="auto"/>
                <w:w w:val="89"/>
              </w:rPr>
              <w:t>Equipment subject to operating leases and the related accumulated depreciation were as follows:</w:t>
            </w: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subject to operating leases</w:t>
            </w:r>
          </w:p>
        </w:tc>
        <w:tc>
          <w:tcPr>
            <w:tcW w:w="1380" w:type="dxa"/>
            <w:vAlign w:val="bottom"/>
            <w:shd w:val="clear" w:color="auto" w:fill="CFF0FC"/>
          </w:tcPr>
          <w:p>
            <w:pPr>
              <w:jc w:val="right"/>
              <w:ind w:right="1217"/>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380" w:type="dxa"/>
            <w:vAlign w:val="bottom"/>
          </w:tcPr>
          <w:p>
            <w:pPr>
              <w:spacing w:after="0"/>
              <w:rPr>
                <w:sz w:val="21"/>
                <w:szCs w:val="21"/>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Equipment subject to operating leases, net</w:t>
            </w:r>
          </w:p>
        </w:tc>
        <w:tc>
          <w:tcPr>
            <w:tcW w:w="1380" w:type="dxa"/>
            <w:vAlign w:val="bottom"/>
            <w:tcBorders>
              <w:top w:val="single" w:sz="8" w:color="auto"/>
              <w:bottom w:val="single" w:sz="8" w:color="auto"/>
            </w:tcBorders>
            <w:shd w:val="clear" w:color="auto" w:fill="CFF0FC"/>
          </w:tcPr>
          <w:p>
            <w:pPr>
              <w:jc w:val="right"/>
              <w:ind w:right="12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net is included in Property, plant and equipment, net in the Consolidated Statement of Financial Position.</w:t>
      </w: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Income recognized on operating lease arrangements for the three months ended March 31, 2019 is presented below (income recognized for sales-type lease arrangements is $0 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1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millions)</w:t>
            </w:r>
          </w:p>
        </w:tc>
        <w:tc>
          <w:tcPr>
            <w:tcW w:w="276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27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Lease income</w:t>
            </w:r>
          </w:p>
        </w:tc>
        <w:tc>
          <w:tcPr>
            <w:tcW w:w="2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2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2760" w:type="dxa"/>
            <w:vAlign w:val="bottom"/>
            <w:tcBorders>
              <w:bottom w:val="single" w:sz="8" w:color="CFF0FC"/>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lease income</w:t>
            </w:r>
          </w:p>
        </w:tc>
        <w:tc>
          <w:tcPr>
            <w:tcW w:w="3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bottom w:val="single" w:sz="8" w:color="CFF0FC"/>
            </w:tcBorders>
            <w:vMerge w:val="restart"/>
          </w:tcPr>
          <w:p>
            <w:pPr>
              <w:jc w:val="right"/>
              <w:ind w:right="1570"/>
              <w:spacing w:after="0"/>
              <w:rPr>
                <w:sz w:val="20"/>
                <w:szCs w:val="20"/>
                <w:color w:val="auto"/>
              </w:rPr>
            </w:pPr>
            <w:r>
              <w:rPr>
                <w:rFonts w:ascii="Arial" w:cs="Arial" w:eastAsia="Arial" w:hAnsi="Arial"/>
                <w:sz w:val="18"/>
                <w:szCs w:val="18"/>
                <w:color w:val="auto"/>
              </w:rPr>
              <w:t>[19]</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March 31, 2019, the Company had outstanding letters of credit of $85 million issued under the ABL Credit Agreement, as well as bank guarantees and letters of credit of $3 million, surety bonds in the amount of $40 million, and restricted cash and deposits of $21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2019, the unreserved portion of these contingencies, inclusive of any related interest and penalties, for which there was at least a reasonable possibility that a loss may be incurred, amounted to approximately $10 million.</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March 31, 2019, Kodak has posted security composed of $4 million of pledged cash reported within Restricted cash in the Consolidated Statement of Financial Position and liens on certain Brazilian assets with a net book value of approximately $58 million. Generally, any encumbrances on the Brazilian assets would be removed to the extent the matter is resolved in Kodak's favor.</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GUARANTEES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$2 million and the outstanding amount for those guarantees is $1 million.</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2018 to March 31, 2019, which is reflected in Other current liabilities in the accompanying Consolidated Statement of Financial Position,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gridSpan w:val="2"/>
          </w:tcPr>
          <w:p>
            <w:pPr>
              <w:ind w:left="23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2018</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w w:val="91"/>
              </w:rPr>
              <w:t>Recognition of extended warranty and maintenance arrangement revenue</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 2019</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300"/>
              <w:spacing w:after="0"/>
              <w:rPr>
                <w:sz w:val="20"/>
                <w:szCs w:val="20"/>
                <w:color w:val="auto"/>
              </w:rPr>
            </w:pPr>
            <w:r>
              <w:rPr>
                <w:rFonts w:ascii="Arial" w:cs="Arial" w:eastAsia="Arial" w:hAnsi="Arial"/>
                <w:sz w:val="18"/>
                <w:szCs w:val="18"/>
                <w:color w:val="auto"/>
              </w:rPr>
              <w:t>Deferred revenue on extended warranties as of March 31, 2019</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Major product: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vMerge w:val="restart"/>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March 31, 2019</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Enterprise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Inkjet</w:t>
            </w:r>
          </w:p>
        </w:tc>
        <w:tc>
          <w:tcPr>
            <w:tcW w:w="2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120" w:type="dxa"/>
            <w:vAlign w:val="bottom"/>
          </w:tcPr>
          <w:p>
            <w:pPr>
              <w:spacing w:after="0"/>
              <w:rPr>
                <w:sz w:val="18"/>
                <w:szCs w:val="18"/>
                <w:color w:val="auto"/>
              </w:rPr>
            </w:pPr>
          </w:p>
        </w:tc>
        <w:tc>
          <w:tcPr>
            <w:tcW w:w="1340" w:type="dxa"/>
            <w:vAlign w:val="bottom"/>
            <w:gridSpan w:val="4"/>
          </w:tcPr>
          <w:p>
            <w:pPr>
              <w:ind w:left="140"/>
              <w:spacing w:after="0"/>
              <w:rPr>
                <w:sz w:val="20"/>
                <w:szCs w:val="20"/>
                <w:color w:val="auto"/>
              </w:rPr>
            </w:pPr>
            <w:r>
              <w:rPr>
                <w:rFonts w:ascii="Arial" w:cs="Arial" w:eastAsia="Arial" w:hAnsi="Arial"/>
                <w:sz w:val="18"/>
                <w:szCs w:val="18"/>
                <w:b w:val="1"/>
                <w:bCs w:val="1"/>
                <w:color w:val="auto"/>
              </w:rPr>
              <w:t>Brand, Film</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Software</w:t>
            </w:r>
          </w:p>
        </w:tc>
        <w:tc>
          <w:tcPr>
            <w:tcW w:w="120" w:type="dxa"/>
            <w:vAlign w:val="bottom"/>
          </w:tcPr>
          <w:p>
            <w:pPr>
              <w:spacing w:after="0"/>
              <w:rPr>
                <w:sz w:val="20"/>
                <w:szCs w:val="20"/>
                <w:color w:val="auto"/>
              </w:rPr>
            </w:pP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and Imaging</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Technology</w:t>
            </w:r>
          </w:p>
        </w:tc>
        <w:tc>
          <w:tcPr>
            <w:tcW w:w="2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Ongoing service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3"/>
              </w:rPr>
              <w:t>March 31, 2018</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Enterprise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Inkjet</w:t>
            </w:r>
          </w:p>
        </w:tc>
        <w:tc>
          <w:tcPr>
            <w:tcW w:w="2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120" w:type="dxa"/>
            <w:vAlign w:val="bottom"/>
          </w:tcPr>
          <w:p>
            <w:pPr>
              <w:spacing w:after="0"/>
              <w:rPr>
                <w:sz w:val="18"/>
                <w:szCs w:val="18"/>
                <w:color w:val="auto"/>
              </w:rPr>
            </w:pPr>
          </w:p>
        </w:tc>
        <w:tc>
          <w:tcPr>
            <w:tcW w:w="1340" w:type="dxa"/>
            <w:vAlign w:val="bottom"/>
            <w:gridSpan w:val="4"/>
          </w:tcPr>
          <w:p>
            <w:pPr>
              <w:ind w:left="140"/>
              <w:spacing w:after="0"/>
              <w:rPr>
                <w:sz w:val="20"/>
                <w:szCs w:val="20"/>
                <w:color w:val="auto"/>
              </w:rPr>
            </w:pPr>
            <w:r>
              <w:rPr>
                <w:rFonts w:ascii="Arial" w:cs="Arial" w:eastAsia="Arial" w:hAnsi="Arial"/>
                <w:sz w:val="18"/>
                <w:szCs w:val="18"/>
                <w:b w:val="1"/>
                <w:bCs w:val="1"/>
                <w:color w:val="auto"/>
              </w:rPr>
              <w:t>Brand, Film</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Software</w:t>
            </w:r>
          </w:p>
        </w:tc>
        <w:tc>
          <w:tcPr>
            <w:tcW w:w="120" w:type="dxa"/>
            <w:vAlign w:val="bottom"/>
          </w:tcPr>
          <w:p>
            <w:pPr>
              <w:spacing w:after="0"/>
              <w:rPr>
                <w:sz w:val="20"/>
                <w:szCs w:val="20"/>
                <w:color w:val="auto"/>
              </w:rPr>
            </w:pP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and Imaging</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Technology</w:t>
            </w:r>
          </w:p>
        </w:tc>
        <w:tc>
          <w:tcPr>
            <w:tcW w:w="2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 consumables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400" w:hanging="572"/>
        <w:spacing w:after="0" w:line="277"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80" w:right="420" w:hanging="572"/>
        <w:spacing w:after="0" w:line="277"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March 31, 2019</w:t>
            </w:r>
          </w:p>
        </w:tc>
        <w:tc>
          <w:tcPr>
            <w:tcW w:w="100" w:type="dxa"/>
            <w:vAlign w:val="bottom"/>
          </w:tcPr>
          <w:p>
            <w:pPr>
              <w:spacing w:after="0"/>
              <w:rPr>
                <w:sz w:val="20"/>
                <w:szCs w:val="2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Materials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Enterprise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and 3D</w:t>
            </w:r>
          </w:p>
        </w:tc>
        <w:tc>
          <w:tcPr>
            <w:tcW w:w="120" w:type="dxa"/>
            <w:vAlign w:val="bottom"/>
          </w:tcPr>
          <w:p>
            <w:pPr>
              <w:spacing w:after="0"/>
              <w:rPr>
                <w:sz w:val="18"/>
                <w:szCs w:val="18"/>
                <w:color w:val="auto"/>
              </w:rPr>
            </w:pPr>
          </w:p>
        </w:tc>
        <w:tc>
          <w:tcPr>
            <w:tcW w:w="13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Eastman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Print</w:t>
            </w: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Inkjet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Kodak</w:t>
            </w:r>
          </w:p>
        </w:tc>
        <w:tc>
          <w:tcPr>
            <w:tcW w:w="22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Brand, Film</w:t>
            </w: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18"/>
                <w:szCs w:val="18"/>
                <w:color w:val="auto"/>
              </w:rPr>
            </w:pPr>
          </w:p>
        </w:tc>
        <w:tc>
          <w:tcPr>
            <w:tcW w:w="132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2"/>
              </w:rPr>
              <w:t>Business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Software</w:t>
            </w:r>
          </w:p>
        </w:tc>
        <w:tc>
          <w:tcPr>
            <w:tcW w:w="2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and Imaging</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132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97"/>
              </w:rPr>
              <w:t>Park</w:t>
            </w: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March 31, 2018</w:t>
            </w:r>
          </w:p>
        </w:tc>
        <w:tc>
          <w:tcPr>
            <w:tcW w:w="100" w:type="dxa"/>
            <w:vAlign w:val="bottom"/>
          </w:tcPr>
          <w:p>
            <w:pPr>
              <w:spacing w:after="0"/>
              <w:rPr>
                <w:sz w:val="20"/>
                <w:szCs w:val="2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Materials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Enterprise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and 3D</w:t>
            </w: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Print</w:t>
            </w: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Inkjet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Kodak</w:t>
            </w:r>
          </w:p>
        </w:tc>
        <w:tc>
          <w:tcPr>
            <w:tcW w:w="22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Brand, Film</w:t>
            </w: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Software</w:t>
            </w:r>
          </w:p>
        </w:tc>
        <w:tc>
          <w:tcPr>
            <w:tcW w:w="22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and Imaging</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7"/>
          <w:szCs w:val="17"/>
          <w:color w:val="auto"/>
        </w:rPr>
        <w:t>Growth engines consist of Sonora, PROSPER, Kodak Software, AM3D, excluding intellectual property (IP) licensing, and brand licensing.</w:t>
      </w:r>
    </w:p>
    <w:p>
      <w:pPr>
        <w:spacing w:after="0" w:line="263" w:lineRule="exact"/>
        <w:rPr>
          <w:rFonts w:ascii="Arial" w:cs="Arial" w:eastAsia="Arial" w:hAnsi="Arial"/>
          <w:sz w:val="14"/>
          <w:szCs w:val="14"/>
          <w:color w:val="auto"/>
        </w:rPr>
      </w:pPr>
    </w:p>
    <w:p>
      <w:pPr>
        <w:jc w:val="both"/>
        <w:ind w:left="580" w:right="620" w:hanging="572"/>
        <w:spacing w:after="0" w:line="264"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Strategic Other Businesses include plates, Computer to Plate (“CTP”) and related service, and Nexpress and related toner business in the Print Systems segment, Motion Picture and Industrial Film and Chemicals in the Brand, Film and Imaging segment, Eastman Business Park and IP licensing.</w:t>
      </w:r>
    </w:p>
    <w:p>
      <w:pPr>
        <w:spacing w:after="0" w:line="208" w:lineRule="exact"/>
        <w:rPr>
          <w:rFonts w:ascii="Arial" w:cs="Arial" w:eastAsia="Arial" w:hAnsi="Arial"/>
          <w:sz w:val="15"/>
          <w:szCs w:val="15"/>
          <w:color w:val="auto"/>
        </w:rPr>
      </w:pPr>
    </w:p>
    <w:p>
      <w:pPr>
        <w:ind w:left="580" w:right="140" w:hanging="572"/>
        <w:spacing w:after="0" w:line="264"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These product families consist of Consumer Inkjet in the Brand, Film and Imaging segment, Versamark in the Enterprise Inkjet Systems segment and Digimaster in the Print Systems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Geography:</w:t>
            </w: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Advanced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3D</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1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Brand, Film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8"/>
              </w:rPr>
              <w:t>Print Systems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Software</w:t>
            </w:r>
          </w:p>
        </w:tc>
        <w:tc>
          <w:tcPr>
            <w:tcW w:w="18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and Imaging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March 31,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Advanced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3D</w:t>
            </w:r>
          </w:p>
        </w:tc>
        <w:tc>
          <w:tcPr>
            <w:tcW w:w="16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Inkjet</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1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Brand, Film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Printing</w:t>
            </w: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88"/>
              </w:rPr>
              <w:t>Print Systems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Software</w:t>
            </w:r>
          </w:p>
        </w:tc>
        <w:tc>
          <w:tcPr>
            <w:tcW w:w="18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and Imaging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Technology</w:t>
            </w:r>
          </w:p>
        </w:tc>
        <w:tc>
          <w:tcPr>
            <w:tcW w:w="16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Canada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both March 31, 2019 and December 31, 2018 were $3 million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March 31, 2019 and December 31, 2018 were $45 million and $48 million, respectively, of which $37 million and $42 million, respectively, are reported in Other current liabilities and $8 million and $6 million, respectively, are reported in Other long-term liabilities in the Consolidated Statement of Financial Position.</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recognized for the three months ended March 31, 2019 and 2018 that was included in the contract liability balance at the beginning of the year was $24 million and $25 million, respectively, and primarily represented revenue from prepaid service contracts and equipment revenue recognition. Contract liabilities as of March 31, 2019 and 2018 include $20 million and $23 million of cash payments received during the three months ended March 31,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March 31, 2019, there was approximately $70 million of unrecognized revenue from unsatisfied performance obligations. Approximately 30% of the revenue from unsatisfied performance obligations is expected to be recognized in both the rest of 2019 and in 2020, 20% in 2021 and 20% thereafter.</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OTHER (INCOME) CHARGES,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5"/>
              </w:rPr>
              <w:t xml:space="preserve">Change in fair value of embedded conversion features derivative liability </w:t>
            </w:r>
            <w:r>
              <w:rPr>
                <w:rFonts w:ascii="Arial" w:cs="Arial" w:eastAsia="Arial" w:hAnsi="Arial"/>
                <w:sz w:val="15"/>
                <w:szCs w:val="15"/>
                <w:color w:val="auto"/>
                <w:w w:val="95"/>
              </w:rPr>
              <w:t>(1)</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Loss on foreign exchange transactions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4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2"/>
            <w:vMerge w:val="restart"/>
          </w:tcPr>
          <w:p>
            <w:pPr>
              <w:ind w:left="1100"/>
              <w:spacing w:after="0"/>
              <w:rPr>
                <w:sz w:val="20"/>
                <w:szCs w:val="20"/>
                <w:color w:val="auto"/>
              </w:rPr>
            </w:pPr>
            <w:r>
              <w:rPr>
                <w:rFonts w:ascii="Arial" w:cs="Arial" w:eastAsia="Arial" w:hAnsi="Arial"/>
                <w:sz w:val="15"/>
                <w:szCs w:val="15"/>
                <w:color w:val="auto"/>
              </w:rPr>
              <w:t>(1)</w:t>
            </w:r>
          </w:p>
        </w:tc>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Refer to Note 23, “Financial Instruments”.</w:t>
            </w: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440" w:type="dxa"/>
            <w:vAlign w:val="bottom"/>
            <w:gridSpan w:val="2"/>
            <w:vMerge w:val="continue"/>
          </w:tcPr>
          <w:p>
            <w:pPr>
              <w:spacing w:after="0"/>
              <w:rPr>
                <w:sz w:val="24"/>
                <w:szCs w:val="24"/>
                <w:color w:val="auto"/>
              </w:rPr>
            </w:pPr>
          </w:p>
        </w:tc>
        <w:tc>
          <w:tcPr>
            <w:tcW w:w="5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NOTE 14: INCOME TAXES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3"/>
          </w:tcPr>
          <w:p>
            <w:pPr>
              <w:spacing w:after="0"/>
              <w:rPr>
                <w:sz w:val="20"/>
                <w:szCs w:val="20"/>
                <w:color w:val="auto"/>
              </w:rPr>
            </w:pPr>
            <w:r>
              <w:rPr>
                <w:rFonts w:ascii="Arial" w:cs="Arial" w:eastAsia="Arial" w:hAnsi="Arial"/>
                <w:sz w:val="18"/>
                <w:szCs w:val="18"/>
                <w:color w:val="auto"/>
              </w:rPr>
              <w:t>Kodak’s income tax provision and effective tax rate were as follows: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8"/>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from continuing operations before</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54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Benefit for income taxes at U.S. statutory tax rate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2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three months ended March 31, 2019,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and (2) the results from operations in jurisdictions outside the U.S.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2018,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15: RESTRUCTURING LIABILITIES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months of 2019 were initiated to reduce Kodak’s cost structure as part of its commitment to drive sustainable profitability and included various targeted reductions in manufacturing, service, sales and other administrative functions.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Exit</w:t>
            </w: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24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480" w:right="380" w:hanging="472"/>
        <w:spacing w:after="0" w:line="277" w:lineRule="auto"/>
        <w:tabs>
          <w:tab w:leader="none" w:pos="48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97" w:lineRule="exact"/>
        <w:rPr>
          <w:rFonts w:ascii="Arial" w:cs="Arial" w:eastAsia="Arial" w:hAnsi="Arial"/>
          <w:sz w:val="15"/>
          <w:szCs w:val="15"/>
          <w:color w:val="auto"/>
        </w:rPr>
      </w:pPr>
    </w:p>
    <w:p>
      <w:pPr>
        <w:ind w:left="580" w:hanging="572"/>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severance charges funded from pension plan assets, which were reclassified to Pension and other postretirement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2019 the $2 million of charges were reported as Restructuring costs and other.</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severance costs for the three months ended March 31, 2019 related to the elimination of approximately 40 positions including approximately 15 manufacturing/service positions, and 25 administrative and sales positions. The geographic composition of these positions includes approximately 20 in the United States and Canada and 20 throughout the rest of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RETIREMENT PLANS AND OTHER POSTRETIREMENT BENEFITS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Non-U.S.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Non-U.S.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pension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March 31, 2019 the special termination benefits charges were incurred as a result of Kodak’s restructuring actions and have been included in Restructuring costs and other in the Consolidated Statement of Operations for those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17: EARNINGS PER SHARE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amounts used to calculate basic and diluted earnings per share for three months ended March 31, 2019 follows (in millions):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1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560" w:type="dxa"/>
            <w:vAlign w:val="bottom"/>
            <w:gridSpan w:val="2"/>
          </w:tcPr>
          <w:p>
            <w:pPr>
              <w:spacing w:after="0"/>
              <w:rPr>
                <w:sz w:val="20"/>
                <w:szCs w:val="20"/>
                <w:color w:val="auto"/>
              </w:rPr>
            </w:pPr>
            <w:r>
              <w:rPr>
                <w:rFonts w:ascii="Arial" w:cs="Arial" w:eastAsia="Arial" w:hAnsi="Arial"/>
                <w:sz w:val="18"/>
                <w:szCs w:val="18"/>
                <w:color w:val="auto"/>
              </w:rPr>
              <w:t>Loss from continuing operations available to</w:t>
            </w:r>
          </w:p>
        </w:tc>
        <w:tc>
          <w:tcPr>
            <w:tcW w:w="1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1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available to common shareholders - basic and</w:t>
            </w:r>
          </w:p>
        </w:tc>
        <w:tc>
          <w:tcPr>
            <w:tcW w:w="1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5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color w:val="auto"/>
              </w:rPr>
              <w:t>(in millions of shares)</w:t>
            </w:r>
          </w:p>
        </w:tc>
        <w:tc>
          <w:tcPr>
            <w:tcW w:w="1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56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 and diluted</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w:t>
            </w:r>
          </w:p>
        </w:tc>
        <w:tc>
          <w:tcPr>
            <w:tcW w:w="4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a result of the net loss from continuing operations available to common shareholders for the three months ended March 31, 2019 and 2018, Kodak calculated diluted earnings per share using weighted-average basic shares outstanding for those periods. If Kodak reported earnings from continuing operations available to common shareholders for the three months ended March 31, 2019 and 2018, the calculation of diluted earnings per share would have included the assumed conversion of 0.4 million and 0.3 million of unvested restricted stock units, respectively.</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computation of diluted earnings per share for the three months ended March 31, 2019 and 2018 excluded the impact of (1) the assumed conversion of 2.0 million shares of Series A convertible preferred shares and (2) the assumed conversion of outstanding employee stock options of 7.0 million and 5.0 million, respectively, because the effects would have been anti-dilutive. In addition, the computation of diluted earnings per share for the three months ended March 31, 2018 excluded the impact of (1) the assumed conversion of net share settled warrants to purchase 1.8 million shares of common stock at an exercise price of $14.93 and (2) the assumed conversion of net share settled warrants to purchase 1.8 million shares of common stock at an exercise price of $16.12 because the effects would have been anti-dilutive. The net share settled warrants terminated at the close of business on September 3,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SHAREHOLDERS’ EQUITY</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March 31, 2019 and December 31, 2018, there were 43.0 million and 42.8 million shares of common stock outstanding, respectively, and 2.0 million shares of Series A preferred stock issued and outstanding. Treasury stock consisted of approximately 0.6 million shares at both March 31, 2019 and December 31, 2018.</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19: OTHER COMPREHENSIVE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7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 adjustments: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Amortization of prior service credit</w:t>
            </w:r>
          </w:p>
        </w:tc>
        <w:tc>
          <w:tcPr>
            <w:tcW w:w="2000" w:type="dxa"/>
            <w:vAlign w:val="bottom"/>
            <w:gridSpan w:val="2"/>
          </w:tcPr>
          <w:p>
            <w:pPr>
              <w:jc w:val="right"/>
              <w:ind w:right="305"/>
              <w:spacing w:after="0"/>
              <w:rPr>
                <w:sz w:val="20"/>
                <w:szCs w:val="20"/>
                <w:color w:val="auto"/>
              </w:rPr>
            </w:pPr>
            <w:r>
              <w:rPr>
                <w:rFonts w:ascii="Arial" w:cs="Arial" w:eastAsia="Arial" w:hAnsi="Arial"/>
                <w:sz w:val="15"/>
                <w:szCs w:val="15"/>
                <w:color w:val="auto"/>
              </w:rPr>
              <w:t>(a)</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actuarial (gains) losses</w:t>
            </w:r>
          </w:p>
        </w:tc>
        <w:tc>
          <w:tcPr>
            <w:tcW w:w="2000" w:type="dxa"/>
            <w:vAlign w:val="bottom"/>
            <w:gridSpan w:val="2"/>
            <w:shd w:val="clear" w:color="auto" w:fill="CFF0FC"/>
          </w:tcPr>
          <w:p>
            <w:pPr>
              <w:jc w:val="right"/>
              <w:ind w:right="305"/>
              <w:spacing w:after="0"/>
              <w:rPr>
                <w:sz w:val="20"/>
                <w:szCs w:val="20"/>
                <w:color w:val="auto"/>
              </w:rPr>
            </w:pPr>
            <w:r>
              <w:rPr>
                <w:rFonts w:ascii="Arial" w:cs="Arial" w:eastAsia="Arial" w:hAnsi="Arial"/>
                <w:sz w:val="15"/>
                <w:szCs w:val="15"/>
                <w:color w:val="auto"/>
              </w:rPr>
              <w:t>(a)</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Recognition of losses due to settlement</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3"/>
        </w:trPr>
        <w:tc>
          <w:tcPr>
            <w:tcW w:w="5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reclassification adjustments</w:t>
            </w:r>
          </w:p>
        </w:tc>
        <w:tc>
          <w:tcPr>
            <w:tcW w:w="1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17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16,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7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21: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Effective in January 2019 Kodak changed its organizational structure. Kodak Technology Solutions, formerly part of the Software and Solutions segment, was moved into the Consumer and Film segment. The Consumer and Film segment was renamed the Brand, Film &amp; Imaging segment. The Unified Workflow Solutions business, formerly part of the Software and Solutions segment, will operate as a dedicated segment named Kodak Software segment.</w:t>
      </w:r>
    </w:p>
    <w:p>
      <w:pPr>
        <w:spacing w:after="0" w:line="182"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Financial information is reported for six reportable segments: Print Systems, Enterprise Inkjet Systems, Kodak Software, Brand, Film and Imaging, Advanced Materials and 3D Printing Technology and Eastman Business Park. A description of the reportable segments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Software</w:t>
      </w:r>
      <w:r>
        <w:rPr>
          <w:rFonts w:ascii="Arial" w:cs="Arial" w:eastAsia="Arial" w:hAnsi="Arial"/>
          <w:sz w:val="18"/>
          <w:szCs w:val="18"/>
          <w:color w:val="auto"/>
        </w:rPr>
        <w:t>: The Kodak Software segment is comprised of the Software business.</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Brand, Film and Imaging</w:t>
      </w:r>
      <w:r>
        <w:rPr>
          <w:rFonts w:ascii="Arial" w:cs="Arial" w:eastAsia="Arial" w:hAnsi="Arial"/>
          <w:sz w:val="18"/>
          <w:szCs w:val="18"/>
          <w:color w:val="auto"/>
        </w:rPr>
        <w:t>: The Brand, Film and Imaging segment is comprised of five lines of business: Consumer Products, Industrial Film and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Motion Picture, Kodak Services for Business (“KSB”) and Kodakit.</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Brand, Film and Imaging</w:t>
            </w: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2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Eastman Business Park</w:t>
            </w:r>
          </w:p>
        </w:tc>
        <w:tc>
          <w:tcPr>
            <w:tcW w:w="28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total</w:t>
            </w:r>
          </w:p>
        </w:tc>
        <w:tc>
          <w:tcPr>
            <w:tcW w:w="2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20" w:type="dxa"/>
            <w:vAlign w:val="bottom"/>
            <w:vMerge w:val="restart"/>
          </w:tcPr>
          <w:p>
            <w:pPr>
              <w:jc w:val="right"/>
              <w:ind w:right="1710"/>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Segment Operational EBITDA and Consolidated Loss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Brand, Film and Imaging</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Eastman Business Park</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4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1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Former CEO separation agreement compensation</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(3)</w:t>
            </w: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 xml:space="preserve">Other charges, net </w:t>
            </w:r>
            <w:r>
              <w:rPr>
                <w:rFonts w:ascii="Arial" w:cs="Arial" w:eastAsia="Arial" w:hAnsi="Arial"/>
                <w:sz w:val="15"/>
                <w:szCs w:val="15"/>
                <w:color w:val="auto"/>
              </w:rPr>
              <w:t>(3)</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09"/>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loss from continuing operations before</w:t>
            </w:r>
          </w:p>
        </w:tc>
        <w:tc>
          <w:tcPr>
            <w:tcW w:w="1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9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320" w:hanging="512"/>
        <w:spacing w:after="0" w:line="277" w:lineRule="auto"/>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separation agreement compensation paid to former CEO; other operating income (expense), net (unless otherwise indicated); goodwill impairment losses; interest expense; and other charges, net.</w:t>
      </w:r>
    </w:p>
    <w:p>
      <w:pPr>
        <w:spacing w:after="0" w:line="19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 Measure of Profitability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quarter of 2019 the segment measure was changed to exclude the costs, net of any rental income received, of underutilized portions of certain properties. Additionally, the allocation of costs from EBP to the Brand, Film and Imaging segment and Advanced Materials and 3D Printing Technology segment as tenants of EBP and to each of the segments as users of shared corporate space at the global headquarters changed. Prior year results have been revised to reflect these changes.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Discontinued operations of Kodak include the former Flexographic Packaging segment comprised of Kodak’s Flexographic Packaging Business (the “Business”).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Kodak consummated the sale of certain assets of the Business to MIR Bidco, SA (the “Purchaser”) on April 8, 2019 for net cash consideration at closing, in addition to the assumption by Purchaser of certain liabilities of the Business, of $320 million, pursuant to the Stock and Asset Purchase Agreement (“SAPA”) signed in November 2018 and amended in March 2019. Assets and liabilities of the Business in China were not transferred at the initial closing but will be transferred at a deferred closing in accordance with the SAPA. The portion of the purchase price to be paid at the deferred closing is $7.5 million.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8" w:name="page29"/>
    <w:bookmarkEnd w:id="28"/>
    <w:p>
      <w:pPr>
        <w:ind w:right="80"/>
        <w:spacing w:after="0" w:line="264" w:lineRule="auto"/>
        <w:rPr>
          <w:sz w:val="20"/>
          <w:szCs w:val="20"/>
          <w:color w:val="auto"/>
        </w:rPr>
      </w:pPr>
      <w:r>
        <w:rPr>
          <w:rFonts w:ascii="Arial" w:cs="Arial" w:eastAsia="Arial" w:hAnsi="Arial"/>
          <w:sz w:val="18"/>
          <w:szCs w:val="18"/>
          <w:color w:val="auto"/>
        </w:rPr>
        <w:t>Kodak will operate the Business in China, subject to certain covenants, until the deferred closing occurs and will deliver to (or receive from) the Purchaser a true-up payment reflecting the actual economic benefit (or detriment) attributable to the operation of the Business in China from the time of the initial closing through the time of the deferred closing.</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Simultaneously with entering into the SAPA, the Company and the Purchaser entered into an Earn-out Agreement, pursuant to which the Company will be entitled to an aggregate of up to $35 million in additional cash consideration if the Business achieves agreed EBITDA targets for 2018 ($10 million earn-out), 2019 ($10 million earn-out) and 2020 ($15 million earn-out). The EBITDA target for 2018 was not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April 16, 2019 the Purchaser paid Kodak $15 million as a prepayment for services and products to be provided by Kodak to the Purchaser.</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results of operations of the Business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 Additionally, the assets and liabilities associated with the Business are classified as held for sale in the Consolidated Statement of Financial Position as of March 31, 2019 and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the Business are presented below:</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taxes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After the initial closing, Kodak was required to use a portion of the proceeds from the sale of the Business to repay $312 million of the loans under the Term Credit Agreement. Interest expense on debt that was required to be repaid as a result of the sale was allocated to 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 million of transaction costs are included in Selling, general and administrative expenses in the current year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 of major assets and liabilities of the Business: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ind w:left="1140"/>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Inventories, net</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37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Assets of business held for sale</w:t>
            </w:r>
          </w:p>
        </w:tc>
        <w:tc>
          <w:tcPr>
            <w:tcW w:w="25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FF0FC"/>
            </w:tcBorders>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trade</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Pension and other postretirement liabilities</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5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Liabilities of business held for sale</w:t>
            </w:r>
          </w:p>
        </w:tc>
        <w:tc>
          <w:tcPr>
            <w:tcW w:w="25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00" w:type="dxa"/>
            <w:vAlign w:val="bottom"/>
            <w:vMerge w:val="restart"/>
          </w:tcPr>
          <w:p>
            <w:pPr>
              <w:jc w:val="right"/>
              <w:ind w:right="1450"/>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9" w:name="page30"/>
    <w:bookmarkEnd w:id="29"/>
    <w:p>
      <w:pPr>
        <w:ind w:right="140"/>
        <w:spacing w:after="0" w:line="264" w:lineRule="auto"/>
        <w:rPr>
          <w:sz w:val="20"/>
          <w:szCs w:val="20"/>
          <w:color w:val="auto"/>
        </w:rPr>
      </w:pPr>
      <w:r>
        <w:rPr>
          <w:rFonts w:ascii="Arial" w:cs="Arial" w:eastAsia="Arial" w:hAnsi="Arial"/>
          <w:sz w:val="18"/>
          <w:szCs w:val="18"/>
          <w:color w:val="auto"/>
        </w:rPr>
        <w:t>A dedicated entity of the Business had intercompany receivables with Kodak of approximately $5 million as of March 31, 2019 and December 31, 2018 that are part of the proposed transaction but are not reflected in the table above as these amounts have been eliminated in deriving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flow information associated with the Business: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ind w:left="72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58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long-lived assets of the Business included in discontinued operations ceased as of December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FINANCIAL INSTRUMENTS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(income) charges, net in the Consolidated Statement of Operations). The notional amount of such contracts open at March 31, 2019 and December 31, 2018 was approximately $411 million and $415 million, respectively. The majority of the contracts of this type held by Kodak as of March 31, 2019 and December 31, 2018 are denominated in euros, Japanese yen, Chinese renminbi and Swiss francs.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72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8"/>
                <w:szCs w:val="18"/>
                <w:b w:val="1"/>
                <w:bCs w:val="1"/>
                <w:color w:val="auto"/>
                <w:w w:val="93"/>
              </w:rPr>
              <w:t>March 31,</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6"/>
                <w:szCs w:val="16"/>
                <w:color w:val="auto"/>
              </w:rPr>
              <w:t>(in millions)</w:t>
            </w:r>
          </w:p>
        </w:tc>
        <w:tc>
          <w:tcPr>
            <w:tcW w:w="16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gain from derivatives not designated as hedging</w:t>
            </w:r>
          </w:p>
        </w:tc>
        <w:tc>
          <w:tcPr>
            <w:tcW w:w="16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266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months ended March 31, 2019.</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event of a default under the Term Credit Agreement,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3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As discussed in Note 8,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is in an asset position at both March 31, 2019 and December 31, 2018, and is reported in Other long-term assets in the Consolidated Statement of Financial Position. The derivative is being accounted for at fair value with changes in fair value being reported in Other charges, net in the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The gross fair value of forward contracts in an asset position as of both March 31, 2019 and December 31, 2018 was $3 million. The gross fair value of foreign currency forward contracts in a liability position as of March 31, 2019 and December 31, 2018 was $0 million and $1 million, respectively.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right="820"/>
        <w:spacing w:after="0" w:line="308"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three months ended March 31, 2019.</w:t>
      </w:r>
    </w:p>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fair value of the embedded conversion features derivative is calculated using unobservable inputs (Level 3 fair measurements). The value of the Optional Conversion and Mandatory Conversion is calculated using a binomial lattice model. The following table presents the key inputs in the determination of the fair value of the Optional Conversion and Mandatory Conversion at March 31, 2019 and December 31, 2018:</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6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asset ($ millions)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95.55%</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23.77%</w:t>
            </w: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Other than events which alter the likelihood of a fundamental change or reorganization event, the value of the Fundamental Change and Reorganization Conversion reflects the value as of the issuance date, amortized for the passage of time. The Fundamental Change and Reorganization Conversion value exceeded the value of the Optional Conversion and Mandatory Conversion values at both March 31, 2019 and December 31, 2018 resulting in the derivative being reported as an asset.</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$18 million and $5 million at March 31, 2019 and December 31, 2018, respectively. At March 31, 2019 and December 31, 2018, the fair value of current portion of long-term debt was also determined by reference to quoted market prices of similar instruments, if available, or by pricing models based on the value of related cash flows discounted at current market interest rates. The fair value of current portion of long-term debt was $391 million and $378 million at March 31, 2019 and December 31, 2018,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cash and cash equivalents, restricted cash and short-term borrowings approximate their fair values.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2018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SEC from time to time, as well as the following:</w:t>
      </w:r>
    </w:p>
    <w:p>
      <w:pPr>
        <w:spacing w:after="0" w:line="75"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repay, refinance or extend the maturity of the loans under the Term Credit Agreement prior to their maturity date of September 3, 2019 or prior to June 5, 2019, the date on which the ABL Credit Agreement will terminate unless such repayment, refinancing or extension has occurred, or the ABL Credit Agreement has been amended;</w:t>
      </w:r>
    </w:p>
    <w:p>
      <w:pPr>
        <w:spacing w:after="0" w:line="73"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or otherwise monetize assets, including the completion of the deferred sale of the FPD China assets, and the ability of the FPD business to perform during 2019 and 2020 at levels that will entitle Kodak to earn-out payments;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graphic communications market and is developing products for the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and provides products and services for motion pictures and other commercial films.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Revenue decreased $27 million compared to the prior year quarter (8%), including the unfavorable impact of currency ($11 million) in the current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Focus product investment in the following growth engines - Sonora, Ultrastream, Advanced Materials and 3D Printing and Software</w:t>
      </w:r>
    </w:p>
    <w:p>
      <w:pPr>
        <w:spacing w:after="0" w:line="101"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market leadership position and cash flows associated with Print Systems;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90" w:lineRule="exact"/>
        <w:rPr>
          <w:sz w:val="20"/>
          <w:szCs w:val="20"/>
          <w:color w:val="auto"/>
        </w:rPr>
      </w:pPr>
    </w:p>
    <w:p>
      <w:pPr>
        <w:ind w:left="1040" w:right="240" w:hanging="519"/>
        <w:spacing w:after="0" w:line="242"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Following the $312 million prepayment of loans made under the Term Credit Agreement made in April 2019 with proceeds from the sale of FPD, the Company has $83 million of outstanding indebtedness under the Term Credit Agreement. The loans made under the Term Credit Agreement become due on the earlier of (i) the maturity date of September 3, 2019 or (ii) the acceleration of such loans following the occurrence of an event of default (as defined in the Term Credit Agreement). Kodak does not have committed refinancing or the liquidity to meet the debt obligation as it becomes due. Kodak is working to refinance the Term Credit Agreement.</w:t>
      </w:r>
    </w:p>
    <w:p>
      <w:pPr>
        <w:spacing w:after="0" w:line="67" w:lineRule="exact"/>
        <w:rPr>
          <w:rFonts w:ascii="Arial" w:cs="Arial" w:eastAsia="Arial" w:hAnsi="Arial"/>
          <w:sz w:val="17"/>
          <w:szCs w:val="17"/>
          <w:color w:val="auto"/>
        </w:rPr>
      </w:pPr>
    </w:p>
    <w:p>
      <w:pPr>
        <w:ind w:left="1040" w:right="80" w:hanging="519"/>
        <w:spacing w:after="0" w:line="239"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Print Systems’ revenues accounted for approximately 66% of Kodak’s revenues for the three months ended March 31, 2019. Print Systems’ revenues decreased $24 million (11%) compared with the prior year quarter including the unfavorable impact of currency ($9 million) in the current year quarter. Segment earnings improved $2 million (67%) compared to the prior quarter, as refunds of aluminum tariffs which were paid by Kodak over the prior two quarters and cost improvements exceeded the impact of declining revenues.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49" w:lineRule="exact"/>
        <w:rPr>
          <w:rFonts w:ascii="Arial" w:cs="Arial" w:eastAsia="Arial" w:hAnsi="Arial"/>
          <w:sz w:val="17"/>
          <w:szCs w:val="17"/>
          <w:color w:val="auto"/>
        </w:rPr>
      </w:pPr>
    </w:p>
    <w:p>
      <w:pPr>
        <w:ind w:left="1040" w:hanging="519"/>
        <w:spacing w:after="0" w:line="231"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w:t>
      </w:r>
    </w:p>
    <w:p>
      <w:pPr>
        <w:spacing w:after="0" w:line="148" w:lineRule="exact"/>
        <w:rPr>
          <w:rFonts w:ascii="Arial" w:cs="Arial" w:eastAsia="Arial" w:hAnsi="Arial"/>
          <w:sz w:val="18"/>
          <w:szCs w:val="18"/>
          <w:color w:val="auto"/>
        </w:rPr>
      </w:pPr>
    </w:p>
    <w:p>
      <w:pPr>
        <w:ind w:left="1040" w:right="10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Kodak Software segment’s revenues declined $2 million (13%) compared to the prior year first three months, primarily reflecting volume declines.</w:t>
      </w:r>
    </w:p>
    <w:p>
      <w:pPr>
        <w:spacing w:after="0" w:line="142" w:lineRule="exact"/>
        <w:rPr>
          <w:rFonts w:ascii="Arial" w:cs="Arial" w:eastAsia="Arial" w:hAnsi="Arial"/>
          <w:sz w:val="18"/>
          <w:szCs w:val="18"/>
          <w:color w:val="auto"/>
        </w:rPr>
      </w:pPr>
    </w:p>
    <w:p>
      <w:pPr>
        <w:ind w:left="1040" w:right="20" w:hanging="519"/>
        <w:spacing w:after="0" w:line="307"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Brand, Film and Imaging revenues declined $3 million compared with the prior year quarter (6%). The segment loss was unchanged compared with the prior year quarter. Kodak plans to continue to promote the use of film to utilize as much film manufacturing capacity as possible.</w:t>
      </w:r>
    </w:p>
    <w:p>
      <w:pPr>
        <w:spacing w:after="0" w:line="15" w:lineRule="exact"/>
        <w:rPr>
          <w:rFonts w:ascii="Arial" w:cs="Arial" w:eastAsia="Arial" w:hAnsi="Arial"/>
          <w:sz w:val="16"/>
          <w:szCs w:val="16"/>
          <w:color w:val="auto"/>
        </w:rPr>
      </w:pPr>
    </w:p>
    <w:p>
      <w:pPr>
        <w:ind w:left="1040" w:right="38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EBP.</w:t>
      </w:r>
    </w:p>
    <w:p>
      <w:pPr>
        <w:spacing w:after="0" w:line="61" w:lineRule="exact"/>
        <w:rPr>
          <w:rFonts w:ascii="Arial" w:cs="Arial" w:eastAsia="Arial" w:hAnsi="Arial"/>
          <w:sz w:val="18"/>
          <w:szCs w:val="18"/>
          <w:color w:val="auto"/>
        </w:rPr>
      </w:pPr>
    </w:p>
    <w:p>
      <w:pPr>
        <w:ind w:left="1040" w:right="20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61" w:lineRule="exact"/>
        <w:rPr>
          <w:rFonts w:ascii="Arial" w:cs="Arial" w:eastAsia="Arial" w:hAnsi="Arial"/>
          <w:sz w:val="18"/>
          <w:szCs w:val="18"/>
          <w:color w:val="auto"/>
        </w:rPr>
      </w:pPr>
    </w:p>
    <w:p>
      <w:pPr>
        <w:ind w:left="1040" w:right="42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and selling and leasing excess capacity in its properties.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Kodak has six reportable segments: Print Systems; Enterprise Inkjet Systems; Kodak Software; Brand, Film and Imaging;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toner-based technology. The Print Systems segment provides digital and traditional product and service offerings to a variety of commercial industries, including commercial print, direct mail, book publishing, newspapers and magazines and packaging.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240" w:right="80" w:hanging="516"/>
        <w:spacing w:after="0" w:line="286"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240" w:right="60" w:hanging="516"/>
        <w:spacing w:after="0" w:line="259"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240" w:right="240" w:hanging="516"/>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240" w:right="380" w:hanging="516"/>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hanging="376"/>
        <w:spacing w:after="0" w:line="290"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93" w:lineRule="exact"/>
        <w:rPr>
          <w:rFonts w:ascii="Arial" w:cs="Arial" w:eastAsia="Arial" w:hAnsi="Arial"/>
          <w:sz w:val="16"/>
          <w:szCs w:val="16"/>
          <w:color w:val="auto"/>
        </w:rPr>
      </w:pPr>
    </w:p>
    <w:p>
      <w:pPr>
        <w:ind w:left="1140" w:right="100" w:hanging="376"/>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secured its first agreement in the fourth quarter of 2018 with an industry OEM, who will integrate Ultrastream in a packaging press solution.</w:t>
      </w:r>
    </w:p>
    <w:p>
      <w:pPr>
        <w:spacing w:after="0" w:line="186" w:lineRule="exact"/>
        <w:rPr>
          <w:rFonts w:ascii="Arial" w:cs="Arial" w:eastAsia="Arial" w:hAnsi="Arial"/>
          <w:sz w:val="18"/>
          <w:szCs w:val="18"/>
          <w:color w:val="auto"/>
        </w:rPr>
      </w:pPr>
    </w:p>
    <w:p>
      <w:pPr>
        <w:ind w:left="1140" w:right="60" w:hanging="376"/>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500" w:hanging="376"/>
        <w:spacing w:after="0" w:line="31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Kodak Software</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Kodak Software segment is comprised of the Software business. 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Software business includes digital front-end controllers which manage the delivery of personalized content to digital presses while controlling color and print consistency.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Film and Imaging</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Brand, Film and Imaging segment is comprised of five lines of business: Consumer Products, Industrial Film and Chemicals, Motion Picture, Kodak Services for Business (“KSB”) and Kodakit. Sales in KSB are project-based and can vary from year to year depending on the nature and number of projects in existence that year.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jc w:val="both"/>
        <w:ind w:left="1140" w:right="80" w:hanging="376"/>
        <w:spacing w:after="0" w:line="256"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party sales of Specialty Inks and Dispersions.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80" w:hanging="376"/>
        <w:spacing w:after="0" w:line="25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60" w:hanging="376"/>
        <w:spacing w:after="0" w:line="25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Services for Business:</w:t>
      </w:r>
    </w:p>
    <w:p>
      <w:pPr>
        <w:spacing w:after="0" w:line="252" w:lineRule="exact"/>
        <w:rPr>
          <w:sz w:val="20"/>
          <w:szCs w:val="20"/>
          <w:color w:val="auto"/>
        </w:rPr>
      </w:pPr>
    </w:p>
    <w:p>
      <w:pPr>
        <w:ind w:left="1140" w:right="240" w:hanging="376"/>
        <w:spacing w:after="0" w:line="25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KSB assists organizations with challenges and opportunities created by the worldwide digital transformation. It provides business process outsourcing services, scan and capture solutions, records conversion services, workflow solutions, content management,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Kodakit:</w:t>
      </w:r>
    </w:p>
    <w:p>
      <w:pPr>
        <w:spacing w:after="0" w:line="252" w:lineRule="exact"/>
        <w:rPr>
          <w:sz w:val="20"/>
          <w:szCs w:val="20"/>
          <w:color w:val="auto"/>
        </w:rPr>
      </w:pPr>
    </w:p>
    <w:p>
      <w:pPr>
        <w:ind w:left="1140" w:right="100" w:hanging="376"/>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Product solutions in Advanced Materials and 3D Printing are in the process of being commercialized, and there are new business opportunities with identified markets and customers.</w:t>
      </w:r>
    </w:p>
    <w:p>
      <w:pPr>
        <w:spacing w:after="0" w:line="2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Advanced Materials and 3D Printing Technology segment will also pursue partnership opportunities to commercialize functional materials and printed electronics technologies. These partnerships may include non-recurring engineering payments for Kodak efforts to further develop such technologies into products. Advanced Materials and 3D Printing Technology segment also provides a wide range of analytical services to external clients at market rates.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Advanced Materials:</w:t>
      </w:r>
    </w:p>
    <w:p>
      <w:pPr>
        <w:spacing w:after="0" w:line="117" w:lineRule="exact"/>
        <w:rPr>
          <w:sz w:val="20"/>
          <w:szCs w:val="20"/>
          <w:color w:val="auto"/>
        </w:rPr>
      </w:pPr>
    </w:p>
    <w:p>
      <w:pPr>
        <w:ind w:left="1140" w:right="20" w:hanging="376"/>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right="20" w:hanging="376"/>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3D Printing concentrates on partnerships and/or licensing opportunities in micro 3D printing solutions such as printed electronics. In addition, for macro 3D printing, AM3D manufactures and sells a specialty material to a 3D printing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Licensing:</w:t>
      </w:r>
    </w:p>
    <w:p>
      <w:pPr>
        <w:spacing w:after="0" w:line="117" w:lineRule="exact"/>
        <w:rPr>
          <w:sz w:val="20"/>
          <w:szCs w:val="20"/>
          <w:color w:val="auto"/>
        </w:rPr>
      </w:pPr>
    </w:p>
    <w:p>
      <w:pPr>
        <w:ind w:left="1140" w:right="160" w:hanging="376"/>
        <w:spacing w:after="0" w:line="286"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6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6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Brand, Film and Imaging</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Eastman Business Park</w:t>
            </w:r>
          </w:p>
        </w:tc>
        <w:tc>
          <w:tcPr>
            <w:tcW w:w="26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Consolidated total</w:t>
            </w:r>
          </w:p>
        </w:tc>
        <w:tc>
          <w:tcPr>
            <w:tcW w:w="26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10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Segment Operational EBITDA and Consolidated Loss from Continuing Operations Before Income Taxes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26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Brand, Film and Imaging</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Eastman Business Park</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Former CEO separation agreement compensation</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(3)</w:t>
            </w:r>
          </w:p>
        </w:tc>
        <w:tc>
          <w:tcPr>
            <w:tcW w:w="2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net </w:t>
            </w:r>
            <w:r>
              <w:rPr>
                <w:rFonts w:ascii="Arial" w:cs="Arial" w:eastAsia="Arial" w:hAnsi="Arial"/>
                <w:sz w:val="15"/>
                <w:szCs w:val="15"/>
                <w:color w:val="auto"/>
              </w:rPr>
              <w:t>(3)</w:t>
            </w:r>
          </w:p>
        </w:tc>
        <w:tc>
          <w:tcPr>
            <w:tcW w:w="26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0" w:type="dxa"/>
            <w:vAlign w:val="bottom"/>
            <w:gridSpan w:val="2"/>
          </w:tcPr>
          <w:p>
            <w:pPr>
              <w:ind w:left="580"/>
              <w:spacing w:after="0"/>
              <w:rPr>
                <w:sz w:val="20"/>
                <w:szCs w:val="20"/>
                <w:color w:val="auto"/>
              </w:rPr>
            </w:pPr>
            <w:r>
              <w:rPr>
                <w:rFonts w:ascii="Arial" w:cs="Arial" w:eastAsia="Arial" w:hAnsi="Arial"/>
                <w:sz w:val="18"/>
                <w:szCs w:val="18"/>
                <w:color w:val="auto"/>
              </w:rPr>
              <w:t>Consolidated loss from continuing operations before</w:t>
            </w:r>
          </w:p>
        </w:tc>
        <w:tc>
          <w:tcPr>
            <w:tcW w:w="26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31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60" w:type="dxa"/>
            <w:vAlign w:val="bottom"/>
            <w:vMerge w:val="restart"/>
          </w:tcPr>
          <w:p>
            <w:pPr>
              <w:jc w:val="right"/>
              <w:ind w:right="1710"/>
              <w:spacing w:after="0"/>
              <w:rPr>
                <w:sz w:val="20"/>
                <w:szCs w:val="20"/>
                <w:color w:val="auto"/>
              </w:rPr>
            </w:pPr>
            <w:r>
              <w:rPr>
                <w:rFonts w:ascii="Arial" w:cs="Arial" w:eastAsia="Arial" w:hAnsi="Arial"/>
                <w:sz w:val="18"/>
                <w:szCs w:val="18"/>
                <w:color w:val="auto"/>
              </w:rPr>
              <w:t>[36]</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36" w:name="page37"/>
    <w:bookmarkEnd w:id="36"/>
    <w:p>
      <w:pPr>
        <w:ind w:left="520" w:hanging="512"/>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400" w:hanging="512"/>
        <w:spacing w:after="0" w:line="277" w:lineRule="auto"/>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manufacturing capacity expansion non-recurring costs; other operating income (expense), net (unless otherwise indicated); goodwill impairment losses; interest expense; and other charges, net.</w:t>
      </w:r>
    </w:p>
    <w:p>
      <w:pPr>
        <w:spacing w:after="0" w:line="1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first quarter of 2019 the segment measure was changed to exclude the costs, net of any rental income received, of underutilized portions of certain properties. Additionally, the allocation of costs from EBP to the Brand, Film and Imaging segment and Advanced Materials and 3D Printing Technology segment as tenants of EBP and to each of the segments as users of shared corporate space at the global headquarters changed. Prior year results have been revised to reflect these changes.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WITH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w w:val="93"/>
              </w:rPr>
              <w:t>Three Months Ended March 31,</w:t>
            </w: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705"/>
              <w:spacing w:after="0" w:line="205" w:lineRule="exact"/>
              <w:rPr>
                <w:sz w:val="20"/>
                <w:szCs w:val="20"/>
                <w:color w:val="auto"/>
              </w:rPr>
            </w:pPr>
            <w:r>
              <w:rPr>
                <w:rFonts w:ascii="Arial" w:cs="Arial" w:eastAsia="Arial" w:hAnsi="Arial"/>
                <w:sz w:val="18"/>
                <w:szCs w:val="18"/>
                <w:b w:val="1"/>
                <w:bCs w:val="1"/>
                <w:color w:val="auto"/>
              </w:rPr>
              <w:t>% of</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rPr>
              <w:t>% of</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Arial" w:cs="Arial" w:eastAsia="Arial" w:hAnsi="Arial"/>
                <w:sz w:val="16"/>
                <w:szCs w:val="16"/>
                <w:color w:val="auto"/>
              </w:rPr>
              <w:t>(in millions)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260" w:type="dxa"/>
            <w:vAlign w:val="bottom"/>
          </w:tcPr>
          <w:p>
            <w:pPr>
              <w:spacing w:after="0"/>
              <w:rPr>
                <w:sz w:val="20"/>
                <w:szCs w:val="20"/>
                <w:color w:val="auto"/>
              </w:rPr>
            </w:pPr>
          </w:p>
        </w:tc>
        <w:tc>
          <w:tcPr>
            <w:tcW w:w="1360" w:type="dxa"/>
            <w:vAlign w:val="bottom"/>
            <w:gridSpan w:val="3"/>
          </w:tcPr>
          <w:p>
            <w:pPr>
              <w:jc w:val="right"/>
              <w:ind w:right="685"/>
              <w:spacing w:after="0"/>
              <w:rPr>
                <w:sz w:val="20"/>
                <w:szCs w:val="20"/>
                <w:color w:val="auto"/>
              </w:rPr>
            </w:pPr>
            <w:r>
              <w:rPr>
                <w:rFonts w:ascii="Arial" w:cs="Arial" w:eastAsia="Arial" w:hAnsi="Arial"/>
                <w:sz w:val="18"/>
                <w:szCs w:val="18"/>
                <w:b w:val="1"/>
                <w:bCs w:val="1"/>
                <w:color w:val="auto"/>
              </w:rPr>
              <w:t>Sales</w:t>
            </w: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2018</w:t>
            </w:r>
          </w:p>
        </w:tc>
        <w:tc>
          <w:tcPr>
            <w:tcW w:w="26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4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Loss from continuing operations before interest</w:t>
            </w:r>
          </w:p>
        </w:tc>
        <w:tc>
          <w:tcPr>
            <w:tcW w:w="1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expense, other charges, net and income taxes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charges, net</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For the three months ended March 31, 2019 revenues declined $27 million compared with the same period in 2018, driven by volume and pricing declines within Print Systems ($10 million and $6 million, respectively) and unfavorable foreign currency ($11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increase in gross profit for the three months ended March 31, 2019 of approximately $2 million compared with the same period in 2018 reflected aluminum tariff refunds and cost improvements in Print Systems ($4 million) partially offset by unfavorable foreign currency ($2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Consolidated SG&amp;A increased $1 million for the quarter ended March 31, 2019 primarily due to $2 million of compensation included in the former CEO separation agreement offset by lower investment in segment selling and marketing activities ($1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Consolidated R&amp;D expenses decreased $2 million for the quarter ended March 31, 2019 primarily due to the reduced level of investment across the segments.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decrease in Print Systems revenues for the three months ended March 31, 2019 of approximately $24 million primarily reflected volume and pricing declines ($7 million and $3 million, respectively) in Prepress Solutions consumables, volume declines and unfavorable product mix in Electrophotographic Printing Solutions consumables and service ($1 million and $2 million, respectively) and unfavorable product mix in Electrophotographic Printing Solutions equipment ($1 million) as well as unfavorable foreign currency ($9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Print Systems Operational EBITDA for the three months ended March 31, 2019 improved $2 million compared to the prior year reflecting refunds of aluminum tariffs which were paid by Kodak over the prior two quarters and manufacturing cost improvements (each $2 million) in Prepress Solutions consumables and lower investment in sales and marketing activities ($2 million) partially offset by volume and pricing declines ($1 million and $2 million, respectively) in Prepress Solutions consumables and service.</w:t>
      </w:r>
    </w:p>
    <w:p>
      <w:pPr>
        <w:spacing w:after="0" w:line="2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2018 U.S. tariffs imposed on aluminum purchases were included as part of the cost of printing plates sold. In January 2019, Kodak received retroactive exemptions on U.S. tariffs for aluminum. Due to the exemptions, all aluminum tariffs paid by Kodak in prior periods have been recognized as a cost reduction in the current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 SEGMENT</w:t>
      </w:r>
    </w:p>
    <w:p>
      <w:pPr>
        <w:spacing w:after="0" w:line="26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improvement in Enterprise Inkjet Systems revenues for the three months ended March 31, 2019 of approximately $1 million primarily reflected higher volume of PROSPER systems ($3 million) and service and consumables ($2 million) partially offset by lower volume of VERSAMARK service and consumables ($2 million) due to declines in the installed base of VERSAMARK systems, lower volume of PROSPER components ($1 million) and the unfavorable impact of currency ($1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Enterprise Inkjet Systems Operational EBITDA for the three months ended March 31, 2019 was unchanged.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KODAK SOFTWARE SEGMENT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 Software revenues for the three months ended March 31, 2019 declined $2 million primarily due lower volume ($2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Kodak Software Operational EBITDA declined $2 million for the three months ended March 31, 2019 compared to the prior year quarter primarily due to lower volume ($1 million) combined with a larger investment in selling and marketing activities ($1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BRAND, FILM AND IMAGING SEGMENT</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5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vMerge w:val="continue"/>
            <w:shd w:val="clear" w:color="auto" w:fill="CFF0FC"/>
          </w:tcPr>
          <w:p>
            <w:pPr>
              <w:spacing w:after="0"/>
              <w:rPr>
                <w:sz w:val="19"/>
                <w:szCs w:val="19"/>
                <w:color w:val="auto"/>
              </w:rPr>
            </w:pPr>
          </w:p>
        </w:tc>
        <w:tc>
          <w:tcPr>
            <w:tcW w:w="15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8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decrease in Brand, Film and Imaging revenues for the three months ended March 31, 2019 of approximately $3 million was primarily due to volume declines in Consumer Inkjet Systems ($2 million) driven by lower sales of ink to the existing installed base of printers, lower volume in Industrial Film and Chemicals and the unfavorable impact of currency (each $1 million) partially offset by favorable volume in Kodakit ($1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Brand, Film and Imaging Operational EBITDA for the three months ended March 31, 2019 was unchanged compared with the prior year quarter primarily reflecting cost improvements in Motion Picture offset by volume declines in Consumer Inkjet Systems driven by lower sales of ink to the existing installed base of printers and volume declines in Industrial Film and Chemicals (each $1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ADVANCED MATERIALS AND 3D PRINTING TECHNOLOGY SEGMENT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88"/>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Advanced Materials and 3D Printing Technology Operational EBITDA for the three months ended March 31, 2019 improved by approximately $2 million primarily due to a lower level of investment in selling, marketing and R&amp;D activities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Eastman Business Park revenue and Operational EBITDA for the three months ended March 31, 2019 did not change significantly compared to the prior year periods.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Kodak recorded $2 million of charges for the three months ended March 31, 2019, which were reported as Restructuring costs and other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Kodak made cash payments related to restructuring of approximately $2 million during the three months ended March 31, 2019.</w:t>
      </w:r>
    </w:p>
    <w:p>
      <w:pPr>
        <w:spacing w:after="0" w:line="25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restructuring actions implemented in the first three months of 2019 are expected to generate future annual cash savings of approximately $3 million. These savings are expected to reduce future annual Cost of revenues, and SG&amp;A, expenses by $1 million, and $2 million, respectively. Kodak began realizing a portion of these savings in the first three months and expects the majority of the annual savings to be in effect by the end of the third quarter of 2019 as actions are completed.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Kodak has debt due in 2019 and is facing liquidity challenges due to negative cash flow. Based on forecasted cash flows, there are uncertainties regarding Kodak’s ability to meet commitments in the U.S. as they come due. Kodak’s plans to improve cash flow include reducing interest expense by decreasing the debt balance using proceeds from asset sales, including the completed sale of FPD; further restructuring Kodak’s cost structure; and paring investment in new technology by eliminating, slowing, and partnering with investors in product development programs. The divestiture of FPD will negatively impact segment earnings and cash flow. The Company has been engaged in negotiations to refinance the remaining $83 million of the loans under the Term Credit Agreement not repaid with proceeds from the sale of FPD. The Company intends to complete the refinancing prior to the maturity of the Term Credit Agreement or the ABL Credit Agreement and prior to the date on which any event of default would occur under the Term Credit Agreement.</w:t>
      </w:r>
    </w:p>
    <w:p>
      <w:pPr>
        <w:spacing w:after="0" w:line="1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loans made under the Term Credit Agreement become due on the earlier to occur of (i) the maturity date of September 3, 2019 or (ii) an acceleration of such loans following the occurrence of an event of default (as defined in the Term Credit Agreement). The Company also has issued approximately $85 million of letters of credit under the ABL Credit Agreement as of both March 31, 2019 and December 31, 2018. Should the Company not repay, refinance or extend the maturity of the loans under the Term Credit Agreement prior to June 5, 2019, the Termination Date will occur under the ABL Credit Agreement on such date unless the ABL Credit Agreement has been amended in the interim. Upon the occurrence of the Termination Date under the ABL Credit Agreement, the obligations thereunder will become due and the Company will need to either cash collateralize the letters of credit or provide alternate collateral in place of the letters of credit issued under the ABL Credit Agreement.</w:t>
      </w:r>
    </w:p>
    <w:p>
      <w:pPr>
        <w:spacing w:after="0" w:line="20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Kodak does not have committed financing or sufficient available liquidity to pay the $83 million of remaining loans under the Term Credit Agreement on or before June 5, 2019. The Company has been engaged in negotiations to refinance such loans and expects to refinance the Term Credit Agreement prior to June 5, 2019. If a refinancing is not completed by such date, the Company would seek an extension of the Termination Date under the ABL Credit Agreement to allow the completion of such refinancing without resulting in a termination under the ABL Credit Agreement.</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refinancing of the loans under the Term Credit Agreement is not solely within Kodak’s control. Executing agreements for a refinancing of the loans under the Term Credit Agreement and the timing for a closing of a refinancing of the loans under the Term Credit Agreement are dependent upon several external factors outside Kodak’s control, including but not limited to, the ability of the Company to reach acceptable agreements with different counterparties and the time required to meet conditions to closing under the terms of any refinancing.</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Kodak makes no assurances regarding the likelihood, certainty or timing of consummating a refinancing of the Company’s existing debt, regarding the sufficiency of any such refinancing to meet Kodak’s debt obligations, including compliance with debt covenants, or other commitments in the U.S. as they come due, or obtaining an extension of the termination date under the ABL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raise substantial doubt about Kodak’s ability to continue as a going concern.</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Refer to the Going Concern section of Note 1, “Summary of Significant Accounting Policies”; Note 7, "Debt and Finance Leases," and Note 8, “Redeemable, Convertible Series A Preferred Stock” in the Notes to Financial Statements for further discussion of long-term debt and convertible preferred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Cash, cash equivalents, restricted cash and cash in assets held for sale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7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Change</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Net cash used in operating activities improved $15 million for the three months ended March 31, 2019 as compared with the corresponding period in 2018 primarily due to lower cash spend on inventory and accounts payable, partially offset by higher levels of cash used to settle other current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Net cash used in investing activities improved $7 million for the three months ended March 31, 2019 as compared with the corresponding period in 2018 due to a lower level of capital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improved $7 million in the three months ended March 31, 2019 as compared with the corresponding period in 2018 due to proceeds from the RED borrowing and no Series A Preferred Stock dividend payment in the current year partially offset by the payment in the current year of contingent consideration related to the 2013 sale of a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Available liquidity includes cash balances and the unused portion of the ABL Credit Agreement. The ABL Credit Agreement had $21 million of net availability (“Excess Availability”) as of March 31, 2019. The amount of available liquidity is subject to fluctuations and includes cash balances held by various entities worldwide. At March 31, 2019 and December 31, 2018 approximately $94 million and $117 million, respectively, of cash and cash equivalents were held within the U.S. and approximately $147 million and $131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March 31, 2019 and December 31, 2018, outstanding inter-company loans to the U.S. were $386 million and $390 million, respectively, which includes short-term inter-company loans from Kodak’s international finance center of $87 million and $92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$88 million and $72 million of cash and cash equivalents was held as of March 31, 2019 and December 31, 2018, respectively, there are limitations related to net asset balances that may impact the ability to make cash available to other jurisdictions in the</w:t>
      </w:r>
    </w:p>
    <w:p>
      <w:pPr>
        <w:spacing w:after="0" w:line="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world. Under the terms of the Term Credit Agreement and the ABL Credit Agreement, the Company is permitted to invest up to $100 million in subsidiaries and joint ventures that are not party to these loan agreements.</w:t>
      </w:r>
    </w:p>
    <w:p>
      <w:pPr>
        <w:spacing w:after="0" w:line="1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Under the ABL Credit Agreement, if Excess Availability ($21 million at March 31, 2019) falls below 12.5% of lender commitments ($18.75 million at March 31, 2019), Kodak would be required to be in compliance with the minimum Fixed Charge Coverage Ratio (the only financial covenant in the ABL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Amended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March 31, 2019, Kodak is not required to have a minimum Fixed Charge Coverage Ratio of 1.0 to 1.0. As of March 31, 2019 Fixed Charges exceeded EBITDA (as defined in the ABL Credit Agreement) by approximately $9 million.</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second quarter of 2017, the Company reduced the amount of outstanding letters of credit issued under the ABL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 letters of credit. As a result of the Company’s credit ratings, the Company was required to provide $6 million in letters of credit to the issuers of the surety bonds during the third quarter of 2018. The Company could be required to provide up to an additional $13 million of letters of credit to the issuers of the surety bonds in the future to fully collateralize the bonds.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As of March 31, 2019 and December 31, 2018, Kodak had funded $0 million and $3 million, respectively, to the Eligible Cash account held with the ABL Credit Agreement Administrative Agent which was classified as Restricted cash in the Consolidated Statement of Financial Position, supporting the Excess Availability amount. Kodak added $12 million to the Eligible Cash account in April 2019 primarily to offset the reduction in assets supporting the borrowing base caused by the divestiture of FPD.</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Term Credit Agreement, Kodak is required to maintain a Secured Leverage Ratio (the only financial covenant in the Term Credit Agreement) not to exceed 2.75 to 1. The Secured Leverage Ratio is tested at the end of each quarter based on the prior four quarters and is generally determined by dividing secured debt, net of U.S. cash and cash equivalents, by consolidated EBITDA, as calculated under the Term Credit Agreement. As of March 31, 2019, Kodak’s EBITDA, as calculated under the Term Credit Agreement, exceeded the EBITDA necessary to satisfy the covenant ratio by approximately $65 million.</w:t>
      </w:r>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ABL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$4 million and $2 million for the three months ended March 31, 2019 and 2018 , respectively, which represents 1% and 0% of Kodak’s consolidated sales, respectively. These subsidiaries had assets of $23 million and $21 million as of March 31, 2019 and December 31, 2018, respectively, which represents 1% of Kodak’s consolidated assets as of both periods. EBITDA of the Unrestricted Subsidiaries, as calculated under the Term Credit Agreement and the ABL Credit Agreement, is a loss and is excluded from the calculation of the Secured Leverage Ratio. Therefore, designating these Subsidiaries as Unrestricted had the impact of improving the Secured Leverage Ratio.</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designation of these subsidiaries as Unrestricted Subsidiaries increased the amount by which the Company’s EBITDA, as calculated under the Credit Agreements, exceeded the amount of EBITDA needed to satisfy the Net Secured Leverage Ratio covenant of 2.75 to 1.0 by $20 million and the Fixed Charge Coverage Ratio of 1.0 to 1.0 by $21 million in March 2019. Each of the capitalized but undefined terms has the meaning ascribed to such term in the Credit Agreements.</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Credit Agreements to be immediately due and payable.</w:t>
      </w: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Reporting requirements under the Term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Lenders may take the position that the going concern explanatory paragraph contained in the audit report on the Company’s financial statements as of and for the year ended December 31, 2018 does not satisfy the requirements under the Term Credit Agreement. Under the Term Credit Agreement, if notice of a failure to comply with the reporting covenant is given to the Company by the lenders, an event of default would occur thereunder if such failure is not cured within thirty days after such notice is given, unless such event of default is waived by the requisite lenders. In the event of default, the debt could become immediately due.</w:t>
      </w:r>
    </w:p>
    <w:p>
      <w:pPr>
        <w:spacing w:after="0" w:line="20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ABL Credit Agreement contains an opinion delivery requirement that corresponds to the requirement under the Term Credit Agreement, although under the ABL Credit Agreement there is an additional requirement that the opinion be reasonably acceptable to the agent under the ABL Credit Agreement. On March 31, 2019 the Company obtained a waiver from the agent and lenders under the ABL Credit Agreement with respect to any event of default under the reporting covenant that may be deemed to have occurred in relation to the going concern explanatory paragraph in the audit report. Such waiver does not waive any cross-default that may occur in the event of the occurrence of an event of default under the Term Credit Agreement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7"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Kodak made net contributions (funded plans) or paid benefits (unfunded plans) totaling approximately $7 million to its defined benefit pension and postretirement benefit plans in the first three months of 2019. For the balance of 2019, the forecasted contribution (funded plans) and benefit payment (unfunded plans) requirements for its pension and postretirement plans are approximately $14 million.</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Cash flow from investing activities included $3 million of capital expenditures for the three months ended March 31, 2019. Kodak expects approximately $15 million to $25 million of total capital expenditures for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participation of Kodak’s Executive Chairman and Chief Financial Officer, has evaluated the effectiveness of Kodak’s disclosure controls and procedures as of the end of the period covered by this Quarterly Report on Form 10-Q. Kodak’s Executive Chairman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During the quarter ended March 31, 2019, Kodak implemented certain internal controls in connection with the adoption of ASC 842. There have been no other changes in Kodak’s internal control over financial reporting during the most recently completed fiscal quarter that have materially affected, or are reasonably likely to materially affect, Kodak’s internal control over financial reporting.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March 31, 2019, Kodak maintained accruals of approximately $4 million for claims aggregating approximately $152 million inclusive of interest and penalties where appropriate. In connection with assessments and litigation in Brazil, local regulations may require Kodak to post security for a portion of the amounts in dispute. Generally, any encumbrances on the Brazilian assets would be removed to the extent the matter is resolved in Kodak’s favor.</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Reference is made to the Risk Factors set forth in Part I, Item 1A. of the 2018 Form 10-K. The Risk Factors remain applicable from the 2018 Form 10-K; however, Kodak notes that the sale of FPD was completed on April 8, 2019 and risks related to the closing of the sale of FPD either not occurring or being delayed have been addressed. Kodak continues to face post-closing risks associated with the sale of FPD, including risks associated with the deferred sale of the China assets and the risk that the FPD business will not perform during 2019 and 2020 at levels that will entitle Kodak to earn-out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480" w:hanging="418"/>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 during the quarter ended March 31, 2019</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520" w:right="4940" w:hanging="458"/>
        <w:spacing w:after="0" w:line="282" w:lineRule="auto"/>
        <w:tabs>
          <w:tab w:leader="none" w:pos="47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March 31, 2019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per Share</w:t>
            </w:r>
          </w:p>
        </w:tc>
        <w:tc>
          <w:tcPr>
            <w:tcW w:w="2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1 through 28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March 1 through 31</w:t>
            </w:r>
          </w:p>
        </w:tc>
        <w:tc>
          <w:tcPr>
            <w:tcW w:w="1060" w:type="dxa"/>
            <w:vAlign w:val="bottom"/>
          </w:tcPr>
          <w:p>
            <w:pPr>
              <w:jc w:val="right"/>
              <w:spacing w:after="0"/>
              <w:rPr>
                <w:sz w:val="20"/>
                <w:szCs w:val="20"/>
                <w:color w:val="auto"/>
              </w:rPr>
            </w:pPr>
            <w:r>
              <w:rPr>
                <w:rFonts w:ascii="Arial" w:cs="Arial" w:eastAsia="Arial" w:hAnsi="Arial"/>
                <w:sz w:val="18"/>
                <w:szCs w:val="18"/>
                <w:color w:val="auto"/>
              </w:rPr>
              <w:t>3,730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40" w:hanging="512"/>
        <w:spacing w:after="0" w:line="277" w:lineRule="auto"/>
        <w:tabs>
          <w:tab w:leader="none" w:pos="52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tbl>
      <w:tblPr>
        <w:tblLayout w:type="fixed"/>
        <w:tblInd w:w="3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80" w:type="dxa"/>
            <w:vAlign w:val="bottom"/>
            <w:gridSpan w:val="16"/>
          </w:tcPr>
          <w:p>
            <w:pPr>
              <w:jc w:val="center"/>
              <w:ind w:right="402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80" w:type="dxa"/>
            <w:vAlign w:val="bottom"/>
            <w:gridSpan w:val="16"/>
          </w:tcPr>
          <w:p>
            <w:pPr>
              <w:jc w:val="center"/>
              <w:ind w:right="4020"/>
              <w:spacing w:after="0"/>
              <w:rPr>
                <w:sz w:val="20"/>
                <w:szCs w:val="20"/>
                <w:color w:val="auto"/>
              </w:rPr>
            </w:pPr>
            <w:r>
              <w:rPr>
                <w:rFonts w:ascii="Arial" w:cs="Arial" w:eastAsia="Arial" w:hAnsi="Arial"/>
                <w:sz w:val="18"/>
                <w:szCs w:val="18"/>
                <w:b w:val="1"/>
                <w:bCs w:val="1"/>
                <w:color w:val="auto"/>
                <w:w w:val="91"/>
              </w:rPr>
              <w:t>Index to Exhibits</w:t>
            </w:r>
          </w:p>
        </w:tc>
      </w:tr>
      <w:tr>
        <w:trPr>
          <w:trHeight w:val="662"/>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(2.1)</w:t>
            </w:r>
          </w:p>
        </w:tc>
        <w:tc>
          <w:tcPr>
            <w:tcW w:w="9720" w:type="dxa"/>
            <w:vAlign w:val="bottom"/>
            <w:tcBorders>
              <w:bottom w:val="single" w:sz="8" w:color="0000EE"/>
            </w:tcBorders>
            <w:gridSpan w:val="16"/>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First Amendment to Stock and Asset Purchase Agreement, dated as of March 29, 2019, by and between Eastman Kodak Company and</w:t>
              </w:r>
            </w:hyperlink>
          </w:p>
        </w:tc>
        <w:tc>
          <w:tcPr>
            <w:tcW w:w="26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MIR Bidco SA (Incorporated by reference to Exhibit (2.3) of the Company’s Current Report on Form 8-K as filed April 9, 2019).</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(3.1)</w:t>
            </w:r>
          </w:p>
        </w:tc>
        <w:tc>
          <w:tcPr>
            <w:tcW w:w="9980" w:type="dxa"/>
            <w:vAlign w:val="bottom"/>
            <w:tcBorders>
              <w:bottom w:val="single" w:sz="8" w:color="0000EE"/>
            </w:tcBorders>
            <w:gridSpan w:val="20"/>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Second Amended and Restated Certificate of Incorporation of Eastman Kodak Company (Incorporated by reference to Exhibit (4.1) of the</w:t>
              </w:r>
            </w:hyperlink>
          </w:p>
        </w:tc>
      </w:tr>
      <w:tr>
        <w:trPr>
          <w:trHeight w:val="196"/>
        </w:trPr>
        <w:tc>
          <w:tcPr>
            <w:tcW w:w="112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Company’s Registration Statement on Form S-8 as filed on September 3, 2013).</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(3.2)</w:t>
            </w:r>
          </w:p>
        </w:tc>
        <w:tc>
          <w:tcPr>
            <w:tcW w:w="9980" w:type="dxa"/>
            <w:vAlign w:val="bottom"/>
            <w:gridSpan w:val="20"/>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by reference to Exhibit (3.1) of the Company’s Current Report on Form 8-K as filed November 16, 2016).</w:t>
              </w:r>
            </w:hyperlink>
          </w:p>
        </w:tc>
        <w:tc>
          <w:tcPr>
            <w:tcW w:w="216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(3.3)</w:t>
            </w:r>
          </w:p>
        </w:tc>
        <w:tc>
          <w:tcPr>
            <w:tcW w:w="9980" w:type="dxa"/>
            <w:vAlign w:val="bottom"/>
            <w:gridSpan w:val="20"/>
          </w:tcPr>
          <w:p>
            <w:pPr>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Fourth Amended and Restated By-Laws of Eastman Kodak Company (Incorporated by reference to Exhibit (3.1) of the Company’s</w:t>
              </w:r>
            </w:hyperlink>
          </w:p>
        </w:tc>
      </w:tr>
      <w:tr>
        <w:trPr>
          <w:trHeight w:val="196"/>
        </w:trPr>
        <w:tc>
          <w:tcPr>
            <w:tcW w:w="11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Current Report on Form 8-K as filed on May 25, 2017).</w:t>
              </w:r>
            </w:hyperlink>
          </w:p>
        </w:tc>
        <w:tc>
          <w:tcPr>
            <w:tcW w:w="5440" w:type="dxa"/>
            <w:vAlign w:val="bottom"/>
            <w:tcBorders>
              <w:top w:val="single" w:sz="8" w:color="0000EE"/>
            </w:tcBorders>
            <w:gridSpan w:val="7"/>
          </w:tcPr>
          <w:p>
            <w:pPr>
              <w:spacing w:after="0"/>
              <w:rPr>
                <w:sz w:val="17"/>
                <w:szCs w:val="17"/>
                <w:color w:val="auto"/>
              </w:rPr>
            </w:pPr>
          </w:p>
        </w:tc>
        <w:tc>
          <w:tcPr>
            <w:tcW w:w="520" w:type="dxa"/>
            <w:vAlign w:val="bottom"/>
            <w:gridSpan w:val="8"/>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(10.1)*</w:t>
            </w:r>
          </w:p>
        </w:tc>
        <w:tc>
          <w:tcPr>
            <w:tcW w:w="9980" w:type="dxa"/>
            <w:vAlign w:val="bottom"/>
            <w:gridSpan w:val="20"/>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Separation Agreement and Release between Eastman Kodak Company and Jeffrey J. Clarke dated February 20, 2019 (Incorporated by</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reference to Exhibit (10.22) of the Company’s Annual Report on Form 10-K for the fiscal year ended December 31, 2018 as filed on April</w:t>
              </w:r>
            </w:hyperlink>
          </w:p>
        </w:tc>
      </w:tr>
      <w:tr>
        <w:trPr>
          <w:trHeight w:val="196"/>
        </w:trPr>
        <w:tc>
          <w:tcPr>
            <w:tcW w:w="112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1, 2019).</w:t>
              </w:r>
            </w:hyperlink>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(10.2)*</w:t>
            </w:r>
          </w:p>
        </w:tc>
        <w:tc>
          <w:tcPr>
            <w:tcW w:w="9980" w:type="dxa"/>
            <w:vAlign w:val="bottom"/>
            <w:gridSpan w:val="20"/>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Executive Chairman Agreement between Eastman Kodak Company and James V. Continenza, dated February 20, 2019 (Incorporated by</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reference to Exhibit (10.23) of the Company’s Annual Report on Form 10-K for the fiscal year ended December 31, 2018 as filed on April</w:t>
              </w:r>
            </w:hyperlink>
          </w:p>
        </w:tc>
      </w:tr>
      <w:tr>
        <w:trPr>
          <w:trHeight w:val="196"/>
        </w:trPr>
        <w:tc>
          <w:tcPr>
            <w:tcW w:w="112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85">
              <w:r>
                <w:rPr>
                  <w:rFonts w:ascii="Arial" w:cs="Arial" w:eastAsia="Arial" w:hAnsi="Arial"/>
                  <w:sz w:val="18"/>
                  <w:szCs w:val="18"/>
                  <w:color w:val="0000EE"/>
                  <w:w w:val="87"/>
                </w:rPr>
                <w:t>1, 2019).</w:t>
              </w:r>
            </w:hyperlink>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6"/>
              </w:rPr>
              <w:t>(10.3)*</w:t>
            </w:r>
          </w:p>
        </w:tc>
        <w:tc>
          <w:tcPr>
            <w:tcW w:w="9540" w:type="dxa"/>
            <w:vAlign w:val="bottom"/>
            <w:tcBorders>
              <w:bottom w:val="single" w:sz="8" w:color="0000EE"/>
            </w:tcBorders>
            <w:gridSpan w:val="14"/>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James V. Continenza Consolidated Award Agreements, Tranches 1-4, dated February 20, 2019 (Incorporated by reference to Exhibit</w:t>
              </w:r>
            </w:hyperlink>
          </w:p>
        </w:tc>
        <w:tc>
          <w:tcPr>
            <w:tcW w:w="44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0"/>
          </w:tcPr>
          <w:p>
            <w:pPr>
              <w:spacing w:after="0" w:line="196"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24)</w:t>
              </w:r>
              <w:r>
                <w:rPr>
                  <w:rFonts w:ascii="Arial" w:cs="Arial" w:eastAsia="Arial" w:hAnsi="Arial"/>
                  <w:sz w:val="18"/>
                  <w:szCs w:val="18"/>
                  <w:color w:val="0000EE"/>
                  <w:w w:val="99"/>
                </w:rPr>
                <w:t xml:space="preserve"> of the Company’s Annual Report on Form 10-K for the fiscal year ended December 31, 2018 as filed on April 1, 2019).</w:t>
              </w:r>
            </w:hyperlink>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(31.1)</w:t>
            </w:r>
          </w:p>
        </w:tc>
        <w:tc>
          <w:tcPr>
            <w:tcW w:w="9180" w:type="dxa"/>
            <w:vAlign w:val="bottom"/>
            <w:tcBorders>
              <w:top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signed by James V. Continenza, filed herewith</w:t>
              </w:r>
            </w:hyperlink>
            <w:r>
              <w:rPr>
                <w:rFonts w:ascii="Arial" w:cs="Arial" w:eastAsia="Arial" w:hAnsi="Arial"/>
                <w:sz w:val="18"/>
                <w:szCs w:val="18"/>
                <w:color w:val="000000"/>
              </w:rPr>
              <w:t>.</w:t>
            </w:r>
          </w:p>
        </w:tc>
        <w:tc>
          <w:tcPr>
            <w:tcW w:w="800" w:type="dxa"/>
            <w:vAlign w:val="bottom"/>
            <w:gridSpan w:val="10"/>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(31.2)</w:t>
            </w:r>
          </w:p>
        </w:tc>
        <w:tc>
          <w:tcPr>
            <w:tcW w:w="432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signed by David E. Bullwinkle, filed herewith.</w:t>
              </w:r>
            </w:hyperlink>
          </w:p>
        </w:tc>
        <w:tc>
          <w:tcPr>
            <w:tcW w:w="5660" w:type="dxa"/>
            <w:vAlign w:val="bottom"/>
            <w:gridSpan w:val="13"/>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(32.1)</w:t>
            </w:r>
          </w:p>
        </w:tc>
        <w:tc>
          <w:tcPr>
            <w:tcW w:w="9980" w:type="dxa"/>
            <w:vAlign w:val="bottom"/>
            <w:gridSpan w:val="20"/>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Pursuant to 18 U.S.C. Section 1350, as Adopted Pursuant to Section 906 of the Sarbanes-Oxley Act of 2002, signed by</w:t>
              </w:r>
            </w:hyperlink>
          </w:p>
        </w:tc>
      </w:tr>
      <w:tr>
        <w:trPr>
          <w:trHeight w:val="196"/>
        </w:trPr>
        <w:tc>
          <w:tcPr>
            <w:tcW w:w="1120" w:type="dxa"/>
            <w:vAlign w:val="bottom"/>
          </w:tcPr>
          <w:p>
            <w:pPr>
              <w:spacing w:after="0"/>
              <w:rPr>
                <w:sz w:val="17"/>
                <w:szCs w:val="17"/>
                <w:color w:val="auto"/>
              </w:rPr>
            </w:pPr>
          </w:p>
        </w:tc>
        <w:tc>
          <w:tcPr>
            <w:tcW w:w="9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James V. Continenza, filed herewith</w:t>
              </w:r>
              <w:r>
                <w:rPr>
                  <w:rFonts w:ascii="Arial" w:cs="Arial" w:eastAsia="Arial" w:hAnsi="Arial"/>
                  <w:sz w:val="18"/>
                  <w:szCs w:val="18"/>
                  <w:color w:val="000000"/>
                </w:rPr>
                <w:t>.</w:t>
              </w:r>
            </w:hyperlink>
          </w:p>
        </w:tc>
        <w:tc>
          <w:tcPr>
            <w:tcW w:w="460" w:type="dxa"/>
            <w:vAlign w:val="bottom"/>
            <w:gridSpan w:val="7"/>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3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(32.2)</w:t>
            </w:r>
          </w:p>
        </w:tc>
        <w:tc>
          <w:tcPr>
            <w:tcW w:w="9980" w:type="dxa"/>
            <w:vAlign w:val="bottom"/>
            <w:gridSpan w:val="20"/>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Pursuant to 18 U.S.C. Section 1350, as Adopted Pursuant to Section 906 of the Sarbanes-Oxley Act of 2002 signed by David</w:t>
              </w:r>
            </w:hyperlink>
          </w:p>
        </w:tc>
      </w:tr>
      <w:tr>
        <w:trPr>
          <w:trHeight w:val="196"/>
        </w:trPr>
        <w:tc>
          <w:tcPr>
            <w:tcW w:w="1120" w:type="dxa"/>
            <w:vAlign w:val="bottom"/>
          </w:tcPr>
          <w:p>
            <w:pPr>
              <w:spacing w:after="0"/>
              <w:rPr>
                <w:sz w:val="17"/>
                <w:szCs w:val="17"/>
                <w:color w:val="auto"/>
              </w:rPr>
            </w:pPr>
          </w:p>
        </w:tc>
        <w:tc>
          <w:tcPr>
            <w:tcW w:w="99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 Bullwinkle, filed herewith</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r>
      <w:tr>
        <w:trPr>
          <w:trHeight w:val="480"/>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99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(101.INS)</w:t>
            </w:r>
          </w:p>
        </w:tc>
        <w:tc>
          <w:tcPr>
            <w:tcW w:w="998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998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0"/>
              </w:rPr>
              <w:t>(101.PRE)</w:t>
            </w:r>
          </w:p>
        </w:tc>
        <w:tc>
          <w:tcPr>
            <w:tcW w:w="99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(101.SCH)</w:t>
            </w:r>
          </w:p>
        </w:tc>
        <w:tc>
          <w:tcPr>
            <w:tcW w:w="9980" w:type="dxa"/>
            <w:vAlign w:val="bottom"/>
            <w:gridSpan w:val="20"/>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(101.DEF)</w:t>
            </w:r>
          </w:p>
        </w:tc>
        <w:tc>
          <w:tcPr>
            <w:tcW w:w="998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May 9, 2019</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80" w:right="340" w:firstLine="4"/>
        <w:spacing w:after="0" w:line="308" w:lineRule="auto"/>
        <w:tabs>
          <w:tab w:leader="none" w:pos="700" w:val="left"/>
        </w:tabs>
        <w:numPr>
          <w:ilvl w:val="2"/>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80" w:right="80" w:firstLine="4"/>
        <w:spacing w:after="0" w:line="277" w:lineRule="auto"/>
        <w:tabs>
          <w:tab w:leader="none" w:pos="71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0580"/>
          </w:cols>
          <w:pgMar w:left="620" w:top="121" w:right="6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2019 as filed with the Securities and Exchange Commission on the date hereof (the "Report"), I, James V. Continenza, Executive Chairman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ectPr>
          <w:pgSz w:w="11900" w:h="16838" w:orient="portrait"/>
          <w:cols w:equalWidth="0" w:num="1">
            <w:col w:w="10840"/>
          </w:cols>
          <w:pgMar w:left="240" w:top="337" w:right="8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2019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600" w:hanging="236"/>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lowerRoman"/>
      <w:start w:val="3"/>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7" Type="http://schemas.openxmlformats.org/officeDocument/2006/relationships/image" Target="media/image73.png"/><Relationship Id="rId80" Type="http://schemas.openxmlformats.org/officeDocument/2006/relationships/hyperlink" Target="http://www.sec.gov/Archives/edgar/data/31235/000156459019011066/kodk-ex23_7.htm" TargetMode="External"/><Relationship Id="rId81" Type="http://schemas.openxmlformats.org/officeDocument/2006/relationships/hyperlink" Target="http://www.sec.gov/Archives/edgar/data/31235/000119312513354928/d591063dex41.htm" TargetMode="External"/><Relationship Id="rId82" Type="http://schemas.openxmlformats.org/officeDocument/2006/relationships/hyperlink" Target="http://www.sec.gov/Archives/edgar/data/31235/000156459016029358/kodk-ex31_26.htm" TargetMode="External"/><Relationship Id="rId83" Type="http://schemas.openxmlformats.org/officeDocument/2006/relationships/hyperlink" Target="http://www.sec.gov/Archives/edgar/data/31235/000156459017011692/kodk-ex31_6.htm" TargetMode="External"/><Relationship Id="rId84" Type="http://schemas.openxmlformats.org/officeDocument/2006/relationships/hyperlink" Target="http://www.sec.gov/Archives/edgar/data/31235/000156459019010423/kodk-ex1022_17.htm" TargetMode="External"/><Relationship Id="rId85" Type="http://schemas.openxmlformats.org/officeDocument/2006/relationships/hyperlink" Target="http://www.sec.gov/Archives/edgar/data/31235/000156459019010423/kodk-ex1023_18.htm" TargetMode="External"/><Relationship Id="rId86" Type="http://schemas.openxmlformats.org/officeDocument/2006/relationships/hyperlink" Target="http://www.sec.gov/Archives/edgar/data/31235/000156459019010423/kodk-ex1024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2019-12-28T12:34:47Z</dcterms:created>
  <dcterms:modified xsi:type="dcterms:W3CDTF">2019-12-28T12:34:47Z</dcterms:modified>
</cp:coreProperties>
</file>