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kc20240331_10q.htm"/>
      <w:bookmarkStart w:id="1" w:name="ksekc20240331_10q"/>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caps w:val="false"/>
            <w:smallCaps w:val="false"/>
            <w:sz w:val="20"/>
          </w:rPr>
          <w:t>Table of Contents</w:t>
        </w:r>
      </w:hyperlink>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UNITED STATES</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SECURITIES AND EXCHANGE COMMISSION</w:t>
      </w:r>
    </w:p>
    <w:p>
      <w:pPr>
        <w:pStyle w:val="TextBody"/>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r>
        <w:rPr>
          <w:rFonts w:ascii="Calibri;Arial;sans-serif" w:hAnsi="Calibri;Arial;sans-serif"/>
          <w:b/>
          <w:caps w:val="false"/>
          <w:smallCaps w:val="false"/>
          <w:sz w:val="20"/>
        </w:rPr>
        <w:t>Quarterly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 1934</w:t>
      </w:r>
    </w:p>
    <w:tbl>
      <w:tblPr>
        <w:tblW w:w="4120" w:type="dxa"/>
        <w:jc w:val="left"/>
        <w:tblInd w:w="0" w:type="dxa"/>
        <w:tblLayout w:type="fixed"/>
        <w:tblCellMar>
          <w:top w:w="0" w:type="dxa"/>
          <w:left w:w="0" w:type="dxa"/>
          <w:bottom w:w="0" w:type="dxa"/>
          <w:right w:w="0" w:type="dxa"/>
        </w:tblCellMar>
      </w:tblPr>
      <w:tblGrid>
        <w:gridCol w:w="2825"/>
        <w:gridCol w:w="1295"/>
      </w:tblGrid>
      <w:tr>
        <w:trPr/>
        <w:tc>
          <w:tcPr>
            <w:tcW w:w="2825" w:type="dxa"/>
            <w:tcBorders/>
            <w:vAlign w:val="center"/>
          </w:tcPr>
          <w:p>
            <w:pPr>
              <w:pStyle w:val="TableContents"/>
              <w:bidi w:val="0"/>
              <w:spacing w:before="0" w:after="0"/>
              <w:ind w:left="0" w:right="0" w:hanging="0"/>
              <w:jc w:val="right"/>
              <w:rPr>
                <w:rFonts w:ascii="Calibri;Arial;sans-serif" w:hAnsi="Calibri;Arial;sans-serif"/>
                <w:caps w:val="false"/>
                <w:smallCaps w:val="false"/>
                <w:sz w:val="20"/>
              </w:rPr>
            </w:pPr>
            <w:r>
              <w:rPr>
                <w:rFonts w:ascii="Calibri;Arial;sans-serif" w:hAnsi="Calibri;Arial;sans-serif"/>
                <w:b/>
                <w:caps w:val="false"/>
                <w:smallCaps w:val="false"/>
                <w:sz w:val="20"/>
              </w:rPr>
              <w:t>For the quarterly period ended:</w:t>
            </w:r>
            <w:r>
              <w:rPr>
                <w:rFonts w:ascii="Calibri;Arial;sans-serif" w:hAnsi="Calibri;Arial;sans-serif"/>
                <w:caps w:val="false"/>
                <w:smallCaps w:val="false"/>
                <w:sz w:val="20"/>
              </w:rPr>
              <w:t xml:space="preserve">    </w:t>
            </w:r>
          </w:p>
        </w:tc>
        <w:tc>
          <w:tcPr>
            <w:tcW w:w="12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March 31, 2024</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or</w:t>
            </w:r>
          </w:p>
        </w:tc>
      </w:tr>
    </w:tbl>
    <w:p>
      <w:pPr>
        <w:pStyle w:val="TextBody"/>
        <w:bidi w:val="0"/>
        <w:spacing w:before="0" w:after="0"/>
        <w:ind w:left="0" w:right="0" w:hanging="0"/>
        <w:jc w:val="left"/>
        <w:rPr>
          <w:caps w:val="false"/>
          <w:smallCaps w:val="false"/>
        </w:rPr>
      </w:pPr>
      <w:r>
        <w:rPr>
          <w:caps w:val="false"/>
          <w:smallCaps w:val="false"/>
        </w:rPr>
        <w:t>☐         </w:t>
      </w:r>
      <w:r>
        <w:rPr>
          <w:rFonts w:ascii="Calibri;Arial;sans-serif" w:hAnsi="Calibri;Arial;sans-serif"/>
          <w:b/>
          <w:caps w:val="false"/>
          <w:smallCaps w:val="false"/>
          <w:sz w:val="20"/>
        </w:rPr>
        <w:t>Transition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 1934</w:t>
      </w:r>
    </w:p>
    <w:p>
      <w:pPr>
        <w:pStyle w:val="TextBody"/>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b/>
          <w:caps w:val="false"/>
          <w:smallCaps w:val="false"/>
          <w:sz w:val="20"/>
        </w:rPr>
        <w:t>For the transition period from</w:t>
      </w:r>
      <w:r>
        <w:rPr>
          <w:rFonts w:ascii="Calibri;Arial;sans-serif" w:hAnsi="Calibri;Arial;sans-serif"/>
          <w:caps w:val="false"/>
          <w:smallCaps w:val="false"/>
          <w:sz w:val="20"/>
          <w:u w:val="single"/>
        </w:rPr>
        <w:t>            </w:t>
      </w:r>
      <w:r>
        <w:rPr>
          <w:rFonts w:ascii="Calibri;Arial;sans-serif" w:hAnsi="Calibri;Arial;sans-serif"/>
          <w:b/>
          <w:caps w:val="false"/>
          <w:smallCaps w:val="false"/>
          <w:sz w:val="20"/>
        </w:rPr>
        <w:t>to</w:t>
      </w:r>
      <w:r>
        <w:rPr>
          <w:rFonts w:ascii="Calibri;Arial;sans-serif" w:hAnsi="Calibri;Arial;sans-serif"/>
          <w:caps w:val="false"/>
          <w:smallCaps w:val="false"/>
          <w:sz w:val="20"/>
          <w:u w:val="single"/>
        </w:rPr>
        <w:t>            </w:t>
      </w:r>
    </w:p>
    <w:tbl>
      <w:tblPr>
        <w:tblW w:w="2075" w:type="dxa"/>
        <w:jc w:val="left"/>
        <w:tblInd w:w="0" w:type="dxa"/>
        <w:tblLayout w:type="fixed"/>
        <w:tblCellMar>
          <w:top w:w="0" w:type="dxa"/>
          <w:left w:w="0" w:type="dxa"/>
          <w:bottom w:w="0" w:type="dxa"/>
          <w:right w:w="0" w:type="dxa"/>
        </w:tblCellMar>
      </w:tblPr>
      <w:tblGrid>
        <w:gridCol w:w="2075"/>
      </w:tblGrid>
      <w:tr>
        <w:trPr/>
        <w:tc>
          <w:tcPr>
            <w:tcW w:w="207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Commission File Number</w:t>
            </w:r>
          </w:p>
        </w:tc>
      </w:tr>
      <w:tr>
        <w:trPr/>
        <w:tc>
          <w:tcPr>
            <w:tcW w:w="207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1-00087</w:t>
            </w:r>
          </w:p>
        </w:tc>
      </w:tr>
    </w:tbl>
    <w:tbl>
      <w:tblPr>
        <w:tblW w:w="7790" w:type="dxa"/>
        <w:jc w:val="left"/>
        <w:tblInd w:w="0" w:type="dxa"/>
        <w:tblLayout w:type="fixed"/>
        <w:tblCellMar>
          <w:top w:w="0" w:type="dxa"/>
          <w:left w:w="0" w:type="dxa"/>
          <w:bottom w:w="0" w:type="dxa"/>
          <w:right w:w="0" w:type="dxa"/>
        </w:tblCellMar>
      </w:tblPr>
      <w:tblGrid>
        <w:gridCol w:w="4415"/>
        <w:gridCol w:w="3375"/>
      </w:tblGrid>
      <w:tr>
        <w:trPr/>
        <w:tc>
          <w:tcPr>
            <w:tcW w:w="7790" w:type="dxa"/>
            <w:gridSpan w:val="2"/>
            <w:tcBorders/>
            <w:vAlign w:val="center"/>
          </w:tcPr>
          <w:p>
            <w:pPr>
              <w:pStyle w:val="TableContents"/>
              <w:bidi w:val="0"/>
              <w:spacing w:before="0" w:after="283"/>
              <w:jc w:val="center"/>
              <w:rPr>
                <w:rFonts w:ascii="Calibri;Arial;sans-serif" w:hAnsi="Calibri;Arial;sans-serif"/>
                <w:b/>
                <w:sz w:val="24"/>
              </w:rPr>
            </w:pPr>
            <w:r>
              <w:rPr>
                <w:rFonts w:ascii="Calibri;Arial;sans-serif" w:hAnsi="Calibri;Arial;sans-serif"/>
                <w:b/>
                <w:sz w:val="24"/>
              </w:rPr>
              <w:t>EASTMAN KODAK COMPANY</w:t>
            </w:r>
          </w:p>
        </w:tc>
      </w:tr>
      <w:tr>
        <w:trPr/>
        <w:tc>
          <w:tcPr>
            <w:tcW w:w="7790" w:type="dxa"/>
            <w:gridSpan w:val="2"/>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(Exact name of registrant as specified in its charter)</w:t>
            </w:r>
          </w:p>
        </w:tc>
      </w:tr>
      <w:tr>
        <w:trPr/>
        <w:tc>
          <w:tcPr>
            <w:tcW w:w="4415" w:type="dxa"/>
            <w:tcBorders/>
            <w:vAlign w:val="center"/>
          </w:tcPr>
          <w:p>
            <w:pPr>
              <w:pStyle w:val="TableContents"/>
              <w:bidi w:val="0"/>
              <w:spacing w:before="0" w:after="283"/>
              <w:jc w:val="center"/>
              <w:rPr/>
            </w:pPr>
            <w:r>
              <w:rPr/>
              <w:t> </w:t>
            </w:r>
          </w:p>
        </w:tc>
        <w:tc>
          <w:tcPr>
            <w:tcW w:w="3375" w:type="dxa"/>
            <w:tcBorders/>
            <w:vAlign w:val="center"/>
          </w:tcPr>
          <w:p>
            <w:pPr>
              <w:pStyle w:val="TableContents"/>
              <w:bidi w:val="0"/>
              <w:spacing w:before="0" w:after="283"/>
              <w:jc w:val="center"/>
              <w:rPr/>
            </w:pPr>
            <w:r>
              <w:rPr/>
              <w:t> </w:t>
            </w:r>
          </w:p>
        </w:tc>
      </w:tr>
      <w:tr>
        <w:trPr/>
        <w:tc>
          <w:tcPr>
            <w:tcW w:w="4415" w:type="dxa"/>
            <w:tcBorders/>
            <w:vAlign w:val="center"/>
          </w:tcPr>
          <w:p>
            <w:pPr>
              <w:pStyle w:val="TableContents"/>
              <w:bidi w:val="0"/>
              <w:spacing w:before="0" w:after="283"/>
              <w:jc w:val="center"/>
              <w:rPr>
                <w:rFonts w:ascii="Calibri;Arial;sans-serif" w:hAnsi="Calibri;Arial;sans-serif"/>
                <w:b/>
                <w:caps/>
              </w:rPr>
            </w:pPr>
            <w:r>
              <w:rPr>
                <w:rFonts w:ascii="Calibri;Arial;sans-serif" w:hAnsi="Calibri;Arial;sans-serif"/>
                <w:b/>
                <w:caps/>
              </w:rPr>
              <w:t>New Jersey</w:t>
            </w:r>
          </w:p>
        </w:tc>
        <w:tc>
          <w:tcPr>
            <w:tcW w:w="3375" w:type="dxa"/>
            <w:tcBorders/>
            <w:vAlign w:val="center"/>
          </w:tcPr>
          <w:p>
            <w:pPr>
              <w:pStyle w:val="TableContents"/>
              <w:bidi w:val="0"/>
              <w:spacing w:before="0" w:after="283"/>
              <w:jc w:val="center"/>
              <w:rPr>
                <w:rFonts w:ascii="Calibri;Arial;sans-serif" w:hAnsi="Calibri;Arial;sans-serif"/>
                <w:b/>
              </w:rPr>
            </w:pPr>
            <w:r>
              <w:rPr>
                <w:rFonts w:ascii="Calibri;Arial;sans-serif" w:hAnsi="Calibri;Arial;sans-serif"/>
                <w:b/>
              </w:rPr>
              <w:t>16-0417150</w:t>
            </w:r>
          </w:p>
        </w:tc>
      </w:tr>
      <w:tr>
        <w:trPr/>
        <w:tc>
          <w:tcPr>
            <w:tcW w:w="441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(State or other jurisdiction of incorporation or organization)</w:t>
            </w:r>
          </w:p>
        </w:tc>
        <w:tc>
          <w:tcPr>
            <w:tcW w:w="337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(IRS Employer Identification No.)</w:t>
            </w:r>
          </w:p>
        </w:tc>
      </w:tr>
      <w:tr>
        <w:trPr/>
        <w:tc>
          <w:tcPr>
            <w:tcW w:w="4415" w:type="dxa"/>
            <w:tcBorders/>
            <w:vAlign w:val="center"/>
          </w:tcPr>
          <w:p>
            <w:pPr>
              <w:pStyle w:val="TableContents"/>
              <w:bidi w:val="0"/>
              <w:spacing w:before="0" w:after="283"/>
              <w:jc w:val="left"/>
              <w:rPr/>
            </w:pPr>
            <w:r>
              <w:rPr/>
              <w:t> </w:t>
            </w:r>
          </w:p>
        </w:tc>
        <w:tc>
          <w:tcPr>
            <w:tcW w:w="33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rFonts w:ascii="Calibri;Arial;sans-serif" w:hAnsi="Calibri;Arial;sans-serif"/>
              </w:rPr>
            </w:pPr>
            <w:r>
              <w:rPr>
                <w:rFonts w:ascii="Calibri;Arial;sans-serif" w:hAnsi="Calibri;Arial;sans-serif"/>
                <w:b/>
              </w:rPr>
              <w:t xml:space="preserve">343 STATE STREET, ROCHESTER, </w:t>
            </w:r>
            <w:r>
              <w:rPr>
                <w:rFonts w:ascii="Calibri;Arial;sans-serif" w:hAnsi="Calibri;Arial;sans-serif"/>
                <w:b/>
                <w:caps/>
              </w:rPr>
              <w:t>New York</w:t>
            </w:r>
          </w:p>
        </w:tc>
        <w:tc>
          <w:tcPr>
            <w:tcW w:w="3375" w:type="dxa"/>
            <w:tcBorders/>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14650</w:t>
            </w:r>
          </w:p>
        </w:tc>
      </w:tr>
      <w:tr>
        <w:trPr/>
        <w:tc>
          <w:tcPr>
            <w:tcW w:w="441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(Address of principal executive offices)</w:t>
            </w:r>
          </w:p>
        </w:tc>
        <w:tc>
          <w:tcPr>
            <w:tcW w:w="337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(Zip Code)</w:t>
            </w:r>
          </w:p>
        </w:tc>
      </w:tr>
      <w:tr>
        <w:trPr/>
        <w:tc>
          <w:tcPr>
            <w:tcW w:w="7790" w:type="dxa"/>
            <w:gridSpan w:val="2"/>
            <w:tcBorders/>
            <w:vAlign w:val="center"/>
          </w:tcPr>
          <w:p>
            <w:pPr>
              <w:pStyle w:val="TableContents"/>
              <w:bidi w:val="0"/>
              <w:spacing w:before="0" w:after="283"/>
              <w:jc w:val="center"/>
              <w:rPr>
                <w:rFonts w:ascii="Calibri;Arial;sans-serif" w:hAnsi="Calibri;Arial;sans-serif"/>
                <w:b/>
                <w:sz w:val="16"/>
              </w:rPr>
            </w:pPr>
            <w:r>
              <w:rPr>
                <w:rFonts w:ascii="Calibri;Arial;sans-serif" w:hAnsi="Calibri;Arial;sans-serif"/>
                <w:b/>
                <w:sz w:val="16"/>
              </w:rPr>
              <w:t>(800) 356-3259</w:t>
            </w:r>
          </w:p>
        </w:tc>
      </w:tr>
      <w:tr>
        <w:trPr/>
        <w:tc>
          <w:tcPr>
            <w:tcW w:w="7790" w:type="dxa"/>
            <w:gridSpan w:val="2"/>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(Registrant’s telephone number, including area code)</w:t>
            </w:r>
          </w:p>
        </w:tc>
      </w:tr>
    </w:tbl>
    <w:p>
      <w:pPr>
        <w:pStyle w:val="TextBody"/>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Securities registered pursuant to Section 12(b) of the Act:</w:t>
      </w:r>
    </w:p>
    <w:tbl>
      <w:tblPr>
        <w:tblW w:w="8415" w:type="dxa"/>
        <w:jc w:val="left"/>
        <w:tblInd w:w="0" w:type="dxa"/>
        <w:tblLayout w:type="fixed"/>
        <w:tblCellMar>
          <w:top w:w="0" w:type="dxa"/>
          <w:left w:w="0" w:type="dxa"/>
          <w:bottom w:w="0" w:type="dxa"/>
          <w:right w:w="0" w:type="dxa"/>
        </w:tblCellMar>
      </w:tblPr>
      <w:tblGrid>
        <w:gridCol w:w="3320"/>
        <w:gridCol w:w="1460"/>
        <w:gridCol w:w="3635"/>
      </w:tblGrid>
      <w:tr>
        <w:trPr/>
        <w:tc>
          <w:tcPr>
            <w:tcW w:w="332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Title of each class Common</w:t>
            </w:r>
          </w:p>
        </w:tc>
        <w:tc>
          <w:tcPr>
            <w:tcW w:w="146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Trading Symbol(s)</w:t>
            </w:r>
          </w:p>
        </w:tc>
        <w:tc>
          <w:tcPr>
            <w:tcW w:w="363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Name of each exchange on which registered</w:t>
            </w:r>
          </w:p>
        </w:tc>
      </w:tr>
      <w:tr>
        <w:trPr/>
        <w:tc>
          <w:tcPr>
            <w:tcW w:w="33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Common stock, par value $0.01 per share</w:t>
            </w:r>
          </w:p>
        </w:tc>
        <w:tc>
          <w:tcPr>
            <w:tcW w:w="1460" w:type="dxa"/>
            <w:tcBorders/>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KODK</w:t>
            </w:r>
          </w:p>
        </w:tc>
        <w:tc>
          <w:tcPr>
            <w:tcW w:w="3635" w:type="dxa"/>
            <w:tcBorders/>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135"/>
        <w:gridCol w:w="60"/>
        <w:gridCol w:w="230"/>
        <w:gridCol w:w="60"/>
        <w:gridCol w:w="2165"/>
        <w:gridCol w:w="230"/>
        <w:gridCol w:w="60"/>
      </w:tblGrid>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May 1, 2024, the registrant had 80.1 million shares of common stock, par value $0.01 per share, outstanding.</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 w:name="toc"/>
      <w:bookmarkEnd w:id="2"/>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710"/>
        <w:gridCol w:w="6935"/>
        <w:gridCol w:w="515"/>
      </w:tblGrid>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center"/>
              <w:rPr>
                <w:rFonts w:ascii="Calibri;Arial;sans-serif" w:hAnsi="Calibri;Arial;sans-serif"/>
                <w:b/>
              </w:rPr>
            </w:pPr>
            <w:r>
              <w:rPr>
                <w:rFonts w:ascii="Calibri;Arial;sans-serif" w:hAnsi="Calibri;Arial;sans-serif"/>
                <w:b/>
              </w:rPr>
              <w:t>Page</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hyperlink w:anchor="part1">
              <w:r>
                <w:rPr>
                  <w:rStyle w:val="InternetLink"/>
                  <w:rFonts w:ascii="Calibri;Arial;sans-serif" w:hAnsi="Calibri;Arial;sans-serif"/>
                  <w:b/>
                </w:rPr>
                <w:t>Part I.</w:t>
              </w:r>
            </w:hyperlink>
            <w:hyperlink w:anchor="part1">
              <w:r>
                <w:rPr>
                  <w:rStyle w:val="InternetLink"/>
                  <w:rFonts w:ascii="Calibri;Arial;sans-serif" w:hAnsi="Calibri;Arial;sans-serif"/>
                </w:rPr>
                <w:t>—</w:t>
              </w:r>
            </w:hyperlink>
            <w:hyperlink w:anchor="part1">
              <w:r>
                <w:rPr>
                  <w:rStyle w:val="InternetLink"/>
                  <w:rFonts w:ascii="Calibri;Arial;sans-serif" w:hAnsi="Calibri;Arial;sans-serif"/>
                  <w:b/>
                </w:rPr>
                <w:t>Financial Information</w:t>
              </w:r>
            </w:hyperlink>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vAlign w:val="center"/>
          </w:tcPr>
          <w:p>
            <w:pPr>
              <w:pStyle w:val="TableContents"/>
              <w:bidi w:val="0"/>
              <w:spacing w:before="0" w:after="0"/>
              <w:ind w:left="0" w:right="0" w:hanging="0"/>
              <w:jc w:val="left"/>
              <w:rPr/>
            </w:pPr>
            <w:hyperlink w:anchor="fs">
              <w:r>
                <w:rPr>
                  <w:rStyle w:val="InternetLink"/>
                  <w:rFonts w:ascii="Calibri;Arial;sans-serif" w:hAnsi="Calibri;Arial;sans-serif"/>
                  <w:caps w:val="false"/>
                  <w:smallCaps w:val="false"/>
                  <w:sz w:val="20"/>
                </w:rPr>
                <w:t>Financial Statements</w:t>
              </w:r>
            </w:hyperlink>
          </w:p>
        </w:tc>
        <w:tc>
          <w:tcPr>
            <w:tcW w:w="515" w:type="dxa"/>
            <w:tcBorders/>
            <w:vAlign w:val="center"/>
          </w:tcPr>
          <w:p>
            <w:pPr>
              <w:pStyle w:val="TableContents"/>
              <w:bidi w:val="0"/>
              <w:spacing w:before="0" w:after="283"/>
              <w:jc w:val="center"/>
              <w:rPr/>
            </w:pPr>
            <w:hyperlink w:anchor="fs">
              <w:r>
                <w:rPr>
                  <w:rStyle w:val="InternetLink"/>
                  <w:rFonts w:ascii="Calibri;Arial;sans-serif" w:hAnsi="Calibri;Arial;sans-serif"/>
                </w:rPr>
                <w:t>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ops">
              <w:r>
                <w:rPr>
                  <w:rStyle w:val="InternetLink"/>
                  <w:rFonts w:ascii="Calibri;Arial;sans-serif" w:hAnsi="Calibri;Arial;sans-serif"/>
                  <w:caps w:val="false"/>
                  <w:smallCaps w:val="false"/>
                  <w:sz w:val="20"/>
                </w:rPr>
                <w:t>Consolidated Statement of Operations (Unaudited)</w:t>
              </w:r>
            </w:hyperlink>
          </w:p>
        </w:tc>
        <w:tc>
          <w:tcPr>
            <w:tcW w:w="515" w:type="dxa"/>
            <w:tcBorders/>
            <w:vAlign w:val="center"/>
          </w:tcPr>
          <w:p>
            <w:pPr>
              <w:pStyle w:val="TableContents"/>
              <w:bidi w:val="0"/>
              <w:spacing w:before="0" w:after="0"/>
              <w:ind w:left="0" w:right="0" w:hanging="0"/>
              <w:jc w:val="center"/>
              <w:rPr/>
            </w:pPr>
            <w:hyperlink w:anchor="ops">
              <w:r>
                <w:rPr>
                  <w:rStyle w:val="InternetLink"/>
                  <w:rFonts w:ascii="Calibri;Arial;sans-serif" w:hAnsi="Calibri;Arial;sans-serif"/>
                  <w:caps w:val="false"/>
                  <w:smallCaps w:val="false"/>
                  <w:sz w:val="20"/>
                </w:rPr>
                <w:t>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income">
              <w:r>
                <w:rPr>
                  <w:rStyle w:val="InternetLink"/>
                  <w:rFonts w:ascii="Calibri;Arial;sans-serif" w:hAnsi="Calibri;Arial;sans-serif"/>
                  <w:caps w:val="false"/>
                  <w:smallCaps w:val="false"/>
                  <w:sz w:val="20"/>
                </w:rPr>
                <w:t>Consolidated Statement of Comprehensive Income (Unaudited)</w:t>
              </w:r>
            </w:hyperlink>
          </w:p>
        </w:tc>
        <w:tc>
          <w:tcPr>
            <w:tcW w:w="515" w:type="dxa"/>
            <w:tcBorders/>
            <w:vAlign w:val="center"/>
          </w:tcPr>
          <w:p>
            <w:pPr>
              <w:pStyle w:val="TableContents"/>
              <w:bidi w:val="0"/>
              <w:spacing w:before="0" w:after="0"/>
              <w:ind w:left="0" w:right="0" w:hanging="0"/>
              <w:jc w:val="center"/>
              <w:rPr/>
            </w:pPr>
            <w:hyperlink w:anchor="income">
              <w:r>
                <w:rPr>
                  <w:rStyle w:val="InternetLink"/>
                  <w:rFonts w:ascii="Calibri;Arial;sans-serif" w:hAnsi="Calibri;Arial;sans-serif"/>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finpos">
              <w:r>
                <w:rPr>
                  <w:rStyle w:val="InternetLink"/>
                  <w:rFonts w:ascii="Calibri;Arial;sans-serif" w:hAnsi="Calibri;Arial;sans-serif"/>
                  <w:caps w:val="false"/>
                  <w:smallCaps w:val="false"/>
                  <w:sz w:val="20"/>
                </w:rPr>
                <w:t>Consolidated Statement of Financial Position (Unaudited)</w:t>
              </w:r>
            </w:hyperlink>
          </w:p>
        </w:tc>
        <w:tc>
          <w:tcPr>
            <w:tcW w:w="515" w:type="dxa"/>
            <w:tcBorders/>
            <w:vAlign w:val="center"/>
          </w:tcPr>
          <w:p>
            <w:pPr>
              <w:pStyle w:val="TableContents"/>
              <w:bidi w:val="0"/>
              <w:spacing w:before="0" w:after="0"/>
              <w:ind w:left="0" w:right="0" w:hanging="0"/>
              <w:jc w:val="center"/>
              <w:rPr/>
            </w:pPr>
            <w:hyperlink w:anchor="finpos">
              <w:r>
                <w:rPr>
                  <w:rStyle w:val="InternetLink"/>
                  <w:rFonts w:ascii="Calibri;Arial;sans-serif" w:hAnsi="Calibri;Arial;sans-serif"/>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cashflows">
              <w:r>
                <w:rPr>
                  <w:rStyle w:val="InternetLink"/>
                  <w:rFonts w:ascii="Calibri;Arial;sans-serif" w:hAnsi="Calibri;Arial;sans-serif"/>
                  <w:caps w:val="false"/>
                  <w:smallCaps w:val="false"/>
                  <w:sz w:val="20"/>
                </w:rPr>
                <w:t xml:space="preserve">Consolidated Statement of Cash Flows (Unaudited) </w:t>
              </w:r>
            </w:hyperlink>
          </w:p>
        </w:tc>
        <w:tc>
          <w:tcPr>
            <w:tcW w:w="515" w:type="dxa"/>
            <w:tcBorders/>
            <w:vAlign w:val="center"/>
          </w:tcPr>
          <w:p>
            <w:pPr>
              <w:pStyle w:val="TableContents"/>
              <w:bidi w:val="0"/>
              <w:spacing w:before="0" w:after="0"/>
              <w:ind w:left="0" w:right="0" w:hanging="0"/>
              <w:jc w:val="center"/>
              <w:rPr/>
            </w:pPr>
            <w:hyperlink w:anchor="cashflows">
              <w:r>
                <w:rPr>
                  <w:rStyle w:val="InternetLink"/>
                  <w:rFonts w:ascii="Calibri;Arial;sans-serif" w:hAnsi="Calibri;Arial;sans-serif"/>
                  <w:caps w:val="false"/>
                  <w:smallCaps w:val="false"/>
                  <w:sz w:val="20"/>
                </w:rPr>
                <w:t>6</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equity">
              <w:r>
                <w:rPr>
                  <w:rStyle w:val="InternetLink"/>
                  <w:rFonts w:ascii="Calibri;Arial;sans-serif" w:hAnsi="Calibri;Arial;sans-serif"/>
                  <w:caps w:val="false"/>
                  <w:smallCaps w:val="false"/>
                  <w:sz w:val="20"/>
                </w:rPr>
                <w:t>Consolidated Statement of Equity (Deficit) (Unaudited)</w:t>
              </w:r>
            </w:hyperlink>
          </w:p>
        </w:tc>
        <w:tc>
          <w:tcPr>
            <w:tcW w:w="515" w:type="dxa"/>
            <w:tcBorders/>
            <w:vAlign w:val="center"/>
          </w:tcPr>
          <w:p>
            <w:pPr>
              <w:pStyle w:val="TableContents"/>
              <w:bidi w:val="0"/>
              <w:spacing w:before="0" w:after="0"/>
              <w:ind w:left="0" w:right="0" w:hanging="0"/>
              <w:jc w:val="center"/>
              <w:rPr/>
            </w:pPr>
            <w:hyperlink w:anchor="equity">
              <w:r>
                <w:rPr>
                  <w:rStyle w:val="InternetLink"/>
                  <w:rFonts w:ascii="Calibri;Arial;sans-serif" w:hAnsi="Calibri;Arial;sans-serif"/>
                  <w:caps w:val="false"/>
                  <w:smallCaps w:val="false"/>
                  <w:sz w:val="20"/>
                </w:rPr>
                <w:t>7</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notes">
              <w:r>
                <w:rPr>
                  <w:rStyle w:val="InternetLink"/>
                  <w:rFonts w:ascii="Calibri;Arial;sans-serif" w:hAnsi="Calibri;Arial;sans-serif"/>
                  <w:caps w:val="false"/>
                  <w:smallCaps w:val="false"/>
                  <w:sz w:val="20"/>
                </w:rPr>
                <w:t>Notes to Financial Statements (Unaudited)</w:t>
              </w:r>
            </w:hyperlink>
          </w:p>
        </w:tc>
        <w:tc>
          <w:tcPr>
            <w:tcW w:w="515" w:type="dxa"/>
            <w:tcBorders/>
            <w:vAlign w:val="center"/>
          </w:tcPr>
          <w:p>
            <w:pPr>
              <w:pStyle w:val="TableContents"/>
              <w:bidi w:val="0"/>
              <w:spacing w:before="0" w:after="0"/>
              <w:ind w:left="0" w:right="0" w:hanging="0"/>
              <w:jc w:val="center"/>
              <w:rPr/>
            </w:pPr>
            <w:hyperlink w:anchor="notes">
              <w:r>
                <w:rPr>
                  <w:rStyle w:val="InternetLink"/>
                  <w:rFonts w:ascii="Calibri;Arial;sans-serif" w:hAnsi="Calibri;Arial;sans-serif"/>
                  <w:caps w:val="false"/>
                  <w:smallCaps w:val="false"/>
                  <w:sz w:val="20"/>
                </w:rPr>
                <w:t>9</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vAlign w:val="center"/>
          </w:tcPr>
          <w:p>
            <w:pPr>
              <w:pStyle w:val="TableContents"/>
              <w:bidi w:val="0"/>
              <w:spacing w:before="0" w:after="0"/>
              <w:ind w:left="0" w:right="0" w:hanging="0"/>
              <w:jc w:val="left"/>
              <w:rPr/>
            </w:pPr>
            <w:hyperlink w:anchor="MDA">
              <w:r>
                <w:rPr>
                  <w:rStyle w:val="InternetLink"/>
                  <w:rFonts w:ascii="Calibri;Arial;sans-serif" w:hAnsi="Calibri;Arial;sans-serif"/>
                  <w:caps w:val="false"/>
                  <w:smallCaps w:val="false"/>
                  <w:sz w:val="20"/>
                </w:rPr>
                <w:t>Management’s Discussion and Analysis of Financial Condition and Results of Operations</w:t>
              </w:r>
            </w:hyperlink>
          </w:p>
        </w:tc>
        <w:tc>
          <w:tcPr>
            <w:tcW w:w="515" w:type="dxa"/>
            <w:tcBorders/>
            <w:vAlign w:val="center"/>
          </w:tcPr>
          <w:p>
            <w:pPr>
              <w:pStyle w:val="TableContents"/>
              <w:bidi w:val="0"/>
              <w:spacing w:before="0" w:after="0"/>
              <w:ind w:left="0" w:right="0" w:hanging="0"/>
              <w:jc w:val="center"/>
              <w:rPr/>
            </w:pPr>
            <w:hyperlink w:anchor="MDA">
              <w:r>
                <w:rPr>
                  <w:rStyle w:val="InternetLink"/>
                  <w:rFonts w:ascii="Calibri;Arial;sans-serif" w:hAnsi="Calibri;Arial;sans-serif"/>
                  <w:caps w:val="false"/>
                  <w:smallCaps w:val="false"/>
                  <w:sz w:val="20"/>
                </w:rPr>
                <w:t>27</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liquid">
              <w:r>
                <w:rPr>
                  <w:rStyle w:val="InternetLink"/>
                  <w:rFonts w:ascii="Calibri;Arial;sans-serif" w:hAnsi="Calibri;Arial;sans-serif"/>
                  <w:caps w:val="false"/>
                  <w:smallCaps w:val="false"/>
                  <w:sz w:val="20"/>
                </w:rPr>
                <w:t>Liquidity and Capital Resources</w:t>
              </w:r>
            </w:hyperlink>
          </w:p>
        </w:tc>
        <w:tc>
          <w:tcPr>
            <w:tcW w:w="515" w:type="dxa"/>
            <w:tcBorders/>
            <w:vAlign w:val="center"/>
          </w:tcPr>
          <w:p>
            <w:pPr>
              <w:pStyle w:val="TableContents"/>
              <w:bidi w:val="0"/>
              <w:spacing w:before="0" w:after="0"/>
              <w:ind w:left="0" w:right="0" w:hanging="0"/>
              <w:jc w:val="center"/>
              <w:rPr/>
            </w:pPr>
            <w:hyperlink w:anchor="liquid">
              <w:r>
                <w:rPr>
                  <w:rStyle w:val="InternetLink"/>
                  <w:rFonts w:ascii="Calibri;Arial;sans-serif" w:hAnsi="Calibri;Arial;sans-serif"/>
                  <w:caps w:val="false"/>
                  <w:smallCaps w:val="false"/>
                  <w:sz w:val="20"/>
                </w:rPr>
                <w:t>37</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3.</w:t>
            </w:r>
          </w:p>
        </w:tc>
        <w:tc>
          <w:tcPr>
            <w:tcW w:w="6935" w:type="dxa"/>
            <w:tcBorders/>
            <w:vAlign w:val="center"/>
          </w:tcPr>
          <w:p>
            <w:pPr>
              <w:pStyle w:val="TableContents"/>
              <w:bidi w:val="0"/>
              <w:spacing w:before="0" w:after="0"/>
              <w:ind w:left="0" w:right="0" w:hanging="0"/>
              <w:jc w:val="left"/>
              <w:rPr/>
            </w:pPr>
            <w:hyperlink w:anchor="qqd">
              <w:r>
                <w:rPr>
                  <w:rStyle w:val="InternetLink"/>
                  <w:rFonts w:ascii="Calibri;Arial;sans-serif" w:hAnsi="Calibri;Arial;sans-serif"/>
                  <w:caps w:val="false"/>
                  <w:smallCaps w:val="false"/>
                  <w:sz w:val="20"/>
                </w:rPr>
                <w:t>Quantitative and Qualitative Disclosures About Market Risk</w:t>
              </w:r>
            </w:hyperlink>
          </w:p>
        </w:tc>
        <w:tc>
          <w:tcPr>
            <w:tcW w:w="515" w:type="dxa"/>
            <w:tcBorders/>
            <w:vAlign w:val="center"/>
          </w:tcPr>
          <w:p>
            <w:pPr>
              <w:pStyle w:val="TableContents"/>
              <w:bidi w:val="0"/>
              <w:spacing w:before="0" w:after="0"/>
              <w:ind w:left="0" w:right="0" w:hanging="0"/>
              <w:jc w:val="center"/>
              <w:rPr/>
            </w:pPr>
            <w:hyperlink w:anchor="qqd">
              <w:r>
                <w:rPr>
                  <w:rStyle w:val="InternetLink"/>
                  <w:rFonts w:ascii="Calibri;Arial;sans-serif" w:hAnsi="Calibri;Arial;sans-serif"/>
                  <w:caps w:val="false"/>
                  <w:smallCaps w:val="false"/>
                  <w:sz w:val="20"/>
                </w:rPr>
                <w:t>41</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4.</w:t>
            </w:r>
          </w:p>
        </w:tc>
        <w:tc>
          <w:tcPr>
            <w:tcW w:w="6935" w:type="dxa"/>
            <w:tcBorders/>
            <w:vAlign w:val="center"/>
          </w:tcPr>
          <w:p>
            <w:pPr>
              <w:pStyle w:val="TableContents"/>
              <w:bidi w:val="0"/>
              <w:spacing w:before="0" w:after="0"/>
              <w:ind w:left="0" w:right="0" w:hanging="0"/>
              <w:jc w:val="left"/>
              <w:rPr/>
            </w:pPr>
            <w:hyperlink w:anchor="controls">
              <w:r>
                <w:rPr>
                  <w:rStyle w:val="InternetLink"/>
                  <w:rFonts w:ascii="Calibri;Arial;sans-serif" w:hAnsi="Calibri;Arial;sans-serif"/>
                  <w:caps w:val="false"/>
                  <w:smallCaps w:val="false"/>
                  <w:sz w:val="20"/>
                </w:rPr>
                <w:t>Controls and Procedures</w:t>
              </w:r>
            </w:hyperlink>
          </w:p>
        </w:tc>
        <w:tc>
          <w:tcPr>
            <w:tcW w:w="515" w:type="dxa"/>
            <w:tcBorders/>
            <w:vAlign w:val="center"/>
          </w:tcPr>
          <w:p>
            <w:pPr>
              <w:pStyle w:val="TableContents"/>
              <w:bidi w:val="0"/>
              <w:spacing w:before="0" w:after="0"/>
              <w:ind w:left="0" w:right="0" w:hanging="0"/>
              <w:jc w:val="center"/>
              <w:rPr/>
            </w:pPr>
            <w:hyperlink w:anchor="controls">
              <w:r>
                <w:rPr>
                  <w:rStyle w:val="InternetLink"/>
                  <w:rFonts w:ascii="Calibri;Arial;sans-serif" w:hAnsi="Calibri;Arial;sans-serif"/>
                  <w:caps w:val="false"/>
                  <w:smallCaps w:val="false"/>
                  <w:sz w:val="20"/>
                </w:rPr>
                <w:t>41</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hyperlink w:anchor="part2other">
              <w:r>
                <w:rPr>
                  <w:rStyle w:val="InternetLink"/>
                  <w:rFonts w:ascii="Calibri;Arial;sans-serif" w:hAnsi="Calibri;Arial;sans-serif"/>
                  <w:b/>
                </w:rPr>
                <w:t xml:space="preserve">Part II. </w:t>
              </w:r>
            </w:hyperlink>
            <w:hyperlink w:anchor="part2other">
              <w:r>
                <w:rPr>
                  <w:rStyle w:val="InternetLink"/>
                  <w:rFonts w:ascii="Calibri;Arial;sans-serif" w:hAnsi="Calibri;Arial;sans-serif"/>
                </w:rPr>
                <w:t>—</w:t>
              </w:r>
            </w:hyperlink>
            <w:hyperlink w:anchor="part2other">
              <w:r>
                <w:rPr>
                  <w:rStyle w:val="InternetLink"/>
                  <w:rFonts w:ascii="Calibri;Arial;sans-serif" w:hAnsi="Calibri;Arial;sans-serif"/>
                  <w:b/>
                </w:rPr>
                <w:t>Other Information</w:t>
              </w:r>
            </w:hyperlink>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vAlign w:val="center"/>
          </w:tcPr>
          <w:p>
            <w:pPr>
              <w:pStyle w:val="TableContents"/>
              <w:bidi w:val="0"/>
              <w:spacing w:before="0" w:after="0"/>
              <w:ind w:left="0" w:right="0" w:hanging="0"/>
              <w:jc w:val="left"/>
              <w:rPr/>
            </w:pPr>
            <w:hyperlink w:anchor="item1legal">
              <w:r>
                <w:rPr>
                  <w:rStyle w:val="InternetLink"/>
                  <w:rFonts w:ascii="Calibri;Arial;sans-serif" w:hAnsi="Calibri;Arial;sans-serif"/>
                  <w:caps w:val="false"/>
                  <w:smallCaps w:val="false"/>
                  <w:sz w:val="20"/>
                </w:rPr>
                <w:t>Legal Proceedings</w:t>
              </w:r>
            </w:hyperlink>
          </w:p>
        </w:tc>
        <w:tc>
          <w:tcPr>
            <w:tcW w:w="515" w:type="dxa"/>
            <w:tcBorders/>
            <w:vAlign w:val="center"/>
          </w:tcPr>
          <w:p>
            <w:pPr>
              <w:pStyle w:val="TableContents"/>
              <w:bidi w:val="0"/>
              <w:spacing w:before="0" w:after="0"/>
              <w:ind w:left="0" w:right="0" w:hanging="0"/>
              <w:jc w:val="center"/>
              <w:rPr/>
            </w:pPr>
            <w:hyperlink w:anchor="item1legal">
              <w:r>
                <w:rPr>
                  <w:rStyle w:val="InternetLink"/>
                  <w:rFonts w:ascii="Calibri;Arial;sans-serif" w:hAnsi="Calibri;Arial;sans-serif"/>
                  <w:caps w:val="false"/>
                  <w:smallCaps w:val="false"/>
                  <w:sz w:val="20"/>
                </w:rPr>
                <w:t>42</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1A.</w:t>
            </w:r>
          </w:p>
        </w:tc>
        <w:tc>
          <w:tcPr>
            <w:tcW w:w="6935" w:type="dxa"/>
            <w:tcBorders/>
            <w:vAlign w:val="center"/>
          </w:tcPr>
          <w:p>
            <w:pPr>
              <w:pStyle w:val="TableContents"/>
              <w:bidi w:val="0"/>
              <w:spacing w:before="0" w:after="0"/>
              <w:ind w:left="0" w:right="0" w:hanging="0"/>
              <w:jc w:val="left"/>
              <w:rPr/>
            </w:pPr>
            <w:hyperlink w:anchor="item1arisk">
              <w:r>
                <w:rPr>
                  <w:rStyle w:val="InternetLink"/>
                  <w:rFonts w:ascii="Calibri;Arial;sans-serif" w:hAnsi="Calibri;Arial;sans-serif"/>
                  <w:caps w:val="false"/>
                  <w:smallCaps w:val="false"/>
                  <w:sz w:val="20"/>
                </w:rPr>
                <w:t>Risk Factors</w:t>
              </w:r>
            </w:hyperlink>
          </w:p>
        </w:tc>
        <w:tc>
          <w:tcPr>
            <w:tcW w:w="515" w:type="dxa"/>
            <w:tcBorders/>
            <w:vAlign w:val="center"/>
          </w:tcPr>
          <w:p>
            <w:pPr>
              <w:pStyle w:val="TableContents"/>
              <w:bidi w:val="0"/>
              <w:spacing w:before="0" w:after="0"/>
              <w:ind w:left="0" w:right="0" w:hanging="0"/>
              <w:jc w:val="center"/>
              <w:rPr/>
            </w:pPr>
            <w:hyperlink w:anchor="item1arisk">
              <w:r>
                <w:rPr>
                  <w:rStyle w:val="InternetLink"/>
                  <w:rFonts w:ascii="Calibri;Arial;sans-serif" w:hAnsi="Calibri;Arial;sans-serif"/>
                  <w:caps w:val="false"/>
                  <w:smallCaps w:val="false"/>
                  <w:sz w:val="20"/>
                </w:rPr>
                <w:t>42</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vAlign w:val="center"/>
          </w:tcPr>
          <w:p>
            <w:pPr>
              <w:pStyle w:val="TableContents"/>
              <w:bidi w:val="0"/>
              <w:spacing w:before="0" w:after="0"/>
              <w:ind w:left="0" w:right="0" w:hanging="0"/>
              <w:jc w:val="left"/>
              <w:rPr/>
            </w:pPr>
            <w:hyperlink w:anchor="item2unregistered">
              <w:r>
                <w:rPr>
                  <w:rStyle w:val="InternetLink"/>
                  <w:rFonts w:ascii="Calibri;Arial;sans-serif" w:hAnsi="Calibri;Arial;sans-serif"/>
                  <w:caps w:val="false"/>
                  <w:smallCaps w:val="false"/>
                  <w:sz w:val="20"/>
                </w:rPr>
                <w:t>Unregistered Sales of Equity Securities and Use of Proceeds</w:t>
              </w:r>
            </w:hyperlink>
          </w:p>
        </w:tc>
        <w:tc>
          <w:tcPr>
            <w:tcW w:w="515" w:type="dxa"/>
            <w:tcBorders/>
            <w:vAlign w:val="center"/>
          </w:tcPr>
          <w:p>
            <w:pPr>
              <w:pStyle w:val="TableContents"/>
              <w:bidi w:val="0"/>
              <w:spacing w:before="0" w:after="0"/>
              <w:ind w:left="0" w:right="0" w:hanging="0"/>
              <w:jc w:val="center"/>
              <w:rPr/>
            </w:pPr>
            <w:hyperlink w:anchor="item2unregistered">
              <w:r>
                <w:rPr>
                  <w:rStyle w:val="InternetLink"/>
                  <w:rFonts w:ascii="Calibri;Arial;sans-serif" w:hAnsi="Calibri;Arial;sans-serif"/>
                  <w:caps w:val="false"/>
                  <w:smallCaps w:val="false"/>
                  <w:sz w:val="20"/>
                </w:rPr>
                <w:t>42</w:t>
              </w:r>
            </w:hyperlink>
          </w:p>
        </w:tc>
      </w:tr>
      <w:tr>
        <w:trPr/>
        <w:tc>
          <w:tcPr>
            <w:tcW w:w="710"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rPr>
              <w:t>Item 5.</w:t>
            </w:r>
          </w:p>
        </w:tc>
        <w:tc>
          <w:tcPr>
            <w:tcW w:w="6935" w:type="dxa"/>
            <w:tcBorders/>
            <w:vAlign w:val="center"/>
          </w:tcPr>
          <w:p>
            <w:pPr>
              <w:pStyle w:val="TableContents"/>
              <w:bidi w:val="0"/>
              <w:spacing w:before="0" w:after="283"/>
              <w:jc w:val="left"/>
              <w:rPr/>
            </w:pPr>
            <w:hyperlink w:anchor="item5">
              <w:r>
                <w:rPr>
                  <w:rStyle w:val="InternetLink"/>
                  <w:rFonts w:ascii="Calibri;Arial;sans-serif" w:hAnsi="Calibri;Arial;sans-serif"/>
                </w:rPr>
                <w:t>Other Information</w:t>
              </w:r>
            </w:hyperlink>
          </w:p>
        </w:tc>
        <w:tc>
          <w:tcPr>
            <w:tcW w:w="515" w:type="dxa"/>
            <w:tcBorders/>
            <w:vAlign w:val="center"/>
          </w:tcPr>
          <w:p>
            <w:pPr>
              <w:pStyle w:val="TableContents"/>
              <w:bidi w:val="0"/>
              <w:spacing w:before="0" w:after="283"/>
              <w:jc w:val="center"/>
              <w:rPr/>
            </w:pPr>
            <w:hyperlink w:anchor="part2other">
              <w:r>
                <w:rPr>
                  <w:rStyle w:val="InternetLink"/>
                  <w:rFonts w:ascii="Calibri;Arial;sans-serif" w:hAnsi="Calibri;Arial;sans-serif"/>
                </w:rPr>
                <w:t>42</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6.</w:t>
            </w:r>
          </w:p>
        </w:tc>
        <w:tc>
          <w:tcPr>
            <w:tcW w:w="6935" w:type="dxa"/>
            <w:tcBorders/>
            <w:vAlign w:val="center"/>
          </w:tcPr>
          <w:p>
            <w:pPr>
              <w:pStyle w:val="TableContents"/>
              <w:bidi w:val="0"/>
              <w:spacing w:before="0" w:after="0"/>
              <w:ind w:left="0" w:right="0" w:hanging="0"/>
              <w:jc w:val="left"/>
              <w:rPr/>
            </w:pPr>
            <w:hyperlink w:anchor="exhibits">
              <w:r>
                <w:rPr>
                  <w:rStyle w:val="InternetLink"/>
                  <w:rFonts w:ascii="Calibri;Arial;sans-serif" w:hAnsi="Calibri;Arial;sans-serif"/>
                  <w:caps w:val="false"/>
                  <w:smallCaps w:val="false"/>
                  <w:sz w:val="20"/>
                </w:rPr>
                <w:t>Exhibits</w:t>
              </w:r>
            </w:hyperlink>
          </w:p>
        </w:tc>
        <w:tc>
          <w:tcPr>
            <w:tcW w:w="515" w:type="dxa"/>
            <w:tcBorders/>
            <w:vAlign w:val="center"/>
          </w:tcPr>
          <w:p>
            <w:pPr>
              <w:pStyle w:val="TableContents"/>
              <w:bidi w:val="0"/>
              <w:spacing w:before="0" w:after="0"/>
              <w:ind w:left="0" w:right="0" w:hanging="0"/>
              <w:jc w:val="center"/>
              <w:rPr/>
            </w:pPr>
            <w:hyperlink w:anchor="exhibits">
              <w:r>
                <w:rPr>
                  <w:rStyle w:val="InternetLink"/>
                  <w:rFonts w:ascii="Calibri;Arial;sans-serif" w:hAnsi="Calibri;Arial;sans-serif"/>
                  <w:caps w:val="false"/>
                  <w:smallCaps w:val="false"/>
                  <w:sz w:val="20"/>
                </w:rPr>
                <w:t>43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exhibits">
              <w:r>
                <w:rPr>
                  <w:rStyle w:val="InternetLink"/>
                  <w:rFonts w:ascii="Calibri;Arial;sans-serif" w:hAnsi="Calibri;Arial;sans-serif"/>
                  <w:caps w:val="false"/>
                  <w:smallCaps w:val="false"/>
                  <w:sz w:val="20"/>
                </w:rPr>
                <w:t>Index to Exhibits</w:t>
              </w:r>
            </w:hyperlink>
          </w:p>
        </w:tc>
        <w:tc>
          <w:tcPr>
            <w:tcW w:w="515" w:type="dxa"/>
            <w:tcBorders/>
            <w:vAlign w:val="center"/>
          </w:tcPr>
          <w:p>
            <w:pPr>
              <w:pStyle w:val="TableContents"/>
              <w:bidi w:val="0"/>
              <w:spacing w:before="0" w:after="0"/>
              <w:ind w:left="0" w:right="0" w:hanging="0"/>
              <w:jc w:val="center"/>
              <w:rPr/>
            </w:pPr>
            <w:hyperlink w:anchor="exhibits">
              <w:r>
                <w:rPr>
                  <w:rStyle w:val="InternetLink"/>
                  <w:rFonts w:ascii="Calibri;Arial;sans-serif" w:hAnsi="Calibri;Arial;sans-serif"/>
                  <w:caps w:val="false"/>
                  <w:smallCaps w:val="false"/>
                  <w:sz w:val="20"/>
                </w:rPr>
                <w:t>43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sigs">
              <w:r>
                <w:rPr>
                  <w:rStyle w:val="InternetLink"/>
                  <w:rFonts w:ascii="Calibri;Arial;sans-serif" w:hAnsi="Calibri;Arial;sans-serif"/>
                  <w:caps w:val="false"/>
                  <w:smallCaps w:val="false"/>
                  <w:sz w:val="20"/>
                </w:rPr>
                <w:t>Signatures</w:t>
              </w:r>
            </w:hyperlink>
          </w:p>
        </w:tc>
        <w:tc>
          <w:tcPr>
            <w:tcW w:w="515" w:type="dxa"/>
            <w:tcBorders/>
            <w:vAlign w:val="center"/>
          </w:tcPr>
          <w:p>
            <w:pPr>
              <w:pStyle w:val="TableContents"/>
              <w:bidi w:val="0"/>
              <w:spacing w:before="0" w:after="0"/>
              <w:ind w:left="0" w:right="0" w:hanging="0"/>
              <w:jc w:val="center"/>
              <w:rPr/>
            </w:pPr>
            <w:hyperlink w:anchor="sigs">
              <w:r>
                <w:rPr>
                  <w:rStyle w:val="InternetLink"/>
                  <w:rFonts w:ascii="Calibri;Arial;sans-serif" w:hAnsi="Calibri;Arial;sans-serif"/>
                  <w:caps w:val="false"/>
                  <w:smallCaps w:val="false"/>
                  <w:sz w:val="20"/>
                </w:rPr>
                <w:t>45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3" w:name="part1"/>
      <w:bookmarkEnd w:id="3"/>
      <w:r>
        <w:rPr>
          <w:rFonts w:ascii="Calibri;Arial;sans-serif" w:hAnsi="Calibri;Arial;sans-serif"/>
          <w:b/>
          <w:caps w:val="false"/>
          <w:smallCaps w:val="false"/>
          <w:sz w:val="20"/>
        </w:rPr>
        <w:t>Part I. FINANCIAL INFORMATION</w:t>
      </w:r>
    </w:p>
    <w:p>
      <w:pPr>
        <w:pStyle w:val="TextBody"/>
        <w:bidi w:val="0"/>
        <w:spacing w:before="0" w:after="0"/>
        <w:ind w:left="0" w:right="0" w:hanging="0"/>
        <w:jc w:val="left"/>
        <w:rPr>
          <w:rFonts w:ascii="Calibri;Arial;sans-serif" w:hAnsi="Calibri;Arial;sans-serif"/>
          <w:caps w:val="false"/>
          <w:smallCaps w:val="false"/>
          <w:sz w:val="20"/>
        </w:rPr>
      </w:pPr>
      <w:bookmarkStart w:id="4" w:name="fs"/>
      <w:bookmarkEnd w:id="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bookmarkStart w:id="5" w:name="ops"/>
      <w:bookmarkEnd w:id="5"/>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OPERATIONS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1"/>
        <w:gridCol w:w="60"/>
        <w:gridCol w:w="169"/>
        <w:gridCol w:w="513"/>
        <w:gridCol w:w="108"/>
        <w:gridCol w:w="80"/>
        <w:gridCol w:w="169"/>
        <w:gridCol w:w="513"/>
        <w:gridCol w:w="82"/>
      </w:tblGrid>
      <w:tr>
        <w:trPr/>
        <w:tc>
          <w:tcPr>
            <w:tcW w:w="85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Sales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206</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224</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43</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54</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249</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Sales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168</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192</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32</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36</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200</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45</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34</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operating (income) expense, net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0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operations before interest expense, pension income excluding service cost component, other income, net and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w:t>
            </w:r>
          </w:p>
        </w:tc>
        <w:tc>
          <w:tcPr>
            <w:tcW w:w="10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(40</w:t>
            </w:r>
          </w:p>
        </w:tc>
        <w:tc>
          <w:tcPr>
            <w:tcW w:w="8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10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w:t>
            </w:r>
          </w:p>
        </w:tc>
        <w:tc>
          <w:tcPr>
            <w:tcW w:w="8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 net earnings per share attributable to Eastman Kodak Company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0.31</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0.33</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Diluted net earnings per share attributable to Eastman Kodak Company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0.30</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0.30</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Number of common shares used in basic and diluted net earnings per share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511"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79.7</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79.1</w:t>
            </w:r>
          </w:p>
        </w:tc>
        <w:tc>
          <w:tcPr>
            <w:tcW w:w="82" w:type="dxa"/>
            <w:tcBorders/>
            <w:shd w:fill="FFFFFF" w:val="clear"/>
            <w:vAlign w:val="center"/>
          </w:tcPr>
          <w:p>
            <w:pPr>
              <w:pStyle w:val="TableContents"/>
              <w:bidi w:val="0"/>
              <w:spacing w:before="0" w:after="283"/>
              <w:jc w:val="left"/>
              <w:rPr/>
            </w:pPr>
            <w:r>
              <w:rPr/>
              <w:t> </w:t>
            </w:r>
          </w:p>
        </w:tc>
      </w:tr>
      <w:tr>
        <w:trPr/>
        <w:tc>
          <w:tcPr>
            <w:tcW w:w="8511"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91.3</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92.2</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6" w:name="income"/>
      <w:bookmarkEnd w:id="6"/>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COMPREHENSIVE INCOME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7797" w:type="dxa"/>
        <w:jc w:val="left"/>
        <w:tblInd w:w="0" w:type="dxa"/>
        <w:tblLayout w:type="fixed"/>
        <w:tblCellMar>
          <w:top w:w="0" w:type="dxa"/>
          <w:left w:w="0" w:type="dxa"/>
          <w:bottom w:w="0" w:type="dxa"/>
          <w:right w:w="0" w:type="dxa"/>
        </w:tblCellMar>
      </w:tblPr>
      <w:tblGrid>
        <w:gridCol w:w="5975"/>
        <w:gridCol w:w="60"/>
        <w:gridCol w:w="231"/>
        <w:gridCol w:w="536"/>
        <w:gridCol w:w="148"/>
        <w:gridCol w:w="111"/>
        <w:gridCol w:w="231"/>
        <w:gridCol w:w="425"/>
        <w:gridCol w:w="80"/>
      </w:tblGrid>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97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benefit plan obligation activity,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COMPREHENSIVE INCOME,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sz w:val="20"/>
        </w:rPr>
      </w:pPr>
      <w:bookmarkStart w:id="7" w:name="finpos"/>
      <w:bookmarkEnd w:id="7"/>
      <w:r>
        <w:rPr>
          <w:rFonts w:ascii="Calibri;Arial;sans-serif" w:hAnsi="Calibri;Arial;sans-serif"/>
          <w:b/>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9863" w:type="dxa"/>
        <w:jc w:val="left"/>
        <w:tblInd w:w="0" w:type="dxa"/>
        <w:tblLayout w:type="fixed"/>
        <w:tblCellMar>
          <w:top w:w="0" w:type="dxa"/>
          <w:left w:w="0" w:type="dxa"/>
          <w:bottom w:w="0" w:type="dxa"/>
          <w:right w:w="0" w:type="dxa"/>
        </w:tblCellMar>
      </w:tblPr>
      <w:tblGrid>
        <w:gridCol w:w="7610"/>
        <w:gridCol w:w="60"/>
        <w:gridCol w:w="173"/>
        <w:gridCol w:w="671"/>
        <w:gridCol w:w="80"/>
        <w:gridCol w:w="60"/>
        <w:gridCol w:w="228"/>
        <w:gridCol w:w="886"/>
        <w:gridCol w:w="95"/>
      </w:tblGrid>
      <w:tr>
        <w:trPr/>
        <w:tc>
          <w:tcPr>
            <w:tcW w:w="7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255</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Trade receivables, net of allowances of $7 and $8, respectively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195</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Inventories, net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217</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45</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712</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Property, plant and equipment, net of accumulated depreciation of $471 and $450, respectively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169</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Goodwill</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24</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30</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110</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1,216</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long-term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82</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54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2,355</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18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LIABILITIES, REDEEMABLE CONVERTIBLE PREFERRED STOCK AND 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Accounts payable, trade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125</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Short-term borrowings and current portion of long-term debt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Current portion of operating leases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144</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283</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Long-term debt, net of current portion</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457</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237</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Operating leases, net of current portion</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24</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long-term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213</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1,214</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Commitments and Contingencies (Note 6)</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Redeemable, convertible preferred stock, no par value, $100 per share liquidation preference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Common stock, $0.01 par value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Additional paid in capital</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1,156</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Treasury stock, at cost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(463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(495</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6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Accumulated other 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281</w:t>
            </w:r>
          </w:p>
        </w:tc>
        <w:tc>
          <w:tcPr>
            <w:tcW w:w="9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931</w:t>
            </w:r>
          </w:p>
        </w:tc>
        <w:tc>
          <w:tcPr>
            <w:tcW w:w="9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ind w:left="72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LIABILITIES, REDEEMABLE CONVERTIBLE PREFERRED STOCK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8" w:name="cashflows"/>
      <w:bookmarkEnd w:id="8"/>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CASH FLOWS (Unaudited)</w:t>
      </w:r>
    </w:p>
    <w:p>
      <w:pPr>
        <w:pStyle w:val="TextBody"/>
        <w:bidi w:val="0"/>
        <w:spacing w:before="0" w:after="0"/>
        <w:ind w:left="0" w:right="0" w:hanging="0"/>
        <w:jc w:val="left"/>
        <w:rPr>
          <w:caps w:val="false"/>
          <w:smallCaps w:val="false"/>
        </w:rPr>
      </w:pPr>
      <w:r>
        <w:rPr>
          <w:caps w:val="false"/>
          <w:smallCaps w:val="false"/>
        </w:rPr>
        <w:t> </w:t>
      </w:r>
    </w:p>
    <w:tbl>
      <w:tblPr>
        <w:tblW w:w="8802" w:type="dxa"/>
        <w:jc w:val="left"/>
        <w:tblInd w:w="0" w:type="dxa"/>
        <w:tblLayout w:type="fixed"/>
        <w:tblCellMar>
          <w:top w:w="0" w:type="dxa"/>
          <w:left w:w="0" w:type="dxa"/>
          <w:bottom w:w="0" w:type="dxa"/>
          <w:right w:w="0" w:type="dxa"/>
        </w:tblCellMar>
      </w:tblPr>
      <w:tblGrid>
        <w:gridCol w:w="6965"/>
        <w:gridCol w:w="60"/>
        <w:gridCol w:w="198"/>
        <w:gridCol w:w="532"/>
        <w:gridCol w:w="127"/>
        <w:gridCol w:w="95"/>
        <w:gridCol w:w="198"/>
        <w:gridCol w:w="532"/>
        <w:gridCol w:w="95"/>
      </w:tblGrid>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283"/>
              <w:jc w:val="center"/>
              <w:rPr/>
            </w:pPr>
            <w:r>
              <w:rPr>
                <w:rStyle w:val="Emphasis"/>
                <w:rFonts w:ascii="Calibri;Arial;sans-serif" w:hAnsi="Calibri;Arial;sans-serif"/>
                <w:b/>
                <w:sz w:val="20"/>
              </w:rPr>
              <w:t>Three Months Ended</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March 31,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2024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2023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Adjustments to reconcile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Pension and postretirement income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(36</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(36</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Change in fair value of the Preferred Stock and Convertible Notes embedded derivatives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Non-cash changes in workers' compensation and employee benefit reserves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Net gain from sale of assets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Decrease in trade receivables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53</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(Increase) decrease in miscellaneous receivables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2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Increase in inventories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Increase in trade payables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Decrease in liabilities excluding borrowings and trade payables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Other items, net</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bidi w:val="0"/>
              <w:spacing w:before="0" w:after="283"/>
              <w:ind w:left="720" w:right="0" w:hanging="0"/>
              <w:jc w:val="left"/>
              <w:rPr/>
            </w:pPr>
            <w:r>
              <w:rPr/>
              <w:t> </w:t>
            </w:r>
          </w:p>
        </w:tc>
      </w:tr>
      <w:tr>
        <w:trPr/>
        <w:tc>
          <w:tcPr>
            <w:tcW w:w="6965" w:type="dxa"/>
            <w:tcBorders/>
            <w:shd w:fill="CCEE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adjustments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95" w:type="dxa"/>
            <w:tcBorders/>
            <w:shd w:fill="CCEEFF" w:val="clear"/>
            <w:vAlign w:val="center"/>
          </w:tcPr>
          <w:p>
            <w:pPr>
              <w:pStyle w:val="TableContents"/>
              <w:bidi w:val="0"/>
              <w:spacing w:before="0" w:after="283"/>
              <w:ind w:left="72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Additions to properties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12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Proceeds from sale of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ind w:left="720" w:right="0" w:hanging="0"/>
              <w:jc w:val="left"/>
              <w:rPr/>
            </w:pPr>
            <w:r>
              <w:rPr/>
              <w:t> </w:t>
            </w:r>
          </w:p>
        </w:tc>
      </w:tr>
      <w:tr>
        <w:trPr/>
        <w:tc>
          <w:tcPr>
            <w:tcW w:w="6965"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Repayment of Amended and Restated Term Loan Agreement</w:t>
            </w:r>
          </w:p>
        </w:tc>
        <w:tc>
          <w:tcPr>
            <w:tcW w:w="60" w:type="dxa"/>
            <w:tcBorders/>
            <w:shd w:fill="FFFFFF" w:val="clear"/>
            <w:vAlign w:val="center"/>
          </w:tcPr>
          <w:p>
            <w:pPr>
              <w:pStyle w:val="TableContents"/>
              <w:bidi w:val="0"/>
              <w:spacing w:before="0" w:after="0"/>
              <w:ind w:left="0" w:right="0" w:hanging="0"/>
              <w:jc w:val="left"/>
              <w:rPr/>
            </w:pPr>
            <w:r>
              <w:rPr/>
              <w:t> </w:t>
            </w:r>
          </w:p>
        </w:tc>
        <w:tc>
          <w:tcPr>
            <w:tcW w:w="198" w:type="dxa"/>
            <w:tcBorders/>
            <w:shd w:fill="FFFFFF" w:val="clear"/>
            <w:vAlign w:val="center"/>
          </w:tcPr>
          <w:p>
            <w:pPr>
              <w:pStyle w:val="TableContents"/>
              <w:bidi w:val="0"/>
              <w:spacing w:before="0" w:after="0"/>
              <w:ind w:left="0" w:right="0" w:hanging="0"/>
              <w:jc w:val="left"/>
              <w:rPr/>
            </w:pPr>
            <w:r>
              <w:rPr/>
              <w:t> </w:t>
            </w:r>
          </w:p>
        </w:tc>
        <w:tc>
          <w:tcPr>
            <w:tcW w:w="53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(17</w:t>
            </w:r>
          </w:p>
        </w:tc>
        <w:tc>
          <w:tcPr>
            <w:tcW w:w="12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bidi w:val="0"/>
              <w:spacing w:before="0" w:after="0"/>
              <w:ind w:left="0" w:right="0" w:hanging="0"/>
              <w:jc w:val="left"/>
              <w:rPr/>
            </w:pPr>
            <w:r>
              <w:rPr/>
              <w:t> </w:t>
            </w:r>
          </w:p>
        </w:tc>
        <w:tc>
          <w:tcPr>
            <w:tcW w:w="198" w:type="dxa"/>
            <w:tcBorders/>
            <w:shd w:fill="FFFFFF" w:val="clear"/>
            <w:vAlign w:val="center"/>
          </w:tcPr>
          <w:p>
            <w:pPr>
              <w:pStyle w:val="TableContents"/>
              <w:bidi w:val="0"/>
              <w:spacing w:before="0" w:after="0"/>
              <w:ind w:left="0" w:right="0" w:hanging="0"/>
              <w:jc w:val="left"/>
              <w:rPr/>
            </w:pPr>
            <w:r>
              <w:rPr/>
              <w:t> </w:t>
            </w:r>
          </w:p>
        </w:tc>
        <w:tc>
          <w:tcPr>
            <w:tcW w:w="532"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360" w:right="0" w:hanging="0"/>
              <w:jc w:val="left"/>
              <w:rPr/>
            </w:pPr>
            <w:r>
              <w:rPr/>
              <w:t> </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 payments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ind w:left="72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2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Effect of exchange rate changes on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1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5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5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cash equivalents and restricted cash,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380</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9" w:name="equity"/>
      <w:bookmarkEnd w:id="9"/>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EQUITY (DEFICIT)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8"/>
        <w:gridCol w:w="60"/>
        <w:gridCol w:w="268"/>
        <w:gridCol w:w="558"/>
        <w:gridCol w:w="61"/>
        <w:gridCol w:w="61"/>
        <w:gridCol w:w="224"/>
        <w:gridCol w:w="873"/>
        <w:gridCol w:w="81"/>
        <w:gridCol w:w="61"/>
        <w:gridCol w:w="281"/>
        <w:gridCol w:w="889"/>
        <w:gridCol w:w="81"/>
        <w:gridCol w:w="61"/>
        <w:gridCol w:w="448"/>
        <w:gridCol w:w="1206"/>
        <w:gridCol w:w="81"/>
        <w:gridCol w:w="61"/>
        <w:gridCol w:w="244"/>
        <w:gridCol w:w="567"/>
        <w:gridCol w:w="81"/>
        <w:gridCol w:w="61"/>
        <w:gridCol w:w="127"/>
        <w:gridCol w:w="342"/>
        <w:gridCol w:w="80"/>
        <w:gridCol w:w="60"/>
        <w:gridCol w:w="381"/>
        <w:gridCol w:w="1024"/>
        <w:gridCol w:w="85"/>
      </w:tblGrid>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2"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Three-Month Period Ending March 31, 2024</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17"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Eastman Kodak Company Common Shareholders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Common Stock</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Additional Paid in Capital</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Deficit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Other Comprehensive Income</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Treasury Stock</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Redeemable Convertible Preferred Stock</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(495</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44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281</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(463</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212</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CONSOLIDATED STATEMENT OF EQUITY (DEFICIT) (Unaudited) (cont</w:t>
      </w:r>
      <w:r>
        <w:rPr>
          <w:rFonts w:ascii="Calibri;Arial;sans-serif" w:hAnsi="Calibri;Arial;sans-serif"/>
          <w:caps w:val="false"/>
          <w:smallCaps w:val="false"/>
          <w:sz w:val="20"/>
        </w:rPr>
        <w:t>’</w:t>
      </w:r>
      <w:r>
        <w:rPr>
          <w:rFonts w:ascii="Calibri;Arial;sans-serif" w:hAnsi="Calibri;Arial;sans-serif"/>
          <w:b/>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5"/>
        <w:gridCol w:w="60"/>
        <w:gridCol w:w="265"/>
        <w:gridCol w:w="554"/>
        <w:gridCol w:w="60"/>
        <w:gridCol w:w="60"/>
        <w:gridCol w:w="221"/>
        <w:gridCol w:w="859"/>
        <w:gridCol w:w="81"/>
        <w:gridCol w:w="60"/>
        <w:gridCol w:w="279"/>
        <w:gridCol w:w="883"/>
        <w:gridCol w:w="81"/>
        <w:gridCol w:w="60"/>
        <w:gridCol w:w="440"/>
        <w:gridCol w:w="1183"/>
        <w:gridCol w:w="81"/>
        <w:gridCol w:w="60"/>
        <w:gridCol w:w="242"/>
        <w:gridCol w:w="563"/>
        <w:gridCol w:w="81"/>
        <w:gridCol w:w="60"/>
        <w:gridCol w:w="126"/>
        <w:gridCol w:w="491"/>
        <w:gridCol w:w="80"/>
        <w:gridCol w:w="60"/>
        <w:gridCol w:w="372"/>
        <w:gridCol w:w="1001"/>
        <w:gridCol w:w="87"/>
      </w:tblGrid>
      <w:tr>
        <w:trPr/>
        <w:tc>
          <w:tcPr>
            <w:tcW w:w="1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3"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Three-Month Period Ending March 31, 2023</w:t>
            </w:r>
          </w:p>
        </w:tc>
        <w:tc>
          <w:tcPr>
            <w:tcW w:w="87" w:type="dxa"/>
            <w:tcBorders/>
            <w:shd w:fill="FFFFFF" w:val="clear"/>
            <w:vAlign w:val="center"/>
          </w:tcPr>
          <w:p>
            <w:pPr>
              <w:pStyle w:val="TableContents"/>
              <w:bidi w:val="0"/>
              <w:spacing w:before="0" w:after="283"/>
              <w:jc w:val="left"/>
              <w:rPr/>
            </w:pPr>
            <w:r>
              <w:rPr/>
              <w:t> </w:t>
            </w:r>
          </w:p>
        </w:tc>
      </w:tr>
      <w:tr>
        <w:trPr/>
        <w:tc>
          <w:tcPr>
            <w:tcW w:w="1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Eastman Kodak Company Common Shareholders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center"/>
              <w:rPr/>
            </w:pPr>
            <w:r>
              <w:rPr>
                <w:rStyle w:val="Emphasis"/>
              </w:rPr>
              <w:t> </w:t>
            </w:r>
          </w:p>
        </w:tc>
        <w:tc>
          <w:tcPr>
            <w:tcW w:w="87" w:type="dxa"/>
            <w:tcBorders/>
            <w:shd w:fill="FFFFFF" w:val="clear"/>
            <w:vAlign w:val="center"/>
          </w:tcPr>
          <w:p>
            <w:pPr>
              <w:pStyle w:val="TableContents"/>
              <w:bidi w:val="0"/>
              <w:spacing w:before="0" w:after="283"/>
              <w:jc w:val="left"/>
              <w:rPr/>
            </w:pPr>
            <w:r>
              <w:rPr/>
              <w:t> </w:t>
            </w:r>
          </w:p>
        </w:tc>
      </w:tr>
      <w:tr>
        <w:trPr/>
        <w:tc>
          <w:tcPr>
            <w:tcW w:w="1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Additional Paid in Capital</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Deficit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Other Comprehensive Income</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Treasury Stock</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Redeemable Convertible Preferred Stock</w:t>
            </w:r>
          </w:p>
        </w:tc>
        <w:tc>
          <w:tcPr>
            <w:tcW w:w="87" w:type="dxa"/>
            <w:tcBorders/>
            <w:shd w:fill="FFFFFF" w:val="clear"/>
            <w:vAlign w:val="center"/>
          </w:tcPr>
          <w:p>
            <w:pPr>
              <w:pStyle w:val="TableContents"/>
              <w:bidi w:val="0"/>
              <w:spacing w:before="0" w:after="283"/>
              <w:jc w:val="left"/>
              <w:rPr/>
            </w:pPr>
            <w:r>
              <w:rPr/>
              <w:t> </w:t>
            </w:r>
          </w:p>
        </w:tc>
      </w:tr>
      <w:tr>
        <w:trPr/>
        <w:tc>
          <w:tcPr>
            <w:tcW w:w="1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5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(570</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18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87" w:type="dxa"/>
            <w:tcBorders/>
            <w:shd w:fill="CCEEFF" w:val="clear"/>
            <w:vAlign w:val="center"/>
          </w:tcPr>
          <w:p>
            <w:pPr>
              <w:pStyle w:val="TableContents"/>
              <w:bidi w:val="0"/>
              <w:spacing w:before="0" w:after="283"/>
              <w:jc w:val="left"/>
              <w:rPr/>
            </w:pPr>
            <w:r>
              <w:rPr/>
              <w:t> </w:t>
            </w:r>
          </w:p>
        </w:tc>
      </w:tr>
      <w:tr>
        <w:trPr/>
        <w:tc>
          <w:tcPr>
            <w:tcW w:w="1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1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175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1755"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r>
      <w:tr>
        <w:trPr/>
        <w:tc>
          <w:tcPr>
            <w:tcW w:w="1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1755"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63"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49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7" w:type="dxa"/>
            <w:tcBorders/>
            <w:shd w:fill="CCEEFF" w:val="clear"/>
            <w:vAlign w:val="center"/>
          </w:tcPr>
          <w:p>
            <w:pPr>
              <w:pStyle w:val="TableContents"/>
              <w:bidi w:val="0"/>
              <w:spacing w:before="0" w:after="283"/>
              <w:jc w:val="left"/>
              <w:rPr/>
            </w:pPr>
            <w:r>
              <w:rPr/>
              <w:t> </w:t>
            </w:r>
          </w:p>
        </w:tc>
      </w:tr>
      <w:tr>
        <w:trPr/>
        <w:tc>
          <w:tcPr>
            <w:tcW w:w="1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7" w:type="dxa"/>
            <w:tcBorders/>
            <w:shd w:fill="FFFFFF" w:val="clear"/>
            <w:vAlign w:val="center"/>
          </w:tcPr>
          <w:p>
            <w:pPr>
              <w:pStyle w:val="TableContents"/>
              <w:bidi w:val="0"/>
              <w:spacing w:before="0" w:after="283"/>
              <w:jc w:val="left"/>
              <w:rPr/>
            </w:pPr>
            <w:r>
              <w:rPr/>
              <w:t> </w:t>
            </w:r>
          </w:p>
        </w:tc>
      </w:tr>
      <w:tr>
        <w:trPr/>
        <w:tc>
          <w:tcPr>
            <w:tcW w:w="1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r>
      <w:tr>
        <w:trPr/>
        <w:tc>
          <w:tcPr>
            <w:tcW w:w="1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(537</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455</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10" w:name="notes"/>
      <w:bookmarkEnd w:id="10"/>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NOTES TO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BASIS OF PRESENTATION AND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-Q and Rule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01</w:t>
      </w:r>
      <w:r>
        <w:rPr>
          <w:rFonts w:ascii="Calibri;Arial;sans-serif" w:hAnsi="Calibri;Arial;sans-serif"/>
          <w:caps w:val="false"/>
          <w:smallCaps w:val="false"/>
          <w:sz w:val="20"/>
        </w:rPr>
        <w:t xml:space="preserve"> of Regulation S-</w:t>
      </w:r>
      <w:r>
        <w:rPr>
          <w:rStyle w:val="Emphasis"/>
          <w:rFonts w:ascii="Calibri;Arial;sans-serif" w:hAnsi="Calibri;Arial;sans-serif"/>
          <w:caps w:val="false"/>
          <w:smallCaps w:val="false"/>
          <w:sz w:val="20"/>
        </w:rPr>
        <w:t>X.</w:t>
      </w:r>
      <w:r>
        <w:rPr>
          <w:rFonts w:ascii="Calibri;Arial;sans-serif" w:hAnsi="Calibri;Arial;sans-serif"/>
          <w:caps w:val="false"/>
          <w:smallCaps w:val="false"/>
          <w:sz w:val="20"/>
        </w:rPr>
        <w:t xml:space="preserve">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necessarily indicative of the results for the entire fiscal year. These consolidated interim statements should be read in conjunction with the Company’s Annual Report on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-K for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There are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accounting pronouncements recently adopted by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December 2023, </w:t>
      </w:r>
      <w:r>
        <w:rPr>
          <w:rFonts w:ascii="Calibri;Arial;sans-serif" w:hAnsi="Calibri;Arial;sans-serif"/>
          <w:caps w:val="false"/>
          <w:smallCaps w:val="false"/>
          <w:sz w:val="20"/>
        </w:rPr>
        <w:t xml:space="preserve">the FASB issued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09,</w:t>
      </w:r>
      <w:r>
        <w:rPr>
          <w:rFonts w:ascii="Calibri;Arial;sans-serif" w:hAnsi="Calibri;Arial;sans-serif"/>
          <w:caps w:val="false"/>
          <w:smallCaps w:val="false"/>
          <w:sz w:val="20"/>
        </w:rPr>
        <w:t xml:space="preserve"> Income Taxes (Topic </w:t>
      </w:r>
      <w:r>
        <w:rPr>
          <w:rStyle w:val="Emphasis"/>
          <w:rFonts w:ascii="Calibri;Arial;sans-serif" w:hAnsi="Calibri;Arial;sans-serif"/>
          <w:caps w:val="false"/>
          <w:smallCaps w:val="false"/>
          <w:sz w:val="20"/>
        </w:rPr>
        <w:t>740</w:t>
      </w:r>
      <w:r>
        <w:rPr>
          <w:rFonts w:ascii="Calibri;Arial;sans-serif" w:hAnsi="Calibri;Arial;sans-serif"/>
          <w:caps w:val="false"/>
          <w:smallCaps w:val="false"/>
          <w:sz w:val="20"/>
        </w:rPr>
        <w:t xml:space="preserve">): Improvements to Income Tax Disclosures.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09</w:t>
      </w:r>
      <w:r>
        <w:rPr>
          <w:rFonts w:ascii="Calibri;Arial;sans-serif" w:hAnsi="Calibri;Arial;sans-serif"/>
          <w:caps w:val="false"/>
          <w:smallCaps w:val="false"/>
          <w:sz w:val="20"/>
        </w:rPr>
        <w:t xml:space="preserve">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fiscal years beginning after </w:t>
      </w:r>
      <w:r>
        <w:rPr>
          <w:rStyle w:val="Emphasis"/>
          <w:rFonts w:ascii="Calibri;Arial;sans-serif" w:hAnsi="Calibri;Arial;sans-serif"/>
          <w:caps w:val="false"/>
          <w:smallCaps w:val="false"/>
          <w:sz w:val="20"/>
        </w:rPr>
        <w:t xml:space="preserve">December 15, 2024 ( January 1, 2025 </w:t>
      </w:r>
      <w:r>
        <w:rPr>
          <w:rFonts w:ascii="Calibri;Arial;sans-serif" w:hAnsi="Calibri;Arial;sans-serif"/>
          <w:caps w:val="false"/>
          <w:smallCaps w:val="false"/>
          <w:sz w:val="20"/>
        </w:rPr>
        <w:t>for Kodak).</w:t>
      </w:r>
    </w:p>
    <w:p>
      <w:pPr>
        <w:pStyle w:val="TextBody"/>
        <w:bidi w:val="0"/>
        <w:spacing w:before="0" w:after="0"/>
        <w:ind w:left="0" w:right="0" w:hanging="0"/>
        <w:jc w:val="left"/>
        <w:rPr/>
      </w:pPr>
      <w:r>
        <w:rPr>
          <w:rFonts w:ascii="Calibri;Arial;sans-serif" w:hAnsi="Calibri;Arial;sans-serif"/>
          <w:caps w:val="false"/>
          <w:smallCaps w:val="false"/>
          <w:sz w:val="20"/>
        </w:rPr>
        <w:br/>
        <w:t xml:space="preserve">In </w:t>
      </w:r>
      <w:r>
        <w:rPr>
          <w:rStyle w:val="Emphasis"/>
          <w:rFonts w:ascii="Calibri;Arial;sans-serif" w:hAnsi="Calibri;Arial;sans-serif"/>
          <w:caps w:val="false"/>
          <w:smallCaps w:val="false"/>
          <w:sz w:val="20"/>
        </w:rPr>
        <w:t xml:space="preserve">November 2023, </w:t>
      </w:r>
      <w:r>
        <w:rPr>
          <w:rFonts w:ascii="Calibri;Arial;sans-serif" w:hAnsi="Calibri;Arial;sans-serif"/>
          <w:caps w:val="false"/>
          <w:smallCaps w:val="false"/>
          <w:sz w:val="20"/>
        </w:rPr>
        <w:t xml:space="preserve">the FASB issued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07,</w:t>
      </w:r>
      <w:r>
        <w:rPr>
          <w:rFonts w:ascii="Calibri;Arial;sans-serif" w:hAnsi="Calibri;Arial;sans-serif"/>
          <w:caps w:val="false"/>
          <w:smallCaps w:val="false"/>
          <w:sz w:val="20"/>
        </w:rPr>
        <w:t xml:space="preserve"> Segment Reporting (Topic </w:t>
      </w:r>
      <w:r>
        <w:rPr>
          <w:rStyle w:val="Emphasis"/>
          <w:rFonts w:ascii="Calibri;Arial;sans-serif" w:hAnsi="Calibri;Arial;sans-serif"/>
          <w:caps w:val="false"/>
          <w:smallCaps w:val="false"/>
          <w:sz w:val="20"/>
        </w:rPr>
        <w:t>280</w:t>
      </w:r>
      <w:r>
        <w:rPr>
          <w:rFonts w:ascii="Calibri;Arial;sans-serif" w:hAnsi="Calibri;Arial;sans-serif"/>
          <w:caps w:val="false"/>
          <w:smallCaps w:val="false"/>
          <w:sz w:val="20"/>
        </w:rPr>
        <w:t xml:space="preserve">): Improvements to Reportable Segment Disclosures.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07</w:t>
      </w:r>
      <w:r>
        <w:rPr>
          <w:rFonts w:ascii="Calibri;Arial;sans-serif" w:hAnsi="Calibri;Arial;sans-serif"/>
          <w:caps w:val="false"/>
          <w:smallCaps w:val="false"/>
          <w:sz w:val="20"/>
        </w:rPr>
        <w:t xml:space="preserve"> improves reportable segment disclosure requirements, primarily through enhanced disclosures about significant segment expenses. In addition, the ASU enhances interim disclosure requirements, clarifies circumstances in which an entity can disclose multiple segment measures of profit or loss, and contains other disclosure requirements. The ASU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change how an entity identifies its operating segments, aggregates those operating segments, or applies the quantitative thresholds to determine its reportable segments. The ASU is required to be applied retrospectively to all periods presented in the financial statements. The ASU is effective for Kodak for fiscal years beginning after </w:t>
      </w:r>
      <w:r>
        <w:rPr>
          <w:rStyle w:val="Emphasis"/>
          <w:rFonts w:ascii="Calibri;Arial;sans-serif" w:hAnsi="Calibri;Arial;sans-serif"/>
          <w:caps w:val="false"/>
          <w:smallCaps w:val="false"/>
          <w:sz w:val="20"/>
        </w:rPr>
        <w:t xml:space="preserve">December 15, 2023 ( January 1, 2024 </w:t>
      </w:r>
      <w:r>
        <w:rPr>
          <w:rFonts w:ascii="Calibri;Arial;sans-serif" w:hAnsi="Calibri;Arial;sans-serif"/>
          <w:caps w:val="false"/>
          <w:smallCaps w:val="false"/>
          <w:sz w:val="20"/>
        </w:rPr>
        <w:t xml:space="preserve">for Kodak) and interim periods within fiscal years beginning after </w:t>
      </w:r>
      <w:r>
        <w:rPr>
          <w:rStyle w:val="Emphasis"/>
          <w:rFonts w:ascii="Calibri;Arial;sans-serif" w:hAnsi="Calibri;Arial;sans-serif"/>
          <w:caps w:val="false"/>
          <w:smallCaps w:val="false"/>
          <w:sz w:val="20"/>
        </w:rPr>
        <w:t xml:space="preserve">December 15, 2024 ( January 1, 2025 </w:t>
      </w:r>
      <w:r>
        <w:rPr>
          <w:rFonts w:ascii="Calibri;Arial;sans-serif" w:hAnsi="Calibri;Arial;sans-serif"/>
          <w:caps w:val="false"/>
          <w:smallCaps w:val="false"/>
          <w:sz w:val="20"/>
        </w:rPr>
        <w:t>for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w:t>
      </w:r>
      <w:r>
        <w:rPr>
          <w:rFonts w:ascii="Calibri;Arial;sans-serif" w:hAnsi="Calibri;Arial;sans-serif"/>
          <w:b/>
          <w:caps w:val="false"/>
          <w:smallCaps w:val="false"/>
          <w:sz w:val="20"/>
        </w:rPr>
        <w:t xml:space="preserve">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spacing w:before="0" w:after="0"/>
        <w:ind w:left="0" w:right="0" w:hanging="0"/>
        <w:jc w:val="left"/>
        <w:rPr>
          <w:caps w:val="false"/>
          <w:smallCaps w:val="false"/>
        </w:rPr>
      </w:pPr>
      <w:r>
        <w:rPr>
          <w:caps w:val="false"/>
          <w:smallCaps w:val="false"/>
        </w:rPr>
        <w:t> </w:t>
      </w:r>
    </w:p>
    <w:tbl>
      <w:tblPr>
        <w:tblW w:w="8968" w:type="dxa"/>
        <w:jc w:val="left"/>
        <w:tblInd w:w="0" w:type="dxa"/>
        <w:tblLayout w:type="fixed"/>
        <w:tblCellMar>
          <w:top w:w="0" w:type="dxa"/>
          <w:left w:w="0" w:type="dxa"/>
          <w:bottom w:w="0" w:type="dxa"/>
          <w:right w:w="0" w:type="dxa"/>
        </w:tblCellMar>
      </w:tblPr>
      <w:tblGrid>
        <w:gridCol w:w="6755"/>
        <w:gridCol w:w="60"/>
        <w:gridCol w:w="229"/>
        <w:gridCol w:w="615"/>
        <w:gridCol w:w="60"/>
        <w:gridCol w:w="60"/>
        <w:gridCol w:w="302"/>
        <w:gridCol w:w="812"/>
        <w:gridCol w:w="75"/>
      </w:tblGrid>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Restricted cash reported in Other current assets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Total cash, cash equivalents and restricted cash shown in the Statement of Cash Flows</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cash reported in Other current assets on the Consolidated Statement of Financial Position primarily represented amounts that support hedging activities and an escrow of $2 million and $3 million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respectively, in China to secure ongoing obligations under a supply agreement associated with the strategic relationship with Lucky HuaGuang Graphics Co. Ltd. ("HuaGuang"). The agreement with HuaGuang expires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cash included $29 million and $32 million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respectively, representing the cash collateral required to be posted by the Company under the Letter of Credit Facility. In addition, restricted cash as of both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included $63 million representing cash collateral supporting the Company’s undiscounted actuarial workers’ compensation obligations with the New York State Workers’ Compensation Board ("NYS WCB"). Restricted cash as of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also included $7 million and $8 million, respectively, of security posted related to Brazilian legal contingencies and $5 million of cash collateral posted in the United Kingdom for a letter of credit for aluminum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3:</w:t>
      </w:r>
      <w:r>
        <w:rPr>
          <w:rFonts w:ascii="Calibri;Arial;sans-serif" w:hAnsi="Calibri;Arial;sans-serif"/>
          <w:b/>
          <w:caps w:val="false"/>
          <w:smallCaps w:val="false"/>
          <w:sz w:val="20"/>
        </w:rPr>
        <w:t xml:space="preserve"> INVENTORIES, NET</w:t>
      </w:r>
    </w:p>
    <w:p>
      <w:pPr>
        <w:pStyle w:val="TextBody"/>
        <w:bidi w:val="0"/>
        <w:spacing w:before="0" w:after="0"/>
        <w:ind w:left="0" w:right="0" w:hanging="0"/>
        <w:jc w:val="left"/>
        <w:rPr>
          <w:caps w:val="false"/>
          <w:smallCaps w:val="false"/>
        </w:rPr>
      </w:pPr>
      <w:r>
        <w:rPr>
          <w:caps w:val="false"/>
          <w:smallCaps w:val="false"/>
        </w:rPr>
        <w:t> </w:t>
      </w:r>
    </w:p>
    <w:tbl>
      <w:tblPr>
        <w:tblW w:w="3538" w:type="dxa"/>
        <w:jc w:val="left"/>
        <w:tblInd w:w="0" w:type="dxa"/>
        <w:tblLayout w:type="fixed"/>
        <w:tblCellMar>
          <w:top w:w="0" w:type="dxa"/>
          <w:left w:w="0" w:type="dxa"/>
          <w:bottom w:w="0" w:type="dxa"/>
          <w:right w:w="0" w:type="dxa"/>
        </w:tblCellMar>
      </w:tblPr>
      <w:tblGrid>
        <w:gridCol w:w="1325"/>
        <w:gridCol w:w="60"/>
        <w:gridCol w:w="229"/>
        <w:gridCol w:w="615"/>
        <w:gridCol w:w="60"/>
        <w:gridCol w:w="60"/>
        <w:gridCol w:w="302"/>
        <w:gridCol w:w="812"/>
        <w:gridCol w:w="75"/>
      </w:tblGrid>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85</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Work in process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68</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64</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[10]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4:</w:t>
      </w:r>
      <w:r>
        <w:rPr>
          <w:rFonts w:ascii="Calibri;Arial;sans-serif" w:hAnsi="Calibri;Arial;sans-serif"/>
          <w:b/>
          <w:caps w:val="false"/>
          <w:smallCaps w:val="false"/>
          <w:sz w:val="20"/>
        </w:rPr>
        <w:t>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Redeemable convertible preferred stock was as follows:</w:t>
      </w:r>
    </w:p>
    <w:p>
      <w:pPr>
        <w:pStyle w:val="TextBody"/>
        <w:bidi w:val="0"/>
        <w:spacing w:before="0" w:after="0"/>
        <w:ind w:left="0" w:right="0" w:hanging="0"/>
        <w:jc w:val="left"/>
        <w:rPr>
          <w:caps w:val="false"/>
          <w:smallCaps w:val="false"/>
        </w:rPr>
      </w:pPr>
      <w:r>
        <w:rPr>
          <w:caps w:val="false"/>
          <w:smallCaps w:val="false"/>
        </w:rPr>
        <w:t> </w:t>
      </w:r>
    </w:p>
    <w:tbl>
      <w:tblPr>
        <w:tblW w:w="4093" w:type="dxa"/>
        <w:jc w:val="left"/>
        <w:tblInd w:w="0" w:type="dxa"/>
        <w:tblLayout w:type="fixed"/>
        <w:tblCellMar>
          <w:top w:w="0" w:type="dxa"/>
          <w:left w:w="0" w:type="dxa"/>
          <w:bottom w:w="0" w:type="dxa"/>
          <w:right w:w="0" w:type="dxa"/>
        </w:tblCellMar>
      </w:tblPr>
      <w:tblGrid>
        <w:gridCol w:w="1895"/>
        <w:gridCol w:w="60"/>
        <w:gridCol w:w="229"/>
        <w:gridCol w:w="615"/>
        <w:gridCol w:w="60"/>
        <w:gridCol w:w="60"/>
        <w:gridCol w:w="302"/>
        <w:gridCol w:w="812"/>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96</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114</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agreed to exchange one million shares of Series A Preferred Stock held by Southeastern Asset Management, Inc. (“Southeastern”) and Longleaf Partners Small-Cap Fund, </w:t>
      </w:r>
      <w:r>
        <w:rPr>
          <w:rStyle w:val="Emphasis"/>
          <w:rFonts w:ascii="Calibri;Arial;sans-serif" w:hAnsi="Calibri;Arial;sans-serif"/>
          <w:caps w:val="false"/>
          <w:smallCaps w:val="false"/>
          <w:sz w:val="20"/>
        </w:rPr>
        <w:t>C2W</w:t>
      </w:r>
      <w:r>
        <w:rPr>
          <w:rFonts w:ascii="Calibri;Arial;sans-serif" w:hAnsi="Calibri;Arial;sans-serif"/>
          <w:caps w:val="false"/>
          <w:smallCaps w:val="false"/>
          <w:sz w:val="20"/>
        </w:rPr>
        <w:t xml:space="preserve"> Partners Master Fund Limited and Deseret Mutual Pension Trust, which are investment funds managed by Southeastern (such investment funds, collectively, the “Purchasers”), for shares of the Company’s newly created 4.0% Series B Convertible Preferred Stock, no par value (the “Series B Preferred Stock”), on a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-for-</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basis plus accrued and unpaid dividends. The fair value of the Series B Preferred Stock at the time of issuance approximated $95 million. The Company has classified the Series B Preferred Stock as temporary equity in the Consolidated Statement of Financial Position. If any shares of Series B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the Company is required to redeem such shares at $100 per share plus the amount of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bidi w:val="0"/>
        <w:spacing w:before="0" w:after="0"/>
        <w:ind w:left="0" w:right="0" w:hanging="0"/>
        <w:jc w:val="left"/>
        <w:rPr/>
      </w:pPr>
      <w:r>
        <w:rPr>
          <w:rFonts w:ascii="Calibri;Arial;sans-serif" w:hAnsi="Calibri;Arial;sans-serif"/>
          <w:caps w:val="false"/>
          <w:smallCaps w:val="false"/>
          <w:sz w:val="20"/>
        </w:rPr>
        <w:t xml:space="preserve">The Series B Preferred Stock has a liquidation preference of $100 per share, and the holders of Series B Preferred Stock are entitled to cumulative dividends payable quarterly in cash at a rate of 4.0% per annum. Dividends owed on the Series B Preferred Stock have been declared and paid when due. If dividends on any Series B Preferred Stock are in arrears for </w:t>
      </w:r>
      <w:r>
        <w:rPr>
          <w:rStyle w:val="Emphasis"/>
          <w:rFonts w:ascii="Calibri;Arial;sans-serif" w:hAnsi="Calibri;Arial;sans-serif"/>
          <w:caps w:val="false"/>
          <w:smallCaps w:val="false"/>
          <w:sz w:val="20"/>
        </w:rPr>
        <w:t>six</w:t>
      </w:r>
      <w:r>
        <w:rPr>
          <w:rFonts w:ascii="Calibri;Arial;sans-serif" w:hAnsi="Calibri;Arial;sans-serif"/>
          <w:caps w:val="false"/>
          <w:smallCaps w:val="false"/>
          <w:sz w:val="20"/>
        </w:rPr>
        <w:t xml:space="preserve"> or more consecutive or non-consecutive dividend periods, the holders of the Series B Preferred Stock will be entitled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the next annual shareholder meeting and all subsequent shareholder meetings until all accumulated dividends on such Series B Preferred Stock have been paid or set aside.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allocated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xml:space="preserve"> million to a derivative liability based on the aggregate fair value of the embedded conversion feature of the Series B Preferred Stock on the date of issuance which reduced the original carrying value of the Series B Preferred Stock. The derivative is being accounted for at fair value with subsequent changes in the fair value being reported as part of Other income, net in the Consolidated Statement of Operations. The fair value of the Series B Preferred Stock embedded derivative as of both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w:t>
      </w:r>
      <w:r>
        <w:rPr>
          <w:rStyle w:val="Emphasis"/>
          <w:rFonts w:ascii="Calibri;Arial;sans-serif" w:hAnsi="Calibri;Arial;sans-serif"/>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Series C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Investor is a fund managed by Grand Oaks Capital. The Company has classified the Series C Preferred Stock as temporary equity in the Consolidated Statement of Financial Position.  If any shares of Series C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 xml:space="preserve">the Company is required to redeem such shares at $100 per share plus the amount of accrued and unpaid dividends thereon; provided that the holders of the Series C Preferred Stock have the right to extend such redemption date by up to </w:t>
      </w:r>
      <w:r>
        <w:rPr>
          <w:rStyle w:val="Emphasis"/>
          <w:rFonts w:ascii="Calibri;Arial;sans-serif" w:hAnsi="Calibri;Arial;sans-serif"/>
          <w:caps w:val="false"/>
          <w:smallCaps w:val="false"/>
          <w:sz w:val="20"/>
        </w:rPr>
        <w:t>two</w:t>
      </w:r>
      <w:r>
        <w:rPr>
          <w:rFonts w:ascii="Calibri;Arial;sans-serif" w:hAnsi="Calibri;Arial;sans-serif"/>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Series C Preferred Stock has a liquidation preference of $100 per share, and the holders of Series C Preferred Stock are entitled to cumulative dividends payable quarterly “in‐kind”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Each share of Series C Preferred Stock is convertible, at the option of each holder at any time, into shares of Common Stock at the initial conversion price of $10 per share of Common Stock. The initial conversion price and the corresponding conversion rate are subject to certain customary anti-dilution adjustments and to proportional increase in the event the liquidation preference of the Series C Preferred Stock is automatically increased.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the right to cause the mandatory conversion of the Series C Preferred Stock into shares of Common Stock at any time after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if the closing price of the Common Stock has equaled or exceeded 150% of the then-effective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bidi w:val="0"/>
        <w:spacing w:before="0" w:after="0"/>
        <w:ind w:left="0" w:right="0" w:hanging="0"/>
        <w:jc w:val="left"/>
        <w:rPr/>
      </w:pPr>
      <w:r>
        <w:rPr>
          <w:rFonts w:ascii="Calibri;Arial;sans-serif" w:hAnsi="Calibri;Arial;sans-serif"/>
          <w:caps w:val="false"/>
          <w:smallCaps w:val="false"/>
          <w:sz w:val="20"/>
        </w:rPr>
        <w:t>The Company allocated $2 million of the net proceeds received to a derivative liability based on the aggregate fair value of the embedded conversion feature of the Series C Preferred Stock on the dates of issuance which reduced the original carrying value of the Series C Preferred Stock. The derivative is being accounted for at fair value with subsequent changes in the fair value being reported as part of Other income, net in the Consolidated Statement of Operations. The fair value of the Series C Preferred Stock derivative as of both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Income recognized on operating lease arrangements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is presented below. Income recognized for sales-type lease arrangements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was $1 million and less than $1 million.</w:t>
      </w:r>
    </w:p>
    <w:p>
      <w:pPr>
        <w:pStyle w:val="TextBody"/>
        <w:bidi w:val="0"/>
        <w:spacing w:before="0" w:after="0"/>
        <w:ind w:left="0" w:right="0" w:hanging="0"/>
        <w:jc w:val="left"/>
        <w:rPr>
          <w:caps w:val="false"/>
          <w:smallCaps w:val="false"/>
        </w:rPr>
      </w:pPr>
      <w:r>
        <w:rPr>
          <w:caps w:val="false"/>
          <w:smallCaps w:val="false"/>
        </w:rPr>
        <w:t> </w:t>
      </w:r>
    </w:p>
    <w:tbl>
      <w:tblPr>
        <w:tblW w:w="4326" w:type="dxa"/>
        <w:jc w:val="left"/>
        <w:tblInd w:w="0" w:type="dxa"/>
        <w:tblLayout w:type="fixed"/>
        <w:tblCellMar>
          <w:top w:w="0" w:type="dxa"/>
          <w:left w:w="0" w:type="dxa"/>
          <w:bottom w:w="0" w:type="dxa"/>
          <w:right w:w="0" w:type="dxa"/>
        </w:tblCellMar>
      </w:tblPr>
      <w:tblGrid>
        <w:gridCol w:w="2525"/>
        <w:gridCol w:w="60"/>
        <w:gridCol w:w="339"/>
        <w:gridCol w:w="339"/>
        <w:gridCol w:w="160"/>
        <w:gridCol w:w="160"/>
        <w:gridCol w:w="339"/>
        <w:gridCol w:w="344"/>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Lease income - operating leases: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Lease income</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Variable lease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lease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6:</w:t>
      </w:r>
      <w:r>
        <w:rPr>
          <w:rFonts w:ascii="Calibri;Arial;sans-serif" w:hAnsi="Calibri;Arial;sans-serif"/>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the Company had outstanding letters of credit of $27 million issued under the Amended and Restated Letter of Credit Facility Agreement ("L/C Facility Agreement") as well as bank guarantees and letters of credit of $1 million, surety bonds in the amount of $27 million, and restricted cash of $118 million, primarily related to cash collateral supporting the Company’s undiscounted actuarial workers’ compensation obligations with the NYS WCB, cash collateral to ensure payment of possible casualty and workers’ compensation claims, for the outstanding letters of credit under the L/C Facility Agreement, to ensure payment of possible legal contingencies, hedging activities, environmental liabilities, rental payments and to support various customs, tax and trade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Kodak’s Brazilian operations maintained accruals of approximately $4 million for claims aggregating approximately $93 million inclusive of interest and penalties where appropriate. The unreserved portion of the indirect taxes, civil litigation and disputes associated with former employees and contract labor claims, inclusive of any related interest and penalties, for which there was at least a reasonable possibility that a loss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incurred, amounted to approximately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connection with assessments in Brazil, local regulations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require Kodak’s Brazilian operations to post security for a portion of the amounts in dispute.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Kodak’s Brazilian operations have posted security composed of $7 million of pledged cash reported within Restricted cash in the Consolidated Statement of Financial Position and liens on certain Brazilian assets with a net book value of approximately $43 million. Generally, any encumbrances on the Brazilian assets would be removed to the extent the matter is resolved in favor of Kodak’s Brazilian operations.  The matter securing the lien on the non-cash assets was resolved in favor of Kodak’s Brazilian operations on </w:t>
      </w:r>
      <w:r>
        <w:rPr>
          <w:rStyle w:val="Emphasis"/>
          <w:rFonts w:ascii="Calibri;Arial;sans-serif" w:hAnsi="Calibri;Arial;sans-serif"/>
          <w:caps w:val="false"/>
          <w:smallCaps w:val="false"/>
          <w:sz w:val="20"/>
        </w:rPr>
        <w:t xml:space="preserve">March 12, 2024 </w:t>
      </w:r>
      <w:r>
        <w:rPr>
          <w:rFonts w:ascii="Calibri;Arial;sans-serif" w:hAnsi="Calibri;Arial;sans-serif"/>
          <w:caps w:val="false"/>
          <w:smallCaps w:val="false"/>
          <w:sz w:val="20"/>
        </w:rPr>
        <w:t>and those operations are in the process of having the lien on those assets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sz w:val="20"/>
        </w:rPr>
        <w:t xml:space="preserve">The Company has received </w:t>
      </w:r>
      <w:r>
        <w:rPr>
          <w:rStyle w:val="Emphasis"/>
          <w:rFonts w:ascii="Calibri;Arial;sans-serif" w:hAnsi="Calibri;Arial;sans-serif"/>
          <w:sz w:val="20"/>
        </w:rPr>
        <w:t>five</w:t>
      </w:r>
      <w:r>
        <w:rPr>
          <w:rFonts w:ascii="Calibri;Arial;sans-serif" w:hAnsi="Calibri;Arial;sans-serif"/>
          <w:sz w:val="20"/>
        </w:rPr>
        <w:t xml:space="preserve"> requests under New Jersey law demanding, among other things, that the Company take certain actions in response to alleged breaches of fiduciary duty relating to option grants and securities transactions and alleged proxy statement disclosure deficiencies (each a “Derivative Demand”, and collectively the “Derivative Demands”) in the context of an announcement on </w:t>
      </w:r>
      <w:r>
        <w:rPr>
          <w:rStyle w:val="Emphasis"/>
          <w:rFonts w:ascii="Calibri;Arial;sans-serif" w:hAnsi="Calibri;Arial;sans-serif"/>
          <w:sz w:val="20"/>
        </w:rPr>
        <w:t>July 28, 2020 (</w:t>
      </w:r>
      <w:r>
        <w:rPr>
          <w:rFonts w:ascii="Calibri;Arial;sans-serif" w:hAnsi="Calibri;Arial;sans-serif"/>
          <w:sz w:val="20"/>
        </w:rPr>
        <w:t>the “DFC Announcement”) by the U.S. International Development Finance Corporation (the “DFC”) regarding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Louis Peters,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w:t>
      </w:r>
      <w:r>
        <w:rPr>
          <w:rStyle w:val="Emphasis"/>
          <w:rFonts w:ascii="Calibri;Arial;sans-serif" w:hAnsi="Calibri;Arial;sans-serif"/>
          <w:caps w:val="false"/>
          <w:smallCaps w:val="false"/>
          <w:sz w:val="20"/>
        </w:rPr>
        <w:t xml:space="preserve">August 23, 2021, </w:t>
      </w:r>
      <w:r>
        <w:rPr>
          <w:rFonts w:ascii="Calibri;Arial;sans-serif" w:hAnsi="Calibri;Arial;sans-serif"/>
          <w:caps w:val="false"/>
          <w:smallCaps w:val="false"/>
          <w:sz w:val="20"/>
        </w:rPr>
        <w:t xml:space="preserve">and the Company and individual defendants filed motions to dismiss (or alternatively, in the case of the Company, a motion for summary judgment) in the State Derivative Lawsuit on </w:t>
      </w:r>
      <w:r>
        <w:rPr>
          <w:rStyle w:val="Emphasis"/>
          <w:rFonts w:ascii="Calibri;Arial;sans-serif" w:hAnsi="Calibri;Arial;sans-serif"/>
          <w:caps w:val="false"/>
          <w:smallCaps w:val="false"/>
          <w:sz w:val="20"/>
        </w:rPr>
        <w:t xml:space="preserve">October 22, 2021. </w:t>
      </w: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17, 2022, </w:t>
      </w:r>
      <w:r>
        <w:rPr>
          <w:rFonts w:ascii="Calibri;Arial;sans-serif" w:hAnsi="Calibri;Arial;sans-serif"/>
          <w:caps w:val="false"/>
          <w:smallCaps w:val="false"/>
          <w:sz w:val="20"/>
        </w:rPr>
        <w:t>the court issued an order staying the State Derivative Lawsuit pending the resolution of the Federal Derivative Lawsuit described below.</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sz w:val="20"/>
        </w:rPr>
        <w:t xml:space="preserve">On </w:t>
      </w:r>
      <w:r>
        <w:rPr>
          <w:rStyle w:val="Emphasis"/>
          <w:rFonts w:ascii="Calibri;Arial;sans-serif" w:hAnsi="Calibri;Arial;sans-serif"/>
          <w:sz w:val="20"/>
        </w:rPr>
        <w:t xml:space="preserve">September 2, 2021 </w:t>
      </w:r>
      <w:r>
        <w:rPr>
          <w:rFonts w:ascii="Calibri;Arial;sans-serif" w:hAnsi="Calibri;Arial;sans-serif"/>
          <w:sz w:val="20"/>
        </w:rPr>
        <w:t xml:space="preserve">Herbert Silverberg, another person making a Derivative Demand (“Silverberg”), commenced a derivative lawsuit on behalf of the Company against </w:t>
      </w:r>
      <w:r>
        <w:rPr>
          <w:rStyle w:val="Emphasis"/>
          <w:rFonts w:ascii="Calibri;Arial;sans-serif" w:hAnsi="Calibri;Arial;sans-serif"/>
          <w:sz w:val="20"/>
        </w:rPr>
        <w:t>one</w:t>
      </w:r>
      <w:r>
        <w:rPr>
          <w:rFonts w:ascii="Calibri;Arial;sans-serif" w:hAnsi="Calibri;Arial;sans-serif"/>
          <w:sz w:val="20"/>
        </w:rPr>
        <w:t xml:space="preserve"> current and </w:t>
      </w:r>
      <w:r>
        <w:rPr>
          <w:rStyle w:val="Emphasis"/>
          <w:rFonts w:ascii="Calibri;Arial;sans-serif" w:hAnsi="Calibri;Arial;sans-serif"/>
          <w:sz w:val="20"/>
        </w:rPr>
        <w:t>one</w:t>
      </w:r>
      <w:r>
        <w:rPr>
          <w:rFonts w:ascii="Calibri;Arial;sans-serif" w:hAnsi="Calibri;Arial;sans-serif"/>
          <w:sz w:val="20"/>
        </w:rPr>
        <w:t xml:space="preserv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w:t>
      </w:r>
      <w:r>
        <w:rPr>
          <w:rStyle w:val="Emphasis"/>
          <w:rFonts w:ascii="Calibri;Arial;sans-serif" w:hAnsi="Calibri;Arial;sans-serif"/>
          <w:sz w:val="20"/>
        </w:rPr>
        <w:t xml:space="preserve">October 4, 2021 </w:t>
      </w:r>
      <w:r>
        <w:rPr>
          <w:rFonts w:ascii="Calibri;Arial;sans-serif" w:hAnsi="Calibri;Arial;sans-serif"/>
          <w:sz w:val="20"/>
        </w:rPr>
        <w:t xml:space="preserve">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w:t>
      </w:r>
      <w:r>
        <w:rPr>
          <w:rStyle w:val="Emphasis"/>
          <w:rFonts w:ascii="Calibri;Arial;sans-serif" w:hAnsi="Calibri;Arial;sans-serif"/>
          <w:sz w:val="20"/>
        </w:rPr>
        <w:t>10</w:t>
      </w:r>
      <w:r>
        <w:rPr>
          <w:rFonts w:ascii="Calibri;Arial;sans-serif" w:hAnsi="Calibri;Arial;sans-serif"/>
          <w:sz w:val="20"/>
        </w:rPr>
        <w:t xml:space="preserve">(b) of the Exchange Act. The Federal derivative lawsuits filed by Silverberg and Peters were consolidated into a single proceeding (the “Federal Derivative Lawsuit”) on </w:t>
      </w:r>
      <w:r>
        <w:rPr>
          <w:rStyle w:val="Emphasis"/>
          <w:rFonts w:ascii="Calibri;Arial;sans-serif" w:hAnsi="Calibri;Arial;sans-serif"/>
          <w:sz w:val="20"/>
        </w:rPr>
        <w:t xml:space="preserve">January 18, 2022, </w:t>
      </w:r>
      <w:r>
        <w:rPr>
          <w:rFonts w:ascii="Calibri;Arial;sans-serif" w:hAnsi="Calibri;Arial;sans-serif"/>
          <w:sz w:val="20"/>
        </w:rPr>
        <w:t xml:space="preserve">and Peters was appointed as lead plaintiff in the Federal Derivative Lawsuit. An amended consolidated complaint combining the allegations contained in the Federal derivative lawsuits filed by Silverberg and Peters was filed in the Federal Derivative Lawsuit on </w:t>
      </w:r>
      <w:r>
        <w:rPr>
          <w:rStyle w:val="Emphasis"/>
          <w:rFonts w:ascii="Calibri;Arial;sans-serif" w:hAnsi="Calibri;Arial;sans-serif"/>
          <w:sz w:val="20"/>
        </w:rPr>
        <w:t xml:space="preserve">February 16, 2022, </w:t>
      </w:r>
      <w:r>
        <w:rPr>
          <w:rFonts w:ascii="Calibri;Arial;sans-serif" w:hAnsi="Calibri;Arial;sans-serif"/>
          <w:sz w:val="20"/>
        </w:rPr>
        <w:t xml:space="preserve">and the Company and individual defendants served motions to dismiss or, in the alternative in the case of the Company, for summary judgment on </w:t>
      </w:r>
      <w:r>
        <w:rPr>
          <w:rStyle w:val="Emphasis"/>
          <w:rFonts w:ascii="Calibri;Arial;sans-serif" w:hAnsi="Calibri;Arial;sans-serif"/>
          <w:sz w:val="20"/>
        </w:rPr>
        <w:t xml:space="preserve">April 15, 2022. </w:t>
      </w:r>
      <w:r>
        <w:rPr>
          <w:rFonts w:ascii="Calibri;Arial;sans-serif" w:hAnsi="Calibri;Arial;sans-serif"/>
          <w:sz w:val="20"/>
        </w:rPr>
        <w:t xml:space="preserve">Threshold discovery in the case was completed, and the Company and individual defendants formally filed their motions to dismiss/for summary judgment on </w:t>
      </w:r>
      <w:r>
        <w:rPr>
          <w:rStyle w:val="Emphasis"/>
          <w:rFonts w:ascii="Calibri;Arial;sans-serif" w:hAnsi="Calibri;Arial;sans-serif"/>
          <w:sz w:val="20"/>
        </w:rPr>
        <w:t xml:space="preserve">September 30, 2022. </w:t>
      </w:r>
      <w:r>
        <w:rPr>
          <w:rFonts w:ascii="Calibri;Arial;sans-serif" w:hAnsi="Calibri;Arial;sans-serif"/>
          <w:sz w:val="20"/>
        </w:rPr>
        <w:t xml:space="preserve">The plaintiffs filed an opposition to the motions to dismiss/for summary judgment on </w:t>
      </w:r>
      <w:r>
        <w:rPr>
          <w:rStyle w:val="Emphasis"/>
          <w:rFonts w:ascii="Calibri;Arial;sans-serif" w:hAnsi="Calibri;Arial;sans-serif"/>
          <w:sz w:val="20"/>
        </w:rPr>
        <w:t xml:space="preserve">November 14, 2022, </w:t>
      </w:r>
      <w:r>
        <w:rPr>
          <w:rFonts w:ascii="Calibri;Arial;sans-serif" w:hAnsi="Calibri;Arial;sans-serif"/>
          <w:sz w:val="20"/>
        </w:rPr>
        <w:t xml:space="preserve">and the Company and the individual defendants filed responses to the plaintiffs’ opposition on </w:t>
      </w:r>
      <w:r>
        <w:rPr>
          <w:rStyle w:val="Emphasis"/>
          <w:rFonts w:ascii="Calibri;Arial;sans-serif" w:hAnsi="Calibri;Arial;sans-serif"/>
          <w:sz w:val="20"/>
        </w:rPr>
        <w:t xml:space="preserve">December 27, 2022 </w:t>
      </w:r>
      <w:r>
        <w:rPr>
          <w:rFonts w:ascii="Calibri;Arial;sans-serif" w:hAnsi="Calibri;Arial;sans-serif"/>
          <w:sz w:val="20"/>
        </w:rPr>
        <w:t xml:space="preserve">and </w:t>
      </w:r>
      <w:r>
        <w:rPr>
          <w:rStyle w:val="Emphasis"/>
          <w:rFonts w:ascii="Calibri;Arial;sans-serif" w:hAnsi="Calibri;Arial;sans-serif"/>
          <w:sz w:val="20"/>
        </w:rPr>
        <w:t xml:space="preserve">December 23, 2022, </w:t>
      </w:r>
      <w:r>
        <w:rPr>
          <w:rFonts w:ascii="Calibri;Arial;sans-serif" w:hAnsi="Calibri;Arial;sans-serif"/>
          <w:sz w:val="20"/>
        </w:rPr>
        <w:t xml:space="preserve">respectively. A hearing with respect to the motions to dismiss/for summary judgment was held on </w:t>
      </w:r>
      <w:r>
        <w:rPr>
          <w:rStyle w:val="Emphasis"/>
          <w:rFonts w:ascii="Calibri;Arial;sans-serif" w:hAnsi="Calibri;Arial;sans-serif"/>
          <w:sz w:val="20"/>
        </w:rPr>
        <w:t xml:space="preserve">August 9, 2023, </w:t>
      </w:r>
      <w:r>
        <w:rPr>
          <w:rFonts w:ascii="Calibri;Arial;sans-serif" w:hAnsi="Calibri;Arial;sans-serif"/>
          <w:sz w:val="20"/>
        </w:rPr>
        <w:t xml:space="preserve">and the lawsuit was dismissed in its entirety with prejudice on </w:t>
      </w:r>
      <w:r>
        <w:rPr>
          <w:rStyle w:val="Emphasis"/>
          <w:rFonts w:ascii="Calibri;Arial;sans-serif" w:hAnsi="Calibri;Arial;sans-serif"/>
          <w:sz w:val="20"/>
        </w:rPr>
        <w:t xml:space="preserve">September 26, 2023. </w:t>
      </w:r>
      <w:r>
        <w:rPr>
          <w:rFonts w:ascii="Calibri;Arial;sans-serif" w:hAnsi="Calibri;Arial;sans-serif"/>
          <w:sz w:val="20"/>
        </w:rPr>
        <w:t xml:space="preserve">The plaintiffs/appellants filed a notice of appeal of the dismissal on </w:t>
      </w:r>
      <w:r>
        <w:rPr>
          <w:rStyle w:val="Emphasis"/>
          <w:rFonts w:ascii="Calibri;Arial;sans-serif" w:hAnsi="Calibri;Arial;sans-serif"/>
          <w:sz w:val="20"/>
        </w:rPr>
        <w:t xml:space="preserve">October 25, 2023 </w:t>
      </w:r>
      <w:r>
        <w:rPr>
          <w:rFonts w:ascii="Calibri;Arial;sans-serif" w:hAnsi="Calibri;Arial;sans-serif"/>
          <w:sz w:val="20"/>
        </w:rPr>
        <w:t xml:space="preserve">and filed their brief on appeal on </w:t>
      </w:r>
      <w:r>
        <w:rPr>
          <w:rStyle w:val="Emphasis"/>
          <w:rFonts w:ascii="Calibri;Arial;sans-serif" w:hAnsi="Calibri;Arial;sans-serif"/>
          <w:sz w:val="20"/>
        </w:rPr>
        <w:t>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Additional shareholder derivative lawsuits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merit to the claims alleged by the Derivative Demands made through the time of its determination (except with respect to the charitable contribution,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fully considered by the Special Committee). See the Company’s Current Report on Form </w:t>
      </w:r>
      <w:r>
        <w:rPr>
          <w:rStyle w:val="Emphasis"/>
          <w:rFonts w:ascii="Calibri;Arial;sans-serif" w:hAnsi="Calibri;Arial;sans-serif"/>
          <w:caps w:val="false"/>
          <w:smallCaps w:val="false"/>
          <w:sz w:val="20"/>
        </w:rPr>
        <w:t>8‐K</w:t>
      </w:r>
      <w:r>
        <w:rPr>
          <w:rFonts w:ascii="Calibri;Arial;sans-serif" w:hAnsi="Calibri;Arial;sans-serif"/>
          <w:caps w:val="false"/>
          <w:smallCaps w:val="false"/>
          <w:sz w:val="20"/>
        </w:rPr>
        <w:t xml:space="preserve"> filed with the SEC on </w:t>
      </w:r>
      <w:r>
        <w:rPr>
          <w:rStyle w:val="Emphasis"/>
          <w:rFonts w:ascii="Calibri;Arial;sans-serif" w:hAnsi="Calibri;Arial;sans-serif"/>
          <w:caps w:val="false"/>
          <w:smallCaps w:val="false"/>
          <w:sz w:val="20"/>
        </w:rPr>
        <w:t xml:space="preserve">September 16, 2020. </w:t>
      </w:r>
      <w:r>
        <w:rPr>
          <w:rFonts w:ascii="Calibri;Arial;sans-serif" w:hAnsi="Calibri;Arial;sans-serif"/>
          <w:caps w:val="false"/>
          <w:smallCaps w:val="false"/>
          <w:sz w:val="20"/>
        </w:rPr>
        <w:t xml:space="preserve">The Company, acting through a separate Special Litigation Committee of Independent Directors, concurred with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Special Committee’s findings and further concluded that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 the Company’s interest to bring or allow any other shareholder to assert any of the claims alleged by the State Derivative Lawsuit or Federal Derivative Lawsuit (with the exception of the Peters claim purportedly arising under Section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(b) of the Exchange Act,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addressed 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demand was made with respect to such claim).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Special Litigation Committee will carefully review any other additional complaints constituting Fiduciary Matters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 DFC Announcement has also prompted investigations by several congressional committees, the SEC and the New York Attorney General’s office. The Company has cooperated in those investigations.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sz w:val="20"/>
        </w:rPr>
        <w:t xml:space="preserve">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w:t>
      </w:r>
      <w:r>
        <w:rPr>
          <w:rStyle w:val="Emphasis"/>
          <w:rFonts w:ascii="Calibri;Arial;sans-serif" w:hAnsi="Calibri;Arial;sans-serif"/>
          <w:sz w:val="20"/>
        </w:rPr>
        <w:t>not</w:t>
      </w:r>
      <w:r>
        <w:rPr>
          <w:rFonts w:ascii="Calibri;Arial;sans-serif" w:hAnsi="Calibri;Arial;sans-serif"/>
          <w:sz w:val="20"/>
        </w:rPr>
        <w:t xml:space="preserve">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7:</w:t>
      </w:r>
      <w:r>
        <w:rPr>
          <w:rFonts w:ascii="Calibri;Arial;sans-serif" w:hAnsi="Calibri;Arial;sans-serif"/>
          <w:b/>
          <w:caps w:val="false"/>
          <w:smallCaps w:val="false"/>
          <w:sz w:val="20"/>
        </w:rPr>
        <w:t xml:space="preserv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connection with the settlement of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w:t>
      </w:r>
      <w:r>
        <w:rPr>
          <w:rStyle w:val="Emphasis"/>
          <w:rFonts w:ascii="Calibri;Arial;sans-serif" w:hAnsi="Calibri;Arial;sans-serif"/>
          <w:caps w:val="false"/>
          <w:smallCaps w:val="false"/>
          <w:sz w:val="20"/>
        </w:rPr>
        <w:t>$99</w:t>
      </w:r>
      <w:r>
        <w:rPr>
          <w:rFonts w:ascii="Calibri;Arial;sans-serif" w:hAnsi="Calibri;Arial;sans-serif"/>
          <w:caps w:val="false"/>
          <w:smallCaps w:val="false"/>
          <w:sz w:val="20"/>
        </w:rPr>
        <w:t xml:space="preserve"> million with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limitation to the maximum potential future payments. There is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liability recorded for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Extended Warranty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offers its customers extended warranty arrangements that are generally one year but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range from three months to six years after the original warranty period. The change in Kodak’s deferred revenue balance in relation to these extended warranty and maintenance arrangements from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to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which is reflected in Other current liabilities in the accompanying Consolidated Statement of Financial Position, was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5855"/>
        <w:gridCol w:w="60"/>
        <w:gridCol w:w="125"/>
        <w:gridCol w:w="290"/>
        <w:gridCol w:w="80"/>
      </w:tblGrid>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New extended warranty and maintenance arrangements 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w:t>
            </w:r>
          </w:p>
        </w:tc>
        <w:tc>
          <w:tcPr>
            <w:tcW w:w="80"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Recognition of extended warranty and maintenance arrangement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85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8:</w:t>
      </w:r>
      <w:r>
        <w:rPr>
          <w:rFonts w:ascii="Calibri;Arial;sans-serif" w:hAnsi="Calibri;Arial;sans-serif"/>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revenue disaggregated by major product and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Product:</w:t>
      </w:r>
    </w:p>
    <w:p>
      <w:pPr>
        <w:pStyle w:val="TextBody"/>
        <w:bidi w:val="0"/>
        <w:spacing w:before="0" w:after="0"/>
        <w:ind w:left="0" w:right="0" w:hanging="0"/>
        <w:jc w:val="left"/>
        <w:rPr>
          <w:caps w:val="false"/>
          <w:smallCaps w:val="false"/>
        </w:rPr>
      </w:pPr>
      <w:r>
        <w:rPr>
          <w:caps w:val="false"/>
          <w:smallCaps w:val="false"/>
        </w:rPr>
        <w:t> </w:t>
      </w:r>
    </w:p>
    <w:tbl>
      <w:tblPr>
        <w:tblW w:w="6384" w:type="dxa"/>
        <w:jc w:val="left"/>
        <w:tblInd w:w="0" w:type="dxa"/>
        <w:tblLayout w:type="fixed"/>
        <w:tblCellMar>
          <w:top w:w="0" w:type="dxa"/>
          <w:left w:w="0" w:type="dxa"/>
          <w:bottom w:w="0" w:type="dxa"/>
          <w:right w:w="0" w:type="dxa"/>
        </w:tblCellMar>
      </w:tblPr>
      <w:tblGrid>
        <w:gridCol w:w="278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6324" w:type="dxa"/>
            <w:gridSpan w:val="20"/>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Core products (1)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Plates, inks and other consumables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135</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Ongoing service arrangements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176</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firstLine="180"/>
              <w:jc w:val="left"/>
              <w:rPr>
                <w:rFonts w:ascii="Calibri;Arial;sans-serif" w:hAnsi="Calibri;Arial;sans-serif"/>
                <w:sz w:val="20"/>
              </w:rPr>
            </w:pPr>
            <w:r>
              <w:rPr>
                <w:rFonts w:ascii="Calibri;Arial;sans-serif" w:hAnsi="Calibri;Arial;sans-serif"/>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firstLine="180"/>
              <w:jc w:val="left"/>
              <w:rPr>
                <w:rFonts w:ascii="Calibri;Arial;sans-serif" w:hAnsi="Calibri;Arial;sans-serif"/>
                <w:sz w:val="20"/>
              </w:rPr>
            </w:pPr>
            <w:r>
              <w:rPr>
                <w:rFonts w:ascii="Calibri;Arial;sans-serif" w:hAnsi="Calibri;Arial;sans-serif"/>
                <w:sz w:val="20"/>
              </w:rPr>
              <w:t>Film and chemicals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51</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540" w:right="0" w:hanging="0"/>
              <w:jc w:val="left"/>
              <w:rPr>
                <w:rFonts w:ascii="Calibri;Arial;sans-serif" w:hAnsi="Calibri;Arial;sans-serif"/>
                <w:sz w:val="20"/>
              </w:rPr>
            </w:pPr>
            <w:r>
              <w:rPr>
                <w:rFonts w:ascii="Calibri;Arial;sans-serif" w:hAnsi="Calibri;Arial;sans-serif"/>
                <w:sz w:val="20"/>
              </w:rPr>
              <w:t>Total Core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240</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414" w:type="dxa"/>
        <w:jc w:val="left"/>
        <w:tblInd w:w="0" w:type="dxa"/>
        <w:tblLayout w:type="fixed"/>
        <w:tblCellMar>
          <w:top w:w="0" w:type="dxa"/>
          <w:left w:w="0" w:type="dxa"/>
          <w:bottom w:w="0" w:type="dxa"/>
          <w:right w:w="0" w:type="dxa"/>
        </w:tblCellMar>
      </w:tblPr>
      <w:tblGrid>
        <w:gridCol w:w="2795"/>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75"/>
      </w:tblGrid>
      <w:tr>
        <w:trPr/>
        <w:tc>
          <w:tcPr>
            <w:tcW w:w="633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bidi w:val="0"/>
              <w:spacing w:before="0" w:after="283"/>
              <w:jc w:val="left"/>
              <w:rPr/>
            </w:pPr>
            <w:r>
              <w:rPr/>
              <w:t> </w:t>
            </w:r>
          </w:p>
        </w:tc>
      </w:tr>
      <w:tr>
        <w:trPr/>
        <w:tc>
          <w:tcPr>
            <w:tcW w:w="633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 2023</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150</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201</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firstLine="18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firstLine="18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267</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Core includes the Print segment and the Motion Picture and Industrial Film and Chemicals businesses within the Advanced Materials and Chemicals segment, excluding coating and product commercialization services (“Coating Services”).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9958"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Growth consists of Coating Services and Advanced Materials and Functional Printing within the Advanced Materials and Chemicals segment.</w:t>
            </w:r>
          </w:p>
        </w:tc>
      </w:tr>
    </w:tbl>
    <w:p>
      <w:pPr>
        <w:pStyle w:val="TextBody"/>
        <w:bidi w:val="0"/>
        <w:spacing w:before="0" w:after="0"/>
        <w:ind w:left="0" w:right="0" w:hanging="0"/>
        <w:jc w:val="left"/>
        <w:rPr/>
      </w:pPr>
      <w:r>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85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consists of Intellectual Property Licensing ("IP Licensing"), Brand Licensing and Eastman Business Park.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[16]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lineRule="auto" w:line="288" w:before="0" w:after="0"/>
        <w:ind w:left="0" w:right="0" w:hanging="0"/>
        <w:jc w:val="left"/>
        <w:rPr/>
      </w:pPr>
      <w:r>
        <w:rPr>
          <w:rFonts w:ascii="Calibri;Arial;sans-serif" w:hAnsi="Calibri;Arial;sans-serif"/>
          <w:b/>
          <w:caps w:val="false"/>
          <w:smallCaps w:val="false"/>
          <w:sz w:val="20"/>
        </w:rPr>
        <w:t>Geography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Canada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Latin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126</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25" w:type="dxa"/>
        <w:jc w:val="left"/>
        <w:tblInd w:w="0" w:type="dxa"/>
        <w:tblLayout w:type="fixed"/>
        <w:tblCellMar>
          <w:top w:w="0" w:type="dxa"/>
          <w:left w:w="0" w:type="dxa"/>
          <w:bottom w:w="0" w:type="dxa"/>
          <w:right w:w="0" w:type="dxa"/>
        </w:tblCellMar>
      </w:tblPr>
      <w:tblGrid>
        <w:gridCol w:w="260"/>
        <w:gridCol w:w="5165"/>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516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Sales are reported in the geographic area in which they originate.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Contract Balances</w:t>
      </w:r>
    </w:p>
    <w:p>
      <w:pPr>
        <w:pStyle w:val="TextBody"/>
        <w:bidi w:val="0"/>
        <w:spacing w:before="0" w:after="0"/>
        <w:ind w:left="0" w:right="0" w:hanging="0"/>
        <w:jc w:val="left"/>
        <w:rPr/>
      </w:pPr>
      <w:r>
        <w:rPr>
          <w:rFonts w:ascii="Calibri;Arial;sans-serif" w:hAnsi="Calibri;Arial;sans-serif"/>
          <w:caps w:val="false"/>
          <w:smallCaps w:val="false"/>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both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was $1 million and is reported in Other current assets in the Consolidated Statement of Financial Position. The contract liabilities primarily relate to brand licensing agreements, prepaid service contracts or upfront payments for certain equipment purchases. The amount recorded for contract liabilities in the Consolidated Statement of Financial Position at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$97 million and $100 million, respectively, of which $35 million and $37 million, respectively, was reported in Other current liabilities and $61 million and $63 million, respectively, was reported in Other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Revenue recognized for both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that was included in the contract liability balance at the beginning of the year was $21 million and primarily represented revenue from prepaid service contracts and equipment revenue recognition. Contract liabilities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included $18 million and $21 million of cash payments received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disclose the value of unsatisfied performance obligations for contracts with an original expected length of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or less or for which revenue is recognized at the amount to which Kodak has the right to invoice for services performed. Performance obligations with an original expected length of greater than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generally consist of deferred service contracts, operating leases and licensing arrangements.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there was approximately $95 million of unrecognized revenue from unsatisfied performance obligations. Approximately 10% of the revenue from unsatisfied performance obligations is expected to be recognized in the remainder of 2024, 15% in 2025, 10% in each of 2026 and 2027 and 55% thereafter.</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Calibri;Arial;sans-serif" w:hAnsi="Calibri;Arial;sans-serif"/>
          <w:b/>
          <w:sz w:val="20"/>
        </w:rPr>
        <w:t xml:space="preserve">NOTE </w:t>
      </w:r>
      <w:r>
        <w:rPr>
          <w:rStyle w:val="Emphasis"/>
          <w:rFonts w:ascii="Calibri;Arial;sans-serif" w:hAnsi="Calibri;Arial;sans-serif"/>
          <w:b/>
          <w:sz w:val="20"/>
        </w:rPr>
        <w:t>9:</w:t>
      </w:r>
      <w:r>
        <w:rPr>
          <w:rFonts w:ascii="Calibri;Arial;sans-serif" w:hAnsi="Calibri;Arial;sans-serif"/>
          <w:b/>
          <w:sz w:val="20"/>
        </w:rPr>
        <w:t xml:space="preserve"> OTHER OPERATING (INCOME) EXPENSE</w:t>
      </w:r>
    </w:p>
    <w:p>
      <w:pPr>
        <w:pStyle w:val="TextBody"/>
        <w:bidi w:val="0"/>
        <w:spacing w:before="0" w:after="0"/>
        <w:ind w:left="0" w:right="0" w:hanging="0"/>
        <w:jc w:val="both"/>
        <w:rPr/>
      </w:pPr>
      <w:r>
        <w:rPr/>
        <w:t> </w:t>
      </w:r>
    </w:p>
    <w:tbl>
      <w:tblPr>
        <w:tblW w:w="3818" w:type="dxa"/>
        <w:jc w:val="left"/>
        <w:tblInd w:w="0" w:type="dxa"/>
        <w:tblLayout w:type="fixed"/>
        <w:tblCellMar>
          <w:top w:w="0" w:type="dxa"/>
          <w:left w:w="0" w:type="dxa"/>
          <w:bottom w:w="0" w:type="dxa"/>
          <w:right w:w="0" w:type="dxa"/>
        </w:tblCellMar>
      </w:tblPr>
      <w:tblGrid>
        <w:gridCol w:w="1970"/>
        <w:gridCol w:w="60"/>
        <w:gridCol w:w="230"/>
        <w:gridCol w:w="533"/>
        <w:gridCol w:w="147"/>
        <w:gridCol w:w="110"/>
        <w:gridCol w:w="230"/>
        <w:gridCol w:w="478"/>
        <w:gridCol w:w="60"/>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147"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Gain on sale of assets (1)</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4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4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8260" w:type="dxa"/>
        <w:jc w:val="left"/>
        <w:tblInd w:w="0" w:type="dxa"/>
        <w:tblLayout w:type="fixed"/>
        <w:tblCellMar>
          <w:top w:w="0" w:type="dxa"/>
          <w:left w:w="0" w:type="dxa"/>
          <w:bottom w:w="0" w:type="dxa"/>
          <w:right w:w="0" w:type="dxa"/>
        </w:tblCellMar>
      </w:tblPr>
      <w:tblGrid>
        <w:gridCol w:w="260"/>
        <w:gridCol w:w="8000"/>
      </w:tblGrid>
      <w:tr>
        <w:trPr/>
        <w:tc>
          <w:tcPr>
            <w:tcW w:w="260"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8000" w:type="dxa"/>
            <w:tcBorders/>
            <w:vAlign w:val="center"/>
          </w:tcPr>
          <w:p>
            <w:pPr>
              <w:pStyle w:val="TableContents"/>
              <w:bidi w:val="0"/>
              <w:spacing w:before="0" w:after="283"/>
              <w:jc w:val="left"/>
              <w:rPr/>
            </w:pPr>
            <w:r>
              <w:rPr>
                <w:rFonts w:ascii="Calibri;Arial;sans-serif" w:hAnsi="Calibri;Arial;sans-serif"/>
                <w:sz w:val="20"/>
              </w:rPr>
              <w:t xml:space="preserve">In the </w:t>
            </w:r>
            <w:r>
              <w:rPr>
                <w:rStyle w:val="Emphasis"/>
                <w:rFonts w:ascii="Calibri;Arial;sans-serif" w:hAnsi="Calibri;Arial;sans-serif"/>
                <w:sz w:val="20"/>
              </w:rPr>
              <w:t>first</w:t>
            </w:r>
            <w:r>
              <w:rPr>
                <w:rFonts w:ascii="Calibri;Arial;sans-serif" w:hAnsi="Calibri;Arial;sans-serif"/>
                <w:sz w:val="20"/>
              </w:rPr>
              <w:t xml:space="preserve"> quarter of </w:t>
            </w:r>
            <w:r>
              <w:rPr>
                <w:rStyle w:val="Emphasis"/>
                <w:rFonts w:ascii="Calibri;Arial;sans-serif" w:hAnsi="Calibri;Arial;sans-serif"/>
                <w:sz w:val="20"/>
              </w:rPr>
              <w:t>2024,</w:t>
            </w:r>
            <w:r>
              <w:rPr>
                <w:rFonts w:ascii="Calibri;Arial;sans-serif" w:hAnsi="Calibri;Arial;sans-serif"/>
                <w:sz w:val="20"/>
              </w:rPr>
              <w:t xml:space="preserve"> Kodak sold certain assets in the U.S. and recognized a gain of $17 million.</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10:</w:t>
      </w:r>
      <w:r>
        <w:rPr>
          <w:rFonts w:ascii="Calibri;Arial;sans-serif" w:hAnsi="Calibri;Arial;sans-serif"/>
          <w:b/>
          <w:caps w:val="false"/>
          <w:smallCaps w:val="false"/>
          <w:sz w:val="20"/>
        </w:rPr>
        <w:t xml:space="preserve"> OTHER INCOME, NET</w:t>
      </w:r>
    </w:p>
    <w:p>
      <w:pPr>
        <w:pStyle w:val="TextBody"/>
        <w:bidi w:val="0"/>
        <w:spacing w:before="0" w:after="0"/>
        <w:ind w:left="0" w:right="0" w:hanging="0"/>
        <w:jc w:val="left"/>
        <w:rPr>
          <w:caps w:val="false"/>
          <w:smallCaps w:val="false"/>
        </w:rPr>
      </w:pPr>
      <w:r>
        <w:rPr>
          <w:caps w:val="false"/>
          <w:smallCaps w:val="false"/>
        </w:rPr>
        <w:t> </w:t>
      </w:r>
    </w:p>
    <w:tbl>
      <w:tblPr>
        <w:tblW w:w="7543" w:type="dxa"/>
        <w:jc w:val="left"/>
        <w:tblInd w:w="0" w:type="dxa"/>
        <w:tblLayout w:type="fixed"/>
        <w:tblCellMar>
          <w:top w:w="0" w:type="dxa"/>
          <w:left w:w="0" w:type="dxa"/>
          <w:bottom w:w="0" w:type="dxa"/>
          <w:right w:w="0" w:type="dxa"/>
        </w:tblCellMar>
      </w:tblPr>
      <w:tblGrid>
        <w:gridCol w:w="5720"/>
        <w:gridCol w:w="60"/>
        <w:gridCol w:w="252"/>
        <w:gridCol w:w="524"/>
        <w:gridCol w:w="161"/>
        <w:gridCol w:w="121"/>
        <w:gridCol w:w="252"/>
        <w:gridCol w:w="373"/>
        <w:gridCol w:w="80"/>
      </w:tblGrid>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6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income (1)</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24"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16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7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72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Change in fair value of embedded conversion features derivative liability</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w:t>
            </w:r>
          </w:p>
        </w:tc>
        <w:tc>
          <w:tcPr>
            <w:tcW w:w="16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6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07"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includes $9 million of interest income associated with a refund received from a governmental authority in a location outside the U.S. that was previously held in order to guarantee potential tax disputes in that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11:</w:t>
      </w:r>
      <w:r>
        <w:rPr>
          <w:rFonts w:ascii="Calibri;Arial;sans-serif" w:hAnsi="Calibri;Arial;san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income tax provision and effective tax rate were as follows:</w:t>
      </w:r>
    </w:p>
    <w:p>
      <w:pPr>
        <w:pStyle w:val="TextBody"/>
        <w:bidi w:val="0"/>
        <w:spacing w:before="0" w:after="0"/>
        <w:ind w:left="0" w:right="0" w:hanging="0"/>
        <w:jc w:val="left"/>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4115"/>
        <w:gridCol w:w="60"/>
        <w:gridCol w:w="188"/>
        <w:gridCol w:w="413"/>
        <w:gridCol w:w="233"/>
        <w:gridCol w:w="90"/>
        <w:gridCol w:w="188"/>
        <w:gridCol w:w="571"/>
        <w:gridCol w:w="155"/>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15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15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23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operations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Effective tax rate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8.6</w:t>
            </w:r>
          </w:p>
        </w:tc>
        <w:tc>
          <w:tcPr>
            <w:tcW w:w="23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19.5</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11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7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 at U.S. statutory tax rate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23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5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Difference between tax at effective vs.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3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2024,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and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December 2021, </w:t>
      </w:r>
      <w:r>
        <w:rPr>
          <w:rFonts w:ascii="Calibri;Arial;sans-serif" w:hAnsi="Calibri;Arial;sans-serif"/>
          <w:caps w:val="false"/>
          <w:smallCaps w:val="false"/>
          <w:sz w:val="20"/>
        </w:rPr>
        <w:t xml:space="preserve">the Organisation for Economic Cooperation and Development (“OECD”) introduced Base Erosion and Profit Shifting (“BEPS”) Pillar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rules that impose a global minimum tax rate of </w:t>
      </w:r>
      <w:r>
        <w:rPr>
          <w:rStyle w:val="Emphasis"/>
          <w:rFonts w:ascii="Calibri;Arial;sans-serif" w:hAnsi="Calibri;Arial;sans-serif"/>
          <w:caps w:val="false"/>
          <w:smallCaps w:val="false"/>
          <w:sz w:val="20"/>
        </w:rPr>
        <w:t>15%.</w:t>
      </w:r>
      <w:r>
        <w:rPr>
          <w:rFonts w:ascii="Calibri;Arial;sans-serif" w:hAnsi="Calibri;Arial;sans-serif"/>
          <w:caps w:val="false"/>
          <w:smallCaps w:val="false"/>
          <w:sz w:val="20"/>
        </w:rPr>
        <w:t xml:space="preserve">  Many participating countries enacted changes which take effect in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After considering the applicable tax law changes in the Pillar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implementation, Kodak determined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material impact to its tax provision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2024.</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provision associated with foreign withholding taxes on undistributed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12:</w:t>
      </w:r>
      <w:r>
        <w:rPr>
          <w:rFonts w:ascii="Calibri;Arial;sans-serif" w:hAnsi="Calibri;Arial;sans-serif"/>
          <w:b/>
          <w:caps w:val="false"/>
          <w:smallCaps w:val="false"/>
          <w:sz w:val="20"/>
        </w:rPr>
        <w:t xml:space="preserve"> RETIREMENT PLANS AND OTHER POSTRETIREMENT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Components of the net periodic benefit cost for all major U.S. and non-U.S. defined benefit plans are as follows:</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5180"/>
        <w:gridCol w:w="60"/>
        <w:gridCol w:w="125"/>
        <w:gridCol w:w="290"/>
        <w:gridCol w:w="80"/>
        <w:gridCol w:w="60"/>
        <w:gridCol w:w="235"/>
        <w:gridCol w:w="490"/>
        <w:gridCol w:w="80"/>
        <w:gridCol w:w="60"/>
        <w:gridCol w:w="125"/>
        <w:gridCol w:w="290"/>
        <w:gridCol w:w="80"/>
        <w:gridCol w:w="60"/>
        <w:gridCol w:w="235"/>
        <w:gridCol w:w="490"/>
        <w:gridCol w:w="80"/>
      </w:tblGrid>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defined benefit plans: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Service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Interest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1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Prior service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Actuarial gain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pension (income) expense before special termination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Special termination benefits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net pension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special termination benefits were incurred as a result of Kodak’s restructuring actions and have been included in Restructuring costs and other in the Consolidated Statement of Operations for that period.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13:</w:t>
      </w:r>
      <w:r>
        <w:rPr>
          <w:rFonts w:ascii="Calibri;Arial;sans-serif" w:hAnsi="Calibri;Arial;sans-serif"/>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 earnings per share computations are based on the weighted-average number of shares of common stock outstanding during the period. Diluted earnings per share computations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 reconciliation of the amounts used to calculate basic and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follows:</w:t>
      </w:r>
    </w:p>
    <w:p>
      <w:pPr>
        <w:pStyle w:val="TextBody"/>
        <w:bidi w:val="0"/>
        <w:spacing w:before="0" w:after="0"/>
        <w:ind w:left="0" w:right="0" w:hanging="0"/>
        <w:jc w:val="left"/>
        <w:rPr>
          <w:caps w:val="false"/>
          <w:smallCaps w:val="false"/>
        </w:rPr>
      </w:pPr>
      <w:r>
        <w:rPr>
          <w:caps w:val="false"/>
          <w:smallCaps w:val="false"/>
        </w:rPr>
        <w:t> </w:t>
      </w:r>
    </w:p>
    <w:tbl>
      <w:tblPr>
        <w:tblW w:w="6762" w:type="dxa"/>
        <w:jc w:val="left"/>
        <w:tblInd w:w="0" w:type="dxa"/>
        <w:tblLayout w:type="fixed"/>
        <w:tblCellMar>
          <w:top w:w="0" w:type="dxa"/>
          <w:left w:w="0" w:type="dxa"/>
          <w:bottom w:w="0" w:type="dxa"/>
          <w:right w:w="0" w:type="dxa"/>
        </w:tblCellMar>
      </w:tblPr>
      <w:tblGrid>
        <w:gridCol w:w="4940"/>
        <w:gridCol w:w="60"/>
        <w:gridCol w:w="239"/>
        <w:gridCol w:w="497"/>
        <w:gridCol w:w="153"/>
        <w:gridCol w:w="114"/>
        <w:gridCol w:w="239"/>
        <w:gridCol w:w="440"/>
        <w:gridCol w:w="80"/>
      </w:tblGrid>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Series B Preferred stock cash dividends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Series C Preferred stock in-kind dividends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49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Preferred stock deemed dividends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Earnings attributable to Series C Preferred shareholders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5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4"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 available to common shareholders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 back: Series B preferred stock cash and deemed dividends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Add back: Convertible Notes interest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 available to common shareholders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2825"/>
        <w:gridCol w:w="60"/>
        <w:gridCol w:w="101"/>
        <w:gridCol w:w="640"/>
        <w:gridCol w:w="101"/>
        <w:gridCol w:w="101"/>
        <w:gridCol w:w="101"/>
        <w:gridCol w:w="640"/>
        <w:gridCol w:w="6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of shares)</w:t>
            </w:r>
          </w:p>
        </w:tc>
        <w:tc>
          <w:tcPr>
            <w:tcW w:w="60" w:type="dxa"/>
            <w:tcBorders/>
            <w:shd w:fill="FFFFFF" w:val="clear"/>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Weighted average shares — basic</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79.7</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79.1</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Employee stock options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0.6</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0.4</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Unvested restricted stock units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0.7</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Convertible Notes</w:t>
            </w:r>
          </w:p>
        </w:tc>
        <w:tc>
          <w:tcPr>
            <w:tcW w:w="60" w:type="dxa"/>
            <w:tcBorders/>
            <w:shd w:fill="FFFFFF" w:val="clear"/>
            <w:vAlign w:val="center"/>
          </w:tcPr>
          <w:p>
            <w:pPr>
              <w:pStyle w:val="TableContents"/>
              <w:bidi w:val="0"/>
              <w:spacing w:before="0" w:after="283"/>
              <w:ind w:left="0" w:right="0" w:hanging="0"/>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2.5</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 average shares — diluted</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91.3</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1.2 million shares of Series C Preferred Stock,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vesting of 0.1 million unvested restricted stock units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exercise of 3.9 million outstanding employee stock options because the effects would have been anti-dilutive.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1.1 million shares of Series C Preferred Stock,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vesting of 0.1 million unvested restricted stock units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exercise of 4.3 million outstanding employee stock options because the effects would have been anti‐dilutive.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14:</w:t>
      </w:r>
      <w:r>
        <w:rPr>
          <w:rFonts w:ascii="Calibri;Arial;sans-serif" w:hAnsi="Calibri;Arial;sans-serif"/>
          <w:b/>
          <w:caps w:val="false"/>
          <w:smallCaps w:val="false"/>
          <w:sz w:val="20"/>
        </w:rPr>
        <w:t xml:space="preserve"> SHAREHOLDERS</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560 million shares of authorized stock, consisting of: (i) 500 million shares of common stock, par value $0.01 per share and (ii) 60 million shares of preferred stock, no par value, issuable in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Common Stock</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there were 79.9 million and 79.6 million shares of common stock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Preferred Stock</w:t>
      </w:r>
    </w:p>
    <w:p>
      <w:pPr>
        <w:pStyle w:val="TextBody"/>
        <w:bidi w:val="0"/>
        <w:spacing w:before="0" w:after="0"/>
        <w:ind w:left="0" w:right="0" w:hanging="0"/>
        <w:jc w:val="left"/>
        <w:rPr/>
      </w:pPr>
      <w:r>
        <w:rPr>
          <w:rFonts w:ascii="Calibri;Arial;sans-serif" w:hAnsi="Calibri;Arial;sans-serif"/>
          <w:caps w:val="false"/>
          <w:smallCaps w:val="false"/>
          <w:sz w:val="20"/>
        </w:rPr>
        <w:t>Series B Preferred stock issued and outstanding as of both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xml:space="preserve"> consisted of 1.0 million shares. Series C Preferred stock issued and outstanding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xml:space="preserve"> consisted of 1.2 million shares and 1.1 million shares,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Treasury Stock</w:t>
      </w:r>
    </w:p>
    <w:p>
      <w:pPr>
        <w:pStyle w:val="TextBody"/>
        <w:bidi w:val="0"/>
        <w:spacing w:before="0" w:after="0"/>
        <w:ind w:left="0" w:right="0" w:hanging="0"/>
        <w:jc w:val="left"/>
        <w:rPr/>
      </w:pPr>
      <w:r>
        <w:rPr>
          <w:rFonts w:ascii="Calibri;Arial;sans-serif" w:hAnsi="Calibri;Arial;sans-serif"/>
          <w:caps w:val="false"/>
          <w:smallCaps w:val="false"/>
          <w:sz w:val="20"/>
        </w:rPr>
        <w:t>Treasury stock consisted of approximately 1.0 million shares as of both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15:</w:t>
      </w:r>
      <w:r>
        <w:rPr>
          <w:rFonts w:ascii="Calibri;Arial;sans-serif" w:hAnsi="Calibri;Arial;sans-serif"/>
          <w:b/>
          <w:caps w:val="false"/>
          <w:smallCaps w:val="false"/>
          <w:sz w:val="20"/>
        </w:rPr>
        <w:t xml:space="preserve">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changes in Other comprehensive loss by component, were as follows:</w:t>
      </w:r>
    </w:p>
    <w:p>
      <w:pPr>
        <w:pStyle w:val="TextBody"/>
        <w:bidi w:val="0"/>
        <w:spacing w:before="0" w:after="0"/>
        <w:ind w:left="0" w:right="0" w:hanging="0"/>
        <w:jc w:val="left"/>
        <w:rPr>
          <w:caps w:val="false"/>
          <w:smallCaps w:val="false"/>
        </w:rPr>
      </w:pPr>
      <w:r>
        <w:rPr>
          <w:caps w:val="false"/>
          <w:smallCaps w:val="false"/>
        </w:rPr>
        <w:t> </w:t>
      </w:r>
    </w:p>
    <w:tbl>
      <w:tblPr>
        <w:tblW w:w="7033" w:type="dxa"/>
        <w:jc w:val="left"/>
        <w:tblInd w:w="0" w:type="dxa"/>
        <w:tblLayout w:type="fixed"/>
        <w:tblCellMar>
          <w:top w:w="0" w:type="dxa"/>
          <w:left w:w="0" w:type="dxa"/>
          <w:bottom w:w="0" w:type="dxa"/>
          <w:right w:w="0" w:type="dxa"/>
        </w:tblCellMar>
      </w:tblPr>
      <w:tblGrid>
        <w:gridCol w:w="5210"/>
        <w:gridCol w:w="60"/>
        <w:gridCol w:w="224"/>
        <w:gridCol w:w="519"/>
        <w:gridCol w:w="143"/>
        <w:gridCol w:w="107"/>
        <w:gridCol w:w="224"/>
        <w:gridCol w:w="466"/>
        <w:gridCol w:w="80"/>
      </w:tblGrid>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and other postretirement benefit plan changes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lineRule="auto" w:line="288"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 prior service cost (1)</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46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lineRule="auto" w:line="288"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 actuarial gains (1)</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4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reclassification adjustments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46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provision</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 net of tax</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changes, net of tax</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4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9380" w:type="dxa"/>
            <w:tcBorders/>
            <w:vAlign w:val="center"/>
          </w:tcPr>
          <w:p>
            <w:pPr>
              <w:pStyle w:val="TableContents"/>
              <w:bidi w:val="0"/>
              <w:spacing w:before="0" w:after="0"/>
              <w:ind w:left="0" w:right="0" w:hanging="0"/>
              <w:jc w:val="left"/>
              <w:rPr/>
            </w:pPr>
            <w:r>
              <w:rPr>
                <w:rFonts w:ascii="Calibri;Arial;sans-serif" w:hAnsi="Calibri;Arial;sans-serif"/>
                <w:sz w:val="20"/>
              </w:rPr>
              <w:t xml:space="preserve">Reclassified to Total Net Periodic Benefit Cost - refer to Note </w:t>
            </w:r>
            <w:r>
              <w:rPr>
                <w:rStyle w:val="Emphasis"/>
                <w:rFonts w:ascii="Calibri;Arial;sans-serif" w:hAnsi="Calibri;Arial;sans-serif"/>
                <w:sz w:val="20"/>
              </w:rPr>
              <w:t>12,</w:t>
            </w:r>
            <w:r>
              <w:rPr>
                <w:rFonts w:ascii="Calibri;Arial;sans-serif" w:hAnsi="Calibri;Arial;sans-serif"/>
                <w:sz w:val="20"/>
              </w:rPr>
              <w:t xml:space="preserve"> "Retirement Plans and Other Postretirement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16:</w:t>
      </w:r>
      <w:r>
        <w:rPr>
          <w:rFonts w:ascii="Calibri;Arial;sans-serif" w:hAnsi="Calibri;Arial;sans-serif"/>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w:t>
      </w:r>
      <w:r>
        <w:rPr>
          <w:rFonts w:ascii="Calibri;Arial;sans-serif" w:hAnsi="Calibri;Arial;sans-serif"/>
          <w:caps w:val="false"/>
          <w:smallCaps w:val="false"/>
          <w:sz w:val="20"/>
        </w:rPr>
        <w:t xml:space="preserve"> 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Segment financial information is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bidi w:val="0"/>
        <w:spacing w:before="0" w:after="0"/>
        <w:ind w:left="0" w:right="0" w:hanging="0"/>
        <w:jc w:val="left"/>
        <w:rPr>
          <w:caps w:val="false"/>
          <w:smallCaps w:val="false"/>
        </w:rPr>
      </w:pPr>
      <w:r>
        <w:rPr>
          <w:caps w:val="false"/>
          <w:smallCaps w:val="false"/>
        </w:rPr>
        <w:t> </w:t>
      </w:r>
    </w:p>
    <w:tbl>
      <w:tblPr>
        <w:tblW w:w="4552" w:type="dxa"/>
        <w:jc w:val="left"/>
        <w:tblInd w:w="0" w:type="dxa"/>
        <w:tblLayout w:type="fixed"/>
        <w:tblCellMar>
          <w:top w:w="0" w:type="dxa"/>
          <w:left w:w="0" w:type="dxa"/>
          <w:bottom w:w="0" w:type="dxa"/>
          <w:right w:w="0" w:type="dxa"/>
        </w:tblCellMar>
      </w:tblPr>
      <w:tblGrid>
        <w:gridCol w:w="2750"/>
        <w:gridCol w:w="60"/>
        <w:gridCol w:w="202"/>
        <w:gridCol w:w="542"/>
        <w:gridCol w:w="97"/>
        <w:gridCol w:w="97"/>
        <w:gridCol w:w="202"/>
        <w:gridCol w:w="542"/>
        <w:gridCol w:w="60"/>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209</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59</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61</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Brand</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6567" w:type="dxa"/>
        <w:jc w:val="left"/>
        <w:tblInd w:w="0" w:type="dxa"/>
        <w:tblLayout w:type="fixed"/>
        <w:tblCellMar>
          <w:top w:w="0" w:type="dxa"/>
          <w:left w:w="0" w:type="dxa"/>
          <w:bottom w:w="0" w:type="dxa"/>
          <w:right w:w="0" w:type="dxa"/>
        </w:tblCellMar>
      </w:tblPr>
      <w:tblGrid>
        <w:gridCol w:w="4745"/>
        <w:gridCol w:w="60"/>
        <w:gridCol w:w="217"/>
        <w:gridCol w:w="503"/>
        <w:gridCol w:w="138"/>
        <w:gridCol w:w="104"/>
        <w:gridCol w:w="217"/>
        <w:gridCol w:w="503"/>
        <w:gridCol w:w="80"/>
      </w:tblGrid>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3"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Brand</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of reportable segments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Restructuring costs and other (2)</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Consulting and other costs (1)</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operating income (expense), net (2)</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expense (2)</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 (2)</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income, net (2)</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earnings from operations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31" w:type="dxa"/>
            <w:tcBorders/>
            <w:vAlign w:val="center"/>
          </w:tcPr>
          <w:p>
            <w:pPr>
              <w:pStyle w:val="TableContents"/>
              <w:bidi w:val="0"/>
              <w:spacing w:before="0" w:after="0"/>
              <w:ind w:left="0" w:right="0" w:hanging="0"/>
              <w:jc w:val="left"/>
              <w:rPr/>
            </w:pPr>
            <w:r>
              <w:rPr>
                <w:rFonts w:ascii="Calibri;Arial;sans-serif" w:hAnsi="Calibri;Arial;sans-serif"/>
                <w:sz w:val="20"/>
              </w:rPr>
              <w:t xml:space="preserve">Consulting and other costs are primarily professional services and internal costs associated with certain corporate strategic initiatives, investigations and litigation.  Consulting and other costs in the </w:t>
            </w:r>
            <w:r>
              <w:rPr>
                <w:rStyle w:val="Emphasis"/>
                <w:rFonts w:ascii="Calibri;Arial;sans-serif" w:hAnsi="Calibri;Arial;sans-serif"/>
                <w:sz w:val="20"/>
              </w:rPr>
              <w:t>three</w:t>
            </w:r>
            <w:r>
              <w:rPr>
                <w:rFonts w:ascii="Calibri;Arial;sans-serif" w:hAnsi="Calibri;Arial;sans-serif"/>
                <w:sz w:val="20"/>
              </w:rPr>
              <w:t xml:space="preserve"> months ended </w:t>
            </w:r>
            <w:r>
              <w:rPr>
                <w:rStyle w:val="Emphasis"/>
                <w:rFonts w:ascii="Calibri;Arial;sans-serif" w:hAnsi="Calibri;Arial;sans-serif"/>
                <w:sz w:val="20"/>
              </w:rPr>
              <w:t xml:space="preserve">March 31, 2023 </w:t>
            </w:r>
            <w:r>
              <w:rPr>
                <w:rFonts w:ascii="Calibri;Arial;sans-serif" w:hAnsi="Calibri;Arial;sans-serif"/>
                <w:sz w:val="20"/>
              </w:rPr>
              <w:t>included $10 million of income in representing insurance reimbursement of legal costs previously paid by the Company associated with investigations and litigation matters. </w:t>
            </w:r>
          </w:p>
        </w:tc>
      </w:tr>
      <w:tr>
        <w:trPr/>
        <w:tc>
          <w:tcPr>
            <w:tcW w:w="174" w:type="dxa"/>
            <w:tcBorders/>
            <w:vAlign w:val="center"/>
          </w:tcPr>
          <w:p>
            <w:pPr>
              <w:pStyle w:val="TableContents"/>
              <w:bidi w:val="0"/>
              <w:spacing w:before="0" w:after="283"/>
              <w:jc w:val="left"/>
              <w:rPr/>
            </w:pPr>
            <w:r>
              <w:rPr/>
              <w:t> </w:t>
            </w:r>
          </w:p>
        </w:tc>
        <w:tc>
          <w:tcPr>
            <w:tcW w:w="10031" w:type="dxa"/>
            <w:tcBorders/>
            <w:vAlign w:val="center"/>
          </w:tcPr>
          <w:p>
            <w:pPr>
              <w:pStyle w:val="TableContents"/>
              <w:bidi w:val="0"/>
              <w:spacing w:before="0" w:after="283"/>
              <w:jc w:val="left"/>
              <w:rPr/>
            </w:pPr>
            <w:r>
              <w:rPr/>
              <w:t> </w:t>
            </w:r>
          </w:p>
        </w:tc>
      </w:tr>
      <w:tr>
        <w:trPr/>
        <w:tc>
          <w:tcPr>
            <w:tcW w:w="174"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10031"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decreased employee benefit reserves by approximately $1 million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2024 </w:t>
      </w:r>
      <w:r>
        <w:rPr>
          <w:rFonts w:ascii="Calibri;Arial;sans-serif" w:hAnsi="Calibri;Arial;sans-serif"/>
          <w:caps w:val="false"/>
          <w:smallCaps w:val="false"/>
          <w:sz w:val="20"/>
        </w:rPr>
        <w:t xml:space="preserve">due to a decrease in workers' compensation reserves driven by changes in discount rates. The decrease in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2024 </w:t>
      </w:r>
      <w:r>
        <w:rPr>
          <w:rFonts w:ascii="Calibri;Arial;sans-serif" w:hAnsi="Calibri;Arial;sans-serif"/>
          <w:caps w:val="false"/>
          <w:smallCaps w:val="false"/>
          <w:sz w:val="20"/>
        </w:rPr>
        <w:t>impacted gross profit by approximately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increased employee benefit reserves by approximately $1 million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composed of an increase in workers' compensation reserves ($2 million) driven by changes in discount rates and a decrease in other employee benefit reserves ($1 million), primarily driven by a reduction in bonus accruals. The increase in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impacted gross profit by approximately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Segment Measure of Profit and Loss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demonstrated in the above table, Operational EBITDA represents the earnings from operations excluding the provision for income taxes; non-service cost components of pension and other postemployment benefits (“OPEB”) income; depreciation and amortization expense; restructuring costs and other; stock-based compensation expense; consulting and other costs; interest expense; other operating income (expense), net and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segments are measured using Operational EBITDA both before and after allocation of corporate SG&amp;A. The segment earnings measure reported is after allocation of corporate SG&amp;A as this most closely aligns with U.S. GAAP. Research and Development activities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directly related to the other segments are reported within the Advanced Materials and Chemicals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17:</w:t>
      </w:r>
      <w:r>
        <w:rPr>
          <w:rFonts w:ascii="Calibri;Arial;sans-serif" w:hAnsi="Calibri;Arial;sans-serif"/>
          <w:b/>
          <w:caps w:val="false"/>
          <w:smallCaps w:val="false"/>
          <w:sz w:val="20"/>
        </w:rPr>
        <w:t xml:space="preser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as a result of its global operating and financing activities, is exposed to changes in foreign currency exchange rates and interest rates,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utilize financial instruments for trading or other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foreign currency forward contracts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designated as hedges and are marked to market through net income at the same time that the exposed assets and liabilities are remeasured through net income (both in Other income, net in the Consolidated Statement of Operations). The notional amount of such contracts open at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approximately $262 million and $279 million, respectively. The majority of the contracts of this type held by Kodak as of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are denominated in euros, Chinese renminbi and Japanese yen.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net effect of foreign currency forward contracts in the results of operations is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6861" w:type="dxa"/>
        <w:jc w:val="left"/>
        <w:tblInd w:w="0" w:type="dxa"/>
        <w:tblLayout w:type="fixed"/>
        <w:tblCellMar>
          <w:top w:w="0" w:type="dxa"/>
          <w:left w:w="0" w:type="dxa"/>
          <w:bottom w:w="0" w:type="dxa"/>
          <w:right w:w="0" w:type="dxa"/>
        </w:tblCellMar>
      </w:tblPr>
      <w:tblGrid>
        <w:gridCol w:w="5060"/>
        <w:gridCol w:w="60"/>
        <w:gridCol w:w="339"/>
        <w:gridCol w:w="339"/>
        <w:gridCol w:w="160"/>
        <w:gridCol w:w="160"/>
        <w:gridCol w:w="339"/>
        <w:gridCol w:w="344"/>
        <w:gridCol w:w="60"/>
      </w:tblGrid>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loss from derivatives not designated as hedging instruments</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had no derivatives designated as hedging instruments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the event of a default under any of the Company’s credit agreements, or a default under any derivative contract or similar obligation of Kodak, subject to certain minimum thresholds, the derivative counterparties would have the right, although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the obligation, to require immediate settlement of some or all open derivative contracts at their then-current fair value, but with liability positions netted against asset positions with the same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Fair Value</w:t>
      </w:r>
    </w:p>
    <w:p>
      <w:pPr>
        <w:pStyle w:val="TextBody"/>
        <w:bidi w:val="0"/>
        <w:spacing w:before="0" w:after="0"/>
        <w:ind w:left="0" w:right="0" w:hanging="0"/>
        <w:jc w:val="left"/>
        <w:rPr/>
      </w:pPr>
      <w:r>
        <w:rPr>
          <w:rFonts w:ascii="Calibri;Arial;sans-serif" w:hAnsi="Calibri;Arial;sans-serif"/>
          <w:caps w:val="false"/>
          <w:smallCaps w:val="false"/>
          <w:sz w:val="20"/>
        </w:rPr>
        <w:t xml:space="preserve">Fair values of Kodak’s foreign currency forward contracts are determined using observable inputs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$0 million and $3 million, respectively. The gross fair value of foreign currency forward contracts in a liability position as of </w:t>
      </w:r>
      <w:r>
        <w:rPr>
          <w:rStyle w:val="Emphasis"/>
          <w:rFonts w:ascii="Calibri;Arial;sans-serif" w:hAnsi="Calibri;Arial;sans-serif"/>
          <w:caps w:val="false"/>
          <w:smallCaps w:val="false"/>
          <w:sz w:val="20"/>
        </w:rPr>
        <w:t xml:space="preserve"> 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$1 million and $0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Transfers between levels of the fair value hierarchy are recognized based on the actual date of the event or change in circumstances that caused the transfer. There were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transfers between levels of the fair value hierarchy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values of long-term debt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are determined by reference to quoted market prices of similar instruments, if available, or by pricing models based on the value of related cash flows discounted at current market interest rates. The fair values of long-term borrowings were $386 million and $396 million at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respectively.  The carrying values of cash and cash equivalents, restricted cash and the current portion of long-term debt approximate their fair values at both </w:t>
      </w:r>
      <w:r>
        <w:rPr>
          <w:rStyle w:val="Emphasis"/>
          <w:rFonts w:ascii="Calibri;Arial;sans-serif" w:hAnsi="Calibri;Arial;sans-serif"/>
          <w:caps w:val="false"/>
          <w:smallCaps w:val="false"/>
          <w:sz w:val="20"/>
        </w:rPr>
        <w:t>March 31,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11" w:name="MDA"/>
      <w:bookmarkEnd w:id="11"/>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2. Management</w:t>
      </w:r>
      <w:r>
        <w:rPr>
          <w:rFonts w:ascii="Calibri;Arial;sans-serif" w:hAnsi="Calibri;Arial;sans-serif"/>
          <w:caps w:val="false"/>
          <w:smallCaps w:val="false"/>
          <w:sz w:val="20"/>
        </w:rPr>
        <w:t>’</w:t>
      </w:r>
      <w:r>
        <w:rPr>
          <w:rFonts w:ascii="Calibri;Arial;sans-serif" w:hAnsi="Calibri;Arial;sans-serif"/>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CAUTIONARY STATEMENT PURSUANT TO SAFE HARBOR PROVISIONS OF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This report on Form 10-Q includes “forward–looking statements” as that term is defined under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2023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improve and sustain its operating structure, cash flow, profitability and other financial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8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strategic objectives, cash forecasts, financial projections and projected growth;</w:t>
            </w:r>
          </w:p>
        </w:tc>
      </w:tr>
    </w:tbl>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the financial and operational results contained in its business plans;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obtain additional or alternate financing if and as needed, Kodak's continued ability to manage world-wide cash through inter-company loans, distributions and other mechanisms, and Kodak's ability to provide or facilitate financing for its customers;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fund continued investments, capital needs, collateral requirements and restructuring payments and service its debt and Series B Preferred Stock and Series C Preferred Stock;</w:t>
            </w:r>
          </w:p>
        </w:tc>
      </w:tr>
    </w:tbl>
    <w:p>
      <w:pPr>
        <w:pStyle w:val="TextBody"/>
        <w:bidi w:val="0"/>
        <w:spacing w:before="0" w:after="0"/>
        <w:ind w:left="0" w:right="0" w:hanging="0"/>
        <w:jc w:val="left"/>
        <w:rPr/>
      </w:pPr>
      <w:r>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2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Changes in foreign currency exchange rates, commodity prices, interest rates and tariff rates;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The impact of the global economic environment, including inflationary pressures, geopolitical issues such as the war in Ukraine and conflicts involving Israel, medical epidemics, and Kodak’s ability to effectively mitigate the associated increased costs of aluminum and other raw materials, energy, labor, shipping, delays in shipment and production times, and fluctuations in demand;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effectively compete with large, well-financed industry participants or with competitors whose cost structure is lower than Kodak's;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war in Ukraine, the conflicts involving Israel and residual effects of the COVID-19 pandemic;</w:t>
            </w:r>
          </w:p>
        </w:tc>
      </w:tr>
    </w:tbl>
    <w:p>
      <w:pPr>
        <w:pStyle w:val="TextBody"/>
        <w:bidi w:val="0"/>
        <w:spacing w:before="0" w:after="0"/>
        <w:ind w:left="0" w:right="0" w:hanging="0"/>
        <w:jc w:val="left"/>
        <w:rPr/>
      </w:pPr>
      <w:r>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88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comply with the covenants in its various credit facilities;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effect strategic transactions, such as investments, acquisitions, strategic alliances, divestitures and similar transactions, or to achieve the benefits sought to be achieved from such strategic transactions;</w:t>
            </w:r>
          </w:p>
        </w:tc>
      </w:tr>
    </w:tbl>
    <w:p>
      <w:pPr>
        <w:pStyle w:val="TextBody"/>
        <w:bidi w:val="0"/>
        <w:spacing w:before="0" w:after="0"/>
        <w:ind w:left="0" w:right="0" w:hanging="0"/>
        <w:jc w:val="left"/>
        <w:rPr/>
      </w:pPr>
      <w:r>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5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discontinue, sell or spin-off certain non-core businesses or operations, or otherwise monetize assets;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impact of the investigations, litigation and claims arising out of the circumstances surrounding the announcement on July 28, 2020, by the U.S. International Development Finance Corporation of the signing of a non‐binding letter of interest to provide a subsidiary of Kodak with a potential loan to support the launch of an initiative for the manufacture of pharmaceutical ingredients for essential generic drugs;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potential impact of force majeure events, cyber‐attacks or other data security incidents that could disrupt or otherwise harm Kodak’s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EXECUTIVE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sz w:val="20"/>
        </w:rPr>
      </w:pPr>
      <w:r>
        <w:rPr>
          <w:rFonts w:ascii="Calibri;Arial;sans-serif" w:hAnsi="Calibri;Arial;sans-serif"/>
          <w:sz w:val="20"/>
        </w:rPr>
        <w:t>Consolidated revenues in the </w:t>
      </w:r>
      <w:r>
        <w:rPr>
          <w:sz w:val="20"/>
        </w:rPr>
        <w:t xml:space="preserve"> three months ended March 31, 2024  </w:t>
      </w:r>
      <w:r>
        <w:rPr>
          <w:rFonts w:ascii="Calibri;Arial;sans-serif" w:hAnsi="Calibri;Arial;sans-serif"/>
          <w:sz w:val="20"/>
        </w:rPr>
        <w:t>were $</w:t>
      </w:r>
      <w:r>
        <w:rPr>
          <w:sz w:val="20"/>
        </w:rPr>
        <w:t xml:space="preserve"> 249  </w:t>
      </w:r>
      <w:r>
        <w:rPr>
          <w:rFonts w:ascii="Calibri;Arial;sans-serif" w:hAnsi="Calibri;Arial;sans-serif"/>
          <w:sz w:val="20"/>
        </w:rPr>
        <w:t>million, </w:t>
      </w:r>
      <w:r>
        <w:rPr>
          <w:sz w:val="20"/>
        </w:rPr>
        <w:t xml:space="preserve"> </w:t>
      </w:r>
      <w:r>
        <w:rPr>
          <w:rFonts w:ascii="Calibri;Arial;sans-serif" w:hAnsi="Calibri;Arial;sans-serif"/>
          <w:sz w:val="20"/>
        </w:rPr>
        <w:t>a decrease of $</w:t>
      </w:r>
      <w:r>
        <w:rPr>
          <w:sz w:val="20"/>
        </w:rPr>
        <w:t xml:space="preserve"> 29  </w:t>
      </w:r>
      <w:r>
        <w:rPr>
          <w:rFonts w:ascii="Calibri;Arial;sans-serif" w:hAnsi="Calibri;Arial;sans-serif"/>
          <w:sz w:val="20"/>
        </w:rPr>
        <w:t>million (</w:t>
      </w:r>
      <w:r>
        <w:rPr>
          <w:sz w:val="20"/>
        </w:rPr>
        <w:t xml:space="preserve"> 10% </w:t>
      </w:r>
      <w:r>
        <w:rPr>
          <w:rFonts w:ascii="Calibri;Arial;sans-serif" w:hAnsi="Calibri;Arial;sans-serif"/>
          <w:sz w:val="20"/>
        </w:rPr>
        <w:t xml:space="preserve">) when compared to the </w:t>
      </w:r>
      <w:r>
        <w:rPr>
          <w:sz w:val="20"/>
        </w:rPr>
        <w:t xml:space="preserve">three months ended March 31, 2023 </w:t>
      </w:r>
      <w:r>
        <w:rPr>
          <w:rFonts w:ascii="Calibri;Arial;sans-serif" w:hAnsi="Calibri;Arial;sans-serif"/>
          <w:sz w:val="20"/>
        </w:rPr>
        <w:t>.  Currency had no impact on revenues in the three months ended March 31, 2024 compared to the three months ended March 31, 2023.</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revenues, which accounted for 73% of Kodak’s total revenues for the three months ended March 31, 2024, declined by $27 million (13%) compared to the prior year quarter.  Advanced Materials and Chemicals revenue declined $2 million (3%) compared to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Economic Environment and Other Global Events</w:t>
      </w:r>
      <w:r>
        <w:rPr>
          <w:rFonts w:ascii="Calibri;Arial;sans-serif" w:hAnsi="Calibri;Arial;sans-serif"/>
          <w:b/>
          <w:i/>
          <w:caps w:val="false"/>
          <w:smallCaps w:val="false"/>
          <w:sz w:val="20"/>
        </w:rPr>
        <w: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the war in Ukraine, the conflicts involving Israel, and other global events which impacted Kodak’s operations. Kodak is experiencing increased manufacturing costs due to volume declines for certain businesses and increased labor, material and distribution costs, as well as supply chain disruptions and shortages in materials and labor.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Kodak implemented various pricing actions and customer-focused initiatives largely in 2022 and 2023 to mitigate the impact of increased manufacturing costs, primarily within its Print and Advanced Materials and Chemicals segments. While these actions have positively impacted the profitability of these segments, certain businesses are experiencing pricing pressures.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The Print segment is experiencing a slowdown in customer demand for plates that negatively impacted volume due to current global economic conditions and the impact of pricing actions. In addition to the pricing actions and customer-focused initiatives described above, Kodak has implemented supply chain and workforce optimization, productivity improvements and other cost savings activities. The combined actions have largely mitigated the impact of increased manufacturing costs. However, the potential worsening of economic conditions, continued increases in manufacturing costs due to volume declines and other costs without further price increases, could unfavorably impact this segment's operating results.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The Advanced Materials and Chemicals segment has also experienced labor shortages in certain manufacturing areas. Increased demand for consumer film products along with manufacturing equipment limitations and labor shortages have contributed to increased backorders. Kodak has increased headcount in this segment to better meet demand, and improved the infrastructure and streamlined processes to increase capacity in the film business, but supply will continue to be constrained by manufacturing equipment limitations without further capital improvements.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Following the cessation of U.S. plate manufacturing operations by Kodak’s key competitors, Kodak has faced increasing competition in the U.S. from low-priced plates imported from China and Japan. On September 28, 2023, Kodak filed petitions with the U.S. Department of Commerce and the U.S. International Trade Commission requesting relief from unfairly traded imports of plates from China and Japan in the form of the imposition of anti-dumping and/or countervailing duties on such imported plates. On November 15, 2023 the U.S. International Trade Commission determined that there is a reasonable indication that a U.S. industry is materially injured by reason of imports of aluminum lithographic printing plates from China and Japan that are allegedly sold in the U.S. at less than fair value and subsidized by the government of China. The U.S. Department of Commerce has commenced investigations to determine dumping and subsidy margins against imports of plates manufactured in China and Japan. On February 27, 2024, the Commerce Department announced the preliminary findings in its countervailing duty investigation on imports of plates manufactured in China and imposed a provisional duty of 38.50% on practically all such plates. On April 26, 2024, the Commerce Department announced the preliminary findings in its anti-dumping duty investigation on imports of plates manufactured in China and Japan.  As a result of the investigation provisional duties will be imposed on U.S. imports of plates as follows: (i) 38.56% on such plates manufactured in China by Fuji and 107.61% on such plates manufactured in China by other entities, and (ii) 87.81% on such plates manufactured in Japan. The final duty determinations are due to be announced by the Commerce Department in the third quarter of 2024, and the final injury determination is due to be made by the U.S. International Trade Commission in the fourth quarter of 2024.  There can be no assurance that the provisional countervailing duties will become final or that Kodak will otherwise obtain the relief sought or, if relief is obtained, that the final rates of duties that may be imposed on such imported plates will provide effective relief.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monitoring the events surrounding the conflicts involving Israel and the impact on the operations of its Israel subsidiary. A leased warehouse in Israel was destroyed in 2023; however, none of Kodak’s employees were injured. While the implications of this conflict are difficult to predict at this time, Kodak has been able to adapt its operations to avoid material disruption to its business. The direct operations of Kodak’s Israel subsidiary are less than 1% of total consolidated revenue and assets for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also continues to monitor the events surrounding the war in Ukraine and the various sanctions imposed in response to the war. Kodak believes it is in compliance with all sanctions. Kodak is experiencing worldwide supply constraints for aluminum and increased energy and transportation costs due in part to the war in Ukraine. The extent to which the war in Ukraine will impact the global economy and Kodak's business and operations remains uncertain.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its direct Russian operations. The direct operations of Kodak’s Russian subsidiary did not have a material impact on the Company’s financial statements (less than 1% of total consolidated revenues and assets for 2021 - 2023), and there were no material impacts on the consolidated results of operations as of and for the quarter ended March 31, 2024 from the wind-down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Kodak</w:t>
      </w:r>
      <w:r>
        <w:rPr>
          <w:rFonts w:ascii="Calibri;Arial;sans-serif" w:hAnsi="Calibri;Arial;sans-serif"/>
          <w:caps w:val="false"/>
          <w:smallCaps w:val="false"/>
          <w:sz w:val="20"/>
        </w:rPr>
        <w:t>’</w:t>
      </w:r>
      <w:r>
        <w:rPr>
          <w:rFonts w:ascii="Calibri;Arial;sans-serif" w:hAnsi="Calibri;Arial;sans-serif"/>
          <w:b/>
          <w:caps w:val="false"/>
          <w:smallCaps w:val="false"/>
          <w:sz w:val="20"/>
        </w:rPr>
        <w:t>s strategy</w:t>
      </w:r>
      <w:r>
        <w:rPr>
          <w:rFonts w:ascii="Calibri;Arial;sans-serif" w:hAnsi="Calibri;Arial;sans-serif"/>
          <w:b/>
          <w:i/>
          <w:caps w:val="false"/>
          <w:smallCaps w:val="false"/>
          <w:sz w:val="20"/>
        </w:rPr>
        <w: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Segments within the print industry and the film industry face competition from digital substitution. Kodak’s strategy is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tc>
      </w:tr>
    </w:tbl>
    <w:p>
      <w:pPr>
        <w:pStyle w:val="TextBody"/>
        <w:bidi w:val="0"/>
        <w:spacing w:before="0" w:after="0"/>
        <w:ind w:left="0" w:right="0" w:hanging="0"/>
        <w:jc w:val="left"/>
        <w:rPr/>
      </w:pPr>
      <w:r>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58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Grow revenues through a focus on customers in Kodak’s print division, increasing overall share;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Promote the use of film and expand the applications of Kodak’s film and chemicals to best utilize the existing infrastructure; and</w:t>
            </w:r>
          </w:p>
        </w:tc>
      </w:tr>
    </w:tbl>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Continue to streamline processes to drive cost reductions and improve operating leverage.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discussion of opportunities and challenges related to Kodak’s strategy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surcharges and price increases,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Print's digital printing businesses,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Kodak completed the placement of its first PROSPER 7000 Turbo Press during the third quarter of 2023.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footprint. Kodak completed the placement of the first KODAK PROSPER ULTRA 520 Digital Press in the fourth quarter of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Advanced Materials and Chemicals is using Kodak’s deep expertise in chemistry and strengths in deposition and coating processes that come from decades of experience in film manufacturing to work on new initiatives: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Electric Vehicle (“EV”)/Energy Storage Battery Material Manufacturing </w:t>
            </w:r>
            <w:r>
              <w:rPr>
                <w:rFonts w:ascii="Calibri;Arial;sans-serif" w:hAnsi="Calibri;Arial;sans-serif"/>
                <w:i/>
                <w:sz w:val="20"/>
              </w:rPr>
              <w:t xml:space="preserve">- </w:t>
            </w:r>
            <w:r>
              <w:rPr>
                <w:rFonts w:ascii="Calibri;Arial;sans-serif" w:hAnsi="Calibri;Arial;sans-serif"/>
                <w:sz w:val="20"/>
              </w:rPr>
              <w:t>Coating of substrates is a critical aspect of manufacturing materials for batteries and Kodak plans to capitalize on its expertise in coating technology to develop opportunities in this area. Kodak is currently in the process of expanding its pilot coating facility. On July 13, 2022, Kodak invested $25 million to acquire a minority preferred equity interest in Wildcat Discovery Technologies, Inc. (“Wildcat”), a private technology company that uses proprietary methods to research and develop new battery materials, including an EV battery. Kodak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Light-Blocking Technology - Kodak plans to leverage a proprietary technology initially developed for electrophotographic toners to commercialize a carbon‐less fabric coating designed to offer superior light management, from complete blackout to selective light filtering, and coating compatibility with an unmatched range of fabrics. Kodak is installing a production-scale coating machine to coat fabrics in Eastman Business Park, located in Rochester, 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Reagent Manufacturing - Kodak plans to capitalize on its existing chemical manufacturing expertise, including current production of unregulated Key Starting Materials for pharmaceuticals, to implement an expansion into manufacturing Diagnostic Test Reagent solutions. Kodak has started construction of a lab and manufacturing facility to manufacture reagents for healthcare applications within an existing building located at Eastman Business Park.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Film and related component manufacturing operations and Kodak Research Laboratories utilize capacity at Eastman Business Park, which helps cost absorption for both Kodak operations and tenants at Eastman Business Park.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 plans to capitalize on its intellectual property through new business or licensing opportunities in 3D printing materials, smart material applications, and printed electronics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2024 COMPARED TO 2023</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FIRST QUARTER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30"/>
        <w:gridCol w:w="60"/>
        <w:gridCol w:w="125"/>
        <w:gridCol w:w="335"/>
        <w:gridCol w:w="80"/>
        <w:gridCol w:w="60"/>
        <w:gridCol w:w="72"/>
        <w:gridCol w:w="353"/>
        <w:gridCol w:w="189"/>
        <w:gridCol w:w="60"/>
        <w:gridCol w:w="125"/>
        <w:gridCol w:w="335"/>
        <w:gridCol w:w="80"/>
        <w:gridCol w:w="60"/>
        <w:gridCol w:w="72"/>
        <w:gridCol w:w="353"/>
        <w:gridCol w:w="189"/>
        <w:gridCol w:w="60"/>
        <w:gridCol w:w="231"/>
        <w:gridCol w:w="539"/>
        <w:gridCol w:w="97"/>
      </w:tblGrid>
      <w:tr>
        <w:trPr/>
        <w:tc>
          <w:tcPr>
            <w:tcW w:w="6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97" w:type="dxa"/>
            <w:tcBorders/>
            <w:shd w:fill="FFFFFF" w:val="clear"/>
            <w:vAlign w:val="center"/>
          </w:tcPr>
          <w:p>
            <w:pPr>
              <w:pStyle w:val="TableContents"/>
              <w:bidi w:val="0"/>
              <w:spacing w:before="0" w:after="283"/>
              <w:jc w:val="left"/>
              <w:rPr/>
            </w:pPr>
            <w:r>
              <w:rPr/>
              <w:t> </w:t>
            </w:r>
          </w:p>
        </w:tc>
      </w:tr>
      <w:tr>
        <w:trPr/>
        <w:tc>
          <w:tcPr>
            <w:tcW w:w="6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of</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of</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Sales</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Sales</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97" w:type="dxa"/>
            <w:tcBorders/>
            <w:shd w:fill="FFFFFF" w:val="clear"/>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9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9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7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53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53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97" w:type="dxa"/>
            <w:tcBorders/>
            <w:shd w:fill="FFFFFF" w:val="clear"/>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539"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53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7" w:type="dxa"/>
            <w:tcBorders/>
            <w:shd w:fill="FFFFFF" w:val="clear"/>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operating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(18</w:t>
            </w:r>
          </w:p>
        </w:tc>
        <w:tc>
          <w:tcPr>
            <w:tcW w:w="9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Income from operations before interest expense, pension income excluding service cost component, other income, net and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53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7" w:type="dxa"/>
            <w:tcBorders/>
            <w:shd w:fill="FFFFFF" w:val="clear"/>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53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7" w:type="dxa"/>
            <w:tcBorders/>
            <w:shd w:fill="CCEEFF" w:val="clear"/>
            <w:vAlign w:val="center"/>
          </w:tcPr>
          <w:p>
            <w:pPr>
              <w:pStyle w:val="TableContents"/>
              <w:bidi w:val="0"/>
              <w:spacing w:before="0" w:after="283"/>
              <w:jc w:val="left"/>
              <w:rPr/>
            </w:pPr>
            <w:r>
              <w:rPr/>
              <w:t> </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53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7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7" w:type="dxa"/>
            <w:tcBorders/>
            <w:shd w:fill="CCEEFF" w:val="clear"/>
            <w:vAlign w:val="center"/>
          </w:tcPr>
          <w:p>
            <w:pPr>
              <w:pStyle w:val="TableContents"/>
              <w:bidi w:val="0"/>
              <w:spacing w:before="0" w:after="283"/>
              <w:jc w:val="left"/>
              <w:rPr/>
            </w:pPr>
            <w:r>
              <w:rPr/>
              <w:t> </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Income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53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7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7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the three months ended March 31, 2024 revenues declined $29 million compared with the same period in 2023, driven by lower volume as well as price and product mix declines in Print ($24 million and $3 million, respectively) and lower volume in Advanced Materials and Chemicals ($5 million) partially offset by improved pricing and product mix within Advanced Materials and Chemicals ($2 million). See segment discussions for additional details.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 for the three months ended March 31, 2024 was $1 million lower than the same period in 2023, primarily due to lower volumes and less favorable pricing and product mix in Print ($2 million each) and lower volumes for Advanced Materials and Chemicals ($3 million) partially offset by improved pricing and product mix within Advanced Materials and Chemicals ($1 million), lower costs for aluminum ($2 million) and by the net change in employee benefit and workers' compensation reserves ($2 million).  See segment discussions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Selling, General and Administrative Expenses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selling and general administrative expenses ("SG&amp;A") increased $11 million in the three months ended March 31, 2024 compared to the prior year period primarily due to $10 million of income in the prior year representing insurance reimbursement of legal costs previously paid by the Company associated with investigations and litigation. In addition, selling and administrative costs increased ($2 million) and equity compensation costs declined ($1 million) in the current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Research and Development Costs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research and development ("R&amp;D") expenses in the three months ended March 31, 2024 remained flat.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Income Excluding Service Cost Component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 increased $1 million in the three months ended March 31, 2024.  Refer to Note 12, "Retirement Plans and Other Postretirement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income, net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10,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  </w:t>
      </w:r>
      <w:r>
        <w:rPr>
          <w:rFonts w:ascii="Calibri;Arial;sans-serif" w:hAnsi="Calibri;Arial;sans-serif"/>
          <w:caps w:val="false"/>
          <w:smallCaps w:val="false"/>
          <w:sz w:val="20"/>
        </w:rPr>
        <w:t>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bidi w:val="0"/>
        <w:spacing w:before="0" w:after="0"/>
        <w:ind w:left="0" w:right="0" w:hanging="0"/>
        <w:jc w:val="left"/>
        <w:rPr>
          <w:caps w:val="false"/>
          <w:smallCaps w:val="false"/>
        </w:rPr>
      </w:pPr>
      <w:r>
        <w:rPr>
          <w:caps w:val="false"/>
          <w:smallCaps w:val="false"/>
        </w:rPr>
        <w:t> </w:t>
      </w:r>
    </w:p>
    <w:tbl>
      <w:tblPr>
        <w:tblW w:w="4596" w:type="dxa"/>
        <w:jc w:val="left"/>
        <w:tblInd w:w="0" w:type="dxa"/>
        <w:tblLayout w:type="fixed"/>
        <w:tblCellMar>
          <w:top w:w="0" w:type="dxa"/>
          <w:left w:w="0" w:type="dxa"/>
          <w:bottom w:w="0" w:type="dxa"/>
          <w:right w:w="0" w:type="dxa"/>
        </w:tblCellMar>
      </w:tblPr>
      <w:tblGrid>
        <w:gridCol w:w="2750"/>
        <w:gridCol w:w="60"/>
        <w:gridCol w:w="207"/>
        <w:gridCol w:w="557"/>
        <w:gridCol w:w="99"/>
        <w:gridCol w:w="99"/>
        <w:gridCol w:w="207"/>
        <w:gridCol w:w="557"/>
        <w:gridCol w:w="60"/>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5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5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6612" w:type="dxa"/>
        <w:jc w:val="left"/>
        <w:tblInd w:w="0" w:type="dxa"/>
        <w:tblLayout w:type="fixed"/>
        <w:tblCellMar>
          <w:top w:w="0" w:type="dxa"/>
          <w:left w:w="0" w:type="dxa"/>
          <w:bottom w:w="0" w:type="dxa"/>
          <w:right w:w="0" w:type="dxa"/>
        </w:tblCellMar>
      </w:tblPr>
      <w:tblGrid>
        <w:gridCol w:w="4745"/>
        <w:gridCol w:w="60"/>
        <w:gridCol w:w="222"/>
        <w:gridCol w:w="517"/>
        <w:gridCol w:w="142"/>
        <w:gridCol w:w="107"/>
        <w:gridCol w:w="222"/>
        <w:gridCol w:w="517"/>
        <w:gridCol w:w="80"/>
      </w:tblGrid>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shd w:fill="CCEEFF" w:val="clear"/>
            <w:vAlign w:val="center"/>
          </w:tcPr>
          <w:p>
            <w:pPr>
              <w:pStyle w:val="TableContents"/>
              <w:bidi w:val="0"/>
              <w:spacing w:before="0" w:after="283"/>
              <w:ind w:left="0" w:right="0" w:hanging="0"/>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 (2)</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Consulting and other costs (1)</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operating income (expense), net (2)</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expense (2)</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excluding service cost component (2)</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income, net (2)</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earnings from operations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(1)</w:t>
            </w:r>
          </w:p>
        </w:tc>
        <w:tc>
          <w:tcPr>
            <w:tcW w:w="9924"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Consulting and other costs are primarily professional services and internal costs associated with certain corporate strategic initiatives, investigations and litigation. In the three months ended March 31, 2023 consulting and other costs included $10 million of income representing insurance reimbursement of legal costs. </w:t>
            </w:r>
          </w:p>
        </w:tc>
      </w:tr>
    </w:tbl>
    <w:p>
      <w:pPr>
        <w:pStyle w:val="TextBody"/>
        <w:bidi w:val="0"/>
        <w:spacing w:before="0" w:after="0"/>
        <w:ind w:left="0" w:right="0" w:hanging="0"/>
        <w:jc w:val="left"/>
        <w:rPr/>
      </w:pPr>
      <w:r>
        <w:rPr/>
        <w:t> </w:t>
      </w:r>
    </w:p>
    <w:tbl>
      <w:tblPr>
        <w:tblW w:w="4900" w:type="dxa"/>
        <w:jc w:val="left"/>
        <w:tblInd w:w="0" w:type="dxa"/>
        <w:tblLayout w:type="fixed"/>
        <w:tblCellMar>
          <w:top w:w="0" w:type="dxa"/>
          <w:left w:w="0" w:type="dxa"/>
          <w:bottom w:w="0" w:type="dxa"/>
          <w:right w:w="0" w:type="dxa"/>
        </w:tblCellMar>
      </w:tblPr>
      <w:tblGrid>
        <w:gridCol w:w="75"/>
        <w:gridCol w:w="245"/>
        <w:gridCol w:w="45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(2)</w:t>
            </w:r>
          </w:p>
        </w:tc>
        <w:tc>
          <w:tcPr>
            <w:tcW w:w="458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Kodak decreased employee benefit reserves by approximately $1 million in the three months ended March 31, 2024 due to a decrease in workers' compensation reserves driven by changes in discount rates. The decrease in reserves in the three months ended March 31, 2024 impacted gross profit by approximately $1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increased employee benefit reserves by approximately $1 million in the three months ended March 31, 2023 composed of an increase in workers' compensation reserves ($2 million) driven by changes in discount rates partially offset by a decrease in other employee benefit reserves ($1 million), primarily driven by a reduction in bonus accruals. The increase in reserves in the three months ended March 31, 2023 impacted gross profit by approximately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Measure of Profit and Loss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 Operational EBITDA represents the earnings from operations excluding the provision for income taxes; non-service cost components of pension and OPEB income; depreciation and amortization expense; restructuring costs and other; stock-based compensation expense; consulting and other costs; interest expense; other operating income (expense), net and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PRINT SEGMENT</w:t>
      </w:r>
    </w:p>
    <w:p>
      <w:pPr>
        <w:pStyle w:val="TextBody"/>
        <w:bidi w:val="0"/>
        <w:spacing w:before="0" w:after="0"/>
        <w:ind w:left="0" w:right="0" w:hanging="0"/>
        <w:jc w:val="left"/>
        <w:rPr>
          <w:caps w:val="false"/>
          <w:smallCaps w:val="false"/>
        </w:rPr>
      </w:pPr>
      <w:r>
        <w:rPr>
          <w:caps w:val="false"/>
          <w:smallCaps w:val="false"/>
        </w:rPr>
        <w:t> </w:t>
      </w:r>
    </w:p>
    <w:tbl>
      <w:tblPr>
        <w:tblW w:w="5964" w:type="dxa"/>
        <w:jc w:val="left"/>
        <w:tblInd w:w="0" w:type="dxa"/>
        <w:tblLayout w:type="fixed"/>
        <w:tblCellMar>
          <w:top w:w="0" w:type="dxa"/>
          <w:left w:w="0" w:type="dxa"/>
          <w:bottom w:w="0" w:type="dxa"/>
          <w:right w:w="0" w:type="dxa"/>
        </w:tblCellMar>
      </w:tblPr>
      <w:tblGrid>
        <w:gridCol w:w="3080"/>
        <w:gridCol w:w="60"/>
        <w:gridCol w:w="183"/>
        <w:gridCol w:w="490"/>
        <w:gridCol w:w="227"/>
        <w:gridCol w:w="87"/>
        <w:gridCol w:w="183"/>
        <w:gridCol w:w="490"/>
        <w:gridCol w:w="227"/>
        <w:gridCol w:w="87"/>
        <w:gridCol w:w="231"/>
        <w:gridCol w:w="539"/>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2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6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22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22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2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22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22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2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7"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decrease in Print revenues for the three months ended March 31, 2024 of approximately $27 million reflected lower volumes in Prepress consumables and service ($13 million and $2 million, respectively), less favorable pricing in Prepress consumables ($3 million), less favorable pricing and product mix in Prepress equipment ($2 million), lower volumes in Electrophotographic Printing Solutions consumables and service and Electrophotographic Printing Solutions equipment ($5 million and $2 million, respectively) and lower volumes in PROSPER annuities ($2 million) partially offset by favorable pricing in Electrophotographic Printing Solutions consumables and service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Operational EBITDA for the three months ended March 31, 2024 declined $6 million reflecting less favorable pricing and lower volumes for Prepress consumables ($3 million and $2 million, respectively), less favorable product mix for Prepress equipment ($1 million) and higher selling and administrative costs ($2 million) and manufacturing costs ($1 million) partially offset by lower costs for aluminum ($2 million), favorable pricing in Electrophotographic Printing Solutions consumables and service ($2 million) and the net impact of changes in employee benefit and workers' compensation reserves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ADVANCED MATERIALS AND CHEMICALS SEGMENT</w:t>
      </w:r>
    </w:p>
    <w:p>
      <w:pPr>
        <w:pStyle w:val="TextBody"/>
        <w:bidi w:val="0"/>
        <w:spacing w:before="0" w:after="0"/>
        <w:ind w:left="0" w:right="0" w:hanging="0"/>
        <w:jc w:val="left"/>
        <w:rPr>
          <w:caps w:val="false"/>
          <w:smallCaps w:val="false"/>
        </w:rPr>
      </w:pPr>
      <w:r>
        <w:rPr>
          <w:caps w:val="false"/>
          <w:smallCaps w:val="false"/>
        </w:rPr>
        <w:t> </w:t>
      </w:r>
    </w:p>
    <w:tbl>
      <w:tblPr>
        <w:tblW w:w="6029" w:type="dxa"/>
        <w:jc w:val="left"/>
        <w:tblInd w:w="0" w:type="dxa"/>
        <w:tblLayout w:type="fixed"/>
        <w:tblCellMar>
          <w:top w:w="0" w:type="dxa"/>
          <w:left w:w="0" w:type="dxa"/>
          <w:bottom w:w="0" w:type="dxa"/>
          <w:right w:w="0" w:type="dxa"/>
        </w:tblCellMar>
      </w:tblPr>
      <w:tblGrid>
        <w:gridCol w:w="3080"/>
        <w:gridCol w:w="60"/>
        <w:gridCol w:w="218"/>
        <w:gridCol w:w="401"/>
        <w:gridCol w:w="270"/>
        <w:gridCol w:w="104"/>
        <w:gridCol w:w="218"/>
        <w:gridCol w:w="454"/>
        <w:gridCol w:w="270"/>
        <w:gridCol w:w="104"/>
        <w:gridCol w:w="310"/>
        <w:gridCol w:w="460"/>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27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6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7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27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27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27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7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40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45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2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revenues for the three months ended March 31, 2024 declined $2 million primarily from lower volumes in Industrial Film and Chemicals ($4 million) partially offset by pricing and product mix improvements in Industrial Film and Chemicals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Operational EBITDA improved $1 million for the three months ended March 31, 2024 reflecting price and product mix improvements in Industrial Film and Chemicals ($1 million), lower manufacturing costs ($2 million) and the net impact of changes in employee benefit and workers' compensation reserves ($1 million) partially offset by lower volumes in Industrial Film and Chemicals ($3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BRAND SEGMENT</w:t>
      </w:r>
    </w:p>
    <w:p>
      <w:pPr>
        <w:pStyle w:val="TextBody"/>
        <w:bidi w:val="0"/>
        <w:spacing w:before="0" w:after="0"/>
        <w:ind w:left="0" w:right="0" w:hanging="0"/>
        <w:jc w:val="left"/>
        <w:rPr>
          <w:caps w:val="false"/>
          <w:smallCaps w:val="false"/>
        </w:rPr>
      </w:pPr>
      <w:r>
        <w:rPr>
          <w:caps w:val="false"/>
          <w:smallCaps w:val="false"/>
        </w:rPr>
        <w:t> </w:t>
      </w:r>
    </w:p>
    <w:tbl>
      <w:tblPr>
        <w:tblW w:w="5896" w:type="dxa"/>
        <w:jc w:val="left"/>
        <w:tblInd w:w="0" w:type="dxa"/>
        <w:tblLayout w:type="fixed"/>
        <w:tblCellMar>
          <w:top w:w="0" w:type="dxa"/>
          <w:left w:w="0" w:type="dxa"/>
          <w:bottom w:w="0" w:type="dxa"/>
          <w:right w:w="0" w:type="dxa"/>
        </w:tblCellMar>
      </w:tblPr>
      <w:tblGrid>
        <w:gridCol w:w="3080"/>
        <w:gridCol w:w="60"/>
        <w:gridCol w:w="211"/>
        <w:gridCol w:w="389"/>
        <w:gridCol w:w="262"/>
        <w:gridCol w:w="101"/>
        <w:gridCol w:w="211"/>
        <w:gridCol w:w="389"/>
        <w:gridCol w:w="262"/>
        <w:gridCol w:w="101"/>
        <w:gridCol w:w="250"/>
        <w:gridCol w:w="520"/>
        <w:gridCol w:w="6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26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6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6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6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6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6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6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26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26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were no material changes in Brand revenues or Operational EBITDA for the three months ended March 31, 2024 compared to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RESTRUCTURING COSTS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recorded charges of $5 million for the three months ended March 31, 2024, in Restructuring costs and other in the Consolidated Statement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made cash payments related to restructuring of approximately $2 million during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restructuring actions implemented in the first three months of 2024 are expected to generate future annual cash savings of approximately $9 million, which are expected to reduce future annual SG&amp;A expenses, Cost of revenues, and R&amp;D costs by $4 million, $4 million, and $1 million, respectively. The majority of the annual savings are expected to be in effect by the end of the second quarter of 2024 as actions are completed.</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2" w:name="liquid"/>
      <w:bookmarkEnd w:id="12"/>
      <w:r>
        <w:rPr>
          <w:rFonts w:ascii="Calibri;Arial;sans-serif" w:hAnsi="Calibri;Arial;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Management</w:t>
      </w:r>
      <w:r>
        <w:rPr>
          <w:rFonts w:ascii="Calibri;Arial;sans-serif" w:hAnsi="Calibri;Arial;sans-serif"/>
          <w:caps w:val="false"/>
          <w:smallCaps w:val="false"/>
          <w:sz w:val="20"/>
        </w:rPr>
        <w:t>’</w:t>
      </w:r>
      <w:r>
        <w:rPr>
          <w:rFonts w:ascii="Calibri;Arial;sans-serif" w:hAnsi="Calibri;Arial;sans-serif"/>
          <w:b/>
          <w:caps w:val="false"/>
          <w:smallCaps w:val="false"/>
          <w:sz w:val="20"/>
        </w:rPr>
        <w:t xml:space="preserve">s Assessment of Liquidity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ended the quarter with a cash balance of $262 million, an increase of $7 million from December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financing transactions entered into during 2023, cash proceeds related to brand licensing arrangements and improvements in cash flow relating to pricing rationalization, cost reductions and operational efficiencies provided additional liquidity to the Company to fund on‐going operations and obligations, invest in growth opportunities in Kodak’s businesses of print and advanced materials and chemicals and for corporate infrastructure investments expected to contribute to improvements in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Available liquidity includes existing cash balances and cash flows from operating activities. The amount of available liquidity is subject to fluctuations and includes cash balances held by various entities worldwide. At March 31, 2024 and December 31, 2023 approximately $154 million and $167 million, respectively, of cash and cash equivalents were held within the U.S. and approximately $108 million and $88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March 31, 2024 and December 31, 2023, outstanding inter-company loans to the U.S. were $443 million and $460 million, respectively, which include short-term inter-company loans from Kodak’s international finance center of $158 million and $173 million, respectively</w:t>
      </w:r>
      <w:r>
        <w:rPr>
          <w:rFonts w:ascii="Calibri;Arial;sans-serif" w:hAnsi="Calibri;Arial;sans-serif"/>
          <w:b/>
          <w:caps w:val="false"/>
          <w:smallCaps w:val="false"/>
          <w:sz w:val="20"/>
        </w:rPr>
        <w:t xml:space="preserve">. </w:t>
      </w:r>
      <w:r>
        <w:rPr>
          <w:rFonts w:ascii="Calibri;Arial;sans-serif" w:hAnsi="Calibri;Arial;sans-serif"/>
          <w:caps w:val="false"/>
          <w:smallCaps w:val="false"/>
          <w:sz w:val="20"/>
        </w:rPr>
        <w:t>In China, where approximately $35 million and $29 million of cash and cash equivalents was held as of March 31, 2024 and December 31, 2023,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Company’s Hong Kong subsidiary has an $73 million inter-company loan from one of the Company’s Chinese subsidiaries with a maturity date of November 16, 2024, the proceeds of which were in turn loaned to the Company. The inter-company loan terms provide for it to be repaid over two years in four equal $20 million installments, the first of which was due by November 16, 2023 with the remaining installments due in 2024. The Company paid $2 million in the first quarter of 2024 and $5 million in the second quarter of 2024 towards the first $20 million installment and is evaluating alternatives for the remaining installments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 If the inter-company loan is not extended, refinanced or amended and the Hong Kong subsidiary does not pay any of the individual installments by the end of the 30-day grace period following notice by the Chinese subsidiary after a failure to pay on the due date of such installment, the Hong Kong subsidiary would default on the inter-company loan. The Chinese subsidiary has not issued notice to the Hong Kong subsidiary based on the failure to make the first full installment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Kodak's cash flows continue to be negatively impacted by higher manufacturing costs due to volume declines and increased labor, material and distribution costs, supply chain disruptions and shortages in materials and labor. The impacts from price increases, continued cost reduction actions and supply chain-related cost improvements continue to positively impact Kodak’s operations. 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war in Ukraine and the conflicts involving Israel, and other factors such as the ability to continue to secure raw materials and components, the impact of rising costs of labor, commodity and distribution costs, the ability to maintain current pricing levels or how quickly and to what extent normal economic and operating conditions can resume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the third quarter of 2023, Kodak entered into multiple long-term brand licensing arrangements and recorded total deferred revenue of approximately $57 million.  Kodak received approximately $12 million of cash proceeds related to these licensing arrangements in 2023, $40 million in the first quarter of 2024 and expects to receive $5 million in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plans to return to sustainable positive cash flow include generating profitable revenues through pricing actions and customer-focused initiatives, implementing effective working capital utilization, reducing operating expenses, continuing to simplify the organizational structure, investing in information technology systems to drive operational efficiencies, generating cash from selling and leasing underutilized assets or through new licensing opportunities and implementing ways to reduce cash collateral needs.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believes its liquidity position is adequate to fund its operating and investing needs and to provide the flexibility to respond as necessary to ordinary changes in the business and economic environment. Kodak’s ability to adequately fund its long‐term liquidity, debt servicing and capital requirements will be dependent on generating positive cash flows from operations, managing world‐wide cash through intercompany loans, distributions or other mechanisms, and the ability to convert, redeem or extend the existing Series B and Series C Preferred Stock past their current maturities of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Amended and Restated Term Loan Credit Agreement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the first quarter of 2024, the Company prepaid $17 million of the Term Loans with net proceeds from the sale of Target Non-Core Assets (as defined in the Amended and Restated Term Loan Agreement).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Letter of Credit Facility Agreement</w:t>
      </w:r>
      <w:r>
        <w:rPr>
          <w:rFonts w:ascii="Calibri;Arial;sans-serif" w:hAnsi="Calibri;Arial;sans-serif"/>
          <w:caps w:val="false"/>
          <w:smallCaps w:val="false"/>
          <w:sz w:val="20"/>
        </w:rPr>
        <w:br/>
        <w:t>Approximately $27 million and $31 million of letters of credit were issued under the Amended and Restated L/C Facility Agreement and L/C Facility Agreement as of March 31, 2024, and December 31, 2023, respectively. The letters of credit under the Amended and Restated L/C Facility Agreement are collateralized by cash collateral (the “L/C Cash Collateral”). The L/C Cash Collateral was $29 million and $32 million at March 31, 2024, and December 31, 2023, respectively, which was classified as Restricted Cash.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Cash Flow</w:t>
      </w:r>
      <w:r>
        <w:rPr>
          <w:rFonts w:ascii="Calibri;Arial;sans-serif" w:hAnsi="Calibri;Arial;sans-serif"/>
          <w:caps w:val="false"/>
          <w:smallCaps w:val="false"/>
          <w:sz w:val="20"/>
        </w:rPr>
        <w:br/>
        <w:t>Cash, cash equivalents and restricted cash balances were as follows: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578" w:type="dxa"/>
        <w:jc w:val="left"/>
        <w:tblInd w:w="0" w:type="dxa"/>
        <w:tblLayout w:type="fixed"/>
        <w:tblCellMar>
          <w:top w:w="0" w:type="dxa"/>
          <w:left w:w="0" w:type="dxa"/>
          <w:bottom w:w="0" w:type="dxa"/>
          <w:right w:w="0" w:type="dxa"/>
        </w:tblCellMar>
      </w:tblPr>
      <w:tblGrid>
        <w:gridCol w:w="3320"/>
        <w:gridCol w:w="60"/>
        <w:gridCol w:w="225"/>
        <w:gridCol w:w="604"/>
        <w:gridCol w:w="60"/>
        <w:gridCol w:w="60"/>
        <w:gridCol w:w="318"/>
        <w:gridCol w:w="856"/>
        <w:gridCol w:w="75"/>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Cash Flow Activity</w:t>
      </w:r>
    </w:p>
    <w:p>
      <w:pPr>
        <w:pStyle w:val="TextBody"/>
        <w:bidi w:val="0"/>
        <w:spacing w:before="0" w:after="0"/>
        <w:ind w:left="0" w:right="0" w:hanging="0"/>
        <w:jc w:val="left"/>
        <w:rPr>
          <w:caps w:val="false"/>
          <w:smallCaps w:val="false"/>
        </w:rPr>
      </w:pPr>
      <w:r>
        <w:rPr>
          <w:caps w:val="false"/>
          <w:smallCaps w:val="false"/>
        </w:rPr>
        <w:t> </w:t>
      </w:r>
    </w:p>
    <w:tbl>
      <w:tblPr>
        <w:tblW w:w="10012" w:type="dxa"/>
        <w:jc w:val="left"/>
        <w:tblInd w:w="0" w:type="dxa"/>
        <w:tblLayout w:type="fixed"/>
        <w:tblCellMar>
          <w:top w:w="0" w:type="dxa"/>
          <w:left w:w="0" w:type="dxa"/>
          <w:bottom w:w="0" w:type="dxa"/>
          <w:right w:w="0" w:type="dxa"/>
        </w:tblCellMar>
      </w:tblPr>
      <w:tblGrid>
        <w:gridCol w:w="6050"/>
        <w:gridCol w:w="60"/>
        <w:gridCol w:w="230"/>
        <w:gridCol w:w="533"/>
        <w:gridCol w:w="147"/>
        <w:gridCol w:w="110"/>
        <w:gridCol w:w="230"/>
        <w:gridCol w:w="478"/>
        <w:gridCol w:w="80"/>
        <w:gridCol w:w="60"/>
        <w:gridCol w:w="584"/>
        <w:gridCol w:w="1355"/>
        <w:gridCol w:w="95"/>
      </w:tblGrid>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Year-Over-Year Change</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4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increase in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7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Operating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from operating activities improved $3 million for the three months ended March 31, 2024 as compared with the corresponding period in 2023 reflecting a decrease in trade receivables primarily due to $40 million of cash proceeds related to brand licensing partially offset by a decline in proceeds from insurance reimbursements ($15 million) and a refund from a governmental authority ($9 million) both received in the prior year period, increased investment in inventory, an increase in miscellaneous receivables and an increase in liabilities excluding borrowings and trade payables.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Investing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investing activities for the three months ended March 31, 2024 increased $12 million compared to the corresponding period in 2023 due to proceeds from the sale of assets ($17 million) partially offset by an increase in additions to properties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Financing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financing activities for the three months ended March 31, 2024 increased $17 million compared to the corresponding period in 2023 driven by the $17 million Amended and Restated Term Loan prepayment in the three months ending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Uses of Cash Related to Financing Transactions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holders of the Term Loans are entitled to quarterly cash interest payments at a rate of 7.5% per annum and holders of the Series B Preferred Stock are entitled to cumulative dividends payable quarterly in cash at a rate of 4.0% per annum. All interest and dividends have been paid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Other Collateral Requirements</w:t>
      </w:r>
      <w:r>
        <w:rPr>
          <w:rFonts w:ascii="Calibri;Arial;sans-serif" w:hAnsi="Calibri;Arial;sans-serif"/>
          <w:caps w:val="false"/>
          <w:smallCaps w:val="false"/>
          <w:sz w:val="20"/>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$75.0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Further, the NYS WCB confirmed the Company can request a review of the security deposits supporting the historical liability beginning on July 1, 2025 with the submission of a current actuarial report. Based on the results of the actuarial valuation report, the required security deposits may be eligible for reduction in future periods.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$5.3 million per year between 2014 and 2023. Accordingly, subject to the possibility of other changes to the calculation of required security deposits by the NYS WCB, the Company expects the amount of the required security deposits to decline over time and the gradual return of the security deposits that have been made or the capital used to support such security deposits.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NYS WCB. In the third quarter of 2023 the Company deposited $68 million directly with the NYS WCB and cancelled the corresponding letter of credit supporting the associated liability. The Company could be required to provide up to $13 million of letters of credit to the issuers of certain surety bonds in the future to fully collateralize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Defined Benefit Pension and Postretirement Plans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made net contributions (funded plans) or paid benefits (unfunded plans) totaling approximately $3 million to its defined benefit pension and postretirement benefit plans in the first three months of 2024.  For the balance of 2024, the forecasted contribution (funded plans) and benefit payment (unfunded plans) requirements for its pension and postretirement plans are approximately $12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Capital Expenditures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 from investing activities included $10 million of capital expenditures for the three months ended March 31, 2024. Kodak expects approximately $40 million to $55 million of total capital expenditures for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Company’s Annual Report on Form 10-K for the year ended December 31, 2023.  There have been no material changes in the Company's critical accounting policies or estimates since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3" w:name="qqd"/>
      <w:bookmarkEnd w:id="13"/>
      <w:r>
        <w:rPr>
          <w:rFonts w:ascii="Calibri;Arial;sans-serif" w:hAnsi="Calibri;Arial;sans-serif"/>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noted in the 2023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14" w:name="controls"/>
      <w:bookmarkEnd w:id="1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Evaluation of Disclosure Controls and Procedures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Changes in Internal Control Over Financial Reporting</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During the first quarter of 2024, Kodak completed the implementation of a new consolidation system. As a result, Kodak made certain changes to its internal controls over financial reporting to address the new processes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have been no other changes in Kodak’s internal control over financial reporting during the most recently completed fiscal quarter that have materially affected, or are reasonably likely to materially affect, Kodak’s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b/>
          <w:caps w:val="false"/>
          <w:smallCaps w:val="false"/>
          <w:sz w:val="20"/>
        </w:rPr>
      </w:pPr>
      <w:bookmarkStart w:id="15" w:name="part2other"/>
      <w:bookmarkEnd w:id="15"/>
      <w:r>
        <w:rPr>
          <w:rFonts w:ascii="Calibri;Arial;sans-serif" w:hAnsi="Calibri;Arial;sans-serif"/>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6" w:name="item1legal"/>
      <w:bookmarkEnd w:id="16"/>
      <w:r>
        <w:rPr>
          <w:rFonts w:ascii="Calibri;Arial;sans-serif" w:hAnsi="Calibri;Arial;sans-serif"/>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See Note 6, “Commitments and Contingencies” in the Notes to the Financial Statements included in Part I, Item 1, “Financial Statements” for information regarding certain legal proceedings in which Kodak is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7" w:name="item1arisk"/>
      <w:bookmarkEnd w:id="17"/>
      <w:r>
        <w:rPr>
          <w:rFonts w:ascii="Calibri;Arial;sans-serif" w:hAnsi="Calibri;Arial;sans-serif"/>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See the Risk Factors set forth in Part I, Item 1A. of the 2023 Form 10-K for a detailed discussion of risk factors that could materially affect Kodak’s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8" w:name="item2unregistered"/>
      <w:bookmarkEnd w:id="18"/>
      <w:r>
        <w:rPr>
          <w:rFonts w:ascii="Calibri;Arial;sans-serif" w:hAnsi="Calibri;Arial;sans-serif"/>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30"/>
        <w:gridCol w:w="6035"/>
      </w:tblGrid>
      <w:tr>
        <w:trPr/>
        <w:tc>
          <w:tcPr>
            <w:tcW w:w="23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w:t>
            </w:r>
          </w:p>
        </w:tc>
        <w:tc>
          <w:tcPr>
            <w:tcW w:w="603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Sales of unregistered securities during the quarter ended March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245"/>
        <w:gridCol w:w="6425"/>
      </w:tblGrid>
      <w:tr>
        <w:trPr/>
        <w:tc>
          <w:tcPr>
            <w:tcW w:w="24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w:t>
            </w:r>
          </w:p>
        </w:tc>
        <w:tc>
          <w:tcPr>
            <w:tcW w:w="642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Issuer purchases of equity securities during the quarter ended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7311" w:type="dxa"/>
        <w:jc w:val="left"/>
        <w:tblInd w:w="0" w:type="dxa"/>
        <w:tblLayout w:type="fixed"/>
        <w:tblCellMar>
          <w:top w:w="0" w:type="dxa"/>
          <w:left w:w="0" w:type="dxa"/>
          <w:bottom w:w="0" w:type="dxa"/>
          <w:right w:w="0" w:type="dxa"/>
        </w:tblCellMar>
      </w:tblPr>
      <w:tblGrid>
        <w:gridCol w:w="1850"/>
        <w:gridCol w:w="60"/>
        <w:gridCol w:w="106"/>
        <w:gridCol w:w="1053"/>
        <w:gridCol w:w="60"/>
        <w:gridCol w:w="60"/>
        <w:gridCol w:w="201"/>
        <w:gridCol w:w="613"/>
        <w:gridCol w:w="60"/>
        <w:gridCol w:w="60"/>
        <w:gridCol w:w="324"/>
        <w:gridCol w:w="1090"/>
        <w:gridCol w:w="60"/>
        <w:gridCol w:w="60"/>
        <w:gridCol w:w="364"/>
        <w:gridCol w:w="1215"/>
        <w:gridCol w:w="7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Maximum Number</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4"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of Shares</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4"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That May Yet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Be Purchased</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Announced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under the Plans or</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Purchased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or Programs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Programs (2)</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January 1 through 31</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2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February 1 through 29</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March 1 through 31</w:t>
            </w:r>
          </w:p>
        </w:tc>
        <w:tc>
          <w:tcPr>
            <w:tcW w:w="60" w:type="dxa"/>
            <w:tcBorders/>
            <w:shd w:fill="CCEEFF" w:val="clear"/>
            <w:vAlign w:val="center"/>
          </w:tcPr>
          <w:p>
            <w:pPr>
              <w:pStyle w:val="TableContents"/>
              <w:bidi w:val="0"/>
              <w:spacing w:before="0" w:after="283"/>
              <w:ind w:left="0" w:right="0" w:hanging="0"/>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3"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24,672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3"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These purchases were made to satisfy tax withholding obligations in connection with the vesting of restricted stock units issued to employees.</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245"/>
        <w:gridCol w:w="57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57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does not have a publicly announced repurchase plan or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40" w:right="0" w:hanging="0"/>
        <w:jc w:val="left"/>
        <w:rPr/>
      </w:pPr>
      <w:r>
        <w:rPr>
          <w:rFonts w:ascii="Calibri;Arial;sans-serif" w:hAnsi="Calibri;Arial;sans-serif"/>
          <w:b/>
          <w:caps w:val="false"/>
          <w:smallCaps w:val="false"/>
          <w:sz w:val="20"/>
        </w:rPr>
        <w:t xml:space="preserve">Item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w:t>
      </w:r>
      <w:bookmarkStart w:id="19" w:name="item5"/>
      <w:bookmarkEnd w:id="19"/>
      <w:r>
        <w:rPr>
          <w:rFonts w:ascii="Calibri;Arial;sans-serif" w:hAnsi="Calibri;Arial;sans-serif"/>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pPr>
      <w:r>
        <w:rPr>
          <w:rFonts w:ascii="Calibri;Arial;sans-serif" w:hAnsi="Calibri;Arial;sans-serif"/>
          <w:b/>
          <w:caps w:val="false"/>
          <w:smallCaps w:val="false"/>
          <w:sz w:val="20"/>
        </w:rPr>
        <w:t xml:space="preserve">Rule </w:t>
      </w:r>
      <w:r>
        <w:rPr>
          <w:rStyle w:val="Emphasis"/>
          <w:rFonts w:ascii="Calibri;Arial;sans-serif" w:hAnsi="Calibri;Arial;sans-serif"/>
          <w:b/>
          <w:caps w:val="false"/>
          <w:smallCaps w:val="false"/>
          <w:sz w:val="20"/>
        </w:rPr>
        <w:t>10b5</w:t>
      </w:r>
      <w:r>
        <w:rPr>
          <w:rFonts w:ascii="Calibri;Arial;sans-serif" w:hAnsi="Calibri;Arial;sans-serif"/>
          <w:b/>
          <w:caps w:val="false"/>
          <w:smallCaps w:val="false"/>
          <w:sz w:val="20"/>
        </w:rPr>
        <w:t>-</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Trading Plans</w:t>
      </w:r>
    </w:p>
    <w:p>
      <w:pPr>
        <w:pStyle w:val="TextBody"/>
        <w:bidi w:val="0"/>
        <w:spacing w:before="0" w:after="0"/>
        <w:ind w:left="280" w:right="0" w:hanging="0"/>
        <w:jc w:val="left"/>
        <w:rPr>
          <w:caps w:val="false"/>
          <w:smallCaps w:val="false"/>
        </w:rPr>
      </w:pPr>
      <w:r>
        <w:rPr>
          <w:caps w:val="false"/>
          <w:smallCaps w:val="false"/>
        </w:rPr>
        <w:t> </w:t>
      </w:r>
    </w:p>
    <w:p>
      <w:pPr>
        <w:pStyle w:val="TextBody"/>
        <w:bidi w:val="0"/>
        <w:spacing w:before="0" w:after="0"/>
        <w:ind w:left="2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20" w:name="exhibits"/>
      <w:bookmarkEnd w:id="20"/>
      <w:r>
        <w:rPr>
          <w:rFonts w:ascii="Calibri;Arial;sans-serif" w:hAnsi="Calibri;Arial;sans-serif"/>
          <w:b/>
          <w:caps w:val="false"/>
          <w:smallCaps w:val="false"/>
          <w:sz w:val="20"/>
        </w:rPr>
        <w:t>Item 6. Exhibits</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Index to Exhibits</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Exhibit</w:t>
            </w:r>
          </w:p>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Number</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w:t>
            </w:r>
          </w:p>
        </w:tc>
        <w:tc>
          <w:tcPr>
            <w:tcW w:w="9480" w:type="dxa"/>
            <w:tcBorders/>
            <w:vAlign w:val="center"/>
          </w:tcPr>
          <w:p>
            <w:pPr>
              <w:pStyle w:val="TableContents"/>
              <w:bidi w:val="0"/>
              <w:spacing w:before="0" w:after="0"/>
              <w:ind w:left="0" w:right="0" w:hanging="0"/>
              <w:jc w:val="left"/>
              <w:rPr/>
            </w:pPr>
            <w:hyperlink r:id="rId2">
              <w:r>
                <w:rPr>
                  <w:rStyle w:val="InternetLink"/>
                  <w:rFonts w:ascii="Calibri;Arial;sans-serif" w:hAnsi="Calibri;Arial;sans-serif"/>
                  <w:caps w:val="false"/>
                  <w:smallCaps w:val="fals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w:t>
            </w:r>
          </w:p>
        </w:tc>
        <w:tc>
          <w:tcPr>
            <w:tcW w:w="9480" w:type="dxa"/>
            <w:tcBorders/>
            <w:vAlign w:val="center"/>
          </w:tcPr>
          <w:p>
            <w:pPr>
              <w:pStyle w:val="TableContents"/>
              <w:bidi w:val="0"/>
              <w:spacing w:before="0" w:after="0"/>
              <w:ind w:left="0" w:right="0" w:hanging="0"/>
              <w:jc w:val="left"/>
              <w:rPr/>
            </w:pPr>
            <w:hyperlink r:id="rId3">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(3.3)</w:t>
            </w:r>
          </w:p>
        </w:tc>
        <w:tc>
          <w:tcPr>
            <w:tcW w:w="9480" w:type="dxa"/>
            <w:tcBorders/>
            <w:vAlign w:val="center"/>
          </w:tcPr>
          <w:p>
            <w:pPr>
              <w:pStyle w:val="TableContents"/>
              <w:bidi w:val="0"/>
              <w:spacing w:before="0" w:after="0"/>
              <w:ind w:left="0" w:right="0" w:hanging="0"/>
              <w:jc w:val="left"/>
              <w:rPr/>
            </w:pPr>
            <w:hyperlink r:id="rId4">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(3.4)</w:t>
            </w:r>
          </w:p>
        </w:tc>
        <w:tc>
          <w:tcPr>
            <w:tcW w:w="9480" w:type="dxa"/>
            <w:tcBorders/>
            <w:vAlign w:val="center"/>
          </w:tcPr>
          <w:p>
            <w:pPr>
              <w:pStyle w:val="TableContents"/>
              <w:bidi w:val="0"/>
              <w:spacing w:before="0" w:after="0"/>
              <w:ind w:left="0" w:right="0" w:hanging="0"/>
              <w:jc w:val="left"/>
              <w:rPr/>
            </w:pPr>
            <w:hyperlink r:id="rId5">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(3.5)</w:t>
            </w:r>
          </w:p>
        </w:tc>
        <w:tc>
          <w:tcPr>
            <w:tcW w:w="9480" w:type="dxa"/>
            <w:tcBorders/>
            <w:vAlign w:val="center"/>
          </w:tcPr>
          <w:p>
            <w:pPr>
              <w:pStyle w:val="TableContents"/>
              <w:bidi w:val="0"/>
              <w:spacing w:before="0" w:after="0"/>
              <w:ind w:left="0" w:right="0" w:hanging="0"/>
              <w:jc w:val="left"/>
              <w:rPr/>
            </w:pPr>
            <w:hyperlink r:id="rId6">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(3.6)</w:t>
            </w:r>
          </w:p>
        </w:tc>
        <w:tc>
          <w:tcPr>
            <w:tcW w:w="9480" w:type="dxa"/>
            <w:tcBorders/>
            <w:vAlign w:val="center"/>
          </w:tcPr>
          <w:p>
            <w:pPr>
              <w:pStyle w:val="TableContents"/>
              <w:bidi w:val="0"/>
              <w:spacing w:before="0" w:after="0"/>
              <w:ind w:left="0" w:right="0" w:hanging="0"/>
              <w:jc w:val="left"/>
              <w:rPr/>
            </w:pPr>
            <w:hyperlink r:id="rId7">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(3.7)</w:t>
            </w:r>
          </w:p>
        </w:tc>
        <w:tc>
          <w:tcPr>
            <w:tcW w:w="9480" w:type="dxa"/>
            <w:tcBorders/>
            <w:vAlign w:val="center"/>
          </w:tcPr>
          <w:p>
            <w:pPr>
              <w:pStyle w:val="TableContents"/>
              <w:bidi w:val="0"/>
              <w:spacing w:before="0" w:after="0"/>
              <w:ind w:left="0" w:right="0" w:hanging="0"/>
              <w:jc w:val="left"/>
              <w:rPr/>
            </w:pPr>
            <w:hyperlink r:id="rId8">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(3.8)</w:t>
            </w:r>
          </w:p>
        </w:tc>
        <w:tc>
          <w:tcPr>
            <w:tcW w:w="9480" w:type="dxa"/>
            <w:tcBorders/>
            <w:vAlign w:val="center"/>
          </w:tcPr>
          <w:p>
            <w:pPr>
              <w:pStyle w:val="TableContents"/>
              <w:bidi w:val="0"/>
              <w:spacing w:before="0" w:after="0"/>
              <w:ind w:left="0" w:right="0" w:hanging="0"/>
              <w:jc w:val="left"/>
              <w:rPr/>
            </w:pPr>
            <w:hyperlink r:id="rId9">
              <w:r>
                <w:rPr>
                  <w:rStyle w:val="InternetLink"/>
                  <w:rFonts w:ascii="Calibri;Arial;sans-serif" w:hAnsi="Calibri;Arial;sans-serif"/>
                  <w:caps w:val="false"/>
                  <w:smallCaps w:val="fals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(10.1)</w:t>
            </w:r>
          </w:p>
        </w:tc>
        <w:tc>
          <w:tcPr>
            <w:tcW w:w="9480" w:type="dxa"/>
            <w:tcBorders/>
            <w:vAlign w:val="center"/>
          </w:tcPr>
          <w:p>
            <w:pPr>
              <w:pStyle w:val="TableContents"/>
              <w:bidi w:val="0"/>
              <w:spacing w:before="0" w:after="283"/>
              <w:jc w:val="left"/>
              <w:rPr/>
            </w:pPr>
            <w:hyperlink w:anchor="ex_668583.htm">
              <w:r>
                <w:rPr>
                  <w:rStyle w:val="InternetLink"/>
                  <w:rFonts w:ascii="Calibri;Arial;sans-serif" w:hAnsi="Calibri;Arial;sans-serif"/>
                  <w:sz w:val="20"/>
                </w:rPr>
                <w:t>Eastman Kodak Company 2013 Omnibus Incentive Plan Form of Continenza Performance Stock Unit Award Agreement, filed herewith.</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(31.1)</w:t>
            </w:r>
          </w:p>
        </w:tc>
        <w:tc>
          <w:tcPr>
            <w:tcW w:w="9708" w:type="dxa"/>
            <w:tcBorders/>
            <w:vAlign w:val="center"/>
          </w:tcPr>
          <w:p>
            <w:pPr>
              <w:pStyle w:val="TableContents"/>
              <w:bidi w:val="0"/>
              <w:spacing w:before="0" w:after="0"/>
              <w:ind w:left="0" w:right="0" w:hanging="0"/>
              <w:jc w:val="left"/>
              <w:rPr/>
            </w:pPr>
            <w:hyperlink w:anchor="ex_641720.htm">
              <w:r>
                <w:rPr>
                  <w:rStyle w:val="InternetLink"/>
                  <w:rFonts w:ascii="Calibri;Arial;sans-serif" w:hAnsi="Calibri;Arial;sans-serif"/>
                  <w:caps w:val="false"/>
                  <w:smallCaps w:val="false"/>
                  <w:sz w:val="20"/>
                </w:rPr>
                <w:t>Certification signed by James V. Continenza,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(31.2)</w:t>
            </w:r>
          </w:p>
        </w:tc>
        <w:tc>
          <w:tcPr>
            <w:tcW w:w="9708" w:type="dxa"/>
            <w:tcBorders/>
            <w:vAlign w:val="center"/>
          </w:tcPr>
          <w:p>
            <w:pPr>
              <w:pStyle w:val="TableContents"/>
              <w:bidi w:val="0"/>
              <w:spacing w:before="0" w:after="0"/>
              <w:ind w:left="0" w:right="0" w:hanging="0"/>
              <w:jc w:val="left"/>
              <w:rPr/>
            </w:pPr>
            <w:hyperlink w:anchor="ex_641721.htm">
              <w:r>
                <w:rPr>
                  <w:rStyle w:val="InternetLink"/>
                  <w:rFonts w:ascii="Calibri;Arial;sans-serif" w:hAnsi="Calibri;Arial;sans-serif"/>
                  <w:caps w:val="false"/>
                  <w:smallCaps w:val="false"/>
                  <w:sz w:val="20"/>
                </w:rPr>
                <w:t>Certification signed by David E. Bullwinkle,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(32.1)</w:t>
            </w:r>
          </w:p>
        </w:tc>
        <w:tc>
          <w:tcPr>
            <w:tcW w:w="9708" w:type="dxa"/>
            <w:tcBorders/>
            <w:vAlign w:val="center"/>
          </w:tcPr>
          <w:p>
            <w:pPr>
              <w:pStyle w:val="TableContents"/>
              <w:bidi w:val="0"/>
              <w:spacing w:before="0" w:after="0"/>
              <w:ind w:left="0" w:right="0" w:hanging="0"/>
              <w:jc w:val="left"/>
              <w:rPr/>
            </w:pPr>
            <w:hyperlink w:anchor="ex_641722.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James V. Continenza,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(32.2)</w:t>
            </w:r>
          </w:p>
        </w:tc>
        <w:tc>
          <w:tcPr>
            <w:tcW w:w="9708" w:type="dxa"/>
            <w:tcBorders/>
            <w:vAlign w:val="center"/>
          </w:tcPr>
          <w:p>
            <w:pPr>
              <w:pStyle w:val="TableContents"/>
              <w:bidi w:val="0"/>
              <w:spacing w:before="0" w:after="0"/>
              <w:ind w:left="0" w:right="0" w:hanging="0"/>
              <w:jc w:val="left"/>
              <w:rPr/>
            </w:pPr>
            <w:hyperlink w:anchor="ex_641723.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David E. Bullwinkle, filed herewith.</w:t>
              </w:r>
            </w:hyperlink>
          </w:p>
        </w:tc>
      </w:tr>
    </w:tbl>
    <w:p>
      <w:pPr>
        <w:pStyle w:val="TextBody"/>
        <w:bidi w:val="0"/>
        <w:spacing w:before="0" w:after="0"/>
        <w:ind w:left="0" w:right="0" w:hanging="0"/>
        <w:jc w:val="left"/>
        <w:rPr/>
      </w:pPr>
      <w:r>
        <w:rPr/>
        <w:t> </w:t>
      </w:r>
    </w:p>
    <w:tbl>
      <w:tblPr>
        <w:tblW w:w="7765" w:type="dxa"/>
        <w:jc w:val="left"/>
        <w:tblInd w:w="0" w:type="dxa"/>
        <w:tblLayout w:type="fixed"/>
        <w:tblCellMar>
          <w:top w:w="0" w:type="dxa"/>
          <w:left w:w="0" w:type="dxa"/>
          <w:bottom w:w="0" w:type="dxa"/>
          <w:right w:w="0" w:type="dxa"/>
        </w:tblCellMar>
      </w:tblPr>
      <w:tblGrid>
        <w:gridCol w:w="830"/>
        <w:gridCol w:w="6935"/>
      </w:tblGrid>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(101.CAL)</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Calculation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(101.INS)</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Instance Document.</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(101.LAB)</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Label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(101.PRE)</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Presentation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(101.SCH)</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Schema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(101.DEF)</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Definition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360" w:right="0" w:hanging="360"/>
              <w:jc w:val="left"/>
              <w:rPr>
                <w:rFonts w:ascii="Calibri;Arial;sans-serif" w:hAnsi="Calibri;Arial;sans-serif"/>
                <w:caps w:val="false"/>
                <w:smallCaps w:val="false"/>
                <w:sz w:val="20"/>
              </w:rPr>
            </w:pPr>
            <w:r>
              <w:rPr>
                <w:rFonts w:ascii="Calibri;Arial;sans-serif" w:hAnsi="Calibri;Arial;sans-serif"/>
                <w:caps w:val="false"/>
                <w:smallCaps w:val="false"/>
                <w:sz w:val="20"/>
              </w:rPr>
              <w:t>(104)</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1" w:name="sigs"/>
      <w:bookmarkEnd w:id="21"/>
      <w:r>
        <w:rPr>
          <w:rFonts w:ascii="Calibri;Arial;sans-serif" w:hAnsi="Calibri;Arial;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520"/>
        <w:gridCol w:w="4220"/>
      </w:tblGrid>
      <w:tr>
        <w:trPr/>
        <w:tc>
          <w:tcPr>
            <w:tcW w:w="15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tc>
      </w:tr>
      <w:tr>
        <w:trPr/>
        <w:tc>
          <w:tcPr>
            <w:tcW w:w="15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(Registrant)</w:t>
            </w:r>
          </w:p>
        </w:tc>
      </w:tr>
      <w:tr>
        <w:trPr/>
        <w:tc>
          <w:tcPr>
            <w:tcW w:w="15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ind w:left="0" w:right="0" w:hanging="0"/>
              <w:jc w:val="left"/>
              <w:rPr/>
            </w:pPr>
            <w:r>
              <w:rPr/>
              <w:t> </w:t>
            </w:r>
          </w:p>
        </w:tc>
        <w:tc>
          <w:tcPr>
            <w:tcW w:w="4220" w:type="dxa"/>
            <w:tcBorders/>
            <w:vAlign w:val="center"/>
          </w:tcPr>
          <w:p>
            <w:pPr>
              <w:pStyle w:val="TableContents"/>
              <w:bidi w:val="0"/>
              <w:spacing w:before="0" w:after="0"/>
              <w:ind w:left="0" w:right="0" w:hanging="0"/>
              <w:jc w:val="left"/>
              <w:rPr/>
            </w:pPr>
            <w:r>
              <w:rPr/>
              <w:t> </w:t>
            </w:r>
          </w:p>
        </w:tc>
      </w:tr>
      <w:tr>
        <w:trPr/>
        <w:tc>
          <w:tcPr>
            <w:tcW w:w="15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Date: May 9, 2024</w:t>
            </w:r>
          </w:p>
        </w:tc>
        <w:tc>
          <w:tcPr>
            <w:tcW w:w="422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 Richard T. Michaels</w:t>
            </w:r>
          </w:p>
        </w:tc>
      </w:tr>
      <w:tr>
        <w:trPr/>
        <w:tc>
          <w:tcPr>
            <w:tcW w:w="15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Richard T. Michaels</w:t>
            </w:r>
          </w:p>
        </w:tc>
      </w:tr>
      <w:tr>
        <w:trPr/>
        <w:tc>
          <w:tcPr>
            <w:tcW w:w="15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Corporate Controller</w:t>
            </w:r>
          </w:p>
        </w:tc>
      </w:tr>
      <w:tr>
        <w:trPr/>
        <w:tc>
          <w:tcPr>
            <w:tcW w:w="15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Calibri;Arial;sans-serif" w:hAnsi="Calibri;Arial;sans-serif"/>
          <w:sz w:val="20"/>
        </w:rPr>
      </w:pPr>
      <w:r>
        <w:rPr>
          <w:rFonts w:ascii="Calibri;Arial;sans-serif" w:hAnsi="Calibri;Arial;sans-serif"/>
          <w:sz w:val="20"/>
        </w:rPr>
        <w:t xml:space="preserve">[45]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bookmarkStart w:id="22" w:name="ex_668583.htm"/>
      <w:bookmarkStart w:id="23" w:name="ksex_668583"/>
      <w:bookmarkEnd w:id="22"/>
      <w:bookmarkEnd w:id="23"/>
      <w:r>
        <w:rPr>
          <w:caps w:val="false"/>
          <w:smallCaps w:val="false"/>
        </w:rPr>
        <w:t> </w:t>
      </w:r>
      <w:r>
        <w:br w:type="page"/>
      </w:r>
    </w:p>
    <w:p>
      <w:pPr>
        <w:pStyle w:val="TextBody"/>
        <w:bidi w:val="0"/>
        <w:spacing w:before="0" w:after="0"/>
        <w:ind w:left="2700" w:right="0" w:hanging="0"/>
        <w:jc w:val="right"/>
        <w:rPr>
          <w:rFonts w:ascii="Times New Roman" w:hAnsi="Times New Roman"/>
          <w:b/>
          <w:caps w:val="false"/>
          <w:smallCaps w:val="false"/>
          <w:sz w:val="20"/>
        </w:rPr>
      </w:pPr>
      <w:r>
        <w:rPr>
          <w:rFonts w:ascii="Times New Roman" w:hAnsi="Times New Roman"/>
          <w:b/>
          <w:caps w:val="false"/>
          <w:smallCaps w:val="false"/>
          <w:sz w:val="20"/>
        </w:rPr>
        <w:t>Exhibit (10.1)</w:t>
      </w:r>
    </w:p>
    <w:p>
      <w:pPr>
        <w:pStyle w:val="TextBody"/>
        <w:bidi w:val="0"/>
        <w:spacing w:before="0" w:after="0"/>
        <w:ind w:left="2700" w:right="0" w:hanging="0"/>
        <w:jc w:val="center"/>
        <w:rPr>
          <w:caps w:val="false"/>
          <w:smallCaps w:val="false"/>
        </w:rPr>
      </w:pPr>
      <w:r>
        <w:rPr>
          <w:caps w:val="false"/>
          <w:smallCaps w:val="false"/>
        </w:rPr>
        <w:t> </w:t>
      </w:r>
    </w:p>
    <w:p>
      <w:pPr>
        <w:pStyle w:val="TextBody"/>
        <w:bidi w:val="0"/>
        <w:spacing w:before="0" w:after="0"/>
        <w:ind w:left="2700" w:right="0" w:hanging="0"/>
        <w:jc w:val="center"/>
        <w:rPr>
          <w:rFonts w:ascii="Times New Roman" w:hAnsi="Times New Roman"/>
          <w:b/>
          <w:caps w:val="false"/>
          <w:smallCaps w:val="false"/>
          <w:sz w:val="20"/>
        </w:rPr>
      </w:pPr>
      <w:r>
        <w:rPr>
          <w:rFonts w:ascii="Times New Roman" w:hAnsi="Times New Roman"/>
          <w:b/>
          <w:caps w:val="false"/>
          <w:smallCaps w:val="false"/>
          <w:sz w:val="20"/>
        </w:rPr>
        <w:t>EASTMAN KODAK COMPANY 2013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sz w:val="20"/>
        </w:rPr>
      </w:pPr>
      <w:r>
        <w:rPr>
          <w:rFonts w:ascii="Times New Roman" w:hAnsi="Times New Roman"/>
          <w:sz w:val="20"/>
        </w:rPr>
        <w:t>This “Award Agreement” evidences an award of Performance Stock Units (the “</w:t>
      </w:r>
      <w:r>
        <w:rPr>
          <w:rFonts w:ascii="Times New Roman" w:hAnsi="Times New Roman"/>
          <w:sz w:val="20"/>
          <w:u w:val="single"/>
        </w:rPr>
        <w:t>PSUs</w:t>
      </w:r>
      <w:r>
        <w:rPr>
          <w:rFonts w:ascii="Times New Roman" w:hAnsi="Times New Roman"/>
          <w:sz w:val="20"/>
        </w:rPr>
        <w:t>”) by the Company under the Eastman Kodak Company 2013 Omnibus Incentive Plan (the “</w:t>
      </w:r>
      <w:r>
        <w:rPr>
          <w:rFonts w:ascii="Times New Roman" w:hAnsi="Times New Roman"/>
          <w:sz w:val="20"/>
          <w:u w:val="single"/>
        </w:rPr>
        <w:t>Plan</w:t>
      </w:r>
      <w:r>
        <w:rPr>
          <w:rFonts w:ascii="Times New Roman" w:hAnsi="Times New Roman"/>
          <w:sz w:val="20"/>
        </w:rPr>
        <w:t>”), as indicated below. The PSUs are subject to all other terms set forth in the Plan and this Award Agreement. Capitalized terms not defined in this Award Agreement have the meanings given to them in the Plan.</w:t>
      </w:r>
    </w:p>
    <w:p>
      <w:pPr>
        <w:pStyle w:val="TextBody"/>
        <w:bidi w:val="0"/>
        <w:spacing w:before="0" w:after="0"/>
        <w:ind w:left="180" w:right="0" w:hanging="0"/>
        <w:jc w:val="left"/>
        <w:rPr/>
      </w:pPr>
      <w:r>
        <w:rPr/>
        <w:t> </w:t>
      </w:r>
    </w:p>
    <w:p>
      <w:pPr>
        <w:pStyle w:val="TextBody"/>
        <w:bidi w:val="0"/>
        <w:spacing w:before="0" w:after="0"/>
        <w:ind w:left="180" w:right="0" w:hanging="0"/>
        <w:jc w:val="left"/>
        <w:rPr>
          <w:rFonts w:ascii="Times New Roman" w:hAnsi="Times New Roman"/>
          <w:sz w:val="20"/>
        </w:rPr>
      </w:pPr>
      <w:r>
        <w:rPr>
          <w:rFonts w:ascii="Times New Roman" w:hAnsi="Times New Roman"/>
          <w:b/>
          <w:sz w:val="20"/>
        </w:rPr>
        <w:t xml:space="preserve">Name of Grantee: </w:t>
      </w:r>
      <w:r>
        <w:rPr>
          <w:rFonts w:ascii="Times New Roman" w:hAnsi="Times New Roman"/>
          <w:sz w:val="20"/>
          <w:u w:val="single"/>
        </w:rPr>
        <w:t>James V. Continenza</w:t>
      </w:r>
    </w:p>
    <w:p>
      <w:pPr>
        <w:pStyle w:val="TextBody"/>
        <w:bidi w:val="0"/>
        <w:spacing w:before="0" w:after="0"/>
        <w:ind w:left="180" w:right="0" w:hanging="0"/>
        <w:jc w:val="left"/>
        <w:rPr>
          <w:rFonts w:ascii="Times New Roman" w:hAnsi="Times New Roman"/>
          <w:sz w:val="20"/>
        </w:rPr>
      </w:pPr>
      <w:r>
        <w:rPr>
          <w:rFonts w:ascii="Times New Roman" w:hAnsi="Times New Roman"/>
          <w:b/>
          <w:sz w:val="20"/>
        </w:rPr>
        <w:t xml:space="preserve">Grant Date: </w:t>
      </w:r>
      <w:r>
        <w:rPr>
          <w:rFonts w:ascii="Times New Roman" w:hAnsi="Times New Roman"/>
          <w:sz w:val="20"/>
        </w:rPr>
        <w:t>______________, 20____</w:t>
      </w:r>
    </w:p>
    <w:p>
      <w:pPr>
        <w:pStyle w:val="TextBody"/>
        <w:bidi w:val="0"/>
        <w:spacing w:before="0" w:after="0"/>
        <w:ind w:left="180" w:right="0" w:hanging="0"/>
        <w:jc w:val="left"/>
        <w:rPr>
          <w:rFonts w:ascii="Times New Roman" w:hAnsi="Times New Roman"/>
          <w:sz w:val="20"/>
        </w:rPr>
      </w:pPr>
      <w:r>
        <w:rPr>
          <w:rFonts w:ascii="Times New Roman" w:hAnsi="Times New Roman"/>
          <w:b/>
          <w:sz w:val="20"/>
        </w:rPr>
        <w:t>Number of PSUs:</w:t>
      </w:r>
      <w:r>
        <w:rPr>
          <w:rFonts w:ascii="Times New Roman" w:hAnsi="Times New Roman"/>
          <w:sz w:val="20"/>
        </w:rPr>
        <w:t> </w:t>
      </w:r>
      <w:r>
        <w:rPr>
          <w:rFonts w:ascii="Times New Roman" w:hAnsi="Times New Roman"/>
          <w:b/>
          <w:sz w:val="20"/>
        </w:rPr>
        <w:t>________________</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b/>
          <w:caps w:val="false"/>
          <w:smallCaps w:val="false"/>
          <w:sz w:val="20"/>
        </w:rPr>
        <w:t>Performance Goal: </w:t>
      </w:r>
      <w:r>
        <w:rPr>
          <w:rFonts w:ascii="Times New Roman" w:hAnsi="Times New Roman"/>
          <w:caps w:val="false"/>
          <w:smallCaps w:val="false"/>
          <w:sz w:val="20"/>
        </w:rPr>
        <w:t>The PSUs consists of three separate tranches, with each tranche representing one-third of the total Number of PSUs. The first tranche shall have a performance period of the 20___ fiscal year, the second tranche shall have a performance period of the 20___ fiscal year and the third tranche shall have a performance period of the 20___ fiscal year. The performance goal for each tranche shall be the achievement of the Annual Commitment Plan for the applicable fiscal year. The Annual Commitment Plan for each fiscal year will be set by the Board at the beginning of the fiscal year. For purposes of this Award Agreement, “Performance Period” means the period of the first day of the 20___ fiscal year through the last day of the 20___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rPr>
      </w:pPr>
      <w:r>
        <w:rPr>
          <w:rFonts w:ascii="Times New Roman" w:hAnsi="Times New Roman"/>
          <w:b/>
          <w:caps w:val="false"/>
          <w:smallCaps w:val="false"/>
          <w:sz w:val="20"/>
        </w:rPr>
        <w:t>Vesting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The vesting of each tranche shall be based on the following schedule: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740"/>
        <w:gridCol w:w="2620"/>
        <w:gridCol w:w="6845"/>
      </w:tblGrid>
      <w:tr>
        <w:trPr/>
        <w:tc>
          <w:tcPr>
            <w:tcW w:w="74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Tranche</w:t>
            </w:r>
          </w:p>
        </w:tc>
        <w:tc>
          <w:tcPr>
            <w:tcW w:w="26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Vesting Date</w:t>
            </w:r>
          </w:p>
        </w:tc>
        <w:tc>
          <w:tcPr>
            <w:tcW w:w="684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Vesting</w:t>
            </w:r>
          </w:p>
        </w:tc>
      </w:tr>
      <w:tr>
        <w:trPr/>
        <w:tc>
          <w:tcPr>
            <w:tcW w:w="74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First</w:t>
            </w:r>
          </w:p>
        </w:tc>
        <w:tc>
          <w:tcPr>
            <w:tcW w:w="26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February Committee Meeting 20___</w:t>
            </w:r>
          </w:p>
        </w:tc>
        <w:tc>
          <w:tcPr>
            <w:tcW w:w="684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One-third</w:t>
            </w:r>
          </w:p>
        </w:tc>
      </w:tr>
      <w:tr>
        <w:trPr/>
        <w:tc>
          <w:tcPr>
            <w:tcW w:w="74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Second</w:t>
            </w:r>
          </w:p>
        </w:tc>
        <w:tc>
          <w:tcPr>
            <w:tcW w:w="26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February Committee Meeting 20___</w:t>
            </w:r>
          </w:p>
        </w:tc>
        <w:tc>
          <w:tcPr>
            <w:tcW w:w="684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One-third</w:t>
            </w:r>
          </w:p>
        </w:tc>
      </w:tr>
      <w:tr>
        <w:trPr/>
        <w:tc>
          <w:tcPr>
            <w:tcW w:w="74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Third</w:t>
            </w:r>
          </w:p>
        </w:tc>
        <w:tc>
          <w:tcPr>
            <w:tcW w:w="26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February Committee Meeting 20___</w:t>
            </w:r>
          </w:p>
        </w:tc>
        <w:tc>
          <w:tcPr>
            <w:tcW w:w="684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One-third, plus discretion over three-year period not to exceed total grant amount of 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Following the end of each fiscal year, the Committee shall evaluate the achievement of the Annual Commitment Plan for the fiscal year and determine (in its discretion) the number of PSUs in the applicable tranche earned for such fiscal year, which shall be banked. Following the end of the Performance Period, the Committee shall also evaluate the achievement of the Annual Commitment Plan each fiscal year over the entire Performance Period, and may determine (in its discretion) an additional number of PSUs earned for the Performance Period, not to exceed 100% of the Number of PSUs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provided by the following paragraph, the PSUs will only vest if the applicable Performance Goal is reached and the Grantee is continuously employed by the Company or any of its Affiliates from the Grant Date through the applicable Vesting Date, and except as otherwise provided by this Award Agreement or determined by the Committee, any unvested PSUs will be forfeited upon any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termination of the Grantee’s employment (other than an involuntary termination for Cause or a voluntary termination without Good Reason) before December 31, 20___, the Grantee shall be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(a)         the banked earned PSUs of any tranche with a performance period that ended prior to the year of termination,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(b)         a pro-rata portion of the PSUs earned for the performance period that includes the date of termination, based on the number of days from January 1, 20___ through the date of termination over the total number of days from January 1, 20___ through the last day of the performance period that includes the date of termination;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(c)         no portion of the PSUs for any tranche with a performance period scheduled to commence after the date of termination, which instead would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this Award Agreement, “Cause” and “Good Reason” shall have the meanings given such terms by the Executive Chairman and CEO Agreement between the Company and the Grantee, dated November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Payment/Delivery: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Subject to the “Withholding” provision below, as soon as practicable following January 1, 20___, but no later than July 31, 20___, the Company shall issue to the Grantee one Share (or, at the election of the Company, cash equal to the Fair Market Value thereof) for each PSU that has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16.4 of the Plan, the Company shall have the power and the right to deduct or withhold (or cause to be deducted or withheld) from any amount deliverable under the PSUs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Subject to the Company’s automatic withholding right set out above, the Grantee may elect to satisfy the withholding requirement, in whole or in part:</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200"/>
        <w:gridCol w:w="36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having the Company withhold Shares; or</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260"/>
        <w:gridCol w:w="713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7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an independent broker-dealer arrangement to sell a sufficient number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in each case, having a Fair Market Value on the date the tax is to be determined equal to the minimum tax required to be withheld (or such greater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Grantee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The Grantee will not have any of the rights of a shareholder with respect to the Shares underlying or covered by the PSUs, whether or not vested, until such Shares are actually issued and delivered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Upon the occurrence of a Change of Control, the Committee may, but shall not be required, to make one or more of the adjustments set forth in Section 14.2 of the Plan to the PSUs if and to the extent that the PSUs are outstanding at the time of the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provided by the Plan, the PSUs are not in any manner subject to alteration, anticipation, sale, transfer, assignment, pledge or encumbrance.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No Right to Continued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The Grantee’s receipt of the PSUs does not give the Grantee a right to remain in the employment of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Data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By accepting the PSUs, the Grantee agrees that any data, including the Grantee’s personal data, may be exchanged among the Company and its Affiliates to the extent the Company determines necessary or advisable to administer the Plan and the PSUs, as well as with any third-party engaged by the Company to administer the Plan and the PSUs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15.2 of the Plan, the Committee may from time to time amend this Award Agreement; provided, however, no amendment shall materially adversely impair the rights of the Grantee under this Award Agreement without the Grantee’s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The PSUs described in this Award Agreement are intended to be exempt from Section 409A under the short-term deferral exception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PSUs in any capacity, including, but not limited to, the Company and its directors, officers, agents and employees makes any representation, commitment, or guarantee that any tax treatment will be applicable with respect to the PSUs or payments made under this Award Agreement, or that such tax treatment will apply to or be available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The PSUs (at the time of vesting or otherwise) will not be includible as compensation or earnings for purposes of any benefit or compensation plan offered by the Company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By accepting the PSUs, the Grantee agrees to be subject to the terms and conditions of the Plan and this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         *         *         *         *</w:t>
      </w:r>
    </w:p>
    <w:p>
      <w:pPr>
        <w:pStyle w:val="TextBody"/>
        <w:bidi w:val="0"/>
        <w:jc w:val="center"/>
        <w:rPr>
          <w:rFonts w:ascii="Times New Roman" w:hAnsi="Times New Roman"/>
          <w:sz w:val="20"/>
        </w:rPr>
      </w:pPr>
      <w:r>
        <w:rPr>
          <w:rFonts w:ascii="Times New Roman" w:hAnsi="Times New Roman"/>
          <w:sz w:val="20"/>
        </w:rPr>
        <w:t>3</w:t>
      </w:r>
    </w:p>
    <w:p>
      <w:pPr>
        <w:pStyle w:val="TextBody"/>
        <w:bidi w:val="0"/>
        <w:spacing w:before="0" w:after="0"/>
        <w:ind w:left="0" w:right="0" w:hanging="0"/>
        <w:jc w:val="right"/>
        <w:rPr>
          <w:rFonts w:ascii="Calibri;Arial;sans-serif" w:hAnsi="Calibri;Arial;sans-serif"/>
          <w:b/>
          <w:caps w:val="false"/>
          <w:smallCaps w:val="false"/>
          <w:sz w:val="20"/>
        </w:rPr>
      </w:pPr>
      <w:bookmarkStart w:id="24" w:name="ex_641720.htm"/>
      <w:bookmarkStart w:id="25" w:name="ksex_641720"/>
      <w:bookmarkEnd w:id="24"/>
      <w:bookmarkEnd w:id="25"/>
      <w:r>
        <w:rPr>
          <w:rFonts w:ascii="Calibri;Arial;sans-serif" w:hAnsi="Calibri;Arial;sans-serif"/>
          <w:b/>
          <w:caps w:val="false"/>
          <w:smallCaps w:val="false"/>
          <w:sz w:val="20"/>
        </w:rPr>
        <w:t>Exhibit (31.1)</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James V. Continenza, certify that:</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c>
          <w:tcPr>
            <w:tcW w:w="6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c>
          <w:tcPr>
            <w:tcW w:w="6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c>
          <w:tcPr>
            <w:tcW w:w="6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6" w:name="led293237F20228261664228988848"/>
            <w:bookmarkEnd w:id="26"/>
            <w:r>
              <w:rPr>
                <w:rFonts w:ascii="Calibri;Arial;sans-serif" w:hAnsi="Calibri;Arial;sans-serif"/>
                <w:caps w:val="false"/>
                <w:smallCaps w:val="false"/>
                <w:sz w:val="20"/>
              </w:rPr>
              <w:t>May 9, 2024</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27" w:name="ex_641721.htm"/>
      <w:bookmarkStart w:id="28" w:name="ksex_641721"/>
      <w:bookmarkEnd w:id="27"/>
      <w:bookmarkEnd w:id="28"/>
      <w:r>
        <w:rPr>
          <w:rFonts w:ascii="Calibri;Arial;sans-serif" w:hAnsi="Calibri;Arial;sans-serif"/>
          <w:b/>
          <w:caps w:val="false"/>
          <w:smallCaps w:val="false"/>
          <w:sz w:val="20"/>
        </w:rPr>
        <w:t>Exhibit (31.2)</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David E. Bullwinkle, certify that:</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tblLayout w:type="fixed"/>
        <w:tblCellMar>
          <w:top w:w="0" w:type="dxa"/>
          <w:left w:w="0" w:type="dxa"/>
          <w:bottom w:w="28" w:type="dxa"/>
          <w:right w:w="0" w:type="dxa"/>
        </w:tblCellMar>
      </w:tblPr>
      <w:tblGrid>
        <w:gridCol w:w="1775"/>
        <w:gridCol w:w="60"/>
      </w:tblGrid>
      <w:tr>
        <w:trPr/>
        <w:tc>
          <w:tcPr>
            <w:tcW w:w="1775"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c>
          <w:tcPr>
            <w:tcW w:w="60"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c>
          <w:tcPr>
            <w:tcW w:w="60"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9" w:name="led293237F20228271664312050973"/>
            <w:bookmarkEnd w:id="29"/>
            <w:r>
              <w:rPr>
                <w:rFonts w:ascii="Calibri;Arial;sans-serif" w:hAnsi="Calibri;Arial;sans-serif"/>
                <w:caps w:val="false"/>
                <w:smallCaps w:val="false"/>
                <w:sz w:val="20"/>
              </w:rPr>
              <w:t>May 9, 2024</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30" w:name="ex_641722.htm"/>
      <w:bookmarkStart w:id="31" w:name="ksex_641722"/>
      <w:bookmarkEnd w:id="30"/>
      <w:bookmarkEnd w:id="31"/>
      <w:r>
        <w:rPr>
          <w:rFonts w:ascii="Calibri;Arial;sans-serif" w:hAnsi="Calibri;Arial;sans-serif"/>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32" w:name="led293237F20228271664312073087"/>
      <w:bookmarkEnd w:id="32"/>
      <w:r>
        <w:rPr>
          <w:rFonts w:ascii="Calibri;Arial;sans-serif" w:hAnsi="Calibri;Arial;sans-serif"/>
          <w:caps w:val="false"/>
          <w:smallCaps w:val="false"/>
          <w:sz w:val="20"/>
        </w:rPr>
        <w:t>March 31, 2024,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940"/>
      </w:tblGrid>
      <w:tr>
        <w:trPr/>
        <w:tc>
          <w:tcPr>
            <w:tcW w:w="1940" w:type="dxa"/>
            <w:tcBorders/>
            <w:vAlign w:val="center"/>
          </w:tcPr>
          <w:p>
            <w:pPr>
              <w:pStyle w:val="TableContents"/>
              <w:bidi w:val="0"/>
              <w:spacing w:before="0" w:after="283"/>
              <w:jc w:val="left"/>
              <w:rPr/>
            </w:pPr>
            <w:r>
              <w:rPr/>
              <w:t> </w:t>
            </w:r>
          </w:p>
        </w:tc>
      </w:tr>
      <w:tr>
        <w:trPr/>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r>
      <w:tr>
        <w:trPr/>
        <w:tc>
          <w:tcPr>
            <w:tcW w:w="19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r>
      <w:tr>
        <w:trPr/>
        <w:tc>
          <w:tcPr>
            <w:tcW w:w="19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r>
      <w:tr>
        <w:trPr/>
        <w:tc>
          <w:tcPr>
            <w:tcW w:w="19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r>
      <w:tr>
        <w:trPr/>
        <w:tc>
          <w:tcPr>
            <w:tcW w:w="194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3" w:name="led293237F20228271664312082859"/>
            <w:bookmarkEnd w:id="33"/>
            <w:r>
              <w:rPr>
                <w:rFonts w:ascii="Calibri;Arial;sans-serif" w:hAnsi="Calibri;Arial;sans-serif"/>
                <w:caps w:val="false"/>
                <w:smallCaps w:val="false"/>
                <w:sz w:val="20"/>
              </w:rPr>
              <w:t>May 9,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34" w:name="ex_641723.htm"/>
      <w:bookmarkStart w:id="35" w:name="ksex_641723"/>
      <w:bookmarkEnd w:id="34"/>
      <w:bookmarkEnd w:id="35"/>
      <w:r>
        <w:rPr>
          <w:rFonts w:ascii="Calibri;Arial;sans-serif" w:hAnsi="Calibri;Arial;sans-serif"/>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36" w:name="led293237F20228271664312106691"/>
      <w:bookmarkEnd w:id="36"/>
      <w:r>
        <w:rPr>
          <w:rFonts w:ascii="Calibri;Arial;sans-serif" w:hAnsi="Calibri;Arial;sans-serif"/>
          <w:caps w:val="false"/>
          <w:smallCaps w:val="false"/>
          <w:sz w:val="20"/>
        </w:rPr>
        <w:t>March 31, 2024,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05" w:type="dxa"/>
        <w:jc w:val="left"/>
        <w:tblInd w:w="0" w:type="dxa"/>
        <w:tblLayout w:type="fixed"/>
        <w:tblCellMar>
          <w:top w:w="0" w:type="dxa"/>
          <w:left w:w="0" w:type="dxa"/>
          <w:bottom w:w="28" w:type="dxa"/>
          <w:right w:w="0" w:type="dxa"/>
        </w:tblCellMar>
      </w:tblPr>
      <w:tblGrid>
        <w:gridCol w:w="1805"/>
      </w:tblGrid>
      <w:tr>
        <w:trPr/>
        <w:tc>
          <w:tcPr>
            <w:tcW w:w="1805"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r>
      <w:tr>
        <w:trPr/>
        <w:tc>
          <w:tcPr>
            <w:tcW w:w="18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r>
      <w:tr>
        <w:trPr/>
        <w:tc>
          <w:tcPr>
            <w:tcW w:w="18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r>
      <w:tr>
        <w:trPr/>
        <w:tc>
          <w:tcPr>
            <w:tcW w:w="180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7" w:name="led293237F20228271664312116962"/>
            <w:bookmarkEnd w:id="37"/>
            <w:r>
              <w:rPr>
                <w:rFonts w:ascii="Calibri;Arial;sans-serif" w:hAnsi="Calibri;Arial;sans-serif"/>
                <w:caps w:val="false"/>
                <w:smallCaps w:val="false"/>
                <w:sz w:val="20"/>
              </w:rPr>
              <w:t>May 9,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235/000119312513354928/d591063dex41.htm" TargetMode="External"/><Relationship Id="rId3" Type="http://schemas.openxmlformats.org/officeDocument/2006/relationships/hyperlink" Target="http://www.sec.gov/Archives/edgar/data/31235/000156459016029358/kodk-ex31_26.htm" TargetMode="External"/><Relationship Id="rId4" Type="http://schemas.openxmlformats.org/officeDocument/2006/relationships/hyperlink" Target="http://www.sec.gov/Archives/edgar/data/31235/000119312519243935/d803063dex31.htm" TargetMode="External"/><Relationship Id="rId5" Type="http://schemas.openxmlformats.org/officeDocument/2006/relationships/hyperlink" Target="http://www.sec.gov/Archives/edgar/data/31235/000119312519243935/d803063dex32.htm" TargetMode="External"/><Relationship Id="rId6" Type="http://schemas.openxmlformats.org/officeDocument/2006/relationships/hyperlink" Target="http://www.sec.gov/Archives/edgar/data/31235/000156459020058718/kodk-ex31_14.htm" TargetMode="External"/><Relationship Id="rId7" Type="http://schemas.openxmlformats.org/officeDocument/2006/relationships/hyperlink" Target="http://www.sec.gov/Archives/edgar/data/31235/000119312521062328/d468860dex31.htm" TargetMode="External"/><Relationship Id="rId8" Type="http://schemas.openxmlformats.org/officeDocument/2006/relationships/hyperlink" Target="http://www.sec.gov/Archives/edgar/data/31235/000119312521062328/d468860dex32.htm" TargetMode="External"/><Relationship Id="rId9" Type="http://schemas.openxmlformats.org/officeDocument/2006/relationships/hyperlink" Target="http://www.sec.gov/Archives/edgar/data/31235/000156459020024666/kodk-ex35_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19484</Words>
  <Characters>105946</Characters>
  <CharactersWithSpaces>127427</CharactersWithSpaces>
  <Paragraphs>6223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