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-611505</wp:posOffset>
            </wp:positionV>
            <wp:extent cx="57150" cy="624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3944620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20320</wp:posOffset>
            </wp:positionV>
            <wp:extent cx="7047865" cy="9422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942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5" w:right="359" w:bottom="69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CONTINENZA JAMES V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2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EASTMAN KODAK COMPANY</w:t>
            </w:r>
          </w:p>
        </w:tc>
      </w:tr>
      <w:tr>
        <w:trPr>
          <w:trHeight w:val="252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343 STATE STREET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1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14650</w:t>
            </w:r>
          </w:p>
        </w:tc>
      </w:tr>
      <w:tr>
        <w:trPr>
          <w:trHeight w:val="45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EASTMAN KODAK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KODK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Executive 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460"/>
        <w:spacing w:after="0" w:line="2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6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02/26/2024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1,164,369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02/26/2024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1,264,369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par value $.01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02/26/2024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7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1,364,369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589,006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589,006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02/26/2024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02/26/2024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00"/>
                <w:w w:val="9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97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02/26/2024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2"/>
              </w:rPr>
              <w:t>(6)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241,589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241,589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981,707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981,707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298,780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298,780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298,780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298,780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170,733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170,733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02/19/2026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1,150,000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5" w:right="359" w:bottom="69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280035</wp:posOffset>
            </wp:positionH>
            <wp:positionV relativeFrom="page">
              <wp:posOffset>88900</wp:posOffset>
            </wp:positionV>
            <wp:extent cx="7047865" cy="259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259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6.03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12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$.01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convert into common stock on a one-for-one basis.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will vest in substantially equal installments on each of 11/29/2024, 11/29/2025 and 11/29/2026, except as otherwise provided in the award notice.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vested on 2/26/2024.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100,000 restricted stock units vested on 2/26/2024 and, except as otherwise provided in the award notice, the remaining restricted stock units will vest on 2/26/2025.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280" w:hanging="2"/>
        <w:spacing w:after="0" w:line="245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100,000 restricted stock units vested on 2/26/2024 and, except as otherwise provided in the award notice, the remaining restricted stock units will vest in substantially equal installments on each of 2/26/2025 and 2/26/2026.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40" w:hanging="2"/>
        <w:spacing w:after="0" w:line="245" w:lineRule="auto"/>
        <w:tabs>
          <w:tab w:leader="none" w:pos="14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a right to receive one share of common stock and becomes payable at the election of Mr. Continenza in the year following the year of his separation from service as a director in either a single lump sum payment or in a maximum of ten annual installments.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2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is fully vested as of the date of this report.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Roger W. Byrd, Attorney-in-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02/28/2024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-26670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James V. Continenza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-15875</wp:posOffset>
            </wp:positionV>
            <wp:extent cx="1219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5575935</wp:posOffset>
            </wp:positionH>
            <wp:positionV relativeFrom="paragraph">
              <wp:posOffset>-79375</wp:posOffset>
            </wp:positionV>
            <wp:extent cx="4737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0" w:right="3760" w:hanging="2"/>
        <w:spacing w:after="0" w:line="328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94" TargetMode="External"/><Relationship Id="rId13" Type="http://schemas.openxmlformats.org/officeDocument/2006/relationships/hyperlink" Target="http://www.sec.gov/cgi-bin/browse-edgar?action=getcompany&amp;CIK=000003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2024-02-28T16:20:10Z</dcterms:created>
  <dcterms:modified xsi:type="dcterms:W3CDTF">2024-02-28T16:20:10Z</dcterms:modified>
</cp:coreProperties>
</file>