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48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4875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Underberg Sharon E.</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860"/>
        <w:spacing w:after="0" w:line="330" w:lineRule="auto"/>
        <w:rPr>
          <w:sz w:val="20"/>
          <w:szCs w:val="20"/>
          <w:color w:val="auto"/>
        </w:rPr>
      </w:pPr>
      <w:r>
        <w:rPr>
          <w:rFonts w:ascii="Arial" w:cs="Arial" w:eastAsia="Arial" w:hAnsi="Arial"/>
          <w:sz w:val="16"/>
          <w:szCs w:val="16"/>
          <w:color w:val="0000FF"/>
        </w:rPr>
        <w:t>EASTMAN KODAK COMPANY 343 STATE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jc w:val="center"/>
        <w:ind w:right="314"/>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EASTMAN KODAK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KODK</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12/15/2015</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6" w:right="700" w:hanging="6"/>
        <w:spacing w:after="0" w:line="242"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6"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6"/>
        <w:spacing w:after="0"/>
        <w:rPr>
          <w:sz w:val="20"/>
          <w:szCs w:val="20"/>
          <w:color w:val="auto"/>
        </w:rPr>
      </w:pPr>
      <w:r>
        <w:rPr>
          <w:rFonts w:ascii="Arial" w:cs="Arial" w:eastAsia="Arial" w:hAnsi="Arial"/>
          <w:sz w:val="17"/>
          <w:szCs w:val="17"/>
          <w:color w:val="0000FF"/>
        </w:rPr>
        <w:t>General Counsel, Sec., SVP</w:t>
      </w:r>
    </w:p>
    <w:p>
      <w:pPr>
        <w:spacing w:after="0" w:line="442" w:lineRule="exact"/>
        <w:rPr>
          <w:sz w:val="24"/>
          <w:szCs w:val="24"/>
          <w:color w:val="auto"/>
        </w:rPr>
      </w:pPr>
    </w:p>
    <w:p>
      <w:pPr>
        <w:sectPr>
          <w:pgSz w:w="11900" w:h="16838" w:orient="portrait"/>
          <w:cols w:equalWidth="0" w:num="3">
            <w:col w:w="3340" w:space="720"/>
            <w:col w:w="3274" w:space="720"/>
            <w:col w:w="3466"/>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760" w:type="dxa"/>
            <w:vAlign w:val="bottom"/>
            <w:gridSpan w:val="7"/>
          </w:tcPr>
          <w:p>
            <w:pPr>
              <w:ind w:left="140"/>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840" w:type="dxa"/>
            <w:vAlign w:val="bottom"/>
            <w:gridSpan w:val="9"/>
          </w:tcPr>
          <w:p>
            <w:pPr>
              <w:ind w:left="38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ind w:left="140"/>
              <w:spacing w:after="0" w:line="175" w:lineRule="exact"/>
              <w:rPr>
                <w:sz w:val="20"/>
                <w:szCs w:val="20"/>
                <w:color w:val="auto"/>
              </w:rPr>
            </w:pPr>
            <w:r>
              <w:rPr>
                <w:rFonts w:ascii="Arial" w:cs="Arial" w:eastAsia="Arial" w:hAnsi="Arial"/>
                <w:sz w:val="17"/>
                <w:szCs w:val="17"/>
                <w:color w:val="0000FF"/>
              </w:rPr>
              <w:t>12/17/2015</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6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40" w:type="dxa"/>
            <w:vAlign w:val="bottom"/>
            <w:gridSpan w:val="9"/>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ROCHESTER</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14650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2"/>
            <w:vMerge w:val="restart"/>
          </w:tcPr>
          <w:p>
            <w:pPr>
              <w:ind w:left="6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700" w:type="dxa"/>
            <w:vAlign w:val="bottom"/>
            <w:tcBorders>
              <w:bottom w:val="single" w:sz="8" w:color="2C2C2C"/>
            </w:tcBorders>
            <w:gridSpan w:val="4"/>
          </w:tcPr>
          <w:p>
            <w:pPr>
              <w:spacing w:after="0"/>
              <w:rPr>
                <w:sz w:val="10"/>
                <w:szCs w:val="10"/>
                <w:color w:val="auto"/>
              </w:rPr>
            </w:pPr>
          </w:p>
        </w:tc>
        <w:tc>
          <w:tcPr>
            <w:tcW w:w="2740" w:type="dxa"/>
            <w:vAlign w:val="bottom"/>
            <w:tcBorders>
              <w:bottom w:val="single" w:sz="8" w:color="2C2C2C"/>
            </w:tcBorders>
            <w:gridSpan w:val="4"/>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4"/>
          </w:tcPr>
          <w:p>
            <w:pPr>
              <w:ind w:left="9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4"/>
          </w:tcPr>
          <w:p>
            <w:pPr>
              <w:ind w:left="9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2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9"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8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4"/>
          </w:tcPr>
          <w:p>
            <w:pPr>
              <w:ind w:left="90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6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2" w:lineRule="exact"/>
              <w:rPr>
                <w:sz w:val="20"/>
                <w:szCs w:val="20"/>
                <w:color w:val="auto"/>
              </w:rPr>
            </w:pPr>
            <w:r>
              <w:rPr>
                <w:rFonts w:ascii="Arial" w:cs="Arial" w:eastAsia="Arial" w:hAnsi="Arial"/>
                <w:sz w:val="12"/>
                <w:szCs w:val="12"/>
                <w:b w:val="1"/>
                <w:bCs w:val="1"/>
                <w:color w:val="auto"/>
                <w:w w:val="99"/>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6"/>
          </w:tcPr>
          <w:p>
            <w:pPr>
              <w:spacing w:after="0"/>
              <w:rPr>
                <w:sz w:val="7"/>
                <w:szCs w:val="7"/>
                <w:color w:val="auto"/>
              </w:rPr>
            </w:pPr>
          </w:p>
        </w:tc>
        <w:tc>
          <w:tcPr>
            <w:tcW w:w="2740" w:type="dxa"/>
            <w:vAlign w:val="bottom"/>
            <w:tcBorders>
              <w:bottom w:val="single" w:sz="8" w:color="2C2C2C"/>
            </w:tcBorders>
            <w:gridSpan w:val="4"/>
          </w:tcPr>
          <w:p>
            <w:pPr>
              <w:spacing w:after="0"/>
              <w:rPr>
                <w:sz w:val="7"/>
                <w:szCs w:val="7"/>
                <w:color w:val="auto"/>
              </w:rPr>
            </w:pPr>
          </w:p>
        </w:tc>
        <w:tc>
          <w:tcPr>
            <w:tcW w:w="74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40" w:type="dxa"/>
            <w:vAlign w:val="bottom"/>
            <w:gridSpan w:val="12"/>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0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 Derivative</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9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4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Security (Instr. 3 and</w:t>
            </w:r>
          </w:p>
        </w:tc>
        <w:tc>
          <w:tcPr>
            <w:tcW w:w="660" w:type="dxa"/>
            <w:vAlign w:val="bottom"/>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 3,</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150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Amount or</w:t>
            </w: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 of</w:t>
            </w: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Option</w:t>
            </w:r>
          </w:p>
        </w:tc>
        <w:tc>
          <w:tcPr>
            <w:tcW w:w="660" w:type="dxa"/>
            <w:vAlign w:val="bottom"/>
            <w:vMerge w:val="restart"/>
          </w:tcPr>
          <w:p>
            <w:pPr>
              <w:ind w:left="160"/>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12.63</w:t>
            </w:r>
            <w:r>
              <w:rPr>
                <w:rFonts w:ascii="Arial" w:cs="Arial" w:eastAsia="Arial" w:hAnsi="Arial"/>
                <w:sz w:val="21"/>
                <w:szCs w:val="21"/>
                <w:color w:val="008000"/>
                <w:w w:val="85"/>
                <w:vertAlign w:val="superscript"/>
              </w:rPr>
              <w:t>(1)</w:t>
            </w:r>
          </w:p>
        </w:tc>
        <w:tc>
          <w:tcPr>
            <w:tcW w:w="120" w:type="dxa"/>
            <w:vAlign w:val="bottom"/>
          </w:tcPr>
          <w:p>
            <w:pPr>
              <w:spacing w:after="0"/>
              <w:rPr>
                <w:sz w:val="12"/>
                <w:szCs w:val="12"/>
                <w:color w:val="auto"/>
              </w:rPr>
            </w:pPr>
          </w:p>
        </w:tc>
        <w:tc>
          <w:tcPr>
            <w:tcW w:w="1100" w:type="dxa"/>
            <w:vAlign w:val="bottom"/>
            <w:vMerge w:val="restart"/>
          </w:tcPr>
          <w:p>
            <w:pPr>
              <w:ind w:left="200"/>
              <w:spacing w:after="0"/>
              <w:rPr>
                <w:sz w:val="20"/>
                <w:szCs w:val="20"/>
                <w:color w:val="auto"/>
              </w:rPr>
            </w:pPr>
            <w:r>
              <w:rPr>
                <w:rFonts w:ascii="Arial" w:cs="Arial" w:eastAsia="Arial" w:hAnsi="Arial"/>
                <w:sz w:val="13"/>
                <w:szCs w:val="13"/>
                <w:color w:val="0000FF"/>
              </w:rPr>
              <w:t>12/15/2015</w:t>
            </w:r>
            <w:r>
              <w:rPr>
                <w:rFonts w:ascii="Arial" w:cs="Arial" w:eastAsia="Arial" w:hAnsi="Arial"/>
                <w:sz w:val="21"/>
                <w:szCs w:val="21"/>
                <w:color w:val="008000"/>
                <w:vertAlign w:val="superscript"/>
              </w:rPr>
              <w:t>(1)</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restart"/>
          </w:tcPr>
          <w:p>
            <w:pPr>
              <w:ind w:left="60"/>
              <w:spacing w:after="0" w:line="288" w:lineRule="exact"/>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680" w:type="dxa"/>
            <w:vAlign w:val="bottom"/>
            <w:vMerge w:val="restart"/>
          </w:tcPr>
          <w:p>
            <w:pPr>
              <w:ind w:left="100"/>
              <w:spacing w:after="0"/>
              <w:rPr>
                <w:sz w:val="20"/>
                <w:szCs w:val="20"/>
                <w:color w:val="auto"/>
              </w:rPr>
            </w:pPr>
            <w:r>
              <w:rPr>
                <w:rFonts w:ascii="Arial" w:cs="Arial" w:eastAsia="Arial" w:hAnsi="Arial"/>
                <w:sz w:val="13"/>
                <w:szCs w:val="13"/>
                <w:color w:val="0000FF"/>
                <w:w w:val="98"/>
              </w:rPr>
              <w:t>39,604</w:t>
            </w:r>
            <w:r>
              <w:rPr>
                <w:rFonts w:ascii="Arial" w:cs="Arial" w:eastAsia="Arial" w:hAnsi="Arial"/>
                <w:sz w:val="21"/>
                <w:szCs w:val="21"/>
                <w:color w:val="008000"/>
                <w:w w:val="98"/>
                <w:vertAlign w:val="superscript"/>
              </w:rPr>
              <w:t>(1)</w:t>
            </w:r>
          </w:p>
        </w:tc>
        <w:tc>
          <w:tcPr>
            <w:tcW w:w="300" w:type="dxa"/>
            <w:vAlign w:val="bottom"/>
          </w:tcPr>
          <w:p>
            <w:pPr>
              <w:spacing w:after="0"/>
              <w:rPr>
                <w:sz w:val="12"/>
                <w:szCs w:val="12"/>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12/14/2022</w:t>
            </w:r>
          </w:p>
        </w:tc>
        <w:tc>
          <w:tcPr>
            <w:tcW w:w="680" w:type="dxa"/>
            <w:vAlign w:val="bottom"/>
          </w:tcPr>
          <w:p>
            <w:pPr>
              <w:ind w:left="160"/>
              <w:spacing w:after="0" w:line="144" w:lineRule="exact"/>
              <w:rPr>
                <w:sz w:val="20"/>
                <w:szCs w:val="20"/>
                <w:color w:val="auto"/>
              </w:rPr>
            </w:pPr>
            <w:r>
              <w:rPr>
                <w:rFonts w:ascii="Arial" w:cs="Arial" w:eastAsia="Arial" w:hAnsi="Arial"/>
                <w:sz w:val="13"/>
                <w:szCs w:val="13"/>
                <w:color w:val="0000FF"/>
              </w:rPr>
              <w:t>Stock,</w:t>
            </w:r>
          </w:p>
        </w:tc>
        <w:tc>
          <w:tcPr>
            <w:tcW w:w="680" w:type="dxa"/>
            <w:vAlign w:val="bottom"/>
            <w:vMerge w:val="restart"/>
          </w:tcPr>
          <w:p>
            <w:pPr>
              <w:ind w:left="20"/>
              <w:spacing w:after="0"/>
              <w:rPr>
                <w:sz w:val="20"/>
                <w:szCs w:val="20"/>
                <w:color w:val="auto"/>
              </w:rPr>
            </w:pPr>
            <w:r>
              <w:rPr>
                <w:rFonts w:ascii="Arial" w:cs="Arial" w:eastAsia="Arial" w:hAnsi="Arial"/>
                <w:sz w:val="17"/>
                <w:szCs w:val="17"/>
                <w:color w:val="0000FF"/>
                <w:w w:val="92"/>
              </w:rPr>
              <w:t>39,604</w:t>
            </w:r>
            <w:r>
              <w:rPr>
                <w:rFonts w:ascii="Arial" w:cs="Arial" w:eastAsia="Arial" w:hAnsi="Arial"/>
                <w:sz w:val="21"/>
                <w:szCs w:val="21"/>
                <w:color w:val="008000"/>
                <w:w w:val="92"/>
                <w:vertAlign w:val="superscript"/>
              </w:rPr>
              <w:t>(1)</w:t>
            </w:r>
          </w:p>
        </w:tc>
        <w:tc>
          <w:tcPr>
            <w:tcW w:w="80" w:type="dxa"/>
            <w:vAlign w:val="bottom"/>
          </w:tcPr>
          <w:p>
            <w:pPr>
              <w:spacing w:after="0"/>
              <w:rPr>
                <w:sz w:val="12"/>
                <w:szCs w:val="12"/>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20" w:type="dxa"/>
            <w:vAlign w:val="bottom"/>
            <w:gridSpan w:val="2"/>
            <w:vMerge w:val="restart"/>
          </w:tcPr>
          <w:p>
            <w:pPr>
              <w:ind w:left="200"/>
              <w:spacing w:after="0"/>
              <w:rPr>
                <w:sz w:val="20"/>
                <w:szCs w:val="20"/>
                <w:color w:val="auto"/>
              </w:rPr>
            </w:pPr>
            <w:r>
              <w:rPr>
                <w:rFonts w:ascii="Arial" w:cs="Arial" w:eastAsia="Arial" w:hAnsi="Arial"/>
                <w:sz w:val="13"/>
                <w:szCs w:val="13"/>
                <w:color w:val="0000FF"/>
              </w:rPr>
              <w:t>39,604</w:t>
            </w:r>
            <w:r>
              <w:rPr>
                <w:rFonts w:ascii="Arial" w:cs="Arial" w:eastAsia="Arial" w:hAnsi="Arial"/>
                <w:sz w:val="21"/>
                <w:szCs w:val="21"/>
                <w:color w:val="008000"/>
                <w:vertAlign w:val="superscript"/>
              </w:rPr>
              <w:t>(1)</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(Right to</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4" w:lineRule="exact"/>
              <w:rPr>
                <w:sz w:val="20"/>
                <w:szCs w:val="20"/>
                <w:color w:val="auto"/>
              </w:rPr>
            </w:pPr>
            <w:r>
              <w:rPr>
                <w:rFonts w:ascii="Arial" w:cs="Arial" w:eastAsia="Arial" w:hAnsi="Arial"/>
                <w:sz w:val="13"/>
                <w:szCs w:val="13"/>
                <w:color w:val="0000FF"/>
              </w:rPr>
              <w:t>par value</w:t>
            </w: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200"/>
              <w:spacing w:after="0"/>
              <w:rPr>
                <w:sz w:val="20"/>
                <w:szCs w:val="20"/>
                <w:color w:val="auto"/>
              </w:rPr>
            </w:pPr>
            <w:r>
              <w:rPr>
                <w:rFonts w:ascii="Arial" w:cs="Arial" w:eastAsia="Arial" w:hAnsi="Arial"/>
                <w:sz w:val="13"/>
                <w:szCs w:val="13"/>
                <w:color w:val="0000FF"/>
              </w:rPr>
              <w:t>$.01</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20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Ms. Underberg previously reported this option on her 12/15/15 Form 4, however, at that time, the number of shares underlying the option could not be determined. Ms. Underberg is filing this amendment to report the number of shares underlying the option.</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Arial" w:cs="Arial" w:eastAsia="Arial" w:hAnsi="Arial"/>
                <w:sz w:val="17"/>
                <w:szCs w:val="17"/>
                <w:color w:val="0000FF"/>
              </w:rPr>
              <w:t>/s/ Sharon E. Underberg</w:t>
            </w: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01/19/2016</w:t>
            </w:r>
          </w:p>
        </w:tc>
      </w:tr>
      <w:tr>
        <w:trPr>
          <w:trHeight w:val="20"/>
        </w:trPr>
        <w:tc>
          <w:tcPr>
            <w:tcW w:w="1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4"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0353" TargetMode="External"/><Relationship Id="rId13" Type="http://schemas.openxmlformats.org/officeDocument/2006/relationships/hyperlink" Target="http://www.sec.gov/cgi-bin/browse-edgar?action=getcompany&amp;CIK=00000312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2019-12-23T15:37:08Z</dcterms:created>
  <dcterms:modified xsi:type="dcterms:W3CDTF">2019-12-23T15:37:08Z</dcterms:modified>
</cp:coreProperties>
</file>