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480" w:type="dxa"/>
            <w:vAlign w:val="bottom"/>
          </w:tcPr>
          <w:p>
            <w:pPr>
              <w:jc w:val="center"/>
              <w:ind w:right="23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8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-636270</wp:posOffset>
            </wp:positionV>
            <wp:extent cx="58420" cy="649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9605"/>
                    </a:xfrm>
                    <a:prstGeom prst="rect">
                      <a:avLst/>
                    </a:prstGeom>
                    <a:noFill/>
                  </pic:spPr>
                </pic:pic>
              </a:graphicData>
            </a:graphic>
          </wp:anchor>
        </w:drawing>
        <w:drawing>
          <wp:anchor simplePos="0" relativeHeight="251657728" behindDoc="1" locked="0" layoutInCell="0" allowOverlap="1">
            <wp:simplePos x="0" y="0"/>
            <wp:positionH relativeFrom="column">
              <wp:posOffset>4107180</wp:posOffset>
            </wp:positionH>
            <wp:positionV relativeFrom="paragraph">
              <wp:posOffset>-636270</wp:posOffset>
            </wp:positionV>
            <wp:extent cx="58420" cy="649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960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4487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4875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Bullwinkle David E</w:t>
        </w:r>
      </w:hyperlink>
    </w:p>
    <w:p>
      <w:pPr>
        <w:spacing w:after="0" w:line="31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860"/>
        <w:spacing w:after="0" w:line="330" w:lineRule="auto"/>
        <w:rPr>
          <w:sz w:val="20"/>
          <w:szCs w:val="20"/>
          <w:color w:val="auto"/>
        </w:rPr>
      </w:pPr>
      <w:r>
        <w:rPr>
          <w:rFonts w:ascii="Arial" w:cs="Arial" w:eastAsia="Arial" w:hAnsi="Arial"/>
          <w:sz w:val="16"/>
          <w:szCs w:val="16"/>
          <w:color w:val="0000FF"/>
        </w:rPr>
        <w:t>EASTMAN KODAK COMPANY 343 STATE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jc w:val="center"/>
        <w:ind w:right="314"/>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EASTMAN KODAK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KODK</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07/01/2016</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6" w:right="700" w:hanging="6"/>
        <w:spacing w:after="0" w:line="242"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6"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3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66"/>
        <w:spacing w:after="0"/>
        <w:rPr>
          <w:sz w:val="20"/>
          <w:szCs w:val="20"/>
          <w:color w:val="auto"/>
        </w:rPr>
      </w:pPr>
      <w:r>
        <w:rPr>
          <w:rFonts w:ascii="Arial" w:cs="Arial" w:eastAsia="Arial" w:hAnsi="Arial"/>
          <w:sz w:val="17"/>
          <w:szCs w:val="17"/>
          <w:color w:val="0000FF"/>
        </w:rPr>
        <w:t>CFO and Senior Vice President</w:t>
      </w:r>
    </w:p>
    <w:p>
      <w:pPr>
        <w:spacing w:after="0" w:line="442" w:lineRule="exact"/>
        <w:rPr>
          <w:sz w:val="24"/>
          <w:szCs w:val="24"/>
          <w:color w:val="auto"/>
        </w:rPr>
      </w:pPr>
    </w:p>
    <w:p>
      <w:pPr>
        <w:sectPr>
          <w:pgSz w:w="11900" w:h="16838" w:orient="portrait"/>
          <w:cols w:equalWidth="0" w:num="3">
            <w:col w:w="3340" w:space="720"/>
            <w:col w:w="3274" w:space="720"/>
            <w:col w:w="3466"/>
          </w:cols>
          <w:pgMar w:left="240" w:top="223" w:right="139" w:bottom="144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760" w:type="dxa"/>
            <w:vAlign w:val="bottom"/>
            <w:gridSpan w:val="7"/>
          </w:tcPr>
          <w:p>
            <w:pPr>
              <w:ind w:left="140"/>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840" w:type="dxa"/>
            <w:vAlign w:val="bottom"/>
            <w:gridSpan w:val="9"/>
          </w:tcPr>
          <w:p>
            <w:pPr>
              <w:ind w:left="38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ind w:left="140"/>
              <w:spacing w:after="0" w:line="175" w:lineRule="exact"/>
              <w:rPr>
                <w:sz w:val="20"/>
                <w:szCs w:val="20"/>
                <w:color w:val="auto"/>
              </w:rPr>
            </w:pPr>
            <w:r>
              <w:rPr>
                <w:rFonts w:ascii="Arial" w:cs="Arial" w:eastAsia="Arial" w:hAnsi="Arial"/>
                <w:sz w:val="17"/>
                <w:szCs w:val="17"/>
                <w:color w:val="0000FF"/>
              </w:rPr>
              <w:t>07/06/2016</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gridSpan w:val="2"/>
          </w:tcPr>
          <w:p>
            <w:pPr>
              <w:ind w:left="380"/>
              <w:spacing w:after="0"/>
              <w:rPr>
                <w:sz w:val="20"/>
                <w:szCs w:val="20"/>
                <w:color w:val="auto"/>
              </w:rPr>
            </w:pPr>
            <w:r>
              <w:rPr>
                <w:rFonts w:ascii="Arial" w:cs="Arial" w:eastAsia="Arial" w:hAnsi="Arial"/>
                <w:sz w:val="13"/>
                <w:szCs w:val="13"/>
                <w:color w:val="auto"/>
              </w:rPr>
              <w:t>Line)</w:t>
            </w: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40" w:type="dxa"/>
            <w:vAlign w:val="bottom"/>
            <w:gridSpan w:val="9"/>
            <w:vMerge w:val="restart"/>
          </w:tcPr>
          <w:p>
            <w:pPr>
              <w:ind w:left="5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ROCHESTER</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14650</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4"/>
          </w:tcPr>
          <w:p>
            <w:pPr>
              <w:ind w:left="9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9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900"/>
              <w:spacing w:after="0" w:line="129"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82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4"/>
          </w:tcPr>
          <w:p>
            <w:pPr>
              <w:ind w:left="90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6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2" w:lineRule="exact"/>
              <w:rPr>
                <w:sz w:val="20"/>
                <w:szCs w:val="20"/>
                <w:color w:val="auto"/>
              </w:rPr>
            </w:pPr>
            <w:r>
              <w:rPr>
                <w:rFonts w:ascii="Arial" w:cs="Arial" w:eastAsia="Arial" w:hAnsi="Arial"/>
                <w:sz w:val="12"/>
                <w:szCs w:val="12"/>
                <w:b w:val="1"/>
                <w:bCs w:val="1"/>
                <w:color w:val="auto"/>
                <w:w w:val="99"/>
              </w:rPr>
              <w:t>(A) or</w:t>
            </w:r>
          </w:p>
        </w:tc>
        <w:tc>
          <w:tcPr>
            <w:tcW w:w="76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6"/>
          </w:tcPr>
          <w:p>
            <w:pPr>
              <w:spacing w:after="0"/>
              <w:rPr>
                <w:sz w:val="7"/>
                <w:szCs w:val="7"/>
                <w:color w:val="auto"/>
              </w:rPr>
            </w:pPr>
          </w:p>
        </w:tc>
        <w:tc>
          <w:tcPr>
            <w:tcW w:w="2740" w:type="dxa"/>
            <w:vAlign w:val="bottom"/>
            <w:tcBorders>
              <w:bottom w:val="single" w:sz="8" w:color="2C2C2C"/>
            </w:tcBorders>
            <w:gridSpan w:val="4"/>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00" w:type="dxa"/>
            <w:vAlign w:val="bottom"/>
            <w:tcBorders>
              <w:top w:val="single" w:sz="8" w:color="2C2C2C"/>
            </w:tcBorders>
            <w:gridSpan w:val="13"/>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40" w:type="dxa"/>
            <w:vAlign w:val="bottom"/>
            <w:gridSpan w:val="12"/>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14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660" w:type="dxa"/>
            <w:vAlign w:val="bottom"/>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15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660" w:type="dxa"/>
            <w:vAlign w:val="bottom"/>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9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Security (Instr. 3 and</w:t>
            </w:r>
          </w:p>
        </w:tc>
        <w:tc>
          <w:tcPr>
            <w:tcW w:w="660" w:type="dxa"/>
            <w:vAlign w:val="bottom"/>
          </w:tcPr>
          <w:p>
            <w:pPr>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4)</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 3,</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15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2"/>
            <w:vMerge w:val="restart"/>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Amount or</w:t>
            </w: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Number of</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ind w:left="160"/>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16.24</w:t>
            </w:r>
            <w:r>
              <w:rPr>
                <w:rFonts w:ascii="Arial" w:cs="Arial" w:eastAsia="Arial" w:hAnsi="Arial"/>
                <w:sz w:val="21"/>
                <w:szCs w:val="21"/>
                <w:color w:val="008000"/>
                <w:w w:val="85"/>
                <w:vertAlign w:val="superscript"/>
              </w:rPr>
              <w:t>(1)</w:t>
            </w:r>
          </w:p>
        </w:tc>
        <w:tc>
          <w:tcPr>
            <w:tcW w:w="120" w:type="dxa"/>
            <w:vAlign w:val="bottom"/>
          </w:tcPr>
          <w:p>
            <w:pPr>
              <w:spacing w:after="0"/>
              <w:rPr>
                <w:sz w:val="12"/>
                <w:szCs w:val="12"/>
                <w:color w:val="auto"/>
              </w:rPr>
            </w:pPr>
          </w:p>
        </w:tc>
        <w:tc>
          <w:tcPr>
            <w:tcW w:w="1100" w:type="dxa"/>
            <w:vAlign w:val="bottom"/>
            <w:vMerge w:val="restart"/>
          </w:tcPr>
          <w:p>
            <w:pPr>
              <w:ind w:left="200"/>
              <w:spacing w:after="0"/>
              <w:rPr>
                <w:sz w:val="20"/>
                <w:szCs w:val="20"/>
                <w:color w:val="auto"/>
              </w:rPr>
            </w:pPr>
            <w:r>
              <w:rPr>
                <w:rFonts w:ascii="Arial" w:cs="Arial" w:eastAsia="Arial" w:hAnsi="Arial"/>
                <w:sz w:val="13"/>
                <w:szCs w:val="13"/>
                <w:color w:val="0000FF"/>
              </w:rPr>
              <w:t>07/01/2016</w:t>
            </w:r>
            <w:r>
              <w:rPr>
                <w:rFonts w:ascii="Arial" w:cs="Arial" w:eastAsia="Arial" w:hAnsi="Arial"/>
                <w:sz w:val="21"/>
                <w:szCs w:val="21"/>
                <w:color w:val="008000"/>
                <w:vertAlign w:val="superscript"/>
              </w:rPr>
              <w:t>(1)</w:t>
            </w: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restart"/>
          </w:tcPr>
          <w:p>
            <w:pPr>
              <w:ind w:left="60"/>
              <w:spacing w:after="0" w:line="288" w:lineRule="exact"/>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680" w:type="dxa"/>
            <w:vAlign w:val="bottom"/>
            <w:vMerge w:val="restart"/>
          </w:tcPr>
          <w:p>
            <w:pPr>
              <w:ind w:left="100"/>
              <w:spacing w:after="0"/>
              <w:rPr>
                <w:sz w:val="20"/>
                <w:szCs w:val="20"/>
                <w:color w:val="auto"/>
              </w:rPr>
            </w:pPr>
            <w:r>
              <w:rPr>
                <w:rFonts w:ascii="Arial" w:cs="Arial" w:eastAsia="Arial" w:hAnsi="Arial"/>
                <w:sz w:val="13"/>
                <w:szCs w:val="13"/>
                <w:color w:val="0000FF"/>
                <w:w w:val="98"/>
              </w:rPr>
              <w:t>45,942</w:t>
            </w:r>
            <w:r>
              <w:rPr>
                <w:rFonts w:ascii="Arial" w:cs="Arial" w:eastAsia="Arial" w:hAnsi="Arial"/>
                <w:sz w:val="21"/>
                <w:szCs w:val="21"/>
                <w:color w:val="008000"/>
                <w:w w:val="98"/>
                <w:vertAlign w:val="superscript"/>
              </w:rPr>
              <w:t>(1)</w:t>
            </w:r>
          </w:p>
        </w:tc>
        <w:tc>
          <w:tcPr>
            <w:tcW w:w="30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07/01/2023</w:t>
            </w:r>
          </w:p>
        </w:tc>
        <w:tc>
          <w:tcPr>
            <w:tcW w:w="680" w:type="dxa"/>
            <w:vAlign w:val="bottom"/>
          </w:tcPr>
          <w:p>
            <w:pPr>
              <w:ind w:left="160"/>
              <w:spacing w:after="0" w:line="144" w:lineRule="exact"/>
              <w:rPr>
                <w:sz w:val="20"/>
                <w:szCs w:val="20"/>
                <w:color w:val="auto"/>
              </w:rPr>
            </w:pPr>
            <w:r>
              <w:rPr>
                <w:rFonts w:ascii="Arial" w:cs="Arial" w:eastAsia="Arial" w:hAnsi="Arial"/>
                <w:sz w:val="13"/>
                <w:szCs w:val="13"/>
                <w:color w:val="0000FF"/>
              </w:rPr>
              <w:t>Stock,</w:t>
            </w:r>
          </w:p>
        </w:tc>
        <w:tc>
          <w:tcPr>
            <w:tcW w:w="680" w:type="dxa"/>
            <w:vAlign w:val="bottom"/>
            <w:vMerge w:val="restart"/>
          </w:tcPr>
          <w:p>
            <w:pPr>
              <w:ind w:left="20"/>
              <w:spacing w:after="0"/>
              <w:rPr>
                <w:sz w:val="20"/>
                <w:szCs w:val="20"/>
                <w:color w:val="auto"/>
              </w:rPr>
            </w:pPr>
            <w:r>
              <w:rPr>
                <w:rFonts w:ascii="Arial" w:cs="Arial" w:eastAsia="Arial" w:hAnsi="Arial"/>
                <w:sz w:val="17"/>
                <w:szCs w:val="17"/>
                <w:color w:val="0000FF"/>
                <w:w w:val="92"/>
              </w:rPr>
              <w:t>45,942</w:t>
            </w:r>
            <w:r>
              <w:rPr>
                <w:rFonts w:ascii="Arial" w:cs="Arial" w:eastAsia="Arial" w:hAnsi="Arial"/>
                <w:sz w:val="21"/>
                <w:szCs w:val="21"/>
                <w:color w:val="008000"/>
                <w:w w:val="92"/>
                <w:vertAlign w:val="superscript"/>
              </w:rPr>
              <w:t>(1)</w:t>
            </w:r>
          </w:p>
        </w:tc>
        <w:tc>
          <w:tcPr>
            <w:tcW w:w="80" w:type="dxa"/>
            <w:vAlign w:val="bottom"/>
          </w:tcPr>
          <w:p>
            <w:pPr>
              <w:spacing w:after="0"/>
              <w:rPr>
                <w:sz w:val="12"/>
                <w:szCs w:val="12"/>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20" w:type="dxa"/>
            <w:vAlign w:val="bottom"/>
            <w:gridSpan w:val="2"/>
            <w:vMerge w:val="restart"/>
          </w:tcPr>
          <w:p>
            <w:pPr>
              <w:ind w:left="200"/>
              <w:spacing w:after="0"/>
              <w:rPr>
                <w:sz w:val="20"/>
                <w:szCs w:val="20"/>
                <w:color w:val="auto"/>
              </w:rPr>
            </w:pPr>
            <w:r>
              <w:rPr>
                <w:rFonts w:ascii="Arial" w:cs="Arial" w:eastAsia="Arial" w:hAnsi="Arial"/>
                <w:sz w:val="13"/>
                <w:szCs w:val="13"/>
                <w:color w:val="0000FF"/>
              </w:rPr>
              <w:t>45,942</w:t>
            </w:r>
            <w:r>
              <w:rPr>
                <w:rFonts w:ascii="Arial" w:cs="Arial" w:eastAsia="Arial" w:hAnsi="Arial"/>
                <w:sz w:val="21"/>
                <w:szCs w:val="21"/>
                <w:color w:val="008000"/>
                <w:vertAlign w:val="superscript"/>
              </w:rPr>
              <w:t>(1)</w:t>
            </w: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4" w:lineRule="exact"/>
              <w:rPr>
                <w:sz w:val="20"/>
                <w:szCs w:val="20"/>
                <w:color w:val="auto"/>
              </w:rPr>
            </w:pPr>
            <w:r>
              <w:rPr>
                <w:rFonts w:ascii="Arial" w:cs="Arial" w:eastAsia="Arial" w:hAnsi="Arial"/>
                <w:sz w:val="13"/>
                <w:szCs w:val="13"/>
                <w:color w:val="0000FF"/>
              </w:rPr>
              <w:t>par value</w:t>
            </w: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200"/>
              <w:spacing w:after="0"/>
              <w:rPr>
                <w:sz w:val="20"/>
                <w:szCs w:val="20"/>
                <w:color w:val="auto"/>
              </w:rPr>
            </w:pPr>
            <w:r>
              <w:rPr>
                <w:rFonts w:ascii="Arial" w:cs="Arial" w:eastAsia="Arial" w:hAnsi="Arial"/>
                <w:sz w:val="13"/>
                <w:szCs w:val="13"/>
                <w:color w:val="0000FF"/>
              </w:rPr>
              <w:t>$.01</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200" w:firstLine="4"/>
        <w:spacing w:after="0" w:line="256"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previously reported by Mr. Bullwinkle on his 7/1/16 Form 4, however, at that time, the number of shares underlying the option could not be determined. This amendment is being filed to report the number of shares underlying the option.</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Sharon E. Underberg,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-10160</wp:posOffset>
            </wp:positionV>
            <wp:extent cx="10706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70610" cy="8255"/>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7"/>
          <w:szCs w:val="17"/>
          <w:color w:val="0000FF"/>
        </w:rPr>
        <w:t>Attorney-in-fact for David E.</w:t>
      </w:r>
      <w:r>
        <w:rPr>
          <w:sz w:val="20"/>
          <w:szCs w:val="20"/>
          <w:color w:val="auto"/>
        </w:rPr>
        <w:tab/>
      </w:r>
      <w:r>
        <w:rPr>
          <w:rFonts w:ascii="Arial" w:cs="Arial" w:eastAsia="Arial" w:hAnsi="Arial"/>
          <w:sz w:val="15"/>
          <w:szCs w:val="15"/>
          <w:color w:val="0000FF"/>
        </w:rPr>
        <w:t>09/07/2016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-13970</wp:posOffset>
            </wp:positionV>
            <wp:extent cx="19494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4945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Bullwinkle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-13970</wp:posOffset>
            </wp:positionV>
            <wp:extent cx="480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4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4"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78634" TargetMode="External"/><Relationship Id="rId13" Type="http://schemas.openxmlformats.org/officeDocument/2006/relationships/hyperlink" Target="http://www.sec.gov/cgi-bin/browse-edgar?action=getcompany&amp;CIK=00000312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2019-12-23T15:37:26Z</dcterms:created>
  <dcterms:modified xsi:type="dcterms:W3CDTF">2019-12-23T15:37:26Z</dcterms:modified>
</cp:coreProperties>
</file>