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1278d424b7.htm"/>
        <w:bookmarkStart w:id="1" w:name="ksd151278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br/>
        <w:t xml:space="preserve">Registration No. 333-254352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12, 2021) </w:t>
      </w:r>
    </w:p>
    <w:p>
      <w:pPr>
        <w:pStyle w:val="TextBody"/>
        <w:bidi w:val="0"/>
        <w:spacing w:before="240" w:after="0"/>
        <w:jc w:val="center"/>
        <w:rPr>
          <w:rFonts w:ascii="Times New Roman" w:hAnsi="Times New Roman"/>
          <w:b/>
          <w:sz w:val="48"/>
        </w:rPr>
      </w:pPr>
      <w:r>
        <w:rPr>
          <w:rFonts w:ascii="Times New Roman" w:hAnsi="Times New Roman"/>
          <w:b/>
          <w:sz w:val="48"/>
        </w:rPr>
        <w:t xml:space="preserve">EASTMAN KODAK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supplements and amends the prospectus dated August 12, 2021 (the “Prospectus”), relating to the offer and sale from time to time in one or more offerings of up to 39,458,543 shares of our common stock, par value $0.01 per share (“common stock”), by the selling shareholders identified in this prospectus supplement (the “selling shareholders”). This prospectus supplement amends and supplements the information set forth under the heading “Selling Shareholders” in the Prospectus to: (i) remove 5,031,489 shares of common stock no longer subject to registration rights or underlying convertible notes that have been redeemed and are no longer outstanding; (ii) reflect transfers of preferred stock by former selling shareholders, as a result of which certain selling shareholders previously named in the Prospectus have been removed and new selling shareholders added, (iii) update the description as to the manner in which certain shares of common stock were issued; and (iv) update the descriptions of the registration rights agreements pursuant to which the shares of common stock have been or are being registered. Capitalized terms used but not otherwise defined in this prospectus supplement have the meanings given to them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together with the Prospectus, including the documents incorporated by reference therein, and the additional information described under the headings “Where You Can Find More Information” and “Incorporation of Certain Information by Reference” in the Prospectus, carefully before you invest in our common stock. This prospectus supplement may not be delivered or used except in connection with the Prospectus. If there is any inconsistency between the information in the Prospectus and this prospectus supplement,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“KODK.” On June 30, 2026, the last reported sale price of our common stock on the New York Stock Exchange was $9.25.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You should read carefully and consider the risks referenced under “</w:t>
      </w:r>
      <w:hyperlink w:anchor="tx151278_6">
        <w:r>
          <w:rPr>
            <w:rStyle w:val="InternetLink"/>
            <w:rFonts w:ascii="Times New Roman" w:hAnsi="Times New Roman"/>
            <w:b/>
            <w:sz w:val="24"/>
          </w:rPr>
          <w:t>Risk Factors</w:t>
        </w:r>
      </w:hyperlink>
      <w:r>
        <w:rPr>
          <w:rFonts w:ascii="Times New Roman" w:hAnsi="Times New Roman"/>
          <w:b/>
          <w:sz w:val="24"/>
        </w:rPr>
        <w:t xml:space="preserve">” on page 5 of the Prospectus, as well as the other information contained in or incorporated by reference in the Prospectus or in any accompanying prospectus supplement before making a decision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July 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as amended and supplemented by this prospectus supplement, relates to the possible resale by the selling shareholders named below of up to 39,458,543 shares of our common stock, subject to adjustments for stock splits, stock dividends and reclassifications and similar transactions, that (a) were issued and outstanding prior to the original date of filing of the registration statement of which the Prospectus forms a part (the “Filing Date”), or (b) were issued or are issuable upon conversion or exchange of shares of Preferred Stock that (i) were issued and outstanding prior to the Filing Date, (ii) have been contracted to be issued and sold prior to the Filing Date, or (iii) were issued or are issuable as dividends payable in kind prior to the mandatory redemption date of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of the selling shareholders (and/or the beneficial owners) and the number of shares of common stock beneficially owned by each of them as of June 29, 2026. The shares subject to this Prospectus were registered or are being registered in order to fulfill our contractual obligations under the following registration rights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rights agreement, dated as of September 3, 2013, that we entered into in connection with our emergence from voluntary reorganization under Chapter 11 proceedings in September 2013, originally with GSO Capital Partners LP, on behalf of various managed funds, BlueMountain Capital Management, LLC, on behalf of various managed funds, George Karfunkel, United Equities Commodities Company, Momar Corporation, Contrarian Capital Management, LLC, on behalf of Contrarian Funds, LLC, and Serengeti Asset Management LP, as investment adviser to various funds, pursuant to which the selling shareholders parties thereto, or successors to the parties thereto, received shares of our common stock, with registration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amended and restated registration rights agreement, dated as of August 8, 2025, with GO EK Ventures IV, LLC (“GO EK Ventures”), a fund managed by Grand Oaks Capital, providing GO EK Ventures with registration rights in respect of 15,103,163 shares of common stock issued upon the exchange of 1,241,871 shares of Series C Preferred Stock pursuant to a Series C Preferred Stock exchange agreement, dated as of August 8, 2025, with GO EK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registration rights agreement, dated as of February 26, 2021, with certain funds affiliated with Kennedy Lewis Investment Management LLC (“KLIM”), continuing to provide the such funds with registration rights in respect of 1,000,000 shares of our common stock issued in a private placement transaction pursuant to a securities purchase agreement, dated as of February 26, 2021, with the such funds;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rights agreement, dated as of March 11, 2026, with KLIM, providing certain funds managed, advised or sub-advised by KLIM with registration rights in respect of shares of common stock issuable upon conversion or exchange of any shares of Series B Preferred Stock or otherwise held by such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in the table below with respect to beneficial ownership has been furnished by each of the selling shareholders or obtained from filings made by the selling shareholders with the SEC. Except as described above or disclosed in the documents incorporated by reference in the Prospectus, there are currently no agreements, arrangements or understandings with respect to the sale of any of the shares of common stock registered hereunder. The shares are being registered to permit public secondary trading of the shares, and selling shareholders may offer the shares for resale from time to time. Beneficial ownership reflected in the table below includes the total shares held by each selling shareholder and such selling shareholder’s affiliates. Beneficial ownership is determined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listed in the table below may have sold, transferred, otherwise disposed of or purchased, or may sell, transfer, otherwise dispose of or purchase, at any time and from time to time, shares of our common stock in transactions exempt from the registration requirements of the Securities Act or in the open market after the date on which they provided the information set forth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additional selling shareholders, if any, including their identities and the common stock to be registered on their behalf, may be set forth in an additional prospectus supplement, in a post-effective amendment or in filings that we make with the SEC under the Exchange Act. Information concerning the selling shareholders may further change from time to time. Any changes to the information provided below may be set forth in another supplement to the Prospectus, in a post-effective amendment or in filings we make with the SEC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subject to applicable community property laws, to our knowledge, each shareholder named in the following table possesses sole voting and investment power over the shares listed.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named below and their permitted transferees, pledgees, donees or other successors may from time to time offer shares of common stock under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623"/>
        <w:gridCol w:w="186"/>
        <w:gridCol w:w="60"/>
        <w:gridCol w:w="1144"/>
        <w:gridCol w:w="60"/>
        <w:gridCol w:w="186"/>
        <w:gridCol w:w="84"/>
        <w:gridCol w:w="839"/>
        <w:gridCol w:w="275"/>
        <w:gridCol w:w="135"/>
        <w:gridCol w:w="60"/>
        <w:gridCol w:w="1101"/>
        <w:gridCol w:w="60"/>
        <w:gridCol w:w="185"/>
        <w:gridCol w:w="75"/>
        <w:gridCol w:w="889"/>
        <w:gridCol w:w="60"/>
        <w:gridCol w:w="186"/>
        <w:gridCol w:w="119"/>
        <w:gridCol w:w="810"/>
        <w:gridCol w:w="68"/>
      </w:tblGrid>
      <w:tr>
        <w:trPr/>
        <w:tc>
          <w:tcPr>
            <w:tcW w:w="3623"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2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373" w:type="dxa"/>
            <w:gridSpan w:val="6"/>
            <w:tcBorders>
              <w:bottom w:val="single" w:sz="8" w:space="0" w:color="000000"/>
            </w:tcBorders>
            <w:tcMar>
              <w:bottom w:w="28" w:type="dxa"/>
            </w:tcMar>
            <w:vAlign w:val="bottom"/>
          </w:tcPr>
          <w:p>
            <w:pPr>
              <w:pStyle w:val="TableContents"/>
              <w:bidi w:val="0"/>
              <w:spacing w:before="0" w:after="283"/>
              <w:jc w:val="center"/>
              <w:rPr/>
            </w:pPr>
            <w:r>
              <w:rPr>
                <w:b/>
              </w:rPr>
              <w:t>Shares Beneficially</w:t>
            </w:r>
            <w:r>
              <w:rPr/>
              <w:br/>
            </w:r>
            <w:r>
              <w:rPr>
                <w:b/>
              </w:rPr>
              <w:t>Owned</w:t>
            </w:r>
            <w:r>
              <w:rPr/>
              <w:br/>
            </w:r>
            <w:r>
              <w:rPr>
                <w:b/>
              </w:rPr>
              <w:t>Prior to This Offering</w:t>
            </w:r>
          </w:p>
        </w:tc>
        <w:tc>
          <w:tcPr>
            <w:tcW w:w="275" w:type="dxa"/>
            <w:tcBorders/>
            <w:vAlign w:val="bottom"/>
          </w:tcPr>
          <w:p>
            <w:pPr>
              <w:pStyle w:val="TableContents"/>
              <w:bidi w:val="0"/>
              <w:spacing w:before="0" w:after="283"/>
              <w:jc w:val="left"/>
              <w:rPr/>
            </w:pPr>
            <w:r>
              <w:rPr/>
              <w:t> </w:t>
            </w:r>
          </w:p>
        </w:tc>
        <w:tc>
          <w:tcPr>
            <w:tcW w:w="135" w:type="dxa"/>
            <w:vMerge w:val="restart"/>
            <w:tcBorders/>
            <w:vAlign w:val="bottom"/>
          </w:tcPr>
          <w:p>
            <w:pPr>
              <w:pStyle w:val="TableContents"/>
              <w:bidi w:val="0"/>
              <w:spacing w:before="0" w:after="283"/>
              <w:jc w:val="left"/>
              <w:rPr/>
            </w:pPr>
            <w:r>
              <w:rPr/>
              <w:t> </w:t>
            </w:r>
          </w:p>
        </w:tc>
        <w:tc>
          <w:tcPr>
            <w:tcW w:w="116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 that</w:t>
            </w:r>
            <w:r>
              <w:rPr/>
              <w:br/>
            </w:r>
            <w:r>
              <w:rPr>
                <w:b/>
              </w:rPr>
              <w:t>May be</w:t>
            </w:r>
            <w:r>
              <w:rPr/>
              <w:br/>
            </w:r>
            <w:r>
              <w:rPr>
                <w:b/>
              </w:rPr>
              <w:t>Sold</w:t>
            </w:r>
            <w:r>
              <w:rPr/>
              <w:br/>
            </w:r>
            <w:r>
              <w:rPr>
                <w:b/>
              </w:rPr>
              <w:t>Hereby</w:t>
            </w:r>
          </w:p>
        </w:tc>
        <w:tc>
          <w:tcPr>
            <w:tcW w:w="60" w:type="dxa"/>
            <w:vMerge w:val="restart"/>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139" w:type="dxa"/>
            <w:gridSpan w:val="6"/>
            <w:tcBorders>
              <w:bottom w:val="single" w:sz="8" w:space="0" w:color="000000"/>
            </w:tcBorders>
            <w:tcMar>
              <w:bottom w:w="28" w:type="dxa"/>
            </w:tcMar>
            <w:vAlign w:val="bottom"/>
          </w:tcPr>
          <w:p>
            <w:pPr>
              <w:pStyle w:val="TableContents"/>
              <w:bidi w:val="0"/>
              <w:spacing w:before="0" w:after="283"/>
              <w:jc w:val="center"/>
              <w:rPr/>
            </w:pPr>
            <w:r>
              <w:rPr>
                <w:b/>
              </w:rPr>
              <w:t>Shares Beneficially</w:t>
            </w:r>
            <w:r>
              <w:rPr/>
              <w:br/>
            </w:r>
            <w:r>
              <w:rPr>
                <w:b/>
              </w:rPr>
              <w:t>Owned</w:t>
            </w:r>
            <w:r>
              <w:rPr/>
              <w:br/>
            </w:r>
            <w:r>
              <w:rPr>
                <w:b/>
              </w:rPr>
              <w:t>After This Offering+</w:t>
            </w:r>
          </w:p>
        </w:tc>
        <w:tc>
          <w:tcPr>
            <w:tcW w:w="68" w:type="dxa"/>
            <w:tcBorders/>
            <w:vAlign w:val="bottom"/>
          </w:tcPr>
          <w:p>
            <w:pPr>
              <w:pStyle w:val="TableContents"/>
              <w:bidi w:val="0"/>
              <w:spacing w:before="0" w:after="283"/>
              <w:jc w:val="left"/>
              <w:rPr/>
            </w:pPr>
            <w:r>
              <w:rPr/>
              <w:t> </w:t>
            </w:r>
          </w:p>
        </w:tc>
      </w:tr>
      <w:tr>
        <w:trPr/>
        <w:tc>
          <w:tcPr>
            <w:tcW w:w="36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6"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275" w:type="dxa"/>
            <w:tcBorders/>
            <w:vAlign w:val="bottom"/>
          </w:tcPr>
          <w:p>
            <w:pPr>
              <w:pStyle w:val="TableContents"/>
              <w:bidi w:val="0"/>
              <w:spacing w:before="0" w:after="283"/>
              <w:jc w:val="left"/>
              <w:rPr/>
            </w:pPr>
            <w:r>
              <w:rPr/>
              <w:t> </w:t>
            </w:r>
          </w:p>
        </w:tc>
        <w:tc>
          <w:tcPr>
            <w:tcW w:w="135" w:type="dxa"/>
            <w:vMerge w:val="continue"/>
            <w:tcBorders/>
            <w:vAlign w:val="bottom"/>
          </w:tcPr>
          <w:p>
            <w:pPr>
              <w:pStyle w:val="Normal"/>
              <w:bidi w:val="0"/>
              <w:jc w:val="left"/>
              <w:rPr/>
            </w:pPr>
            <w:r>
              <w:rPr/>
            </w:r>
          </w:p>
        </w:tc>
        <w:tc>
          <w:tcPr>
            <w:tcW w:w="116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5"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68"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 EK Ventures IV, LLC(2)</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15,103,163</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15.43</w:t>
            </w:r>
          </w:p>
        </w:tc>
        <w:tc>
          <w:tcPr>
            <w:tcW w:w="27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14,336,922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K.F. Investors LLC(3)</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5,044,023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5.15</w:t>
            </w:r>
          </w:p>
        </w:tc>
        <w:tc>
          <w:tcPr>
            <w:tcW w:w="27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4,850,439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193,584</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and Renee Karfunkel(4)</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5,027,724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5.13</w:t>
            </w:r>
          </w:p>
        </w:tc>
        <w:tc>
          <w:tcPr>
            <w:tcW w:w="27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4,482,986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544,738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8"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Momar Corporation(3)</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3,139,741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3.21</w:t>
            </w:r>
          </w:p>
        </w:tc>
        <w:tc>
          <w:tcPr>
            <w:tcW w:w="27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3,139,741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Equities Commodities Company(3)</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1,519,646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1.55</w:t>
            </w:r>
          </w:p>
        </w:tc>
        <w:tc>
          <w:tcPr>
            <w:tcW w:w="27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1,518,646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8"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Marneu Holding Company(3)</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614,041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606,000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8,041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II LP(5)</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1,909,266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1.95</w:t>
            </w:r>
          </w:p>
        </w:tc>
        <w:tc>
          <w:tcPr>
            <w:tcW w:w="27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803,000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LP(5)</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197,000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197,000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III LP(5)(6)(7)</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5,059,236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4.99</w:t>
            </w:r>
          </w:p>
        </w:tc>
        <w:tc>
          <w:tcPr>
            <w:tcW w:w="27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7,110,666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KLCP Co-Investment Opportunities III LP(5)(6)(8)</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1,873,845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1.88</w:t>
            </w:r>
          </w:p>
        </w:tc>
        <w:tc>
          <w:tcPr>
            <w:tcW w:w="27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1,699,800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KLIM Delta HQC3 LP(5)(6)(8)</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4" w:type="dxa"/>
            <w:tcBorders/>
            <w:shd w:fill="CCEEFF" w:val="clear"/>
            <w:vAlign w:val="bottom"/>
          </w:tcPr>
          <w:p>
            <w:pPr>
              <w:pStyle w:val="TableContents"/>
              <w:bidi w:val="0"/>
              <w:spacing w:before="0" w:after="283"/>
              <w:jc w:val="right"/>
              <w:rPr/>
            </w:pPr>
            <w:r>
              <w:rPr/>
              <w:t>726,224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658,772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Kennedy Lewis (EU) SPV LP(5)(6)(8)</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60,159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54,571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additional shares of our common stock by certain selling shareholders are registered pursuant to a complementary Registration Statement on Form S-3 (Registration No. 333-297200, the “Complementary Registration Statement”). Assumes that the selling shareholders will sell all shares of their common stock included in the Registration Statement of which this prospectus forms a part and the Complementary Registration Statement. If the shares subject to the Complementary Registration statement are not sold by the applicable selling shareholders, such shareholders would beneficially own the following shares and percentages (calculated as described in footnote (1) below) after this offering: GO EK Ventures IV, LLC – 766,241 shares (less than 1%); Kennedy Lewis Capital Partners Master Fund II LP – 1,106,266 shares (1.13%); Kennedy Lewis Capital Partners Master Fund III LP – 2,306,676 shares (2.20%); KLCP Co-Investment Opportunities III LP – 174,045 shares (less than 1%); KLIM Delta HQC3 LP – 67,452 shares (less than 1%); and Kennedy Lewis (EU) SPV LP – 5,588 shares (less than 1%). There is no assurance that the selling shareholders will resell all or any of their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common stock is based on 97,906,876 shares of our common stock outstanding as of June 29, 2026. The calculation of percentages assumes the acquisition by each selling shareholder of all shares that may be acquired upon exercise or conversion of all options or convertible securities held by such selling shareholder and assumes that the other holders of options or convertible securities do not exercise or convert such options or convertible securities held by such other holders.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that may be sold hereby consists of 14,336,922 of the 15,103,163 shares of common stock issued to GO EK Ventures upon the exchange of 1,241,871 shares of Series C Preferred Stock pursuant to a Series C Preferred Stock exchange agreement, dated as of August 8, 2025, between the Company and GO EK Ventures. B. Thomas Golisano, as the sole member of GO EK Ventures, may make investment decisions on behalf of GO EK Ventures and as such may be deemed to have dispositive power over the shares held by GO EK Ventures. The address for GO EK Ventures is 7632 County Road 42, Victor, NY 14564.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K.F. Investors LLC (“KF Investors”) is a New York limited liability company managed by Dr. Joseph Fink and Philippe D. Katz. Dr. Fink is the President and Treasurer of Momar Corporation (“Momar”), a New York corporation, and Mr. Katz is Vice President and Secretary of Momar. Messrs. Fink and Katz are the directors of Momar. No person is a controlling shareholder of Momar. Moses Marx, Dr. Fink and Mr. Katz are general partners of United Equities Commodities Company (“United Equities”), a New York general partnership. Mr. Marx holds a 99% general partnership interest in United Equities. Mr. Marx has no ownership interest in nor any control of KF Investors and has no beneficial interest in the shares of common stock owned by Momar. Marneu is a New York general partnership. The general partners of Marneu are Moses Marx and United Equities Realty Associates, a New York general partnership, the general partners of which are Mr. Marx, Dr. Fink and Mr. Katz. As of June 29, 2026, Mr. Marx held a direct and indirect 71.4285% general partnership interest in Marneu. Mr. Katz serves as one of our directors and owns 187,026 shares of common stock directly, 142,264 shares of phantom stock, options to purchase 45,095 shares of common stock granted under our 2013 Omnibus Incentive Plan, as amended (the “Plan”) that are currently exercisable, and restricted stock units with respect to 12,726 shares of common stock granted under the Plan. The business address for each of KF Investors, Momar, United Equities and Marneu is 160 Broadway, 1st Floor, New York, NY 10038.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George and Renee Karfunkel each reports shared voting and shared dispositive power with respect to 4,490,145 shares of our common stock. The amount shown includes Mr. Karfunkel’s presently exercisable options to purchase 37,579 shares of our common stock and 500,000 shares of our common stock owned by the Chesed Foundation of America, a charitable foundation controlled by Mr. Karfunkel. The address for Mr. and Mrs. Karfunkel is 1671 52nd Street, Brooklyn, NY 11204. This information is based on a Schedule 13D/A filed by Mr. and Mrs. Karfunkel on January 14, 2021 and Section 16 reports filed with the SEC by Mr. and Mrs. Karfunkel.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Kennedy Lewis Management LP (the “Adviser”) is the investment adviser to Kennedy Lewis Capital Partners Master Fund LP (“KLIM Fund I”), Kennedy Lewis Capital Partners Master Fund II LP (“KLIM Fund II”), Kennedy Lewis Capital Partners Master Fund III LP (“KLIM Fund III”), KLCP Co-Investment Opportunities III LP (“KLCP Co-Invest”), KLIM Delta HQC3 LP (“KLIM Delta”), and Kennedy Lewis (EU) SPV LP (“EU SPV” and, together with KLIM Fund I, KLIM Fund II, KLIM Fund III, KLCP Co-Invest and KLIM Delta, the “KLIM Funds”). KLM GP LLC (“KLM”) is the general partner of the Adviser. Kennedy Lewis Investment Management LLC (“Kennedy Lewis”) is the owner and control person of KLM. David K. Chene and Darren L. Richman are the managing members and control persons of Kennedy Lewis. Each of the Adviser, KLM and Kennedy Lewis may be deemed to exercise voting and investment power over securities held by each of the KLIM Funds due to their relationship with the KLIM Funds. David K. Chene and Darren L. Richman, in their capacities as managing members of Kennedy Lewis and managing members of the managing members of the respective general partners of the KLIM Funds, may be deemed to exercise voting and investment power over securities held by each of the KLIM Funds due to their relationships with the KLIM Funds. The address for Kennedy Lewis is 111 West 33rd Street, Suite 1910, New York, NY 10120.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 agreement among KLIM Fund III, KLCP Co-Invest, KLIM Delta and EU SPV (collectively, the “Series B Holders”), the Adviser and the Company, the Company will not effect any conversion of Series B Preferred Stock if after giving effect to such conversion, one of the Series B Holders (together with its affiliates and any members acting as a group) would beneficially own in excess of 4.99% of the number of shares of common stock outstanding (the “Beneficial Ownership Limit”). Accordingly, the shares and percentages of common stock reported in the table above as beneficially owned by the Series B Holders represent the maximum amounts that could be held by the Series B Holders after giving effect to the Beneficial Ownership Limit. The number and percentage of shares actually beneficially owned by each of the Series B Holders is contingent on the number of shares held by the other Series B Holders and their affiliates and any members acting as a group. As of June 29, 2026, based on the number of shares held by all of the KLIM Funds, the application of the Beneficial Ownership Limit would restrict the conversion of shares of Series B Preferred Stock to that number of shares that would result in an aggregate of 1,263,741 shares of common stock being issued to the Series B Holders.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common stock that may be sold hereby consists of shares of common stock issuable upon the conversion or exchange of currently outstanding shares of Series B Preferred Stock. Number of shares beneficially owned represents 1,578,606 shares of common stock currently held by KLIM Fund III plus 3,480,630 shares issuable upon conversion of shares of Series B Preferred Stock to reach the Beneficial Ownership Limit. If the Beneficial Ownership Limit did not apply to KLIM Fund III, KLIM Fund III would beneficially own 9,417,342 shares of common stock (8.91%).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represents shares issuable upon conversion of shares of Series B Preferred Stock and number of shares of common stock that may be sold hereby consists of a portion of those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EASTMAN KODAK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in one or more offerings of up to 44,490,032 shares of our common stock that selling shareholders may from time to time offer and sell. We will not receive any of the proceeds from the sale of our common stock by the selling shareholders. This prospectus provides a general description of the common stock that may be offered and sold from time to time. In certain cases where one or more selling shareholders offer our common stock pursuant to this prospectus, the selling shareholders will provide a prospectus supplement and attach it to this prospectus. Such a prospectus supplement will contain more specific information about the offering. A prospectus supplement may also add to, update or change information contained in this prospectus. You should carefully read this prospectus and any accompanying prospectus supplement, together with the documents we incorporate by reference,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symbol “KODK.” On August 9, 2021, the last reported sale price of our common stock on the New York Stock Exchange was $7.41.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You should read carefully and consider the risks referenced under “</w:t>
      </w:r>
      <w:hyperlink w:anchor="tx151278_6">
        <w:r>
          <w:rPr>
            <w:rStyle w:val="InternetLink"/>
            <w:rFonts w:ascii="Times New Roman" w:hAnsi="Times New Roman"/>
            <w:b/>
            <w:sz w:val="24"/>
          </w:rPr>
          <w:t>Risk Factors</w:t>
        </w:r>
      </w:hyperlink>
      <w:r>
        <w:rPr>
          <w:rFonts w:ascii="Times New Roman" w:hAnsi="Times New Roman"/>
          <w:b/>
          <w:sz w:val="24"/>
        </w:rPr>
        <w:t xml:space="preserve">” beginning on page 5 of this prospectus, as well as the other information contained in or incorporated by reference in this prospectus or in any accompanying prospectus supplement before making a decision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sell our common stock on a continuous or delayed basis directly, through agents, dealers or underwriters as designated from time to time, or through a combination of these methods. The selling shareholders reserve the sole right to accept, and together with any agents, dealers and underwriters, reserve the right to reject, in whole or in part, any proposed purchase of our common stock. If any agents, dealers or underwriters are involved in the sale of any securities, the applicable prospectus supplement will set forth any applicable commissions or discounts. Our net proceeds from the sale of our common stock also will be set forth in any applicable prospectus supplement.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August 12, 2021.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2"/>
        <w:gridCol w:w="260"/>
        <w:gridCol w:w="90"/>
        <w:gridCol w:w="400"/>
        <w:gridCol w:w="63"/>
      </w:tblGrid>
      <w:tr>
        <w:trPr/>
        <w:tc>
          <w:tcPr>
            <w:tcW w:w="939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9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2">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3">
              <w:r>
                <w:rPr>
                  <w:rStyle w:val="InternetLink"/>
                  <w:rFonts w:ascii="Times New Roman" w:hAnsi="Times New Roman"/>
                  <w:sz w:val="20"/>
                </w:rPr>
                <w:t>INCORPORATION OF CERTAIN INFORMATION BY REFERENCE</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4">
              <w:r>
                <w:rPr>
                  <w:rStyle w:val="InternetLink"/>
                  <w:rFonts w:ascii="Times New Roman" w:hAnsi="Times New Roman"/>
                  <w:sz w:val="20"/>
                </w:rPr>
                <w:t>CAUTIONARY STATEMENT CONCERNING FORWARD-LOOKING STATEMENTS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5">
              <w:r>
                <w:rPr>
                  <w:rStyle w:val="InternetLink"/>
                  <w:rFonts w:ascii="Times New Roman" w:hAnsi="Times New Roman"/>
                  <w:sz w:val="20"/>
                </w:rPr>
                <w:t>THE COMPANY</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6">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7">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8">
              <w:r>
                <w:rPr>
                  <w:rStyle w:val="InternetLink"/>
                  <w:rFonts w:ascii="Times New Roman" w:hAnsi="Times New Roman"/>
                  <w:sz w:val="20"/>
                </w:rPr>
                <w:t>SELLING SHAREHOLDERS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9">
              <w:r>
                <w:rPr>
                  <w:rStyle w:val="InternetLink"/>
                  <w:rFonts w:ascii="Times New Roman" w:hAnsi="Times New Roman"/>
                  <w:sz w:val="20"/>
                </w:rPr>
                <w:t>DESCRIPTION OF CAPITAL STOCK</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10">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11">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392" w:type="dxa"/>
            <w:tcBorders/>
          </w:tcPr>
          <w:p>
            <w:pPr>
              <w:pStyle w:val="TableContents"/>
              <w:bidi w:val="0"/>
              <w:spacing w:before="0" w:after="0"/>
              <w:jc w:val="left"/>
              <w:rPr/>
            </w:pPr>
            <w:hyperlink w:anchor="tx151278_12">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5127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Securities and Exchange Commission (the “SEC” or the “Commission”) using a “shelf” registration process. The selling shareholders may from time to time sell up to 44,490,032 shares of our common stock described in this prospectus in one or more secondary offerings. This prospectus provides a general description of our common stock. In certain cases where one or more selling shareholders offer shares of our common stock, the selling shareholders will provide a supplement to this prospectus that contains specific information about the offering. In each prospectus supplement we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our common stock that the selling shareholders propose to sell;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our common stock (in the case of an underwritten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through or to which the selling shareholders will sell our common stock,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compensation of those underwriters or agents, if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any securities exchanges or automated quotation systems on which our common stock is listed or traded.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accompanying prospectus supplement also may add, update or change the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headings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No dealer, salesperson or other person is authorized to give any information or to represent anything not contained in or incorporated by reference into this prospectus or any accompanying prospectus supplement. You must not rely on any unauthorized information or representations. This prospectus or any accompanying prospectus supplement does not offer to sell or ask for offers to buy any securities other than those to which it relates and it does not constitute an offer to sell or ask for offers to buy any of the securities in any jurisdiction where it is unlawful, where the person making the offer is not qualified to do so, or to any person who cannot legally be offered the securities. The information contained in this prospectus, any accompanying prospectus supplement or any document incorporated by reference herein or therein is current only as of its date.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except as otherwise indicated or as the context otherwise requires, “EKC” refers to Eastman Kodak Company on an unconsolidated basis and the words “Kodak,” “we,” “us,” “our,” the “Company” and “ours” refer to Eastman Kodak Company and its consolidated subsidiaries. </w:t>
      </w:r>
    </w:p>
    <w:p>
      <w:pPr>
        <w:pStyle w:val="TextBody"/>
        <w:bidi w:val="0"/>
        <w:spacing w:before="480" w:after="0"/>
        <w:jc w:val="center"/>
        <w:rPr>
          <w:rFonts w:ascii="Times New Roman" w:hAnsi="Times New Roman"/>
          <w:b/>
          <w:sz w:val="20"/>
        </w:rPr>
      </w:pPr>
      <w:bookmarkStart w:id="4" w:name="tx151278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and we have filed with the SEC a registration statement on Form S-3 under the Securities Act of 1933, as amended (the “Securities Act”), with respect to our common stock offered by this prospectus. This prospectus, which forms part of the registration statement, does not contain all of the information included in the registration statement, including its exhibits and schedules. For further information about us and our common stock described in this prospectus, you should refer to the registration statement, its exhibits and schedules and our reports, proxy statements, information statements and other information filed with the SEC. The SEC maintains an internet site at </w:t>
      </w:r>
      <w:r>
        <w:rPr>
          <w:rFonts w:ascii="Times New Roman" w:hAnsi="Times New Roman"/>
          <w:i/>
          <w:sz w:val="20"/>
        </w:rPr>
        <w:t>www.sec.gov</w:t>
      </w:r>
      <w:r>
        <w:rPr>
          <w:rFonts w:ascii="Times New Roman" w:hAnsi="Times New Roman"/>
          <w:sz w:val="20"/>
        </w:rPr>
        <w:t xml:space="preserve">, from which you can electronically access these materials. </w:t>
      </w:r>
    </w:p>
    <w:p>
      <w:pPr>
        <w:pStyle w:val="TextBody"/>
        <w:bidi w:val="0"/>
        <w:spacing w:before="480" w:after="0"/>
        <w:jc w:val="center"/>
        <w:rPr>
          <w:rFonts w:ascii="Times New Roman" w:hAnsi="Times New Roman"/>
          <w:b/>
          <w:sz w:val="20"/>
        </w:rPr>
      </w:pPr>
      <w:bookmarkStart w:id="5" w:name="tx151278_3"/>
      <w:bookmarkEnd w:id="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a part of this prospectus, except any information that is superseded by information that is included in a document subsequently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our common stock, except that we are not incorporating by reference any information furnished (and not filed) with the SEC, including our Compensation Committee report and performance graph or any information furnished pursuant to Items 2.02 or 7.01 of Form 8-K or related exhibits furnished pursuant to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
              <w:r>
                <w:rPr>
                  <w:rStyle w:val="InternetLink"/>
                  <w:rFonts w:ascii="Times New Roman" w:hAnsi="Times New Roman"/>
                  <w:sz w:val="20"/>
                </w:rPr>
                <w:t>Annual Report on Form 10-K for the year ended December 31, 2020</w:t>
              </w:r>
            </w:hyperlink>
            <w:r>
              <w:rPr>
                <w:rFonts w:ascii="Times New Roman" w:hAnsi="Times New Roman"/>
                <w:sz w:val="20"/>
              </w:rPr>
              <w:t xml:space="preserve">, including the portions of our </w:t>
            </w:r>
            <w:hyperlink r:id="rId3">
              <w:r>
                <w:rPr>
                  <w:rStyle w:val="InternetLink"/>
                  <w:rFonts w:ascii="Times New Roman" w:hAnsi="Times New Roman"/>
                  <w:sz w:val="20"/>
                </w:rPr>
                <w:t>Proxy Statement</w:t>
              </w:r>
            </w:hyperlink>
            <w:r>
              <w:rPr>
                <w:rFonts w:ascii="Times New Roman" w:hAnsi="Times New Roman"/>
                <w:sz w:val="20"/>
              </w:rPr>
              <w:t xml:space="preserve"> for our 2021 annual meeting of stockholders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4">
              <w:r>
                <w:rPr>
                  <w:rStyle w:val="InternetLink"/>
                  <w:rFonts w:ascii="Times New Roman" w:hAnsi="Times New Roman"/>
                  <w:sz w:val="20"/>
                </w:rPr>
                <w:t>March 31, 2021</w:t>
              </w:r>
            </w:hyperlink>
            <w:r>
              <w:rPr>
                <w:rFonts w:ascii="Times New Roman" w:hAnsi="Times New Roman"/>
                <w:sz w:val="20"/>
              </w:rPr>
              <w:t xml:space="preserve"> and </w:t>
            </w:r>
            <w:hyperlink r:id="rId5">
              <w:r>
                <w:rPr>
                  <w:rStyle w:val="InternetLink"/>
                  <w:rFonts w:ascii="Times New Roman" w:hAnsi="Times New Roman"/>
                  <w:sz w:val="20"/>
                </w:rPr>
                <w:t>June 30, 2021</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6">
              <w:r>
                <w:rPr>
                  <w:rStyle w:val="InternetLink"/>
                  <w:rFonts w:ascii="Times New Roman" w:hAnsi="Times New Roman"/>
                  <w:sz w:val="20"/>
                </w:rPr>
                <w:t>March  1, 2021</w:t>
              </w:r>
            </w:hyperlink>
            <w:r>
              <w:rPr>
                <w:rFonts w:ascii="Times New Roman" w:hAnsi="Times New Roman"/>
                <w:sz w:val="20"/>
              </w:rPr>
              <w:t xml:space="preserve"> (but excluding Item 7.01 and the related exhibit), </w:t>
            </w:r>
            <w:hyperlink r:id="rId7">
              <w:r>
                <w:rPr>
                  <w:rStyle w:val="InternetLink"/>
                  <w:rFonts w:ascii="Times New Roman" w:hAnsi="Times New Roman"/>
                  <w:sz w:val="20"/>
                </w:rPr>
                <w:t>March  1, 2021</w:t>
              </w:r>
            </w:hyperlink>
            <w:r>
              <w:rPr>
                <w:rFonts w:ascii="Times New Roman" w:hAnsi="Times New Roman"/>
                <w:sz w:val="20"/>
              </w:rPr>
              <w:t xml:space="preserve">, </w:t>
            </w:r>
            <w:hyperlink r:id="rId8">
              <w:r>
                <w:rPr>
                  <w:rStyle w:val="InternetLink"/>
                  <w:rFonts w:ascii="Times New Roman" w:hAnsi="Times New Roman"/>
                  <w:sz w:val="20"/>
                </w:rPr>
                <w:t>April 5, 2021</w:t>
              </w:r>
            </w:hyperlink>
            <w:r>
              <w:rPr>
                <w:rFonts w:ascii="Times New Roman" w:hAnsi="Times New Roman"/>
                <w:sz w:val="20"/>
              </w:rPr>
              <w:t xml:space="preserve"> and </w:t>
            </w:r>
            <w:hyperlink r:id="rId9">
              <w:r>
                <w:rPr>
                  <w:rStyle w:val="InternetLink"/>
                  <w:rFonts w:ascii="Times New Roman" w:hAnsi="Times New Roman"/>
                  <w:sz w:val="20"/>
                </w:rPr>
                <w:t>May 25, 2021</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0">
              <w:r>
                <w:rPr>
                  <w:rStyle w:val="InternetLink"/>
                  <w:rFonts w:ascii="Times New Roman" w:hAnsi="Times New Roman"/>
                  <w:sz w:val="20"/>
                </w:rPr>
                <w:t>Form 8-A</w:t>
              </w:r>
            </w:hyperlink>
            <w:r>
              <w:rPr>
                <w:rFonts w:ascii="Times New Roman" w:hAnsi="Times New Roman"/>
                <w:sz w:val="20"/>
              </w:rPr>
              <w:t xml:space="preserve"> filed on September  3, 2013, including the description of our common stock contained in our Registration Statement on </w:t>
            </w:r>
            <w:hyperlink r:id="rId11">
              <w:r>
                <w:rPr>
                  <w:rStyle w:val="InternetLink"/>
                  <w:rFonts w:ascii="Times New Roman" w:hAnsi="Times New Roman"/>
                  <w:sz w:val="20"/>
                </w:rPr>
                <w:t>Form S-8</w:t>
              </w:r>
            </w:hyperlink>
            <w:r>
              <w:rPr>
                <w:rFonts w:ascii="Times New Roman" w:hAnsi="Times New Roman"/>
                <w:sz w:val="20"/>
              </w:rPr>
              <w:t xml:space="preserve"> filed on September  3, 2013 and incorporated by reference therein, as updated by </w:t>
            </w:r>
            <w:hyperlink r:id="rId12">
              <w:r>
                <w:rPr>
                  <w:rStyle w:val="InternetLink"/>
                  <w:rFonts w:ascii="Times New Roman" w:hAnsi="Times New Roman"/>
                  <w:sz w:val="20"/>
                </w:rPr>
                <w:t>Exhibit 4.11</w:t>
              </w:r>
            </w:hyperlink>
            <w:r>
              <w:rPr>
                <w:rFonts w:ascii="Times New Roman" w:hAnsi="Times New Roman"/>
                <w:sz w:val="20"/>
              </w:rPr>
              <w:t xml:space="preserve"> to our </w:t>
            </w:r>
            <w:hyperlink r:id="rId13">
              <w:r>
                <w:rPr>
                  <w:rStyle w:val="InternetLink"/>
                  <w:rFonts w:ascii="Times New Roman" w:hAnsi="Times New Roman"/>
                  <w:sz w:val="20"/>
                </w:rPr>
                <w:t>Annual Report on Form 10-K for the year ended December 31, 2020</w:t>
              </w:r>
            </w:hyperlink>
            <w:r>
              <w:rPr>
                <w:rFonts w:ascii="Times New Roman" w:hAnsi="Times New Roman"/>
                <w:sz w:val="20"/>
              </w:rPr>
              <w:t xml:space="preserve">, and any subsequent amendments or reports filed for the purpose of updating that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 </w:t>
      </w:r>
    </w:p>
    <w:p>
      <w:pPr>
        <w:pStyle w:val="TextBody"/>
        <w:bidi w:val="0"/>
        <w:spacing w:before="240" w:after="0"/>
        <w:jc w:val="left"/>
        <w:rPr>
          <w:rFonts w:ascii="Times New Roman" w:hAnsi="Times New Roman"/>
          <w:sz w:val="20"/>
        </w:rPr>
      </w:pPr>
      <w:r>
        <w:rPr>
          <w:rFonts w:ascii="Times New Roman" w:hAnsi="Times New Roman"/>
          <w:sz w:val="20"/>
        </w:rPr>
        <w:t xml:space="preserve">A copy of any document incorporated by reference in this prospectus may be obtained at no cost by writing or telephoning us at the following address and telephone number: </w:t>
      </w:r>
    </w:p>
    <w:p>
      <w:pPr>
        <w:pStyle w:val="TextBody"/>
        <w:bidi w:val="0"/>
        <w:spacing w:before="120" w:after="0"/>
        <w:jc w:val="center"/>
        <w:rPr>
          <w:rFonts w:ascii="Times New Roman" w:hAnsi="Times New Roman"/>
          <w:sz w:val="20"/>
        </w:rPr>
      </w:pPr>
      <w:r>
        <w:rPr>
          <w:rFonts w:ascii="Times New Roman" w:hAnsi="Times New Roman"/>
          <w:sz w:val="20"/>
        </w:rPr>
        <w:t xml:space="preserve">Eastman Kodak Company </w:t>
      </w:r>
    </w:p>
    <w:p>
      <w:pPr>
        <w:pStyle w:val="TextBody"/>
        <w:bidi w:val="0"/>
        <w:spacing w:before="0" w:after="0"/>
        <w:jc w:val="center"/>
        <w:rPr>
          <w:rFonts w:ascii="Times New Roman" w:hAnsi="Times New Roman"/>
          <w:sz w:val="20"/>
        </w:rPr>
      </w:pPr>
      <w:r>
        <w:rPr>
          <w:rFonts w:ascii="Times New Roman" w:hAnsi="Times New Roman"/>
          <w:sz w:val="20"/>
        </w:rPr>
        <w:t xml:space="preserve">343 State Street </w:t>
      </w:r>
    </w:p>
    <w:p>
      <w:pPr>
        <w:pStyle w:val="TextBody"/>
        <w:bidi w:val="0"/>
        <w:spacing w:before="0" w:after="0"/>
        <w:jc w:val="center"/>
        <w:rPr>
          <w:rFonts w:ascii="Times New Roman" w:hAnsi="Times New Roman"/>
          <w:sz w:val="20"/>
        </w:rPr>
      </w:pPr>
      <w:r>
        <w:rPr>
          <w:rFonts w:ascii="Times New Roman" w:hAnsi="Times New Roman"/>
          <w:sz w:val="20"/>
        </w:rPr>
        <w:t xml:space="preserve">Rochester, NY 14650 </w:t>
      </w:r>
    </w:p>
    <w:p>
      <w:pPr>
        <w:pStyle w:val="TextBody"/>
        <w:bidi w:val="0"/>
        <w:spacing w:before="0" w:after="0"/>
        <w:jc w:val="center"/>
        <w:rPr>
          <w:rFonts w:ascii="Times New Roman" w:hAnsi="Times New Roman"/>
          <w:sz w:val="20"/>
        </w:rPr>
      </w:pPr>
      <w:r>
        <w:rPr>
          <w:rFonts w:ascii="Times New Roman" w:hAnsi="Times New Roman"/>
          <w:sz w:val="20"/>
        </w:rPr>
        <w:t xml:space="preserve">Attention: Roger W. Byrd </w:t>
      </w:r>
    </w:p>
    <w:p>
      <w:pPr>
        <w:pStyle w:val="TextBody"/>
        <w:bidi w:val="0"/>
        <w:spacing w:before="0" w:after="0"/>
        <w:jc w:val="center"/>
        <w:rPr>
          <w:rFonts w:ascii="Times New Roman" w:hAnsi="Times New Roman"/>
          <w:sz w:val="20"/>
        </w:rPr>
      </w:pPr>
      <w:r>
        <w:rPr>
          <w:rFonts w:ascii="Times New Roman" w:hAnsi="Times New Roman"/>
          <w:sz w:val="20"/>
        </w:rPr>
        <w:t xml:space="preserve">Phone: (585) 724-4000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t>
      </w:r>
      <w:r>
        <w:rPr>
          <w:rFonts w:ascii="Times New Roman" w:hAnsi="Times New Roman"/>
          <w:i/>
          <w:sz w:val="20"/>
        </w:rPr>
        <w:t>www.Kodak.com</w:t>
      </w:r>
      <w:r>
        <w:rPr>
          <w:rFonts w:ascii="Times New Roman" w:hAnsi="Times New Roman"/>
          <w:sz w:val="20"/>
        </w:rPr>
        <w:t xml:space="preserve">.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read and copy any materials we file with the SEC at the SEC’s website or at the SEC’s offices mentioned under the heading “Where You Can Find More Information.” The information on the SEC’s website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51278_4"/>
      <w:bookmarkEnd w:id="6"/>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include “forward-looking statements” as that term is defined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this prospectus, in our Annual Report on Form 10-K for the year ended December 31, 2020 under the headings “Business,” “Risk Factors,” “Legal Proceedings,” and/or “Management’s Discussion and Analysis of Financial Condition and Results of Operations–Liquidity and Capital Resources,” and in other filings Kodak makes with the SEC from time to time, as well as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improve and sustain its operating structure, cash flow, profitability and other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achieve cash forecasts, financial projections, and projected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achieve the financial and operational results contained in its business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comply with the covenants in its various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fund continued investments, capital needs and restructuring payments and service its debt and Series B Preferred Stock and Series C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global economic environment or medical epidemics such as the COVID-19 pandemic, including the restrictions and other actions implemented to fight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investigations, litigations and claims arising out of the circumstances surrounding the announcement by the U.S. International Development Finance Corporation in July 2020 of a potential loan to a subsidiary of Kodak to support the launch of a pharmaceutical initiative;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third parties of their obligations to supply products, components or services to Kodak and the ability to address supply chain disruptions and continue to obtain raw materials and components available from single or limited sources of supply, which may be adversely affected by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foreign currency exchange rates, commodity prices, interest rates and tariff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effectively anticipate technology trends and develop and market new products, solutions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effectively compete with large, well-financed industry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sufficient availability of borrowings and letters of credit under Kodak’s asset based credit facility and letter of credit facility, Kodak’s ability to obtain additional financing if and as needed and Kodak’s ability to provide or facilitate financing for its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cyber-attacks and other data security incidents that disrupt Kodak’s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Kodak’s ability to effect strategic transactions such as acquisitions, strategic alliances, divestitures and similar transactions, or to achieve the benefits sought to be achieved from such strategic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other factors that may cause Kodak’s actual results to differ materially from the forward-looking statements. All forward-looking statements attributable to Kodak or persons acting on its behalf apply only as of the date of this prospectus or, with respect to any forward-looking statements included in a document incorporated by reference, as of the date thereof and are expressly qualified in their entirety by the cautionary statements included or referenced in this prospectus. Kodak undertakes no obligation to update or revise forward-looking statements to reflect events or circumstances that arise after the date made or to reflect the occurrence of unanticipated events,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51278_5"/>
      <w:bookmarkEnd w:id="7"/>
      <w:r>
        <w:rPr>
          <w:rFonts w:ascii="Times New Roman" w:hAnsi="Times New Roman"/>
          <w:b/>
          <w:sz w:val="20"/>
        </w:rPr>
        <w:t xml:space="preserve">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Kodak is a global technology company focused on print,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Kodak’s broad portfolio of superior products, responsive support and world-class research and development make Kodak solutions a smart investment for customers looking to improve their profitability and drive growth.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founded by George Eastman in 1880 and incorporated in 1901 in the State of New Jersey. Kodak is headquartered in Rochester,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 is located at 343 State Street, Rochester, New York 14650, and our telephone number is (585) 724-4000.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5127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in or incorporated by reference into any accompanying prospectus supplement, before investing in our common stock. Our financial condition, results of operations or cash flows could be materially adversely affected by any of these risks. The risks and uncertainties described in the documents incorporated by reference herein are not the only risks and uncertainties that we may face. For more information about our SEC filings, please see “Where You Can Find More Information” and “Incorporation of Certain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5127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offered hereby are being registered for the account of the selling shareholders identified in this prospectus. See “Selling Shareholders.” All net proceeds from the sale of the shares of common stock will go to the selling shareholders. We will not receive any part of the proceeds from such sale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51278_8"/>
      <w:bookmarkEnd w:id="10"/>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by the selling shareholders named below of up to 44,490,032 shares of our common stock, subject to adjustments for stock splits, stock dividends and reclassifications and similar transactions, that (a) were issued and outstanding prior to the original date of filing of the registration statement of which this prospectus forms a part (the “Filing Date”), or (b) are issuable upon conversion of Preferred Stock or convertible notes that (i) were issued and outstanding prior to the Filing Date, (ii) have been contracted to be issued and sold prior to the Filing Date, or (iii) are issuable as dividends or interest payable in kind prior to the mandatory redemption date or maturity date of such Preferred Stock or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names of the selling shareholders (and/or the beneficial owners) and the number of shares of common stock beneficially owned by each of them as of August 10, 2021. The shares being registered are being registered in order to fulfill our contractual obligations under each of the following registration rights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rights agreement, dated as of September 3, 2013, that we entered into in connection our emergence from voluntary reorganization under Chapter 11 proceedings in September 2013, originally with GSO Capital Partners LP, on behalf of various managed funds, BlueMountain Capital Management, LLC, on behalf of various managed funds, George Karfunkel, United Equities Commodities Company, Momar Corporation, Contrarian Capital Management, LLC, on behalf of Contrarian Funds, LLC, and Serengeti Asset Management LP, as investment advisor to various funds, pursuant to which the selling shareholders parties thereto, or successors to the parties to, received shares of our common stock, with registration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Series A Preferred Stock repurchase and exchange agreement, dated as of February 26, 2021, with Southeastern Asset Management, Inc. (“Southeastern”) and Longleaf Partners Small-Cap Fund, C2W Partners Master Fund Limited and Deseret Mutual Pension Trust, which are investment funds managed by Southeastern (such investment funds, collectively, the “Purchasers”), extending the registration rights provided under a registration rights agreement, dated as of November 15, 2016, with Southeastern and the Purchasers, to shares of our common stock issuable upon conversion of 1,000,000 shares of Series B Preferred Stock (as defined herein)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rights agreement, dated as of May 24, 2019, with the Purchasers, providing the Purchasers with registration rights in respect of 31,497,850 shares of our common stock issuable upon conversion of our 5.00% Secured Convertible Notes due 2021 issued pursuant to a notes purchase agreement, dated as of May 20, 2019, with the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registration rights agreement, dated as of February 26, 2021, with GO EK Ventures IV, LLC (the “Investor”), a fund managed by Grand Oaks Capital, providing the Investor with registration rights in respect of shares of our common stock issuable upon conversion of 1,000,000 shares of Series C Preferred Stock (as defined herein) issued pursuant to a Series C Preferred Stock purchase agreement, dated as of February 26, 2021, with the Investor;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registration rights agreement, dated as of February 26, 2021, with certain funds affiliated with Kennedy Lewis Investment Management LLC (the “Buyers”), providing the Buyers with registration rights in respect of (i) 1,000,000 shares of our common stock and (ii) shares of our common stock issuable upon conversion of $25,000,000 aggregate principal amount of our 5.0% unsecured convertible promissory notes due May 28, 2026, in each case, issued in a private placement transaction pursuant to a securities purchase agreement, dated as of February 26, 2021, with the Buyers.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in the table below with respect to beneficial ownership has been furnished by each of the selling shareholders. Except as described above, there are currently no agreements, arrangements or understandings with respect to the sale of any of the shares of common stock registered hereunder. The shares are being registered to permit public secondary trading of the shares, and selling shareholders may offer the shares for resale from time to time. Beneficial ownership reflected in the table below includes the total shares held by each selling shareholder and such selling shareholder’s affiliates. Beneficial ownership is determined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listed in the table below may have sold, transferred, otherwise disposed of or purchased, or may sell, transfer, otherwise dispose of or purchase, at any time and from time to time, shares of our common stock in transactions exempt from the registration requirements of the Securities Act or in the open market after the date on which they provided the information set forth in the table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about additional selling shareholders, if any, including their identities and the common stock to be registered on their behalf, may be set forth in a prospectus supplement, in a post-effective amendment or in filings that we make with the SEC under the Exchange Act. Information concerning the selling shareholders may change from time to time. Any changes to the information provided below may be set forth in a supplement to this prospectus, in a post-effective amendment or in filings we make with the SEC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subject to applicable community property laws, to our knowledge, each shareholder named in the following table possesses sole voting and investment power over the shares listed.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named below and their permitted transferees, pledgees, donees or other successors may from time to time offer shares of common stock under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8"/>
        <w:gridCol w:w="181"/>
        <w:gridCol w:w="60"/>
        <w:gridCol w:w="1156"/>
        <w:gridCol w:w="60"/>
        <w:gridCol w:w="181"/>
        <w:gridCol w:w="128"/>
        <w:gridCol w:w="979"/>
        <w:gridCol w:w="279"/>
        <w:gridCol w:w="128"/>
        <w:gridCol w:w="60"/>
        <w:gridCol w:w="1117"/>
        <w:gridCol w:w="60"/>
        <w:gridCol w:w="181"/>
        <w:gridCol w:w="75"/>
        <w:gridCol w:w="854"/>
        <w:gridCol w:w="60"/>
        <w:gridCol w:w="181"/>
        <w:gridCol w:w="145"/>
        <w:gridCol w:w="926"/>
        <w:gridCol w:w="66"/>
      </w:tblGrid>
      <w:tr>
        <w:trPr/>
        <w:tc>
          <w:tcPr>
            <w:tcW w:w="3328"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2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br/>
              <w:t>Prior to This Offering</w:t>
            </w:r>
          </w:p>
        </w:tc>
        <w:tc>
          <w:tcPr>
            <w:tcW w:w="279" w:type="dxa"/>
            <w:tcBorders/>
            <w:vAlign w:val="bottom"/>
          </w:tcPr>
          <w:p>
            <w:pPr>
              <w:pStyle w:val="TableContents"/>
              <w:bidi w:val="0"/>
              <w:spacing w:before="0" w:after="283"/>
              <w:jc w:val="left"/>
              <w:rPr/>
            </w:pPr>
            <w:r>
              <w:rPr/>
              <w:t> </w:t>
            </w:r>
          </w:p>
        </w:tc>
        <w:tc>
          <w:tcPr>
            <w:tcW w:w="128" w:type="dxa"/>
            <w:vMerge w:val="restart"/>
            <w:tcBorders/>
            <w:vAlign w:val="bottom"/>
          </w:tcPr>
          <w:p>
            <w:pPr>
              <w:pStyle w:val="TableContents"/>
              <w:bidi w:val="0"/>
              <w:spacing w:before="0" w:after="283"/>
              <w:jc w:val="left"/>
              <w:rPr/>
            </w:pPr>
            <w:r>
              <w:rPr/>
              <w:t> </w:t>
            </w:r>
          </w:p>
        </w:tc>
        <w:tc>
          <w:tcPr>
            <w:tcW w:w="117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br/>
              <w:t>Common</w:t>
              <w:br/>
              <w:t>Stock that</w:t>
              <w:br/>
              <w:t>May be</w:t>
            </w:r>
            <w:r>
              <w:rPr/>
              <w:br/>
            </w:r>
            <w:r>
              <w:rPr>
                <w:b/>
              </w:rPr>
              <w:t>Sold</w:t>
            </w:r>
            <w:r>
              <w:rPr/>
              <w:br/>
            </w:r>
            <w:r>
              <w:rPr>
                <w:b/>
              </w:rPr>
              <w:t>Hereby</w:t>
            </w:r>
          </w:p>
        </w:tc>
        <w:tc>
          <w:tcPr>
            <w:tcW w:w="60" w:type="dxa"/>
            <w:vMerge w:val="restart"/>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2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w:t>
              <w:br/>
              <w:t>Owned</w:t>
              <w:br/>
              <w:t>After This Offering+</w:t>
            </w:r>
          </w:p>
        </w:tc>
        <w:tc>
          <w:tcPr>
            <w:tcW w:w="66" w:type="dxa"/>
            <w:tcBorders/>
            <w:vAlign w:val="bottom"/>
          </w:tcPr>
          <w:p>
            <w:pPr>
              <w:pStyle w:val="TableContents"/>
              <w:bidi w:val="0"/>
              <w:spacing w:before="0" w:after="283"/>
              <w:jc w:val="left"/>
              <w:rPr/>
            </w:pPr>
            <w:r>
              <w:rPr/>
              <w:t> </w:t>
            </w:r>
          </w:p>
        </w:tc>
      </w:tr>
      <w:tr>
        <w:trPr/>
        <w:tc>
          <w:tcPr>
            <w:tcW w:w="33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1"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279" w:type="dxa"/>
            <w:tcBorders/>
            <w:vAlign w:val="bottom"/>
          </w:tcPr>
          <w:p>
            <w:pPr>
              <w:pStyle w:val="TableContents"/>
              <w:bidi w:val="0"/>
              <w:spacing w:before="0" w:after="283"/>
              <w:jc w:val="left"/>
              <w:rPr/>
            </w:pPr>
            <w:r>
              <w:rPr/>
              <w:t> </w:t>
            </w:r>
          </w:p>
        </w:tc>
        <w:tc>
          <w:tcPr>
            <w:tcW w:w="128" w:type="dxa"/>
            <w:vMerge w:val="continue"/>
            <w:tcBorders/>
            <w:vAlign w:val="bottom"/>
          </w:tcPr>
          <w:p>
            <w:pPr>
              <w:pStyle w:val="Normal"/>
              <w:bidi w:val="0"/>
              <w:jc w:val="left"/>
              <w:rPr/>
            </w:pPr>
            <w:r>
              <w:rPr/>
            </w:r>
          </w:p>
        </w:tc>
        <w:tc>
          <w:tcPr>
            <w:tcW w:w="1177"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1"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Percent(1)</w:t>
            </w:r>
          </w:p>
        </w:tc>
        <w:tc>
          <w:tcPr>
            <w:tcW w:w="66" w:type="dxa"/>
            <w:tcBorders/>
            <w:vAlign w:val="bottom"/>
          </w:tcPr>
          <w:p>
            <w:pPr>
              <w:pStyle w:val="TableContents"/>
              <w:bidi w:val="0"/>
              <w:spacing w:before="0" w:after="283"/>
              <w:jc w:val="left"/>
              <w:rPr/>
            </w:pPr>
            <w:r>
              <w:rPr/>
              <w:t> </w:t>
            </w:r>
          </w:p>
        </w:tc>
      </w:tr>
      <w:tr>
        <w:trPr/>
        <w:tc>
          <w:tcPr>
            <w:tcW w:w="3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 EK Ventures IV, LLC(2)</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10,180,190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11.5</w:t>
            </w:r>
          </w:p>
        </w:tc>
        <w:tc>
          <w:tcPr>
            <w:tcW w:w="27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14,336,922</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328" w:type="dxa"/>
            <w:tcBorders/>
          </w:tcPr>
          <w:p>
            <w:pPr>
              <w:pStyle w:val="TableContents"/>
              <w:bidi w:val="0"/>
              <w:spacing w:before="0" w:after="0"/>
              <w:jc w:val="left"/>
              <w:rPr>
                <w:rFonts w:ascii="Times New Roman" w:hAnsi="Times New Roman"/>
                <w:sz w:val="20"/>
              </w:rPr>
            </w:pPr>
            <w:r>
              <w:rPr>
                <w:rFonts w:ascii="Times New Roman" w:hAnsi="Times New Roman"/>
                <w:sz w:val="20"/>
              </w:rPr>
              <w:t>Longleaf Partners Small-Cap Fund(3)</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8,877,619</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10.2</w:t>
            </w:r>
          </w:p>
        </w:tc>
        <w:tc>
          <w:tcPr>
            <w:tcW w:w="27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8,877,619</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K.F. Investors LLC(4)</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5,044,023</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6.4</w:t>
            </w:r>
          </w:p>
        </w:tc>
        <w:tc>
          <w:tcPr>
            <w:tcW w:w="27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4,850,439</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193,584</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328" w:type="dxa"/>
            <w:tcBorders/>
          </w:tcPr>
          <w:p>
            <w:pPr>
              <w:pStyle w:val="TableContents"/>
              <w:bidi w:val="0"/>
              <w:spacing w:before="0" w:after="0"/>
              <w:jc w:val="left"/>
              <w:rPr>
                <w:rFonts w:ascii="Times New Roman" w:hAnsi="Times New Roman"/>
                <w:sz w:val="20"/>
              </w:rPr>
            </w:pPr>
            <w:r>
              <w:rPr>
                <w:rFonts w:ascii="Times New Roman" w:hAnsi="Times New Roman"/>
                <w:sz w:val="20"/>
              </w:rPr>
              <w:t>George and Renee Karfunkel(5)</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5,020,583</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6.4</w:t>
            </w:r>
          </w:p>
        </w:tc>
        <w:tc>
          <w:tcPr>
            <w:tcW w:w="27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4,482,986</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537,597</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Momar Corporation(4)</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3,139,741</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4.0</w:t>
            </w:r>
          </w:p>
        </w:tc>
        <w:tc>
          <w:tcPr>
            <w:tcW w:w="27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3,139,741</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328" w:type="dxa"/>
            <w:tcBorders/>
          </w:tcPr>
          <w:p>
            <w:pPr>
              <w:pStyle w:val="TableContents"/>
              <w:bidi w:val="0"/>
              <w:spacing w:before="0" w:after="0"/>
              <w:jc w:val="left"/>
              <w:rPr>
                <w:rFonts w:ascii="Times New Roman" w:hAnsi="Times New Roman"/>
                <w:sz w:val="20"/>
              </w:rPr>
            </w:pPr>
            <w:r>
              <w:rPr>
                <w:rFonts w:ascii="Times New Roman" w:hAnsi="Times New Roman"/>
                <w:sz w:val="20"/>
              </w:rPr>
              <w:t>C2W Partners Fund LP(6)</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3,011,082</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3.8</w:t>
            </w:r>
          </w:p>
        </w:tc>
        <w:tc>
          <w:tcPr>
            <w:tcW w:w="27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2,351,082</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660,000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II LP(7)(8)</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2,879,085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3.6</w:t>
            </w:r>
          </w:p>
        </w:tc>
        <w:tc>
          <w:tcPr>
            <w:tcW w:w="27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3,337,116</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7,225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328" w:type="dxa"/>
            <w:tcBorders/>
          </w:tcPr>
          <w:p>
            <w:pPr>
              <w:pStyle w:val="TableContents"/>
              <w:bidi w:val="0"/>
              <w:spacing w:before="0" w:after="0"/>
              <w:jc w:val="left"/>
              <w:rPr>
                <w:rFonts w:ascii="Times New Roman" w:hAnsi="Times New Roman"/>
                <w:sz w:val="20"/>
              </w:rPr>
            </w:pPr>
            <w:r>
              <w:rPr>
                <w:rFonts w:ascii="Times New Roman" w:hAnsi="Times New Roman"/>
                <w:sz w:val="20"/>
              </w:rPr>
              <w:t>United Equities Commodities Company(4)</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1,519,646</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1.9</w:t>
            </w:r>
          </w:p>
        </w:tc>
        <w:tc>
          <w:tcPr>
            <w:tcW w:w="27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1,518,646</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Kennedy Lewis Capital Partners Master Fund LP(8)(9)</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706,970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819,481</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1,775</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3328" w:type="dxa"/>
            <w:tcBorders/>
          </w:tcPr>
          <w:p>
            <w:pPr>
              <w:pStyle w:val="TableContents"/>
              <w:bidi w:val="0"/>
              <w:spacing w:before="0" w:after="0"/>
              <w:jc w:val="left"/>
              <w:rPr>
                <w:rFonts w:ascii="Times New Roman" w:hAnsi="Times New Roman"/>
                <w:sz w:val="20"/>
              </w:rPr>
            </w:pPr>
            <w:r>
              <w:rPr>
                <w:rFonts w:ascii="Times New Roman" w:hAnsi="Times New Roman"/>
                <w:sz w:val="20"/>
              </w:rPr>
              <w:t>Marneu Holding Company(4)</w:t>
            </w:r>
          </w:p>
        </w:tc>
        <w:tc>
          <w:tcPr>
            <w:tcW w:w="1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614,041</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606,000</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8,041</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33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Deseret Mutual Pension Trust(10)</w:t>
            </w:r>
          </w:p>
        </w:tc>
        <w:tc>
          <w:tcPr>
            <w:tcW w:w="1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170,000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170,000</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that the selling shareholders will sell all shares of their common stock that may be registered pursuant to this prospectus. There is no assurance that the selling shareholders will resell all or any of their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common stock is based on 78,573,655 shares of our common stock outstanding as of August 9, 2021. The calculation of percentages assumes the acquisition by each selling shareholder of all shares that may be acquired upon conversion of shares of Series B Preferred Stock, Series C Preferred Stock or convertible notes held by such selling shareholder and assumes that the other holders of such convertible securities do not convert the convertible securities held by such other holders.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includes 10,180,190 shares of Common Stock issuable upon conversion of shares of Series C Preferred Stock held by GO EK Ventures IV, LLC (“GO EK Ventures”). Number of shares of Common Stock that may be sold hereby includes shares of Common Stock issuable upon conversion of shares of Series C Preferred Stock payable as dividends in kind through the mandatory redemption date of the Series C Preferred Stock. B. Thomas Golisano, as the sole member of GO EK Ventures, may make investment decisions on behalf of GO EK Ventures and as such may be deemed to have dispositive power over the shares held by GO EK Ventures. The address for GO EK Ventures is 7632 County Road 42, Victor, NY 14564. Pursuant to the Series C Preferred Stock Purchase Agreement entered into on February 26, 2021 in connection with GO EK Ventures’ purchase of the Series C Preferred Stock, GO EK Ventures has the right to nominate at the Company’s next annual or special shareholder meeting one member to the Company’s board of directors, which right expires upon the earlier to occur of the third anniversary of the initial issuance of the Series C Preferred Stock or GO EK Ventures ceasing to own at least a majority of the shares of Series C Preferred Stock purchased pursuant to such purchase agreement or shares of Common Stock received upon conversion of such shares. Mr. Golisano serves as one of our directors pursuant to this right and beneficially owns 9,000 shares of restricted Common Stock and restricted stock units with respect to 10,000 shares of Common Stock, in each case granted under our 2013 Omnibus Incentive Plan, as amended (the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includes 8,877,619 shares of Common Stock issuable upon conversion of shares of Series B Preferred Stock held by Longleaf Partners Small-Cap Fund (“Longleaf”). Southeastern Asset Management, Inc. (“Southeastern”) is an investment advisor to Longleaf and as such may be deemed to have dispositive power over the shares held by Longleaf. Mason Hawkins, Staley Cates and Ross Glotzbach, in their capacities as portfolio managers for Southeastern, make investment decisions on behalf of Southeastern in its capacity as investment advisor to Longleaf. The address for Southeastern is 6410 Poplar Ave. #900, Memphis, TN 38119.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KF Investors LLC (“KF Investors”) is a New York limited liability company managed by Dr. Joseph Fink and Philippe D. Katz. Dr. Fink is the President and Treasurer of Momar Corporation (“Momar”), a New York corporation, and Mr. Katz is Vice President and Secretary of Momar. Messrs. Fink and Katz are the directors of Momar. No person is a controlling shareholder of Momar. Moses Marx, Dr. Fink and Mr. Katz are general partners of United Equities Commodities Company (“United Equities”), a New York general partnership. Mr. Marx holds a 99% general partnership interest in United Equities. Mr. Marx has no ownership interest in nor any control of KF Investors and has no beneficial interest in the shares of our common stock owned by Momar. Marneu is a New York general partnership. The general partners of Marneu are Moses Marx and United Equities Realty Associates, a New York general partnership, the general partners of which are Mr. Marx, Dr. Fink and Mr. Katz. As of August 3, 2020, Mr. Marx held a direct and indirect 71.4285% general partnership interest in Marneu. Mr. Katz serves as one of our directors and owns 120,496 shares of our common stock directly, 50,510 shares of phantom stock, options to purchase 45,095 shares of Common Stock granted under the Plan that are currently exercisable, 11,000 shares of restricted Common Stock granted under the Plan, and restricted stock units with respect to 10,000 shares of Common Stock granted under the Plan. The business address for each of KF Investors, Momar, United Equities and Marneu is 160 Broadway, 1st Floor, New York, NY 10038.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George and Renee Karfunkel reports shared voting and dispositive power with respect to 5,020,565 shares, which includes 500,000 shares of our common stock owned by the Chesed Foundation of America, a charitable foundation controlled by Mr. Karfunkel, and options to purchase 37,597 shares of Common Stock that are currently exercisable. The calculation of percentages assumes the acquisition by Mr. Karfunkel of all shares that may be acquired upon exercise of his options and assumes that no other holders of options or convertible securities exercise or convert the options or convertible securities held by such other holders. The address for Mr. and Mrs. Karfunkel is 1671 52nd Street, Brooklyn, NY 11204.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includes 476,190 shares of Common Stock issuable upon conversion of Series B Preferred Stock held by C2W Partners Fund LP (“C2W”). Southeastern is an investment advisor to C2W and as such may be deemed to have dispositive power over the shares held by C2W. Mason Hawkins, Staley Cates and Ross Glotzbach, in their capacities as portfolio managers for Southeastern, make investment decisions on behalf of Southeastern in its capacity as investment advisor to C2W. The address for Southeastern is 6410 Poplar Ave. #900, Memphis, TN 38119.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includes (i) 2,068,860 shares of Common Stock issuable upon conversion of a convertible note held by Kennedy Lewis Capital Partners Master Fund II LP (“KLIM Fund II”), including 61,860 shares of Common Stock issuable to KLIM Fund II upon conversion of interest payable in kind accrued through October 9, 2021 with respect to such convertible note and (ii) 803,000 shares of Common Stock sold by the Company to KLIM Fund II on February 26, 2021. Number of shares of Common Stock that may be sold hereby includes all shares of Common Stock issuable to KLIM Fund II upon conversion of interest payable in kind through the maturity date of the convertible note held by KLIM Fund II.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Kennedy Lewis Management LP (the “Adviser”) is the investment adviser to Kennedy Lewis Capital Partners Master Fund LP (“KLIM Fund I” and, collectively with KLIM Fund II, the “KLIM Funds”) and KLIM Fund II. KLM GP LLC (“KLM”) is the general partner of the Adviser. Kennedy Lewis Investment Management LLC (“Kennedy Lewis”) is the owner and control person of KLM. David K. Chene and Darren L. Richman are the managing members and control persons of Kennedy Lewis. Each of the Adviser, KLM and Kennedy Lewis may be deemed to exercise voting and investment power over securities held by each of the KLIM Funds due to their relationship with the KLIM Funds. Kennedy Lewis GP LLC (“Fund I GP”) is the general partner of KLIM Fund I. Kennedy Lewis Investment Holdings LLC (“Holdings I”) is the managing member of Fund I GP. David K. Chene and Darren L. Richman are the managing members of Holdings I. Each of Fund I GP and Holdings I may be deemed to exercise voting and investment power over securities held by KLIM Fund I due to their relationship with KLIM Fund I. Kennedy Lewis GP II LLC (“Fund II GP”) is the general partner of KLIM Fund II. Kennedy Lewis Investment Holdings II LLC (“Holdings II”) is the managing member of Fund II GP. David K. Chene and Darren L. Richman are the managing members of Holdings II. Each of Fund II GP and Holdings II may be deemed to exercise voting and investment power over securities held by KLIM Fund II due to their relationship with KLIM Fund II. David K. Chene and Darren L. Richman, in their capacities as managing members of Kennedy Lewis, and managing members of each of Holdings I and Holdings II, may be deemed to exercise voting and investment power over securities held by each of the KLIM Funds due to their relationships with the KLIM Funds. The address for Kennedy Lewis is 111 West 33rd Street, Suite 1910, New York, NY 10120. On February 26, 2021, the Company entered into a credit agreement with the KLIM Funds pursuant to which the KLIM Funds provided $275,000,000 of term loan credit facilities to the Company, including $225,000,000 of initial term loans drawn in full on the same date and $50,000,000 of delayed draw term loan commitments that may be drawn on or before February 26, 2023 subject to certain conditions. Pursuant to a letter agreement entered into between the Company and Kennedy Lewis on February 26, 2021 in connection with such debt financing, Kennedy Lewis is contractually entitled to appoint an individual designated by Kennedy Lewis as a member of the Company’s board of directors as soon as practicable after the date of such letter agreement and in any event on or prior to the next annual meeting of the Company’s shareholders, subject to customary conditions. Mr. Richman serves as one of our directors pursuant to this right. Number of shares of Common Stock beneficially owned includes 9,000 shares of restricted Common Stock held by Mr. Richman and granted under the Plan (7,225 allocated to KLIM Fund II and 1,775 allocated to KLIM Fund I) and excludes 10,000 shares of Common Stock subject to restricted stock units granted to Mr. Richman under the Plan that are currently unvested and that are not deemed to be shares beneficially owned by Mr. Richman. Because Mr. Richman serves on the Board as a representative of the KLIM Funds, Mr. Richman does not have a right to any economic interest in securities of the Company granted to him in respect of his Board position and the KLIM Funds are entitled to an indirect proportionate pecuniary interest in any securities granted to Mr. Richman in respect of Mr. Richman’s Board position.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includes (i) 508,195 shares of Common Stock issuable upon conversion of a convertible note held by KLIM Fund I, including 15,195 shares of Common Stock issuable to KLIM Fund I upon conversion of interest payable in kind accrued through October 9, 2021 with respect to such convertible note and (ii) 197,000 shares of Common Stock sold by the Company to KLIM Fund I on February 26, 2021. Number of shares of Common Stock that may be sold hereby includes all shares of Common Stock issuable to KLIM Fund I upon conversion of interest payable in kind through the maturity date of the convertible note held by KLIM Fund 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beneficially owned includes 170,000 shares of Common Stock issuable upon conversion of shares of Series B Preferred Stock held by Deseret Mutual Pension Trust. Deseret Mutual Benefit Administrators is a trustee of Deseret Mutual Pension Trust and as such may be deemed to have dispositive power over the shares held by Deseret Mutual Pension Trust. The address for Deseret Mutual Benefit Administrators is 150 Social Hall Avenue #100, Salt Lake City, UT 84111.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51278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up to 500,000,000 shares of common stock, par value $0.01 per share, and 60,000,000 shares of preferred stock, no par value, of which 2,000,000 shares have been designated 5.50% Series A Convertible Preferred Stock (“Series A Preferred Stock”), none of which are outstanding, 1,000,000 shares have been designated 4.0% Series B Convertible Preferred Stock (the “Series B Preferred Stock”), all of which are outstanding, and up to 1,435,000 shares have been designated 5.0% Series C Convertible Preferred Stock (the “Series C Preferred Stock” and, together with the Series A Preferred Stock and the Series B Preferred Stock, the “Preferred Stock”), 1,018,019 of which are currently outstanding. Any additional series of preferred stock designated out of the remaining authorized shares of preferred stock shall have such rights, preferences and limitations as authorized in our Second Amended and Restated Certificate of Incorporation, as amended (the “Certificate”) and as determined by resolutions adopted by the Board of Directors of the Company (the “Board”). The rights of holders of the common stock shall be subject to the rights of holders of any series of preferred stock that may be issued from time to time, including liquidation rights, special voting rights and preferences with respect to payment of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to the designated preferential rights of any outstanding series of preferred stock that the Board may cause to be issued, from time to time, the holders of common stock will be entitled to dividends as may be declared from time to time by the Board pursuant to the provisions of the New Jersey Business Corporation Act. </w:t>
      </w:r>
    </w:p>
    <w:p>
      <w:pPr>
        <w:pStyle w:val="TextBody"/>
        <w:bidi w:val="0"/>
        <w:spacing w:before="240" w:after="0"/>
        <w:jc w:val="left"/>
        <w:rPr>
          <w:rFonts w:ascii="Times New Roman" w:hAnsi="Times New Roman"/>
          <w:sz w:val="20"/>
        </w:rPr>
      </w:pPr>
      <w:r>
        <w:rPr>
          <w:rFonts w:ascii="Times New Roman" w:hAnsi="Times New Roman"/>
          <w:sz w:val="20"/>
        </w:rPr>
        <w:t xml:space="preserve">Holders of Series B Preferred Stock are entitled to receive cash dividends in an amount equal to the dividend rate of 4.0% per annum of the liquidation preference of $100.00 per share of Series B Preferred Stock. Dividends on the Series B Preferred Stock will be paid in cash if the Company has funds legally available for payment and the Board, or an authorized committee thereof, declares a cash dividend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(i) all accumulated and unpaid dividends on the Series B Preferred Stock have been paid in full or a sum for such amounts has been set aside for payment or (ii) the Company has fully performed its obligation to redeem in full all outstanding shares of the Series B Preferred Stock, the Company may not declare dividends on shares of common stock or any other shares of the Company’s stock ranking junior to the Series B Preferred Stock and may not purchase, redeem or otherwise acquire such shares, subject to certain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Series C Preferred Stock are entitled to receive dividends payable “in-kind” in the form of additional shares of the Series C Preferred Stock in an amount equal to 5.0% per annum of the liquidation preference per share of the Series C Preferred Stock. The Series C Preferred Stock has an initial liquidation preference of $100.00 per share. If dividends on the Series C Preferred Stock are not declared and paid for any given fiscal quarter, the liquidation preference is automatically increased by the amount of such unpaid dividends. Holders of the Series C Preferred Stock are also entitled to participate in any dividends paid on the common stock (other than stock dividends) in an amount equal to the amount of such dividends which would be payable on the number of shares of common stock into which such shares of the Series C Preferred Stock could be converted on the applicable record date, with such dividends on any shares of the Series C Preferred Stock being payable upon conversion of such shares of the Series C Preferred Stock into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Unless (i) all accumulated and unpaid dividends on the Series C Preferred Stock have been paid in full in the form of additional shares of the Series C Preferred Stock or the liquidation preference has been increased by the amount of any unpaid dividends or (ii) the Company has fully performed its obligation to redeem in full all outstanding shares of the Series C Preferred Stock, the Company may not declare dividends on shares of common stock or any other shares of the Company’s stock ranking junior to the Series C Preferred Stock and may not purchase, redeem or otherwise acquire such shares, subject to certain customary exceptions.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ranks junior to the Series B Preferred Stock and the Series C Preferred Stock as to payment of dividends and distributions of assets upon the liquidation, dissolution or winding up of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Fourth Amended and Restated By-Laws of the Company (the “By-Laws”) provide that each share of common stock entitles the holder thereof to one vote on all matters, including the election of directors, and, except as otherwise required by law or provided in any resolution adopted by our Board with respect to any series of preferred stock, the holders of the shares of common stock will possess all voting power. Generally, all matters to be voted on by the shareholders must be approved by a majority of the votes cast at a meeting at which a quorum is present, subject to state law and any voting rights granted to any of the holders of preferred stock. Holders of Series C Preferred Stock are entitled to vote upon all matters upon which holders of common stock have the right to vote, and will be entitled to the number of votes equal to the number of full shares of common stock into which such shares of Series C Preferred Stock could be converted on the applicable record date, such votes to be counted together with shares of common stock and not separately as a class. The Certificate provides for certain limitations on the voting rights of holders of common stock with respect to amendments to the Certificate that affect the terms of outstanding preferred stock, including the Series B Preferred Stock and the Series C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the number of directors shall be no fewer than seven and not more than 13, as may be determined from time to time by the Board. There are no cumulative voting rights with respect to the election of directors. A nominee for director shall be elected to the Board if the nominee receives a majority of the votes cast at a meeting at which a quorum is present. A nominee receives a majority of the votes cast if the votes “for” such nominee’s election exceed the votes “against” such nominee’s election. However, directors shall be elected by a plurality of the votes cast in any contested election for directors. A “contested election” is any election in which the number of nominees seeking election is more than the number of directors to be elected. Shareholders will be permitted only to vote “for” or “withhold” authority in a contested election. </w:t>
      </w:r>
    </w:p>
    <w:p>
      <w:pPr>
        <w:pStyle w:val="TextBody"/>
        <w:bidi w:val="0"/>
        <w:spacing w:before="240" w:after="0"/>
        <w:jc w:val="left"/>
        <w:rPr>
          <w:rFonts w:ascii="Times New Roman" w:hAnsi="Times New Roman"/>
          <w:sz w:val="20"/>
        </w:rPr>
      </w:pPr>
      <w:r>
        <w:rPr>
          <w:rFonts w:ascii="Times New Roman" w:hAnsi="Times New Roman"/>
          <w:sz w:val="20"/>
        </w:rPr>
        <w:t xml:space="preserve">If dividends on the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in full or set aside, at which time any such director serving on the Board shall resign. </w:t>
      </w:r>
    </w:p>
    <w:p>
      <w:pPr>
        <w:pStyle w:val="TextBody"/>
        <w:bidi w:val="0"/>
        <w:spacing w:before="240" w:after="0"/>
        <w:jc w:val="left"/>
        <w:rPr>
          <w:rFonts w:ascii="Times New Roman" w:hAnsi="Times New Roman"/>
          <w:sz w:val="20"/>
        </w:rPr>
      </w:pPr>
      <w:r>
        <w:rPr>
          <w:rFonts w:ascii="Times New Roman" w:hAnsi="Times New Roman"/>
          <w:sz w:val="20"/>
        </w:rPr>
        <w:t xml:space="preserve">The initial holder of the Series C Preferred Stock is contractually entitled to nominate one director to the Board. B. Thomas Golisano serves as one of our directors pursuant to this right. This nomination right expires on February 26, 2024. Following February 26, 2024, if dividends on the Series C Preferred Stock are in arrears for six or more consecutive or non-consecutive dividend periods, the initial holder of the Series C Preferred Stock will be entitled to nominate one director at the next annual shareholder meeting and all subsequent shareholder meetings until all accumulated dividends on such Series C Preferred Stock have been paid in full in the form of additional shares of Series C Preferred Stock or the liquidation preference has been increased by the amount of any unpaid dividends, at which time any such director serving on the Board shall resign. The foregoing nomination rights will automatically terminate upon the initial holder ceasing to directly or indirectly hold at least a majority of the shares of the Series C Preferred Stock purchased or the common stock received upon the conversion of such shares. Such nomination rights are exclusive to the initial holder of the Series C Preferred Stock and do not transfer with the Series C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debt financing obtained by the Company from the KLIM Funds pursuant to that certain Credit Agreement among the Company, the lenders party thereto, and Alter Domus (US) LLC, as administrative agent (the “Term Loan Credit Agreement”), the Company has agreed that the Board will appoint an individual designated by Kennedy Lewis Investment Management LLC (“KLIM”) as a member of the Board at or prior to the next annual shareholder meeting. Darren L. Richman serves as one of our directors pursuant to this right. Thereafter, KLIM will have the right to nominate one director at each subsequent shareholder meeting until the earlier to occur of (x) February 26, 2024 or (y) KLIM affiliated funds ceasing to hold at least 50% of the original principal amount of the term loans and commitments under the Term Loan Credit Agreement. 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 </w:t>
      </w:r>
    </w:p>
    <w:p>
      <w:pPr>
        <w:pStyle w:val="TextBody"/>
        <w:bidi w:val="0"/>
        <w:spacing w:before="240" w:after="0"/>
        <w:jc w:val="left"/>
        <w:rPr>
          <w:rFonts w:ascii="Times New Roman" w:hAnsi="Times New Roman"/>
          <w:sz w:val="20"/>
        </w:rPr>
      </w:pPr>
      <w:r>
        <w:rPr>
          <w:rFonts w:ascii="Times New Roman" w:hAnsi="Times New Roman"/>
          <w:sz w:val="20"/>
        </w:rPr>
        <w:t xml:space="preserve">Except as may otherwise be required by law or by the Certificate, the By-Laws may be amended, altered, or repealed, in whole or in part, by the affirmative vote of a majority of the Board. The shareholders, by a majority of the votes cast at a meeting of the shareholders called for such purpose, may adopt, alter, amend or repeal the By-Laws whether made by the Board or otherwise; such amendments adopted by the shareholders may not be amended or repealed by action of the Board without (i) the affirmative vote of a majority of the votes cast at a meeting of the shareholders called for such purpose or (ii) approval by written consent of the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do not have preemptive rights. There are no subscription, redemption, conversion or sinking fund provisions with respect to the common stock. Each series of the Preferred Stock is subject to mandatory redemption on the applicable mandatory redemption date at a redemption price equal to the applicable liquidation preference plus accrued and unpaid dividends to, but excluding, the redemption date. Each holder of Preferred Stock has the right at any time to, at its option, convert any or all of such holder’s shares of Preferred Stock at the applicable conversion rate and on the terms and subject to the conditions set forth in the applicable amendment to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1123(a)(6) of chapter 11 of title 11 of the United States Code (the “Bankruptcy Code”), the Company is prohibited from issuing any non-voting equity securities for so long as section 1123 of the Bankruptcy Code is in effect and applicable to the Company. This restriction on the issuance of non-voting equity securities is included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description of the terms of our capital stock, please refer to the documents and other information that we incorporate by reference elsewhere in this prospectus. See “Where You Can Find More Information” and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which is listed on the New York Stock Exchange, is Computershare Shareowner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Various provisions contained in the Certificate, the By-Laws, and New Jersey law could delay or discourage some transactions involving an actual or potential change in control of the Company or its management. Provisions in the Certificate and the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only a majority of the Board, the Chairman or the President may call a special meeting of the shareholders, except that a special meeting must be called upon the request from at least 20% of the total number of votes represented by the entire amount of capital stock of the Company issued and outstanding and entitled to vote at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 advanced written notice procedure with respect to shareholder proposals and shareholder nomination of candidates for election as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fill any vacancies on the Board, including vacancies resulting from an increase in the number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is subject to Chapter 14A:10A of the New Jersey Business Corporation Act, the New Jersey Shareholders Protection Act. Chapter 14A:10A is an anti-takeover statute designed to protect shareholders against coercive, unfair or inadequate tender offers and other abusive tactics and to encourage any person contemplating a business combination with the Company to negotiate with the Board for the fair and equitable treatment of all shareholders. Subject to certain qualifications and exceptions, the statute prohibits an interested stockholder of a corporation from effecting a business combination with the corporation for a period of five years from the date the interested stockholder acquires the corporation’s stock, unless (a) the corporation’s board of directors approved the combination prior to the stockholder becoming an interested stockholder or (b) (i) the corporation’s board of directors approved the transaction or series of transactions causing the stockholder to become an interested stockholder and the corporation’s disinterested directors or a committee of disinterested directors approved the subsequent business combination and (ii) such subsequent business combination was also approved by the affirmative vote of holders of a majority of the voting stock of the corporation not owned by the interested stockholder. In addition, but not in limitation of the five-year restriction, if applicable, corporations covered by the New Jersey statute may not engage at any time in a business combination with any interested stockholder of that corporation unless (x) the combination is approved by the board of directors prior to the interested stockholder’s stock acquisition date, (y) the combination receives the approval of holders of two-thirds of the voting stock of the corporation not beneficially owned by the interested stockholder or (z) the combination meets minimum financial terms specified by the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“interested stockholder” is defined to include any beneficial owner of 10% or more of the voting power of the outstanding voting stock of the corporation and any affiliate or associate of the corporation who within the prior five year period has at any time owned 10% or more of the voting power of the then outstanding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term “business combination” is defined to include a broad range of transactions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the corporation with the interested stockholder or any corporation that is or after the merger or consolidation would be an affiliate or associate of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lease, exchange, mortgage, pledge, transfer or other disposition to an interested stockholder or any affiliate or associate of the interested stockholder of 10% or more of the corporation’s assets,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transfer to an interested stockholder or any affiliate or associate of the interested stockholder of 5% or more of the aggregate market value of the stock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the statute is to protect non-tendering, post-acquisition minority shareholders from mergers in which they will be “squeezed out” after the merger, by prohibiting transactions in which an acquirer could favor itself at the expense of minority shareholders. The statute generally applies to corporations that are organized under New Jersey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51278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may, from time to time, sell, transfer or otherwise dispose of any or all of their respective shares of common stock on any stock exchange, market or trading facility on which the securities are traded or in private transactions. Such transactions may be effected through agents, through underwriters, brokers or dealers, directly to one or more purchasers at fixed prices, at prevailing market prices at the time of sale, at prices related to the prevailing market price, at varying prices determined at the time of sale, at negotiated prices, or through a combination of any of these methods of sale, including in an “at the market” type of transaction. The selling shareholders may use any one or more of the following methods when selling the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underwritten public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or market distribution in accordance with the rules of the applicable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shareholders to sell a specified number of such securities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options, swaps or derivatives;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shareholders and any underwriters, broker-dealers or agents who participate in the sale or distribution of the securities may be deemed to be “underwriters” within the meaning of Section 2(11) of the Securities Act. If a selling shareholder is deemed to be an “underwriter” within the meaning of Section 2(11) of the Securities Act, the selling shareholder will be subject to the prospectus delivery requirements of the Securities Act. Underwriters are subject to certain statutory liabilities, including, but not limited to, those relating to Sections 11, 12 and 17 of the Securities Act and Rule 10b-5 under the Exchange Act. If the securities are sold through underwriters or broker-dealers, the selling shareholders will be responsible for underwriting discounts or commissions or agent’s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of the selling shareholders may enter into derivative, hedging, “at the market,” forward sale, option or other types of transactions with third parties, or sell securities not covered by the registration statement of which this prospectus forms a part to third parties, through a stock exchange, including block trades or ordinary broker’s transactions, or through broker-dealers acting either as principal or agent, or through an underwritten public offering, through privately negotiated transactions or through a combination of any such methods of sale. In connection with such a transaction, the third parties may sell securities covered by and pursuant to the registration statement of which this prospectus forms a part and an applicable prospectus supplement or pricing supplement, as the case may be. If so, the third party may use securities borrowed from any of the selling shareholders or others to settle such sales and may use securities received from such selling shareholder to close out or hedge any related short positions. Any selling shareholder may also loan or pledge securities covered by the registration statement of which this prospectus forms a part and an applicable prospectus supplement to third parties, who may sell the loaned securities or, in an event of default in the case of a pledge, sell the pledged securities pursuant to the registration statement of which this prospectus forms a part and the applicable prospectus supplement or pricing supplement,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shareholders will sell any or all of the securities under this prospectus. Further, we cannot assure you that the selling shareholders will not transfer, devise or gift the securities by other means not described in this prospectus. In addition, any securities covered by this prospectus that qualify for sale under Rule 144 or Rule 144A of the Securities Act may be sold under Rule 144 or Rule 144A rather than under this prospectus. The securities may be sold in some states only through registered or licensed brokers or dealers. In addition, in some states the securities may not be sold unless it has been registered or qualified for sale or an exemption from registration or qualification is available and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shareholders and any other person participating in the sale of the securities will be subject to the Exchange Act. The Exchange Act rules include, without limitation, Regulation M, which may limit the timing of purchases and sales of any of the securities by the selling shareholders and any other person. These provisions may restrict certain activities of, and limit the timing of, purchases by the selling shareholders or other persons or entities.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special exceptions or exemptions. Regulation M may restrict the ability of any person engaged in the distribution of the securities to engage in market making and certain other activities with respect to those securities. In addition, the anti-manipulation rules under the Exchange Act may apply to sales of the securities in the market. All of these limitations may affect the marketability of the securities and the ability of any person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this “Plan of Distribution,” unless the context otherwise indicates, references to selling shareholders include their pledgees, donees, transferees or successors in interest. The selling shareholders will act independently of us in making decisions with respect to the timing, manner and size of each sale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of the selling shareholders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any of the selling shareholders inform you otherwise in a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If any of the selling shareholders utilize an underwriter or underwriters in the sale, such selling shareholders will execute an underwriting agreement with such underwriters at the time of sale to them. Any underwriters will use a prospectus supplement in connection with any offers or sales of securities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Any of the selling shareholders may make sales of our common stock to or through one or more underwriters, dealers or agents in at- the-market offerings and will do so pursuant to the terms of a distribution agreement between the underwriters, dealers or agents and such selling shareholders. If any of the selling shareholders engage in at-the-market sales pursuant to a distribution agreement, such selling shareholders will sell shares of our common stock to or through one or more underwriters, dealers or agents, which may act on an agency basis or on a principal basis. During the term of any such distribution agreement, such selling shareholders may sell shares on a daily basis in exchange transactions or otherwise as such selling shareholders agree with the underwriters, dealers or agents. The distribution agreement may provide that any shares of our common stock sold will be sold at prices related to the then prevailing market prices for our securities. Therefore, exact figures regarding net proceeds to such selling shareholders or commissions to be paid are impossible to determine and will be described in a prospectus supplement. Pursuant to the terms of the distribution agreement, such selling shareholders also may agree to sell, and the relevant underwriters, dealers or agents may agree to solicit offers to purchase, blocks of our common stock. The terms of each such distribution agreement will be set forth in more detail in a prospectus supplement to this prospectus. To the extent that any named underwriter, dealer or agent acts as principal pursuant to the terms of a distribution agreement, or if such selling shareholders offer to sell shares of our common stock through another dealer acting as underwriter, then such named underwriter may engage in certain transactions that stabilize, maintain or otherwise affect the price of our common stock. Such selling shareholders will describe any such activities in the applicable prospectus supplement. To the extent that any named dealer or agent acts as agent on a best efforts basis pursuant to the terms of a distribution agreement, such dealer or agent will not engage in any such stabilization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particular offering pursuant to the registration statement of which this prospectus forms a part, an underwriter may engage in stabilizing transactions, over-allotment transactions, syndicate covering transactions and penalty bids. Stabilizing transactions permit bids to purchase the underlying security so long as the stabilizing bids do not exceed a specified maximum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Over-allotment involves sales by an underwriter of shares in excess of the number of shares an underwriter is obligated to purchase, which creates a syndicate short position. The short position may be either a covered short position or a naked short position. In a covered short position, the number of shares over-allotted by an underwriter is not greater than the number of shares that it may purchase in an over-allotment option. In a naked short position, the number of shares involved is greater than the number of shares in an over-allotment option. An underwriter may close out any short position by either exercising its over-allotment option and/or purchasing shares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Syndicate covering transactions involve purchases of shares of our common stock in the open market after the distribution has been completed in order to cover syndicate short positions. In determining the source of shares to close out the short position, an underwriter will consider, among other things, the price of shares available for purchase in the open market as compared to the price at which it may purchase shares through an over-allotment option. If an underwriter sells more shares than could be covered by an over-allotment option, a naked short position, the position can only be closed out by buying shares in the open market. A naked short position is more likely to be created if an underwriter is concerned that there could be downward pressure on the price of the shares in the open market after pricing that could adversely affect investors who purchase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representatives to reclaim a selling concession from a syndicate member when shares of our common stock originally sold by the syndicate member are purchased in a stabilizing or syndicate covering transaction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New York Stock Exchange or otherwise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selling shareholders use dealers in the sale of securities, such selling shareholders will sell the securities to the dealers as principals. They may then resell those securities to the public at varying prices determined by the dealers at the time of resale. Such selling shareholders will include in a prospectus supplement the names of the dealers and the terms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Selling shareholders could make sales in privately negotiated transactions and/or any other method permitted by law, including sales deemed to be an “at-the-market” offering as defined in Rule 415 under the Securities Act, which includes sales made directly on or through the New York Stock Exchange, the existing trading market for our common stock, or sales made to or through a market maker other than on an exchange.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of the selling shareholders make sales through one or more underwriters, dealers or agents in “at-the-market” offerings, such selling shareholder will do so pursuant to the terms of a distribution agreement or other “at-the-market” offering arrangement with such underwriters or agents. If any of the selling shareholders engage in at-the-market sales pursuant to any such agreement, such selling shareholder will issue and sell securities through one or more underwriters or agents, which may act on an agency basis or on a principal basis. During the term of any such agreement, such selling shareholder may sell securities on a daily basis in exchange transactions or otherwise as such selling shareholders agree with the underwriters or agents. The agreement will provide that any securities sold will be sold at prices related to the then prevailing market prices for such securities. Therefore, exact figures regarding proceeds that will be raised or commissions to be paid cannot be determined at this time. Pursuant to the terms of the agreement, such selling shareholder also may agree to sell, and the relevant underwriters or agents may agree to solicit offers to purchase, blocks of securities.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the securities. Any such activities will be described in the prospectus supplement or any related free writing prospectus relating to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Any of the selling shareholders may sell the securities directly, without the involvement of underwriters, dealers or agents. Any of the selling shareholders also may sell the securities through agents such selling shareholders designate from time to time, who may be deemed to be underwriters as that term is defined in the Securities Act. In the applicable prospectus supplement, such selling shareholders will name any agent involved in the offer or sale of the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selling shareholders will describe any commissions payable by such selling shareholders or any of the selling shareholders to the agent. Unless such selling shareholders inform you otherwise in a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Any of the selling shareholders may sell the securities directly to institutional investors or others who may be deemed to be underwriters within the meaning of the Securities Act with respect to any sale of those securities. Such selling shareholders will describe the terms of any such sales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any of the selling shareholders so indicate in a prospectus supplement, such selling shareholders may authorize agents, underwriters or dealers to solicit offers from certain types of institutions to purchase securities from such selling shareholders at the public offering price under delayed delivery contracts. These contracts would provide for payment and delivery on a specified date in the future. The contracts would be subject only to those conditions described in the prospectus supplement. The prospectus supplement would describe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Any of the selling shareholders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any of the selling shareholders in the ordinary course of their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securities must be sold in those states only through registered or licensed brokers or dealers. In addition, some states may restrict any of the selling shareholders from selling securities unless the securities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selling shareholders against certain liabilities arising under the Securities Act from sales of common stock. We will not bear any underwriting discounts or commissions or transfer taxes relating to the sale of the securities nor any other fees or expenses incurred by the selling shareholders in connection with the registration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51278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accompanying this prospectus, the validity of the common stock being offered hereby will be passed upon for us by Day Pitney LLP, Parsippany, New Jersey, and the validity of the other securities being offered hereby will be passed upon for us by Gibson, Dunn &amp; Crutcher LLP, New York, New York. </w:t>
      </w:r>
    </w:p>
    <w:p>
      <w:pPr>
        <w:pStyle w:val="TextBody"/>
        <w:bidi w:val="0"/>
        <w:spacing w:before="480" w:after="0"/>
        <w:jc w:val="center"/>
        <w:rPr>
          <w:rFonts w:ascii="Times New Roman" w:hAnsi="Times New Roman"/>
          <w:b/>
          <w:sz w:val="20"/>
        </w:rPr>
      </w:pPr>
      <w:bookmarkStart w:id="14" w:name="tx151278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Eastman Kodak Company appearing in Eastman Kodak Company’s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for the year ended December 31, 2019 incorporated in this Registration Statement by reference to the Annual Report on Form 10-K for the year ended December 31, 2020 have been so incorporated in reliance on the report (which contains an explanatory paragraph relating to Eastman Kodak Company’s ability to continue as a going concern as described in Note 1 (which was not presented therein))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EASTMAN KODAK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12, 2021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235/000156459021013581/kodk-10k_20201231.htm" TargetMode="External"/><Relationship Id="rId3" Type="http://schemas.openxmlformats.org/officeDocument/2006/relationships/hyperlink" Target="http://www.sec.gov/Archives/edgar/data/31235/000120677421001054/kodk3875571-def14a.htm" TargetMode="External"/><Relationship Id="rId4" Type="http://schemas.openxmlformats.org/officeDocument/2006/relationships/hyperlink" Target="http://www.sec.gov/Archives/edgar/data/31235/000156459021028398/kodk-10q_20210331.htm" TargetMode="External"/><Relationship Id="rId5" Type="http://schemas.openxmlformats.org/officeDocument/2006/relationships/hyperlink" Target="http://www.sec.gov/Archives/edgar/data/../../../ix?doc=/Archives/edgar/data/31235/000156459021043080/kodk-10q_20210630.htm" TargetMode="External"/><Relationship Id="rId6" Type="http://schemas.openxmlformats.org/officeDocument/2006/relationships/hyperlink" Target="http://www.sec.gov/Archives/edgar/data/0000031235/000119312521062328/d468860d8k.htm" TargetMode="External"/><Relationship Id="rId7" Type="http://schemas.openxmlformats.org/officeDocument/2006/relationships/hyperlink" Target="http://www.sec.gov/Archives/edgar/data/0000031235/000119312521062337/d143817d8k.htm" TargetMode="External"/><Relationship Id="rId8" Type="http://schemas.openxmlformats.org/officeDocument/2006/relationships/hyperlink" Target="http://www.sec.gov/Archives/edgar/data/31235/000156459021017631/kodk-8k_20210330.htm" TargetMode="External"/><Relationship Id="rId9" Type="http://schemas.openxmlformats.org/officeDocument/2006/relationships/hyperlink" Target="http://www.sec.gov/Archives/edgar/data/31235/000156459021029777/kodk-8k_20210519.htm" TargetMode="External"/><Relationship Id="rId10" Type="http://schemas.openxmlformats.org/officeDocument/2006/relationships/hyperlink" Target="http://www.sec.gov/Archives/edgar/data/31235/000119312513355253/d591061d8a12g.htm" TargetMode="External"/><Relationship Id="rId11" Type="http://schemas.openxmlformats.org/officeDocument/2006/relationships/hyperlink" Target="http://www.sec.gov/Archives/edgar/data/31235/000119312513354928/d591063ds8.htm" TargetMode="External"/><Relationship Id="rId12" Type="http://schemas.openxmlformats.org/officeDocument/2006/relationships/hyperlink" Target="http://www.sec.gov/Archives/edgar/data/31235/000156459021013581/kodk-ex411_208.htm" TargetMode="External"/><Relationship Id="rId13" Type="http://schemas.openxmlformats.org/officeDocument/2006/relationships/hyperlink" Target="http://www.sec.gov/Archives/edgar/data/31235/000156459021013581/kodk-10k_2020123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14320</Words>
  <Characters>75740</Characters>
  <CharactersWithSpaces>90544</CharactersWithSpaces>
  <Paragraphs>1101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