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hyperlink w:anchor="toc_page">
        <w:bookmarkStart w:id="0" w:name="kodk-20260930.htm"/>
        <w:bookmarkStart w:id="1" w:name="kskodk20260930"/>
        <w:bookmarkEnd w:id="0"/>
        <w:bookmarkEnd w:id="1"/>
        <w:r>
          <w:rPr>
            <w:rStyle w:val="InternetLink"/>
            <w:rFonts w:ascii="sans-serif" w:hAnsi="sans-serif"/>
            <w:b/>
            <w:color w:val="0000FF"/>
            <w:sz w:val="20"/>
            <w:u w:val="single"/>
          </w:rPr>
          <w:t>Table of Contents</w:t>
        </w:r>
      </w:hyperlink>
    </w:p>
    <w:p>
      <w:pPr>
        <w:pStyle w:val="TextBody"/>
        <w:pBdr>
          <w:bottom w:val="double" w:sz="6" w:space="1" w:color="000000"/>
        </w:pBdr>
        <w:bidi w:val="0"/>
        <w:jc w:val="left"/>
      </w:pPr>
      <w:r>
        <w:t> </w:t>
      </w:r>
    </w:p>
    <w:p>
      <w:pPr>
        <w:pStyle w:val="TextBody"/>
        <w:bidi w:val="0"/>
        <w:jc w:val="center"/>
      </w:pPr>
      <w: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jc w:val="center"/>
        <w:rPr>
          <w:rFonts w:ascii="sans-serif" w:hAnsi="sans-serif"/>
          <w:b/>
          <w:color w:val="000000"/>
          <w:sz w:val="24"/>
        </w:rPr>
      </w:pPr>
      <w:r>
        <w:rPr>
          <w:rFonts w:ascii="sans-serif" w:hAnsi="sans-serif"/>
          <w:b/>
          <w:color w:val="000000"/>
          <w:sz w:val="24"/>
        </w:rPr>
        <w:t>Washington, D.C. 20549</w:t>
      </w:r>
    </w:p>
    <w:p>
      <w:pPr>
        <w:pStyle w:val="TextBody"/>
        <w:pBdr>
          <w:bottom w:val="single" w:sz="6" w:space="1" w:color="000000"/>
        </w:pBdr>
        <w:bidi w:val="0"/>
        <w:jc w:val="center"/>
      </w:pPr>
      <w:r>
        <w:t> </w:t>
      </w:r>
    </w:p>
    <w:p>
      <w:pPr>
        <w:pStyle w:val="TextBody"/>
        <w:bidi w:val="0"/>
        <w:spacing w:before="120" w:after="120"/>
        <w:jc w:val="center"/>
        <w:rPr>
          <w:rFonts w:ascii="sans-serif" w:hAnsi="sans-serif"/>
          <w:b/>
          <w:color w:val="000000"/>
          <w:sz w:val="36"/>
        </w:rPr>
      </w:pPr>
      <w:r>
        <w:rPr>
          <w:rFonts w:ascii="sans-serif" w:hAnsi="sans-serif"/>
          <w:b/>
          <w:color w:val="000000"/>
          <w:sz w:val="36"/>
        </w:rPr>
        <w:t>FORM 10-Q</w:t>
      </w:r>
    </w:p>
    <w:p>
      <w:pPr>
        <w:pStyle w:val="TextBody"/>
        <w:pBdr>
          <w:top w:val="single" w:sz="6" w:space="1" w:color="000000"/>
        </w:pBdr>
        <w:bidi w:val="0"/>
        <w:jc w:val="center"/>
      </w:pPr>
      <w:r>
        <w:t> </w:t>
      </w:r>
    </w:p>
    <w:tbl>
      <w:tblPr>
        <w:tblW w:w="10142" w:type="dxa"/>
        <w:jc w:val="left"/>
        <w:tblInd w:w="0" w:type="dxa"/>
        <w:tblLayout w:type="fixed"/>
        <w:tblCellMar>
          <w:top w:w="28" w:type="dxa"/>
          <w:left w:w="28" w:type="dxa"/>
          <w:bottom w:w="28" w:type="dxa"/>
          <w:right w:w="28" w:type="dxa"/>
        </w:tblCellMar>
      </w:tblPr>
      <w:tblGrid>
        <w:gridCol w:w="331"/>
        <w:gridCol w:w="9811"/>
      </w:tblGrid>
      <w:tr>
        <w:tc>
          <w:tcPr>
            <w:tcW w:w="331"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sans-serif" w:hAnsi="sans-serif"/>
                <w:sz w:val="20"/>
              </w:rPr>
            </w:pPr>
            <w:r>
              <w:rPr>
                <w:rFonts w:ascii="sans-serif" w:hAnsi="sans-serif"/>
                <w:b/>
                <w:color w:val="000000"/>
                <w:sz w:val="20"/>
              </w:rPr>
              <w:t>Quarterly report pursuant to Section</w:t>
            </w:r>
            <w:r>
              <w:rPr>
                <w:rFonts w:ascii="sans-serif" w:hAnsi="sans-serif"/>
                <w:color w:val="000000"/>
                <w:sz w:val="20"/>
              </w:rPr>
              <w:t xml:space="preserve"> </w:t>
            </w:r>
            <w:r>
              <w:rPr>
                <w:rFonts w:ascii="sans-serif" w:hAnsi="sans-serif"/>
                <w:b/>
                <w:color w:val="000000"/>
                <w:sz w:val="20"/>
              </w:rPr>
              <w:t>13 or 15(d) of the Securities Exchange Act of 1934</w:t>
            </w:r>
          </w:p>
        </w:tc>
      </w:tr>
    </w:tbl>
    <w:p>
      <w:pPr>
        <w:pStyle w:val="TextBody"/>
        <w:bidi w:val="0"/>
        <w:jc w:val="left"/>
      </w:pPr>
      <w:r>
        <w:t> </w:t>
      </w:r>
    </w:p>
    <w:p>
      <w:pPr>
        <w:pStyle w:val="TextBody"/>
        <w:bidi w:val="0"/>
        <w:jc w:val="center"/>
        <w:rPr>
          <w:rFonts w:ascii="sans-serif" w:hAnsi="sans-serif"/>
          <w:b/>
          <w:color w:val="000000"/>
          <w:sz w:val="20"/>
        </w:rPr>
      </w:pPr>
      <w:r>
        <w:rPr>
          <w:rFonts w:ascii="sans-serif" w:hAnsi="sans-serif"/>
          <w:b/>
          <w:color w:val="000000"/>
          <w:sz w:val="20"/>
        </w:rPr>
        <w:t>For the quarterly period ended: September 30, 2026</w:t>
      </w:r>
    </w:p>
    <w:p>
      <w:pPr>
        <w:pStyle w:val="TextBody"/>
        <w:bidi w:val="0"/>
        <w:spacing w:before="120" w:after="283"/>
        <w:jc w:val="center"/>
        <w:rPr>
          <w:rFonts w:ascii="sans-serif" w:hAnsi="sans-serif"/>
          <w:b/>
          <w:color w:val="000000"/>
          <w:sz w:val="20"/>
        </w:rPr>
      </w:pPr>
      <w:r>
        <w:rPr>
          <w:rFonts w:ascii="sans-serif" w:hAnsi="sans-serif"/>
          <w:b/>
          <w:color w:val="000000"/>
          <w:sz w:val="20"/>
        </w:rPr>
        <w:t>or</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31"/>
        <w:gridCol w:w="9874"/>
      </w:tblGrid>
      <w:t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sans-serif" w:hAnsi="sans-serif"/>
                <w:sz w:val="20"/>
              </w:rPr>
            </w:pPr>
            <w:r>
              <w:rPr>
                <w:rFonts w:ascii="sans-serif" w:hAnsi="sans-serif"/>
                <w:b/>
                <w:color w:val="000000"/>
                <w:sz w:val="20"/>
              </w:rPr>
              <w:t>Transition report pursuant to Section</w:t>
            </w:r>
            <w:r>
              <w:rPr>
                <w:rFonts w:ascii="sans-serif" w:hAnsi="sans-serif"/>
                <w:color w:val="000000"/>
                <w:sz w:val="20"/>
              </w:rPr>
              <w:t xml:space="preserve"> </w:t>
            </w:r>
            <w:r>
              <w:rPr>
                <w:rFonts w:ascii="sans-serif" w:hAnsi="sans-serif"/>
                <w:b/>
                <w:color w:val="000000"/>
                <w:sz w:val="20"/>
              </w:rPr>
              <w:t>13 or 15(d) of the Securities Exchange Act of 1934</w:t>
            </w:r>
          </w:p>
        </w:tc>
      </w:tr>
    </w:tbl>
    <w:p>
      <w:pPr>
        <w:pStyle w:val="TextBody"/>
        <w:bidi w:val="0"/>
        <w:spacing w:before="120" w:after="283"/>
        <w:jc w:val="center"/>
        <w:rPr>
          <w:rFonts w:ascii="sans-serif" w:hAnsi="sans-serif"/>
          <w:sz w:val="20"/>
        </w:rPr>
      </w:pPr>
      <w:r>
        <w:rPr>
          <w:rFonts w:ascii="sans-serif" w:hAnsi="sans-serif"/>
          <w:b/>
          <w:color w:val="000000"/>
          <w:sz w:val="20"/>
        </w:rPr>
        <w:t>For the transition period from</w:t>
      </w:r>
      <w:r>
        <w:rPr>
          <w:rFonts w:ascii="sans-serif" w:hAnsi="sans-serif"/>
          <w:color w:val="000000"/>
          <w:sz w:val="20"/>
          <w:u w:val="single"/>
        </w:rPr>
        <w:t xml:space="preserve"> </w:t>
      </w:r>
      <w:r>
        <w:rPr>
          <w:rFonts w:ascii="sans-serif" w:hAnsi="sans-serif"/>
          <w:b/>
          <w:color w:val="000000"/>
          <w:sz w:val="20"/>
        </w:rPr>
        <w:t>to</w:t>
      </w:r>
      <w:r>
        <w:rPr>
          <w:rFonts w:ascii="sans-serif" w:hAnsi="sans-serif"/>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Commission File Number</w:t>
      </w:r>
    </w:p>
    <w:p>
      <w:pPr>
        <w:pStyle w:val="TextBody"/>
        <w:bidi w:val="0"/>
        <w:jc w:val="center"/>
        <w:rPr>
          <w:rFonts w:ascii="sans-serif" w:hAnsi="sans-serif"/>
          <w:b/>
          <w:color w:val="000000"/>
          <w:sz w:val="20"/>
        </w:rPr>
      </w:pPr>
      <w:r>
        <w:rPr>
          <w:rFonts w:ascii="sans-serif" w:hAnsi="sans-serif"/>
          <w:b/>
          <w:color w:val="000000"/>
          <w:sz w:val="20"/>
        </w:rPr>
        <w:t>1-00087</w:t>
      </w:r>
    </w:p>
    <w:p>
      <w:pPr>
        <w:pStyle w:val="TextBody"/>
        <w:pBdr>
          <w:bottom w:val="single" w:sz="6" w:space="1" w:color="000000"/>
        </w:pBdr>
        <w:bidi w:val="0"/>
        <w:jc w:val="center"/>
      </w:pPr>
      <w:r>
        <w:t> </w:t>
      </w:r>
    </w:p>
    <w:p>
      <w:pPr>
        <w:pStyle w:val="TextBody"/>
        <w:bidi w:val="0"/>
        <w:spacing w:before="120" w:after="283"/>
        <w:jc w:val="center"/>
        <w:rPr>
          <w:rFonts w:ascii="sans-serif" w:hAnsi="sans-serif"/>
          <w:b/>
          <w:color w:val="000000"/>
          <w:sz w:val="40"/>
        </w:rPr>
      </w:pPr>
      <w:r>
        <w:rPr>
          <w:rFonts w:ascii="sans-serif" w:hAnsi="sans-serif"/>
          <w:b/>
          <w:color w:val="000000"/>
          <w:sz w:val="40"/>
        </w:rPr>
        <w:t>EASTMAN KODAK COMPANY</w:t>
      </w:r>
    </w:p>
    <w:p>
      <w:pPr>
        <w:pStyle w:val="TextBody"/>
        <w:bidi w:val="0"/>
        <w:spacing w:before="0" w:after="120"/>
        <w:jc w:val="center"/>
        <w:rPr>
          <w:rFonts w:ascii="sans-serif" w:hAnsi="sans-serif"/>
          <w:b/>
          <w:color w:val="000000"/>
          <w:sz w:val="18"/>
        </w:rPr>
      </w:pPr>
      <w:r>
        <w:rPr>
          <w:rFonts w:ascii="sans-serif" w:hAnsi="sans-serif"/>
          <w:b/>
          <w:color w:val="000000"/>
          <w:sz w:val="18"/>
        </w:rPr>
        <w:t>(Exact name of Registrant as specified in its charter)</w:t>
      </w:r>
    </w:p>
    <w:p>
      <w:pPr>
        <w:pStyle w:val="TextBody"/>
        <w:pBdr>
          <w:top w:val="single" w:sz="6" w:space="1" w:color="000000"/>
        </w:pBdr>
        <w:bidi w:val="0"/>
        <w:jc w:val="center"/>
      </w:pPr>
      <w:r>
        <w:t> </w:t>
      </w:r>
    </w:p>
    <w:p>
      <w:pPr>
        <w:pStyle w:val="TextBody"/>
        <w:bidi w:val="0"/>
        <w:jc w:val="left"/>
      </w:pPr>
      <w:r>
        <w:t> </w:t>
      </w:r>
    </w:p>
    <w:tbl>
      <w:tblPr>
        <w:tblW w:w="8612" w:type="dxa"/>
        <w:jc w:val="left"/>
        <w:tblInd w:w="0" w:type="dxa"/>
        <w:tblLayout w:type="fixed"/>
        <w:tblCellMar>
          <w:top w:w="28" w:type="dxa"/>
          <w:left w:w="28" w:type="dxa"/>
          <w:bottom w:w="28" w:type="dxa"/>
          <w:right w:w="28" w:type="dxa"/>
        </w:tblCellMar>
      </w:tblPr>
      <w:tblGrid>
        <w:gridCol w:w="5476"/>
        <w:gridCol w:w="3136"/>
      </w:tblGrid>
      <w:tr>
        <w:tc>
          <w:tcPr>
            <w:tcW w:w="5476"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b/>
                <w:caps/>
                <w:color w:val="000000"/>
                <w:sz w:val="18"/>
              </w:rPr>
            </w:pPr>
            <w:r>
              <w:rPr>
                <w:rFonts w:ascii="sans-serif" w:hAnsi="sans-serif"/>
                <w:b/>
                <w:caps/>
                <w:color w:val="000000"/>
                <w:sz w:val="18"/>
              </w:rPr>
              <w:t>New Jersey</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16-0417150</w:t>
            </w:r>
          </w:p>
        </w:tc>
      </w:tr>
      <w:t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(State or other jurisdiction of incorporation or organization)</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(IRS Employer Identification No.)</w:t>
            </w:r>
          </w:p>
        </w:tc>
      </w:tr>
      <w:tr>
        <w:tc>
          <w:tcPr>
            <w:tcW w:w="54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sz w:val="18"/>
              </w:rPr>
            </w:pPr>
            <w:r>
              <w:rPr>
                <w:rFonts w:ascii="sans-serif" w:hAnsi="sans-serif"/>
                <w:b/>
                <w:color w:val="000000"/>
                <w:sz w:val="18"/>
              </w:rPr>
              <w:t xml:space="preserve">343 STATE STREET, ROCHESTER, </w:t>
            </w:r>
            <w:r>
              <w:rPr>
                <w:rFonts w:ascii="sans-serif" w:hAnsi="sans-serif"/>
                <w:b/>
                <w:caps/>
                <w:color w:val="000000"/>
                <w:sz w:val="18"/>
              </w:rPr>
              <w:t>New York</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14650</w:t>
            </w:r>
          </w:p>
        </w:tc>
      </w:tr>
      <w:tr>
        <w:tc>
          <w:tcPr>
            <w:tcW w:w="54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(Address of principal executive offices)</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(Zip Code)</w:t>
            </w:r>
          </w:p>
        </w:tc>
      </w:tr>
    </w:tbl>
    <w:p>
      <w:pPr>
        <w:pStyle w:val="TextBody"/>
        <w:bidi w:val="0"/>
        <w:jc w:val="left"/>
      </w:pPr>
      <w:r>
        <w:t> </w:t>
      </w:r>
    </w:p>
    <w:p>
      <w:pPr>
        <w:pStyle w:val="TextBody"/>
        <w:bidi w:val="0"/>
        <w:jc w:val="center"/>
        <w:rPr>
          <w:rFonts w:ascii="sans-serif" w:hAnsi="sans-serif"/>
          <w:b/>
          <w:color w:val="000000"/>
          <w:sz w:val="18"/>
        </w:rPr>
      </w:pPr>
      <w:r>
        <w:rPr>
          <w:rFonts w:ascii="sans-serif" w:hAnsi="sans-serif"/>
          <w:b/>
          <w:color w:val="000000"/>
          <w:sz w:val="18"/>
        </w:rPr>
        <w:t>(800) 356-3259</w:t>
      </w:r>
    </w:p>
    <w:p>
      <w:pPr>
        <w:pStyle w:val="TextBody"/>
        <w:bidi w:val="0"/>
        <w:spacing w:before="0" w:after="120"/>
        <w:jc w:val="center"/>
        <w:rPr>
          <w:rFonts w:ascii="sans-serif" w:hAnsi="sans-serif"/>
          <w:b/>
          <w:color w:val="000000"/>
          <w:sz w:val="18"/>
        </w:rPr>
      </w:pPr>
      <w:r>
        <w:rPr>
          <w:rFonts w:ascii="sans-serif" w:hAnsi="sans-serif"/>
          <w:b/>
          <w:color w:val="000000"/>
          <w:sz w:val="18"/>
        </w:rPr>
        <w:t>(Registrant’s telephone number, including area code)</w:t>
      </w:r>
    </w:p>
    <w:p>
      <w:pPr>
        <w:pStyle w:val="TextBody"/>
        <w:pBdr>
          <w:top w:val="single" w:sz="6" w:space="1" w:color="000000"/>
        </w:pBdr>
        <w:bidi w:val="0"/>
        <w:jc w:val="center"/>
      </w:pPr>
      <w:r>
        <w:t> </w:t>
      </w:r>
    </w:p>
    <w:p>
      <w:pPr>
        <w:pStyle w:val="TextBody"/>
        <w:bidi w:val="0"/>
        <w:jc w:val="left"/>
        <w:rPr>
          <w:rFonts w:ascii="sans-serif" w:hAnsi="sans-serif"/>
          <w:color w:val="000000"/>
          <w:sz w:val="18"/>
        </w:rPr>
      </w:pPr>
      <w:r>
        <w:rPr>
          <w:rFonts w:ascii="sans-serif" w:hAnsi="sans-serif"/>
          <w:color w:val="000000"/>
          <w:sz w:val="18"/>
        </w:rPr>
        <w:t>Securities registered pursuant to Section 12(b) of the Act:</w:t>
      </w:r>
    </w:p>
    <w:p>
      <w:pPr>
        <w:pStyle w:val="TextBody"/>
        <w:bidi w:val="0"/>
        <w:jc w:val="center"/>
      </w:pPr>
      <w:r>
        <w:t> </w:t>
      </w:r>
    </w:p>
    <w:tbl>
      <w:tblPr>
        <w:tblW w:w="10205" w:type="dxa"/>
        <w:jc w:val="left"/>
        <w:tblInd w:w="0" w:type="dxa"/>
        <w:tblLayout w:type="fixed"/>
        <w:tblCellMar>
          <w:top w:w="28" w:type="dxa"/>
          <w:left w:w="28" w:type="dxa"/>
          <w:bottom w:w="28" w:type="dxa"/>
          <w:right w:w="28" w:type="dxa"/>
        </w:tblCellMar>
      </w:tblPr>
      <w:tblGrid>
        <w:gridCol w:w="3672"/>
        <w:gridCol w:w="146"/>
        <w:gridCol w:w="1884"/>
        <w:gridCol w:w="146"/>
        <w:gridCol w:w="4357"/>
      </w:tblGrid>
      <w:tr>
        <w:tc>
          <w:tcPr>
            <w:tcW w:w="3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r>
      <w:tr>
        <w:tc>
          <w:tcPr>
            <w:tcW w:w="3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Title of each class Common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18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pPr>
            <w:r>
              <w:t> </w:t>
            </w:r>
          </w:p>
        </w:tc>
        <w:tc>
          <w:tcPr>
            <w:tcW w:w="43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Name of each exchange on which registered</w:t>
            </w:r>
          </w:p>
        </w:tc>
      </w:tr>
      <w:tr>
        <w:tc>
          <w:tcPr>
            <w:tcW w:w="367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188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KODK</w:t>
            </w:r>
          </w:p>
        </w:tc>
        <w:tc>
          <w:tcPr>
            <w:tcW w:w="146" w:type="dxa"/>
            <w:tcBorders/>
            <w:tcMar>
              <w:top w:w="0" w:type="dxa"/>
              <w:left w:w="0" w:type="dxa"/>
              <w:bottom w:w="0" w:type="dxa"/>
              <w:right w:w="0" w:type="dxa"/>
            </w:tcMar>
            <w:vAlign w:val="center"/>
          </w:tcPr>
          <w:p>
            <w:pPr>
              <w:pStyle w:val="TableContents"/>
              <w:bidi w:val="0"/>
              <w:spacing w:before="0" w:after="283"/>
              <w:jc w:val="center"/>
            </w:pPr>
            <w:r>
              <w:t> </w:t>
            </w:r>
          </w:p>
        </w:tc>
        <w:tc>
          <w:tcPr>
            <w:tcW w:w="4357"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New York Stock Exchange</w:t>
            </w:r>
          </w:p>
        </w:tc>
      </w:tr>
    </w:tbl>
    <w:p>
      <w:pPr>
        <w:pStyle w:val="TextBody"/>
        <w:bidi w:val="0"/>
        <w:jc w:val="left"/>
      </w:pPr>
      <w:r>
        <w:t> </w:t>
      </w:r>
    </w:p>
    <w:p>
      <w:pPr>
        <w:pStyle w:val="TextBody"/>
        <w:bidi w:val="0"/>
        <w:jc w:val="left"/>
        <w:rPr>
          <w:rFonts w:ascii="Times New Roman" w:hAnsi="Times New Roman"/>
          <w:sz w:val="18"/>
        </w:rPr>
      </w:pPr>
      <w:r>
        <w:rPr>
          <w:rFonts w:ascii="sans-serif" w:hAnsi="sans-serif"/>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18"/>
        </w:rPr>
        <w:t xml:space="preserve"> ☒ </w:t>
      </w:r>
      <w:r>
        <w:rPr>
          <w:rFonts w:ascii="sans-serif" w:hAnsi="sans-serif"/>
          <w:color w:val="000000"/>
          <w:sz w:val="18"/>
        </w:rPr>
        <w:t xml:space="preserve">No </w:t>
      </w:r>
      <w:r>
        <w:rPr>
          <w:rFonts w:ascii="Times New Roman" w:hAnsi="Times New Roman"/>
          <w:color w:val="000000"/>
          <w:sz w:val="18"/>
        </w:rPr>
        <w:t>☐</w:t>
      </w:r>
    </w:p>
    <w:p>
      <w:pPr>
        <w:pStyle w:val="TextBody"/>
        <w:bidi w:val="0"/>
        <w:spacing w:before="120" w:after="283"/>
        <w:jc w:val="left"/>
        <w:rPr>
          <w:rFonts w:ascii="Times New Roman" w:hAnsi="Times New Roman"/>
          <w:sz w:val="18"/>
        </w:rPr>
      </w:pPr>
      <w:r>
        <w:rPr>
          <w:rFonts w:ascii="sans-serif" w:hAnsi="sans-serif"/>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18"/>
        </w:rPr>
        <w:t xml:space="preserve"> ☒ </w:t>
      </w:r>
      <w:r>
        <w:rPr>
          <w:rFonts w:ascii="sans-serif" w:hAnsi="sans-serif"/>
          <w:color w:val="000000"/>
          <w:sz w:val="18"/>
        </w:rPr>
        <w:t xml:space="preserve">No </w:t>
      </w: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pPr>
      <w:r>
        <w:t> </w:t>
      </w:r>
    </w:p>
    <w:tbl>
      <w:tblPr>
        <w:tblW w:w="6196" w:type="dxa"/>
        <w:jc w:val="left"/>
        <w:tblInd w:w="0" w:type="dxa"/>
        <w:tblLayout w:type="fixed"/>
        <w:tblCellMar>
          <w:top w:w="28" w:type="dxa"/>
          <w:left w:w="28" w:type="dxa"/>
          <w:bottom w:w="28" w:type="dxa"/>
          <w:right w:w="28" w:type="dxa"/>
        </w:tblCellMar>
      </w:tblPr>
      <w:tblGrid>
        <w:gridCol w:w="2611"/>
        <w:gridCol w:w="109"/>
        <w:gridCol w:w="316"/>
        <w:gridCol w:w="109"/>
        <w:gridCol w:w="2581"/>
        <w:gridCol w:w="316"/>
        <w:gridCol w:w="154"/>
      </w:tblGrid>
      <w:tr>
        <w:tc>
          <w:tcPr>
            <w:tcW w:w="2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1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t> </w:t>
      </w:r>
    </w:p>
    <w:p>
      <w:pPr>
        <w:pStyle w:val="TextBody"/>
        <w:bidi w:val="0"/>
        <w:jc w:val="left"/>
        <w:rPr>
          <w:rFonts w:ascii="Times New Roman" w:hAnsi="Times New Roman"/>
          <w:sz w:val="18"/>
        </w:rPr>
      </w:pPr>
      <w:r>
        <w:rPr>
          <w:rFonts w:ascii="sans-serif" w:hAnsi="sans-serif"/>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18"/>
        </w:rPr>
        <w:t>☐</w:t>
      </w:r>
    </w:p>
    <w:p>
      <w:pPr>
        <w:pStyle w:val="TextBody"/>
        <w:bidi w:val="0"/>
        <w:spacing w:before="120" w:after="283"/>
        <w:jc w:val="left"/>
        <w:rPr>
          <w:rFonts w:ascii="Times New Roman" w:hAnsi="Times New Roman"/>
          <w:sz w:val="18"/>
        </w:rPr>
      </w:pPr>
      <w:r>
        <w:rPr>
          <w:rFonts w:ascii="sans-serif" w:hAnsi="sans-serif"/>
          <w:color w:val="000000"/>
          <w:sz w:val="18"/>
        </w:rPr>
        <w:t xml:space="preserve">Indicate by check mark whether the Registrant is a shell company (as defined in Rule 12b-2 of the Exchange Act). Yes </w:t>
      </w:r>
      <w:r>
        <w:rPr>
          <w:rFonts w:ascii="Times New Roman" w:hAnsi="Times New Roman"/>
          <w:color w:val="000000"/>
          <w:sz w:val="18"/>
        </w:rPr>
        <w:t xml:space="preserve">☐ </w:t>
      </w:r>
      <w:r>
        <w:rPr>
          <w:rFonts w:ascii="sans-serif" w:hAnsi="sans-serif"/>
          <w:color w:val="000000"/>
          <w:sz w:val="18"/>
        </w:rPr>
        <w:t xml:space="preserve">No </w:t>
      </w:r>
      <w:r>
        <w:rPr>
          <w:rFonts w:ascii="Times New Roman" w:hAnsi="Times New Roman"/>
          <w:color w:val="000000"/>
          <w:sz w:val="18"/>
        </w:rPr>
        <w:t>☒</w:t>
      </w:r>
    </w:p>
    <w:p>
      <w:pPr>
        <w:pStyle w:val="TextBody"/>
        <w:bidi w:val="0"/>
        <w:spacing w:before="120" w:after="283"/>
        <w:jc w:val="left"/>
        <w:rPr>
          <w:rFonts w:ascii="sans-serif" w:hAnsi="sans-serif"/>
          <w:color w:val="000000"/>
          <w:sz w:val="18"/>
        </w:rPr>
      </w:pPr>
      <w:bookmarkStart w:id="2" w:name="led293237f20229181666119829149"/>
      <w:bookmarkEnd w:id="2"/>
      <w:r>
        <w:rPr>
          <w:rFonts w:ascii="sans-serif" w:hAnsi="sans-serif"/>
          <w:color w:val="000000"/>
          <w:sz w:val="18"/>
        </w:rPr>
        <w:t>As of October 29, 2026, the Registrant had 98.1 million shares of common stock, par value $0.01 per share, outstanding.</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r>
        <w:rPr>
          <w:rFonts w:ascii="sans-serif" w:hAnsi="sans-serif"/>
          <w:b/>
          <w:color w:val="000000"/>
          <w:sz w:val="20"/>
        </w:rPr>
        <w:t>Form 10-Q</w:t>
      </w:r>
    </w:p>
    <w:p>
      <w:pPr>
        <w:pStyle w:val="TextBody"/>
        <w:bidi w:val="0"/>
        <w:spacing w:before="200" w:after="283"/>
        <w:jc w:val="center"/>
        <w:rPr>
          <w:rFonts w:ascii="sans-serif" w:hAnsi="sans-serif"/>
          <w:b/>
          <w:color w:val="000000"/>
          <w:sz w:val="20"/>
        </w:rPr>
      </w:pPr>
      <w:r>
        <w:rPr>
          <w:rFonts w:ascii="sans-serif" w:hAnsi="sans-serif"/>
          <w:b/>
          <w:color w:val="000000"/>
          <w:sz w:val="20"/>
        </w:rPr>
        <w:t>September 30, 2026</w:t>
      </w:r>
    </w:p>
    <w:p>
      <w:pPr>
        <w:pStyle w:val="TextBody"/>
        <w:bidi w:val="0"/>
        <w:spacing w:before="200" w:after="283"/>
        <w:jc w:val="center"/>
        <w:rPr>
          <w:rFonts w:ascii="sans-serif" w:hAnsi="sans-serif"/>
          <w:b/>
          <w:color w:val="000000"/>
          <w:sz w:val="20"/>
        </w:rPr>
      </w:pPr>
      <w:bookmarkStart w:id="3" w:name="toc_page"/>
      <w:bookmarkEnd w:id="3"/>
      <w:r>
        <w:rPr>
          <w:rFonts w:ascii="sans-serif" w:hAnsi="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37"/>
        <w:gridCol w:w="8561"/>
        <w:gridCol w:w="707"/>
      </w:tblGrid>
      <w:tr>
        <w:tc>
          <w:tcPr>
            <w:tcW w:w="937" w:type="dxa"/>
            <w:tcBorders/>
            <w:vAlign w:val="center"/>
          </w:tcPr>
          <w:p>
            <w:pPr>
              <w:pStyle w:val="TableContents"/>
              <w:bidi w:val="0"/>
              <w:spacing w:before="0" w:after="283"/>
              <w:jc w:val="left"/>
              <w:rPr>
                <w:sz w:val="4"/>
                <w:szCs w:val="4"/>
              </w:rPr>
            </w:pPr>
            <w:r>
              <w:rPr>
                <w:sz w:val="4"/>
                <w:szCs w:val="4"/>
              </w:rPr>
            </w:r>
          </w:p>
        </w:tc>
        <w:tc>
          <w:tcPr>
            <w:tcW w:w="85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Page</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pPr>
            <w:hyperlink w:anchor="part1">
              <w:r>
                <w:rPr>
                  <w:rStyle w:val="InternetLink"/>
                  <w:rFonts w:ascii="sans-serif" w:hAnsi="sans-serif"/>
                  <w:b/>
                  <w:color w:val="0000EE"/>
                  <w:sz w:val="20"/>
                  <w:u w:val="single"/>
                </w:rPr>
                <w:t>Part I.</w:t>
              </w:r>
            </w:hyperlink>
            <w:hyperlink w:anchor="part1">
              <w:r>
                <w:rPr>
                  <w:rStyle w:val="InternetLink"/>
                  <w:rFonts w:ascii="sans-serif" w:hAnsi="sans-serif"/>
                  <w:color w:val="0000EE"/>
                  <w:sz w:val="20"/>
                  <w:u w:val="single"/>
                </w:rPr>
                <w:t>—</w:t>
              </w:r>
            </w:hyperlink>
            <w:hyperlink w:anchor="part1">
              <w:r>
                <w:rPr>
                  <w:rStyle w:val="InternetLink"/>
                  <w:rFonts w:ascii="sans-serif" w:hAnsi="sans-serif"/>
                  <w:b/>
                  <w:color w:val="0000EE"/>
                  <w:sz w:val="20"/>
                  <w:u w:val="single"/>
                </w:rPr>
                <w:t>Financial Information</w:t>
              </w:r>
            </w:hyperlink>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fs">
              <w:r>
                <w:rPr>
                  <w:rStyle w:val="InternetLink"/>
                  <w:rFonts w:ascii="sans-serif" w:hAnsi="sans-serif"/>
                  <w:color w:val="0000EE"/>
                  <w:sz w:val="20"/>
                  <w:u w:val="single"/>
                </w:rPr>
                <w:t>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statement_of_operations">
              <w:r>
                <w:rPr>
                  <w:rStyle w:val="InternetLink"/>
                  <w:rFonts w:ascii="sans-serif" w:hAnsi="sans-serif"/>
                  <w:color w:val="0000FF"/>
                  <w:sz w:val="20"/>
                  <w:u w:val="single"/>
                </w:rPr>
                <w:t>Consolidated Statement of Operations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2</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comprehensive_income">
              <w:r>
                <w:rPr>
                  <w:rStyle w:val="InternetLink"/>
                  <w:rFonts w:ascii="sans-serif" w:hAnsi="sans-serif"/>
                  <w:color w:val="0000FF"/>
                  <w:sz w:val="20"/>
                  <w:u w:val="single"/>
                </w:rPr>
                <w:t>Consolidated Statement of Comprehensive Income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financial_position">
              <w:r>
                <w:rPr>
                  <w:rStyle w:val="InternetLink"/>
                  <w:rFonts w:ascii="sans-serif" w:hAnsi="sans-serif"/>
                  <w:color w:val="0000FF"/>
                  <w:sz w:val="20"/>
                  <w:u w:val="single"/>
                </w:rPr>
                <w:t>Consolidated Statement of Financial Position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cash_flows">
              <w:r>
                <w:rPr>
                  <w:rStyle w:val="InternetLink"/>
                  <w:rFonts w:ascii="sans-serif" w:hAnsi="sans-serif"/>
                  <w:color w:val="0000FF"/>
                  <w:sz w:val="20"/>
                  <w:u w:val="single"/>
                </w:rPr>
                <w:t>Consolidated Statement of Cash Flows (Unaudited)</w:t>
              </w:r>
            </w:hyperlink>
            <w:hyperlink w:anchor="cash_flows">
              <w:r>
                <w:rPr>
                  <w:rStyle w:val="InternetLink"/>
                  <w:rFonts w:ascii="sans-serif" w:hAnsi="sans-serif"/>
                  <w:color w:val="0000FF"/>
                  <w:sz w:val="20"/>
                </w:rPr>
                <w:t xml:space="preserve"> </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5</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equity">
              <w:r>
                <w:rPr>
                  <w:rStyle w:val="InternetLink"/>
                  <w:rFonts w:ascii="sans-serif" w:hAnsi="sans-serif"/>
                  <w:color w:val="0000FF"/>
                  <w:sz w:val="20"/>
                  <w:u w:val="single"/>
                </w:rPr>
                <w:t>Consolidated Statement of Equity (Deficit)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6</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notes_to_financial_statements">
              <w:r>
                <w:rPr>
                  <w:rStyle w:val="InternetLink"/>
                  <w:rFonts w:ascii="sans-serif" w:hAnsi="sans-serif"/>
                  <w:color w:val="0000FF"/>
                  <w:sz w:val="20"/>
                  <w:u w:val="single"/>
                </w:rPr>
                <w:t>Notes to Financial Statements (Unaudited)</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8</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mda">
              <w:r>
                <w:rPr>
                  <w:rStyle w:val="InternetLink"/>
                  <w:rFonts w:ascii="sans-serif" w:hAnsi="sans-serif"/>
                  <w:color w:val="0000EE"/>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30</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liquid">
              <w:r>
                <w:rPr>
                  <w:rStyle w:val="InternetLink"/>
                  <w:rFonts w:ascii="sans-serif" w:hAnsi="sans-serif"/>
                  <w:color w:val="0000EE"/>
                  <w:sz w:val="20"/>
                  <w:u w:val="single"/>
                </w:rPr>
                <w:t>Liquidity and Capital Resources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39</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qqd1">
              <w:r>
                <w:rPr>
                  <w:rStyle w:val="InternetLink"/>
                  <w:rFonts w:ascii="sans-serif" w:hAnsi="sans-serif"/>
                  <w:color w:val="0000FF"/>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43</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controls">
              <w:r>
                <w:rPr>
                  <w:rStyle w:val="InternetLink"/>
                  <w:rFonts w:ascii="sans-serif" w:hAnsi="sans-serif"/>
                  <w:color w:val="0000EE"/>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44</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pPr>
            <w:r>
              <w:t> </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center"/>
            </w:pPr>
            <w:hyperlink w:anchor="part_ii_other_information">
              <w:r>
                <w:rPr>
                  <w:rStyle w:val="InternetLink"/>
                  <w:rFonts w:ascii="sans-serif" w:hAnsi="sans-serif"/>
                  <w:b/>
                  <w:color w:val="0000FF"/>
                  <w:sz w:val="20"/>
                  <w:u w:val="single"/>
                </w:rPr>
                <w:t xml:space="preserve">Part II. </w:t>
              </w:r>
            </w:hyperlink>
            <w:hyperlink w:anchor="part_ii_other_information">
              <w:r>
                <w:rPr>
                  <w:rStyle w:val="InternetLink"/>
                  <w:rFonts w:ascii="sans-serif" w:hAnsi="sans-serif"/>
                  <w:color w:val="0000FF"/>
                  <w:sz w:val="20"/>
                  <w:u w:val="single"/>
                </w:rPr>
                <w:t>—</w:t>
              </w:r>
            </w:hyperlink>
            <w:hyperlink w:anchor="part_ii_other_information">
              <w:r>
                <w:rPr>
                  <w:rStyle w:val="InternetLink"/>
                  <w:rFonts w:ascii="sans-serif" w:hAnsi="sans-serif"/>
                  <w:b/>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pPr>
            <w:r>
              <w:t> </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pPr>
            <w:r>
              <w:t> </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tcBorders/>
            <w:tcMar>
              <w:top w:w="0" w:type="dxa"/>
              <w:left w:w="0" w:type="dxa"/>
              <w:bottom w:w="0" w:type="dxa"/>
              <w:right w:w="0" w:type="dxa"/>
            </w:tcMar>
            <w:vAlign w:val="center"/>
          </w:tcPr>
          <w:p>
            <w:pPr>
              <w:pStyle w:val="TableContents"/>
              <w:bidi w:val="0"/>
              <w:spacing w:before="0" w:after="283"/>
              <w:jc w:val="right"/>
            </w:pPr>
            <w:r>
              <w:t> </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legal_proceedings">
              <w:r>
                <w:rPr>
                  <w:rStyle w:val="InternetLink"/>
                  <w:rFonts w:ascii="sans-serif" w:hAnsi="sans-serif"/>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risk_factors">
              <w:r>
                <w:rPr>
                  <w:rStyle w:val="InternetLink"/>
                  <w:rFonts w:ascii="sans-serif" w:hAnsi="sans-serif"/>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item2unregistered">
              <w:r>
                <w:rPr>
                  <w:rStyle w:val="InternetLink"/>
                  <w:rFonts w:ascii="sans-serif" w:hAnsi="sans-serif"/>
                  <w:color w:val="0000EE"/>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defaults_upon_senior_securities">
              <w:bookmarkStart w:id="4" w:name="default"/>
              <w:bookmarkEnd w:id="4"/>
              <w:r>
                <w:rPr>
                  <w:rStyle w:val="InternetLink"/>
                  <w:rFonts w:ascii="sans-serif" w:hAnsi="sans-serif"/>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mine_safety_disclosures">
              <w:r>
                <w:rPr>
                  <w:rStyle w:val="InternetLink"/>
                  <w:rFonts w:ascii="sans-serif" w:hAnsi="sans-serif"/>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other_information">
              <w:r>
                <w:rPr>
                  <w:rStyle w:val="InternetLink"/>
                  <w:rFonts w:ascii="sans-serif" w:hAnsi="sans-serif"/>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45</w:t>
            </w:r>
          </w:p>
        </w:tc>
      </w:tr>
      <w:tr>
        <w:tc>
          <w:tcPr>
            <w:tcW w:w="937"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exhibits">
              <w:r>
                <w:rPr>
                  <w:rStyle w:val="InternetLink"/>
                  <w:rFonts w:ascii="sans-serif" w:hAnsi="sans-serif"/>
                  <w:color w:val="0000EE"/>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46</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index_to_exhibits">
              <w:r>
                <w:rPr>
                  <w:rStyle w:val="InternetLink"/>
                  <w:rFonts w:ascii="sans-serif" w:hAnsi="sans-serif"/>
                  <w:color w:val="0000FF"/>
                  <w:sz w:val="20"/>
                  <w:u w:val="single"/>
                </w:rPr>
                <w:t>Index to 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46</w:t>
            </w:r>
          </w:p>
        </w:tc>
      </w:tr>
      <w:tr>
        <w:tc>
          <w:tcPr>
            <w:tcW w:w="9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tcBorders/>
            <w:tcMar>
              <w:top w:w="0" w:type="dxa"/>
              <w:left w:w="0" w:type="dxa"/>
              <w:bottom w:w="0" w:type="dxa"/>
              <w:right w:w="0" w:type="dxa"/>
            </w:tcMar>
            <w:vAlign w:val="center"/>
          </w:tcPr>
          <w:p>
            <w:pPr>
              <w:pStyle w:val="TableContents"/>
              <w:bidi w:val="0"/>
              <w:spacing w:before="0" w:after="283"/>
              <w:jc w:val="left"/>
            </w:pPr>
            <w:hyperlink w:anchor="signatures">
              <w:r>
                <w:rPr>
                  <w:rStyle w:val="InternetLink"/>
                  <w:rFonts w:ascii="sans-serif" w:hAnsi="sans-serif"/>
                  <w:color w:val="0000FF"/>
                  <w:sz w:val="20"/>
                  <w:u w:val="single"/>
                </w:rPr>
                <w:t>Signatures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EE"/>
                <w:sz w:val="20"/>
              </w:rPr>
            </w:pPr>
            <w:r>
              <w:rPr>
                <w:rFonts w:ascii="sans-serif" w:hAnsi="sans-serif"/>
                <w:color w:val="0000EE"/>
                <w:sz w:val="20"/>
              </w:rPr>
              <w:t>47</w:t>
            </w:r>
          </w:p>
        </w:tc>
      </w:tr>
    </w:tbl>
    <w:p>
      <w:pPr>
        <w:pStyle w:val="TextBody"/>
        <w:bidi w:val="0"/>
        <w:spacing w:before="240" w:after="283"/>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center"/>
        <w:rPr>
          <w:rFonts w:ascii="sans-serif" w:hAnsi="sans-serif"/>
          <w:b/>
          <w:color w:val="000000"/>
          <w:sz w:val="20"/>
        </w:rPr>
      </w:pPr>
      <w:bookmarkStart w:id="5" w:name="part1"/>
      <w:bookmarkEnd w:id="5"/>
      <w:r>
        <w:rPr>
          <w:rFonts w:ascii="sans-serif" w:hAnsi="sans-serif"/>
          <w:b/>
          <w:color w:val="000000"/>
          <w:sz w:val="20"/>
        </w:rPr>
        <w:t>Part I. FINANCIAL INFORMATION</w:t>
      </w:r>
    </w:p>
    <w:p>
      <w:pPr>
        <w:pStyle w:val="TextBody"/>
        <w:bidi w:val="0"/>
        <w:jc w:val="left"/>
        <w:rPr>
          <w:rFonts w:ascii="sans-serif" w:hAnsi="sans-serif"/>
          <w:sz w:val="20"/>
        </w:rPr>
      </w:pPr>
      <w:bookmarkStart w:id="6" w:name="fs"/>
      <w:bookmarkEnd w:id="6"/>
      <w:r>
        <w:rPr>
          <w:rFonts w:ascii="sans-serif" w:hAnsi="sans-serif"/>
          <w:b/>
          <w:color w:val="000000"/>
          <w:sz w:val="20"/>
        </w:rPr>
        <w:t>Item</w:t>
      </w:r>
      <w:r>
        <w:rPr>
          <w:rFonts w:ascii="sans-serif" w:hAnsi="sans-serif"/>
          <w:color w:val="000000"/>
          <w:sz w:val="20"/>
        </w:rPr>
        <w:t xml:space="preserve"> </w:t>
      </w:r>
      <w:r>
        <w:rPr>
          <w:rFonts w:ascii="sans-serif" w:hAnsi="sans-serif"/>
          <w:b/>
          <w:color w:val="000000"/>
          <w:sz w:val="20"/>
        </w:rPr>
        <w:t>1. Financial Statements</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7" w:name="statement_of_operations"/>
      <w:bookmarkEnd w:id="7"/>
      <w:r>
        <w:rPr>
          <w:rFonts w:ascii="sans-serif" w:hAnsi="sans-serif"/>
          <w:b/>
          <w:color w:val="000000"/>
          <w:sz w:val="20"/>
        </w:rPr>
        <w:t>CONSOLIDATED STATEMENT OF OPERATIONS (Unaudited)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45"/>
        <w:gridCol w:w="146"/>
        <w:gridCol w:w="256"/>
        <w:gridCol w:w="734"/>
        <w:gridCol w:w="205"/>
        <w:gridCol w:w="165"/>
        <w:gridCol w:w="256"/>
        <w:gridCol w:w="683"/>
        <w:gridCol w:w="181"/>
        <w:gridCol w:w="146"/>
        <w:gridCol w:w="244"/>
        <w:gridCol w:w="699"/>
        <w:gridCol w:w="195"/>
        <w:gridCol w:w="158"/>
        <w:gridCol w:w="244"/>
        <w:gridCol w:w="651"/>
        <w:gridCol w:w="297"/>
      </w:tblGrid>
      <w:tr>
        <w:tc>
          <w:tcPr>
            <w:tcW w:w="4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operating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Income from operations before interest expense, </w:t>
              <w:br/>
              <w:t xml:space="preserve">    pension income excluding service cost component, </w:t>
              <w:br/>
              <w:t xml:space="preserve">    loss on early extinguishment of debt, other charges, </w:t>
              <w:br/>
              <w:t>    net and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income excluding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early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Income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Basic net income (loss) per share attributable to </w:t>
              <w:br/>
              <w:t>    Eastman Kodak Company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(0.55</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Diluted net income (loss) per share attributable to </w:t>
              <w:br/>
              <w:t>    Eastman Kodak Company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0.18</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(0.55</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Number of common shares used in basic and diluted net </w:t>
              <w:br/>
              <w: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494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8" w:name="comprehensive_income"/>
      <w:bookmarkEnd w:id="8"/>
      <w:r>
        <w:rPr>
          <w:rFonts w:ascii="sans-serif" w:hAnsi="sans-serif"/>
          <w:b/>
          <w:color w:val="000000"/>
          <w:sz w:val="20"/>
        </w:rPr>
        <w:t>CONSOLIDATED STATEMENT OF COMPREHENSIVE INCOME (Unaudited)</w:t>
      </w:r>
    </w:p>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109"/>
        <w:gridCol w:w="146"/>
        <w:gridCol w:w="337"/>
        <w:gridCol w:w="499"/>
        <w:gridCol w:w="210"/>
        <w:gridCol w:w="210"/>
        <w:gridCol w:w="326"/>
        <w:gridCol w:w="673"/>
        <w:gridCol w:w="181"/>
        <w:gridCol w:w="146"/>
        <w:gridCol w:w="322"/>
        <w:gridCol w:w="476"/>
        <w:gridCol w:w="248"/>
        <w:gridCol w:w="201"/>
        <w:gridCol w:w="310"/>
        <w:gridCol w:w="579"/>
        <w:gridCol w:w="232"/>
      </w:tblGrid>
      <w:tr>
        <w:tc>
          <w:tcPr>
            <w:tcW w:w="5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obligation </w:t>
              <w:br/>
              <w:t>    activity,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10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10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9" w:name="financial_position"/>
      <w:bookmarkEnd w:id="9"/>
      <w:r>
        <w:rPr>
          <w:rFonts w:ascii="sans-serif" w:hAnsi="sans-serif"/>
          <w:b/>
          <w:color w:val="000000"/>
          <w:sz w:val="20"/>
        </w:rPr>
        <w:t>CONSOLIDATED STATEMENT OF FINANCIAL POSITION (Unaudited)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035"/>
        <w:gridCol w:w="146"/>
        <w:gridCol w:w="403"/>
        <w:gridCol w:w="1186"/>
        <w:gridCol w:w="181"/>
        <w:gridCol w:w="146"/>
        <w:gridCol w:w="384"/>
        <w:gridCol w:w="1130"/>
        <w:gridCol w:w="594"/>
      </w:tblGrid>
      <w:tr>
        <w:tc>
          <w:tcPr>
            <w:tcW w:w="6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Trade receivables, net of allowances of $7 at both periods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plant and equipment, net of accumulated depreciation of $512 and $499,</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1,539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REDEEMABLE, CONVERTIBLE PREFERRED STOCK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Accounts payable,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Short-term borrowings and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portion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Long-term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Pension and other postretirement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Redeemable, convertible preferred stock, no par value, $100 per share liquidation</w:t>
              <w:br/>
              <w:t>    preference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8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stock, $0.01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1,278</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60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60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LIABILITIES, REDEEMABLE, CONVERTIBLE PREFERRED STOCK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1,539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1,617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0" w:name="cash_flows"/>
      <w:bookmarkEnd w:id="10"/>
      <w:r>
        <w:rPr>
          <w:rFonts w:ascii="sans-serif" w:hAnsi="sans-serif"/>
          <w:b/>
          <w:color w:val="000000"/>
          <w:sz w:val="20"/>
        </w:rPr>
        <w:t>CONSOLIDATED STATEMENT OF CASH FLOWS (Unaudited)</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7238"/>
        <w:gridCol w:w="146"/>
        <w:gridCol w:w="281"/>
        <w:gridCol w:w="676"/>
        <w:gridCol w:w="225"/>
        <w:gridCol w:w="181"/>
        <w:gridCol w:w="281"/>
        <w:gridCol w:w="582"/>
        <w:gridCol w:w="595"/>
      </w:tblGrid>
      <w:tr>
        <w:tc>
          <w:tcPr>
            <w:tcW w:w="7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Adjustments to reconcile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Pension and postretirement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Gain on settlement of Kodak Retirement Income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Change in fair value of preferred stock embedded derivative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Change in fair value of KRIP reversion investment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Asset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Paid-in-kind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Non-cash changes in workers' compensation and employee benefit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gain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Loss on early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Decrease in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(Increase) decrease in miscellaneous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Decrease in 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Decrease in liabilities excluding borrowings and trade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Additions to properties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sale of preferred equity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redemption of KRIP reversion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proceeds from ATM equity offering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Repayment of Amended and Restated Term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Preferred stock cash dividend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exercise of employee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301</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413</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u w:val="single"/>
              </w:rPr>
            </w:pPr>
            <w:r>
              <w:rPr>
                <w:rFonts w:ascii="sans-serif" w:hAnsi="sans-serif"/>
                <w:b/>
                <w:color w:val="000000"/>
                <w:sz w:val="18"/>
                <w:u w:val="single"/>
              </w:rPr>
              <w:t>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Series B preferred stock embedded derivative liability at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Series C preferred stock exchange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 accompanying notes are an integral part of these consolidated financial statements.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1" w:name="equity"/>
      <w:bookmarkEnd w:id="11"/>
      <w:r>
        <w:rPr>
          <w:rFonts w:ascii="sans-serif" w:hAnsi="sans-serif"/>
          <w:b/>
          <w:color w:val="000000"/>
          <w:sz w:val="20"/>
        </w:rPr>
        <w:t>CONSOLIDATED STATEMENT OF EQUITY (DEFICIT) (Unaudited)</w:t>
      </w:r>
    </w:p>
    <w:p>
      <w:pPr>
        <w:pStyle w:val="TextBody"/>
        <w:bidi w:val="0"/>
        <w:jc w:val="left"/>
      </w:pPr>
      <w:r>
        <w:t> </w:t>
      </w:r>
    </w:p>
    <w:tbl>
      <w:tblPr>
        <w:tblW w:w="11493" w:type="dxa"/>
        <w:jc w:val="left"/>
        <w:tblInd w:w="0" w:type="dxa"/>
        <w:tblLayout w:type="fixed"/>
        <w:tblCellMar>
          <w:top w:w="28" w:type="dxa"/>
          <w:left w:w="28" w:type="dxa"/>
          <w:bottom w:w="28" w:type="dxa"/>
          <w:right w:w="28" w:type="dxa"/>
        </w:tblCellMar>
      </w:tblPr>
      <w:tblGrid>
        <w:gridCol w:w="1776"/>
        <w:gridCol w:w="146"/>
        <w:gridCol w:w="326"/>
        <w:gridCol w:w="500"/>
        <w:gridCol w:w="146"/>
        <w:gridCol w:w="146"/>
        <w:gridCol w:w="249"/>
        <w:gridCol w:w="712"/>
        <w:gridCol w:w="181"/>
        <w:gridCol w:w="146"/>
        <w:gridCol w:w="353"/>
        <w:gridCol w:w="848"/>
        <w:gridCol w:w="181"/>
        <w:gridCol w:w="146"/>
        <w:gridCol w:w="415"/>
        <w:gridCol w:w="996"/>
        <w:gridCol w:w="181"/>
        <w:gridCol w:w="146"/>
        <w:gridCol w:w="304"/>
        <w:gridCol w:w="567"/>
        <w:gridCol w:w="181"/>
        <w:gridCol w:w="146"/>
        <w:gridCol w:w="226"/>
        <w:gridCol w:w="541"/>
        <w:gridCol w:w="181"/>
        <w:gridCol w:w="146"/>
        <w:gridCol w:w="358"/>
        <w:gridCol w:w="858"/>
        <w:gridCol w:w="391"/>
      </w:tblGrid>
      <w:t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8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Nine-Month Period Ending September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Extinguishment of 4.0% Series B preferred </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Issuance of 6.0%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1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Pension and other postretirement</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1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September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1,291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654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tbl>
      <w:tblPr>
        <w:tblW w:w="11973" w:type="dxa"/>
        <w:jc w:val="left"/>
        <w:tblInd w:w="0" w:type="dxa"/>
        <w:tblLayout w:type="fixed"/>
        <w:tblCellMar>
          <w:top w:w="28" w:type="dxa"/>
          <w:left w:w="28" w:type="dxa"/>
          <w:bottom w:w="28" w:type="dxa"/>
          <w:right w:w="28" w:type="dxa"/>
        </w:tblCellMar>
      </w:tblPr>
      <w:tblGrid>
        <w:gridCol w:w="1776"/>
        <w:gridCol w:w="146"/>
        <w:gridCol w:w="361"/>
        <w:gridCol w:w="555"/>
        <w:gridCol w:w="146"/>
        <w:gridCol w:w="146"/>
        <w:gridCol w:w="280"/>
        <w:gridCol w:w="801"/>
        <w:gridCol w:w="181"/>
        <w:gridCol w:w="146"/>
        <w:gridCol w:w="389"/>
        <w:gridCol w:w="932"/>
        <w:gridCol w:w="181"/>
        <w:gridCol w:w="146"/>
        <w:gridCol w:w="451"/>
        <w:gridCol w:w="1080"/>
        <w:gridCol w:w="181"/>
        <w:gridCol w:w="146"/>
        <w:gridCol w:w="319"/>
        <w:gridCol w:w="597"/>
        <w:gridCol w:w="181"/>
        <w:gridCol w:w="146"/>
        <w:gridCol w:w="226"/>
        <w:gridCol w:w="466"/>
        <w:gridCol w:w="181"/>
        <w:gridCol w:w="146"/>
        <w:gridCol w:w="375"/>
        <w:gridCol w:w="901"/>
        <w:gridCol w:w="391"/>
      </w:tblGrid>
      <w:t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6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Nine-Month Period Ending 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5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Eastman Kodak Company Common Shareholders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 in</w:t>
              <w:b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Accumulated </w:t>
              <w:b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 xml:space="preserve">Comprehensive </w:t>
              <w:br/>
              <w:t>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b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Redeemable,</w:t>
              <w:br/>
              <w:t>Convertible</w:t>
              <w:br/>
              <w:t>Preferred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1,150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(393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(400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income (loss)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accrued cash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in-kind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deemed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19"/>
              </w:rPr>
            </w:pPr>
            <w:r>
              <w:rPr>
                <w:rFonts w:ascii="sans-serif" w:hAnsi="sans-serif"/>
                <w:color w:val="000000"/>
                <w:sz w:val="19"/>
              </w:rPr>
              <w:t xml:space="preserve">Purchases of treasury stock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1,147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(426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528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Other comprehensive (loss) income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9"/>
              </w:rPr>
            </w:pPr>
            <w:r>
              <w:rPr>
                <w:rFonts w:ascii="sans-serif" w:hAnsi="sans-serif"/>
                <w:color w:val="000000"/>
                <w:sz w:val="19"/>
              </w:rPr>
              <w:t xml:space="preserve">Pension and other postretirement </w:t>
              <w:br/>
              <w:t>    liability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Common shares issued under ATM </w:t>
              <w:br/>
              <w:t>    equity offering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Preferred stock accrued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 xml:space="preserve">Series C preferred stock exchange for </w:t>
              <w:br/>
              <w:t>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r>
      <w:tr>
        <w:tc>
          <w:tcPr>
            <w:tcW w:w="1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Equity (deficit)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1,271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(413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0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762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9"/>
              </w:rPr>
            </w:pPr>
            <w:r>
              <w:rPr>
                <w:rFonts w:ascii="sans-serif" w:hAnsi="sans-serif"/>
                <w:color w:val="000000"/>
                <w:sz w:val="19"/>
              </w:rPr>
              <w:t>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Represents purchases of common stock to satisfy tax withholding obligations.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EASTMAN KODAK COMPANY</w:t>
      </w:r>
    </w:p>
    <w:p>
      <w:pPr>
        <w:pStyle w:val="TextBody"/>
        <w:bidi w:val="0"/>
        <w:jc w:val="left"/>
        <w:rPr>
          <w:rFonts w:ascii="sans-serif" w:hAnsi="sans-serif"/>
          <w:b/>
          <w:color w:val="000000"/>
          <w:sz w:val="20"/>
        </w:rPr>
      </w:pPr>
      <w:bookmarkStart w:id="12" w:name="notes_to_financial_statements"/>
      <w:bookmarkEnd w:id="12"/>
      <w:r>
        <w:rPr>
          <w:rFonts w:ascii="sans-serif" w:hAnsi="sans-serif"/>
          <w:b/>
          <w:color w:val="000000"/>
          <w:sz w:val="20"/>
        </w:rPr>
        <w:t>NOTES TO FINANCIAL STATEMENTS (Unaudited)</w:t>
      </w:r>
    </w:p>
    <w:p>
      <w:pPr>
        <w:pStyle w:val="TextBody"/>
        <w:bidi w:val="0"/>
        <w:spacing w:before="200" w:after="283"/>
        <w:jc w:val="left"/>
        <w:rPr>
          <w:rFonts w:ascii="sans-serif" w:hAnsi="sans-serif"/>
          <w:b/>
          <w:color w:val="000000"/>
          <w:sz w:val="20"/>
        </w:rPr>
      </w:pPr>
      <w:r>
        <w:rPr>
          <w:rFonts w:ascii="sans-serif" w:hAnsi="sans-serif"/>
          <w:b/>
          <w:color w:val="000000"/>
          <w:sz w:val="20"/>
        </w:rPr>
        <w:t>NOTE 1: BASIS OF PRESENTATION AND RECENT ACCOUNTING PRONOUNCEMENTS</w:t>
      </w:r>
    </w:p>
    <w:p>
      <w:pPr>
        <w:pStyle w:val="TextBody"/>
        <w:bidi w:val="0"/>
        <w:spacing w:before="20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before="200" w:after="283"/>
        <w:jc w:val="left"/>
        <w:rPr>
          <w:rFonts w:ascii="sans-serif" w:hAnsi="sans-serif"/>
          <w:sz w:val="20"/>
        </w:rPr>
      </w:pPr>
      <w:r>
        <w:rPr>
          <w:rFonts w:ascii="sans-serif" w:hAnsi="sans-serif"/>
          <w:color w:val="000000"/>
          <w:sz w:val="20"/>
        </w:rPr>
        <w:t xml:space="preserve">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and all companies directly or indirectly controlled, either through majority ownership or otherwise (“Kodak” or the “Company”). The results of operations for the interim periods are not necessarily indicative of the results for the entire fiscal year. These consolidated interim statements should be read in conjunction with the Company’s Annual Report on Form 10-K for the year ended </w:t>
      </w:r>
      <w:bookmarkStart w:id="13" w:name="led293237f20228201663700328457"/>
      <w:bookmarkEnd w:id="13"/>
      <w:r>
        <w:rPr>
          <w:rFonts w:ascii="sans-serif" w:hAnsi="sans-serif"/>
          <w:color w:val="000000"/>
          <w:sz w:val="20"/>
        </w:rPr>
        <w:t>December 31, 2025 (the “</w:t>
      </w:r>
      <w:bookmarkStart w:id="14" w:name="led293237f20228201663700343093"/>
      <w:bookmarkEnd w:id="14"/>
      <w:r>
        <w:rPr>
          <w:rFonts w:ascii="sans-serif" w:hAnsi="sans-serif"/>
          <w:color w:val="000000"/>
          <w:sz w:val="20"/>
        </w:rPr>
        <w:t>2025 Form 10-K”).</w:t>
      </w:r>
    </w:p>
    <w:p>
      <w:pPr>
        <w:pStyle w:val="TextBody"/>
        <w:bidi w:val="0"/>
        <w:spacing w:before="200" w:after="283"/>
        <w:jc w:val="left"/>
        <w:rPr>
          <w:rFonts w:ascii="sans-serif" w:hAnsi="sans-serif"/>
          <w:b/>
          <w:color w:val="000000"/>
          <w:sz w:val="20"/>
        </w:rPr>
      </w:pPr>
      <w:r>
        <w:rPr>
          <w:rFonts w:ascii="sans-serif" w:hAnsi="sans-serif"/>
          <w:b/>
          <w:color w:val="000000"/>
          <w:sz w:val="20"/>
        </w:rPr>
        <w:t>RECENTLY ADOPTED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No accounting pronouncements were recently adopted by Kodak.</w:t>
      </w:r>
    </w:p>
    <w:p>
      <w:pPr>
        <w:pStyle w:val="TextBody"/>
        <w:bidi w:val="0"/>
        <w:spacing w:before="20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200" w:after="283"/>
        <w:jc w:val="left"/>
        <w:rPr>
          <w:rFonts w:ascii="sans-serif" w:hAnsi="sans-serif"/>
          <w:color w:val="000000"/>
          <w:sz w:val="20"/>
        </w:rPr>
      </w:pPr>
      <w:r>
        <w:rPr>
          <w:rFonts w:ascii="sans-serif" w:hAnsi="sans-serif"/>
          <w:color w:val="000000"/>
          <w:sz w:val="20"/>
        </w:rPr>
        <w:t>In November 2024, the Financial Accounting Standards Board (“FASB”) issued Accounting Standards Update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December 2025, the FASB issued ASU 2025-10, Government Grants (Topic 832). ASU 2025-10 establishes authoritative guidance on the accounting for government grants received by business entities, as GAAP previously did not provide specific authoritative guidance about the recognition, measurement and presentation of government grants. This ASU may be applied using either a retrospective, modified retrospective, or modified prospective approach, and is effective for annual reporting periods beginning after December 15, 2028 and interim reporting periods within such annual reporting periods (January 1, 2029 for Kodak). Kodak is currently evaluating the impact of this ASU.</w:t>
      </w:r>
    </w:p>
    <w:p>
      <w:pPr>
        <w:pStyle w:val="TextBody"/>
        <w:bidi w:val="0"/>
        <w:spacing w:before="200" w:after="283"/>
        <w:jc w:val="left"/>
        <w:rPr>
          <w:rFonts w:ascii="sans-serif" w:hAnsi="sans-serif"/>
          <w:color w:val="000000"/>
          <w:sz w:val="20"/>
        </w:rPr>
      </w:pPr>
      <w:r>
        <w:rPr>
          <w:rFonts w:ascii="sans-serif" w:hAnsi="sans-serif"/>
          <w:color w:val="000000"/>
          <w:sz w:val="20"/>
        </w:rPr>
        <w:t>In April 2026, the FASB issued ASU 2026-01, Equity (Topic 505): Initial Measurement of Paid-in-Kind Dividends on Equity-Classified Preferred Stock. ASU 2026-01 requires that such dividends be initially measured on the basis of the dividend rate stated in the preferred stock agreement. The ASU may be applied on either a prospective or modified retrospective basis, and is effective for annual reporting periods beginning after December 15, 2026 and interim reporting periods within those annual reporting periods (January 1, 2027 for Kodak). Kodak does not expect the guidance to have a material impact on Kodak's consolidated financial statements.</w:t>
      </w:r>
    </w:p>
    <w:p>
      <w:pPr>
        <w:pStyle w:val="TextBody"/>
        <w:bidi w:val="0"/>
        <w:spacing w:before="200" w:after="283"/>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color w:val="000000"/>
          <w:sz w:val="20"/>
        </w:rPr>
      </w:pPr>
      <w:r>
        <w:rPr>
          <w:rFonts w:ascii="sans-serif" w:hAnsi="sans-serif"/>
          <w:color w:val="000000"/>
          <w:sz w:val="20"/>
        </w:rPr>
        <w:t xml:space="preserve">In May 2026, the FASB issued ASU 2026-02, Environmental Credits and Environmental Credit Obligations (Topic 818). ASU 2026-02 establishes specific authoritative guidance on how to recognize and measure environmental credits and the related obligations that result from regulatory compliance programs. Under this guidance, environmental credits will be required to be recognized as either assets or expenses, depending on the probable future use of such credits, while environmental credit obligations will be required to be recognized as liabilities based on events and activities occurring on or before the reporting date. The ASU will be applied on a retrospective basis through a cumulative-effect adjustment to the opening balance of retained earnings as of the beginning of the annual reporting period of adoption, and is effective for annual reporting periods beginning after December 15, 2027 and interim reporting periods within those annual reporting periods (January 1, 2028 for Kodak). Kodak is currently evaluating the impact of this ASU. </w:t>
      </w:r>
    </w:p>
    <w:p>
      <w:pPr>
        <w:pStyle w:val="TextBody"/>
        <w:bidi w:val="0"/>
        <w:spacing w:before="200" w:after="283"/>
        <w:jc w:val="left"/>
        <w:rPr>
          <w:rFonts w:ascii="sans-serif" w:hAnsi="sans-serif"/>
          <w:b/>
          <w:color w:val="000000"/>
          <w:sz w:val="20"/>
        </w:rPr>
      </w:pPr>
      <w:r>
        <w:rPr>
          <w:rFonts w:ascii="sans-serif" w:hAnsi="sans-serif"/>
          <w:b/>
          <w:color w:val="000000"/>
          <w:sz w:val="20"/>
        </w:rPr>
        <w:t>NOTE 2: CASH, CASH EQUIVALENTS AND RESTRICTED CASH</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a reconciliation of cash, cash equivalents and restricted cash reported within the Consolidated Statement of Financial Position that sums to the total of such amounts shown in the Consolidated Statement of Cash Flows: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6450"/>
        <w:gridCol w:w="146"/>
        <w:gridCol w:w="521"/>
        <w:gridCol w:w="1078"/>
        <w:gridCol w:w="146"/>
        <w:gridCol w:w="146"/>
        <w:gridCol w:w="498"/>
        <w:gridCol w:w="1026"/>
        <w:gridCol w:w="194"/>
      </w:tblGrid>
      <w:tr>
        <w:tc>
          <w:tcPr>
            <w:tcW w:w="6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64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reported in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64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64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cash, cash equivalents and restricted cash shown in the Consolidated Statement </w:t>
              <w:br/>
              <w: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160"/>
        <w:jc w:val="left"/>
        <w:rPr>
          <w:rFonts w:ascii="sans-serif" w:hAnsi="sans-serif"/>
          <w:color w:val="000000"/>
          <w:sz w:val="20"/>
        </w:rPr>
      </w:pPr>
      <w:bookmarkStart w:id="15" w:name="led293237f20228201663700467242"/>
      <w:bookmarkEnd w:id="15"/>
      <w:r>
        <w:rPr>
          <w:rFonts w:ascii="sans-serif" w:hAnsi="sans-serif"/>
          <w:color w:val="000000"/>
          <w:sz w:val="20"/>
        </w:rPr>
        <w:t xml:space="preserve">Restricted cash reported in Other current assets on the Consolidated Statement of Financial Position included $8 million and $9 million as of September 30, 2026 and December 31, 2025, respectively, representing amounts that support hedging activities. Restricted cash reported in Other current assets as of September 30, 2026 also included $8 million of assets held by the Kodak Retirement Income Plan (“KRIP") trust. Refer to Note 15, “Retirement Plans” for additional information. </w:t>
      </w:r>
    </w:p>
    <w:p>
      <w:pPr>
        <w:pStyle w:val="TextBody"/>
        <w:bidi w:val="0"/>
        <w:spacing w:before="40" w:after="283"/>
        <w:jc w:val="left"/>
        <w:rPr>
          <w:rFonts w:ascii="sans-serif" w:hAnsi="sans-serif"/>
          <w:color w:val="000000"/>
          <w:sz w:val="20"/>
        </w:rPr>
      </w:pPr>
      <w:r>
        <w:rPr>
          <w:rFonts w:ascii="sans-serif" w:hAnsi="sans-serif"/>
          <w:color w:val="000000"/>
          <w:sz w:val="20"/>
        </w:rPr>
        <w:t>Restricted cash included $20 million and $25 million as of September 30, 2026 and December 31, 2025, respectively, representing the cash collateral required to be posted by the Company under the Amended and Restated L/C Facility Agreement. In addition, restricted cash as of September 30, 2026 and December 31, 2025 included $53 million and $62 million, respectively, representing cash collateral supporting the Company’s undiscounted actuarial workers’ compensation obligations with the New York State Workers’ Compensation Board ("NYS WCB"). Restricted cash also included $5 million and $7 million of security posted related to Brazilian legal contingencies as of September 30, 2026 and December 31,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NOTE 3: INVENTORIES, NET</w:t>
      </w:r>
    </w:p>
    <w:p>
      <w:pPr>
        <w:pStyle w:val="TextBody"/>
        <w:bidi w:val="0"/>
        <w:jc w:val="left"/>
      </w:pPr>
      <w:r>
        <w:t> </w:t>
      </w:r>
    </w:p>
    <w:tbl>
      <w:tblPr>
        <w:tblW w:w="5685" w:type="dxa"/>
        <w:jc w:val="left"/>
        <w:tblInd w:w="0" w:type="dxa"/>
        <w:tblLayout w:type="fixed"/>
        <w:tblCellMar>
          <w:top w:w="28" w:type="dxa"/>
          <w:left w:w="28" w:type="dxa"/>
          <w:bottom w:w="28" w:type="dxa"/>
          <w:right w:w="28" w:type="dxa"/>
        </w:tblCellMar>
      </w:tblPr>
      <w:tblGrid>
        <w:gridCol w:w="1681"/>
        <w:gridCol w:w="146"/>
        <w:gridCol w:w="562"/>
        <w:gridCol w:w="1163"/>
        <w:gridCol w:w="146"/>
        <w:gridCol w:w="146"/>
        <w:gridCol w:w="539"/>
        <w:gridCol w:w="1111"/>
        <w:gridCol w:w="191"/>
      </w:tblGrid>
      <w:t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4: OTHER CURRENT ASSETS</w:t>
      </w:r>
    </w:p>
    <w:p>
      <w:pPr>
        <w:pStyle w:val="TextBody"/>
        <w:bidi w:val="0"/>
        <w:jc w:val="left"/>
      </w:pPr>
      <w:r>
        <w:t> </w:t>
      </w:r>
    </w:p>
    <w:tbl>
      <w:tblPr>
        <w:tblW w:w="8735" w:type="dxa"/>
        <w:jc w:val="left"/>
        <w:tblInd w:w="0" w:type="dxa"/>
        <w:tblLayout w:type="fixed"/>
        <w:tblCellMar>
          <w:top w:w="28" w:type="dxa"/>
          <w:left w:w="28" w:type="dxa"/>
          <w:bottom w:w="28" w:type="dxa"/>
          <w:right w:w="28" w:type="dxa"/>
        </w:tblCellMar>
      </w:tblPr>
      <w:tblGrid>
        <w:gridCol w:w="4531"/>
        <w:gridCol w:w="146"/>
        <w:gridCol w:w="681"/>
        <w:gridCol w:w="1044"/>
        <w:gridCol w:w="146"/>
        <w:gridCol w:w="146"/>
        <w:gridCol w:w="539"/>
        <w:gridCol w:w="1111"/>
        <w:gridCol w:w="391"/>
      </w:tblGrid>
      <w:t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53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Short-term investments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Estimated workers' compensation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Short-term investments relate to investment assets received by the Company as part of the settlement of the KRIP in November 2025. The investment assets are primarily hedge fund investments which are expected to be redeemed within one year and are valued using the net asset value ("NAV") per share expedient.</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current assets that, individually, were less than 5% of the total current assets component in the accompanying Consolidated Statement of Financial Position, and therefore have been aggregated in accordance with Regulation S-X.</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5: OTHER LONG-TERM LIABILITIES</w:t>
      </w:r>
    </w:p>
    <w:p>
      <w:pPr>
        <w:pStyle w:val="TextBody"/>
        <w:bidi w:val="0"/>
        <w:jc w:val="left"/>
      </w:pPr>
      <w:r>
        <w:t> </w:t>
      </w:r>
    </w:p>
    <w:tbl>
      <w:tblPr>
        <w:tblW w:w="9020" w:type="dxa"/>
        <w:jc w:val="left"/>
        <w:tblInd w:w="0" w:type="dxa"/>
        <w:tblLayout w:type="fixed"/>
        <w:tblCellMar>
          <w:top w:w="28" w:type="dxa"/>
          <w:left w:w="28" w:type="dxa"/>
          <w:bottom w:w="28" w:type="dxa"/>
          <w:right w:w="28" w:type="dxa"/>
        </w:tblCellMar>
      </w:tblPr>
      <w:tblGrid>
        <w:gridCol w:w="4816"/>
        <w:gridCol w:w="146"/>
        <w:gridCol w:w="562"/>
        <w:gridCol w:w="1163"/>
        <w:gridCol w:w="146"/>
        <w:gridCol w:w="146"/>
        <w:gridCol w:w="539"/>
        <w:gridCol w:w="1111"/>
        <w:gridCol w:w="391"/>
      </w:tblGrid>
      <w:t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brand licensing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Environmental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Embedded preferred stock derivative liability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Refer to Note 7, "Redeemable, Convertible Preferred Stock" for additional details and Note 20, "Financial Instruments" for valuation of this derivative.</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6: DEBT AND CREDIT FACILITIES</w:t>
      </w:r>
    </w:p>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Term Loan Credit Agreement</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(refer to Note 7, “Redeemable, Convertible Preferred Stock” for additional details on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between the Company, certain of its subsidiaries, the lenders party thereto, and Alter Domus (US) LLC, as administrative agent. Under the Term Loan Credit Agreement, the term loan lenders provided the Company with a commitment to provide term loans in an aggregate principal amount of $450 million (the “Term Loans”). Certain holders of Series B Preferred Stock as well as funds under common management with holders of the Series B Preferred Stock are lenders under the Term Loan Credit Agreement.</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Term Loan Amendment required the Company to prepay an aggregate $50 million principal amount of Term Loans on or prior to March 18, 2026 and an additional $50 million principal amount of Term Loans on or prior to June 1, 2026, in each case, plus a prepayment premium equal to one percent. </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color w:val="000000"/>
          <w:sz w:val="20"/>
        </w:rPr>
      </w:pPr>
      <w:r>
        <w:rPr>
          <w:rFonts w:ascii="sans-serif" w:hAnsi="sans-serif"/>
          <w:color w:val="000000"/>
          <w:sz w:val="20"/>
        </w:rPr>
        <w:t xml:space="preserve">On March 13,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first quarter of 2026. </w:t>
      </w:r>
    </w:p>
    <w:p>
      <w:pPr>
        <w:pStyle w:val="TextBody"/>
        <w:bidi w:val="0"/>
        <w:spacing w:before="200" w:after="283"/>
        <w:jc w:val="left"/>
        <w:rPr>
          <w:rFonts w:ascii="sans-serif" w:hAnsi="sans-serif"/>
          <w:color w:val="000000"/>
          <w:sz w:val="20"/>
        </w:rPr>
      </w:pPr>
      <w:r>
        <w:rPr>
          <w:rFonts w:ascii="sans-serif" w:hAnsi="sans-serif"/>
          <w:color w:val="000000"/>
          <w:sz w:val="20"/>
        </w:rPr>
        <w:t xml:space="preserve">On June 1, 2026, the Company entered into a Limited Waiver to the Term Loan Amendment which extended the due date of the June 1, 2026 term loan repayment to be payable on or before July 1, 2026. </w:t>
      </w:r>
    </w:p>
    <w:p>
      <w:pPr>
        <w:pStyle w:val="TextBody"/>
        <w:bidi w:val="0"/>
        <w:spacing w:before="200" w:after="283"/>
        <w:jc w:val="left"/>
        <w:rPr>
          <w:rFonts w:ascii="sans-serif" w:hAnsi="sans-serif"/>
          <w:color w:val="000000"/>
          <w:sz w:val="20"/>
        </w:rPr>
      </w:pPr>
      <w:r>
        <w:rPr>
          <w:rFonts w:ascii="sans-serif" w:hAnsi="sans-serif"/>
          <w:color w:val="000000"/>
          <w:sz w:val="20"/>
        </w:rPr>
        <w:t>On June 26,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second quarter of 2026.</w:t>
      </w:r>
    </w:p>
    <w:p>
      <w:pPr>
        <w:pStyle w:val="TextBody"/>
        <w:bidi w:val="0"/>
        <w:spacing w:before="200" w:after="283"/>
        <w:jc w:val="left"/>
        <w:rPr>
          <w:rFonts w:ascii="sans-serif" w:hAnsi="sans-serif"/>
          <w:b/>
          <w:color w:val="000000"/>
          <w:sz w:val="20"/>
        </w:rPr>
      </w:pPr>
      <w:r>
        <w:rPr>
          <w:rFonts w:ascii="sans-serif" w:hAnsi="sans-serif"/>
          <w:b/>
          <w:color w:val="000000"/>
          <w:sz w:val="20"/>
        </w:rPr>
        <w:t>NOTE 7: REDEEMABLE, CONVERTIBLE PREFERRED STOCK</w:t>
      </w:r>
    </w:p>
    <w:p>
      <w:pPr>
        <w:pStyle w:val="TextBody"/>
        <w:bidi w:val="0"/>
        <w:spacing w:before="200" w:after="283"/>
        <w:jc w:val="left"/>
        <w:rPr>
          <w:rFonts w:ascii="sans-serif" w:hAnsi="sans-serif"/>
          <w:color w:val="000000"/>
          <w:sz w:val="20"/>
        </w:rPr>
      </w:pPr>
      <w:r>
        <w:rPr>
          <w:rFonts w:ascii="sans-serif" w:hAnsi="sans-serif"/>
          <w:color w:val="000000"/>
          <w:sz w:val="20"/>
        </w:rPr>
        <w:t>Redeemable, convertible preferred stock was as follows:</w:t>
      </w:r>
    </w:p>
    <w:p>
      <w:pPr>
        <w:pStyle w:val="TextBody"/>
        <w:bidi w:val="0"/>
        <w:jc w:val="left"/>
      </w:pPr>
      <w:r>
        <w:t> </w:t>
      </w:r>
    </w:p>
    <w:tbl>
      <w:tblPr>
        <w:tblW w:w="7020" w:type="dxa"/>
        <w:jc w:val="left"/>
        <w:tblInd w:w="0" w:type="dxa"/>
        <w:tblLayout w:type="fixed"/>
        <w:tblCellMar>
          <w:top w:w="28" w:type="dxa"/>
          <w:left w:w="28" w:type="dxa"/>
          <w:bottom w:w="28" w:type="dxa"/>
          <w:right w:w="28" w:type="dxa"/>
        </w:tblCellMar>
      </w:tblPr>
      <w:tblGrid>
        <w:gridCol w:w="3016"/>
        <w:gridCol w:w="146"/>
        <w:gridCol w:w="681"/>
        <w:gridCol w:w="1044"/>
        <w:gridCol w:w="146"/>
        <w:gridCol w:w="146"/>
        <w:gridCol w:w="651"/>
        <w:gridCol w:w="999"/>
        <w:gridCol w:w="191"/>
      </w:tblGrid>
      <w:t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6.0% 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4.0%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4.0% Series B Preferred Stock</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Company’s 4.0% Series B Convertible Preferred Stock, no par value (the “4.0% Series B Preferred Stock”), which became effective upon filing. </w:t>
      </w:r>
    </w:p>
    <w:p>
      <w:pPr>
        <w:pStyle w:val="TextBody"/>
        <w:bidi w:val="0"/>
        <w:spacing w:before="200" w:after="283"/>
        <w:jc w:val="left"/>
        <w:rPr>
          <w:rFonts w:ascii="sans-serif" w:hAnsi="sans-serif"/>
          <w:color w:val="000000"/>
          <w:sz w:val="20"/>
        </w:rPr>
      </w:pPr>
      <w:r>
        <w:rPr>
          <w:rFonts w:ascii="sans-serif" w:hAnsi="sans-serif"/>
          <w:color w:val="000000"/>
          <w:sz w:val="20"/>
        </w:rPr>
        <w:t>On February 26, 2021, the Company agreed to exchange one million shares of Series A Preferred Stock held by Southeastern Asset Management, Inc. (“Southeastern”) and Longleaf Partners Small-Cap Fund, C2W Partners Master Fund Limited and Deseret Mutual Pension Trust, which were investment funds managed by Southeastern at the time (such investment funds, collectively, the “Purchasers”), for shares of the Company’s 4.0% Series B Preferred Stock, on a one-for-one basis plus accrued and unpaid dividends. The fair value of the 4.0% Series B Preferred Stock at the time of issuance approximated $95 million. The Company classified the 4.0% Series B Preferred Stock as temporary equity in the Consolidated Statement of Financial Position.</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sans-serif" w:hAnsi="sans-serif"/>
          <w:color w:val="000000"/>
          <w:sz w:val="20"/>
        </w:rPr>
      </w:pPr>
      <w:r>
        <w:rPr>
          <w:rFonts w:ascii="sans-serif" w:hAnsi="sans-serif"/>
          <w:color w:val="000000"/>
          <w:sz w:val="20"/>
        </w:rPr>
        <w:t>Kodak allocated $1 million of the fair value from the issuance of the 4.0% Series B Preferred Stock to a derivative liability based on the aggregate fair value of an embedded conversion feature on the date of issuance. The carrying value of the 4.0% Series B Preferred Stock at the time of issuance, $93 million ($95 million fair value of 4.0% Series B Preferred Stock on February 26, 2021 less $1 million allocated to the derivative liability and $1 million of transaction costs) was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sans-serif" w:hAnsi="sans-serif"/>
          <w:color w:val="000000"/>
          <w:sz w:val="20"/>
        </w:rPr>
      </w:pPr>
      <w:r>
        <w:rPr>
          <w:rFonts w:ascii="sans-serif" w:hAnsi="sans-serif"/>
          <w:color w:val="000000"/>
          <w:sz w:val="20"/>
        </w:rPr>
        <w:t xml:space="preserve">Holders of 4.0% Series B Preferred Stock were entitled to cumulative dividends payable quarterly in cash at a rate of 4.0% per annum. If any shares of the 4.0% Series B Preferred Stock had not been converted prior to May 28, 2026, the Company was required to redeem such shares at $100 per share plus the amount of accrued and unpaid dividends. </w:t>
      </w:r>
    </w:p>
    <w:p>
      <w:pPr>
        <w:pStyle w:val="TextBody"/>
        <w:bidi w:val="0"/>
        <w:spacing w:before="200" w:after="283"/>
        <w:jc w:val="left"/>
        <w:rPr>
          <w:rFonts w:ascii="sans-serif" w:hAnsi="sans-serif"/>
          <w:b/>
          <w:i/>
          <w:color w:val="000000"/>
          <w:sz w:val="20"/>
        </w:rPr>
      </w:pPr>
      <w:r>
        <w:rPr>
          <w:rFonts w:ascii="sans-serif" w:hAnsi="sans-serif"/>
          <w:b/>
          <w:i/>
          <w:color w:val="000000"/>
          <w:sz w:val="20"/>
        </w:rPr>
        <w:t>Series B Preferred Stock Purchase</w:t>
      </w:r>
    </w:p>
    <w:p>
      <w:pPr>
        <w:pStyle w:val="TextBody"/>
        <w:bidi w:val="0"/>
        <w:spacing w:before="200" w:after="283"/>
        <w:jc w:val="left"/>
        <w:rPr>
          <w:rFonts w:ascii="sans-serif" w:hAnsi="sans-serif"/>
          <w:color w:val="000000"/>
          <w:sz w:val="20"/>
        </w:rPr>
      </w:pPr>
      <w:r>
        <w:rPr>
          <w:rFonts w:ascii="sans-serif" w:hAnsi="sans-serif"/>
          <w:color w:val="000000"/>
          <w:sz w:val="20"/>
        </w:rPr>
        <w:t xml:space="preserve">On December 5, 2025, certain funds affiliated with Kennedy Lewis (such funds, collectively, the “KL Funds”) purchased all outstanding shares of the 4.0% Series B Preferred Stock from the Purchasers or their successors in privately negotiated transactions.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i/>
          <w:color w:val="000000"/>
          <w:sz w:val="20"/>
        </w:rPr>
      </w:pPr>
      <w:r>
        <w:rPr>
          <w:rFonts w:ascii="sans-serif" w:hAnsi="sans-serif"/>
          <w:b/>
          <w:i/>
          <w:color w:val="000000"/>
          <w:sz w:val="20"/>
        </w:rPr>
        <w:t>Extinguishment of 4.0% Series B Preferred Stock</w:t>
      </w:r>
    </w:p>
    <w:p>
      <w:pPr>
        <w:pStyle w:val="TextBody"/>
        <w:bidi w:val="0"/>
        <w:spacing w:before="200" w:after="283"/>
        <w:jc w:val="left"/>
        <w:rPr>
          <w:rFonts w:ascii="sans-serif" w:hAnsi="sans-serif"/>
          <w:color w:val="000000"/>
          <w:sz w:val="20"/>
        </w:rPr>
      </w:pPr>
      <w:r>
        <w:rPr>
          <w:rFonts w:ascii="sans-serif" w:hAnsi="sans-serif"/>
          <w:color w:val="000000"/>
          <w:sz w:val="20"/>
        </w:rPr>
        <w:t>On March 11, 2026 (the “Amendment Date”), the Company filed with the Department of Treasury of the State of New Jersey a Certificate of Amendment to the Series B Certificate of Designations which amended certain terms of the Company’s 4.0% Series B Preferred Stock (the “Series B Preferred Stock Amendment”) and set forth the terms of the Company’s 6.0% Series B Convertible Preferred Stock, no par value (the “6.0% Series B Preferred Stock”).</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Company evaluated the amendment to the Series B Preferred Stock and determined that the 6.0% Series B Preferred Stock is substantially different from the 4.0% Series B Preferred Stock, primarily as a result of the embedded conversion option which is being accounted for separately as a derivative following the amendment. Accordingly, the Company accounted for the transaction as an extinguishment of the 4.0% Series B Preferred Stock and the issuance of a new 6.0% Series B Preferred Stock. The Company recognized a $2 million deemed dividend, recorded to Additional paid in capital in the Consolidated Statement of Financial Position, representing the excess of the fair value of the 6.0% Series B Preferred Stock over the carrying value of the 4.0% Series B Preferred Stock as of the Amendment Date. </w:t>
      </w:r>
    </w:p>
    <w:p>
      <w:pPr>
        <w:pStyle w:val="TextBody"/>
        <w:bidi w:val="0"/>
        <w:spacing w:before="200" w:after="283"/>
        <w:jc w:val="left"/>
        <w:rPr>
          <w:rFonts w:ascii="sans-serif" w:hAnsi="sans-serif"/>
          <w:b/>
          <w:color w:val="000000"/>
          <w:sz w:val="20"/>
        </w:rPr>
      </w:pPr>
      <w:r>
        <w:rPr>
          <w:rFonts w:ascii="sans-serif" w:hAnsi="sans-serif"/>
          <w:b/>
          <w:color w:val="000000"/>
          <w:sz w:val="20"/>
        </w:rPr>
        <w:t>6.0% Series B Preferred Stock</w:t>
      </w:r>
    </w:p>
    <w:p>
      <w:pPr>
        <w:pStyle w:val="TextBody"/>
        <w:bidi w:val="0"/>
        <w:spacing w:before="200" w:after="283"/>
        <w:jc w:val="left"/>
        <w:rPr>
          <w:rFonts w:ascii="Times New Roman" w:hAnsi="Times New Roman"/>
          <w:sz w:val="20"/>
        </w:rPr>
      </w:pPr>
      <w:r>
        <w:rPr>
          <w:rFonts w:ascii="sans-serif" w:hAnsi="sans-serif"/>
          <w:color w:val="000000"/>
          <w:sz w:val="20"/>
        </w:rPr>
        <w:t>The total fair value of the 6.0% Series B Preferred Stock on the Amendment Date was approximately $102</w:t>
      </w:r>
      <w:r>
        <w:rPr>
          <w:rFonts w:ascii="Times New Roman" w:hAnsi="Times New Roman"/>
          <w:color w:val="000000"/>
          <w:sz w:val="20"/>
        </w:rPr>
        <w:t xml:space="preserve"> </w:t>
      </w:r>
      <w:r>
        <w:rPr>
          <w:rFonts w:ascii="sans-serif" w:hAnsi="sans-serif"/>
          <w:color w:val="000000"/>
          <w:sz w:val="20"/>
        </w:rPr>
        <w:t>million, of which $30</w:t>
      </w:r>
      <w:r>
        <w:rPr>
          <w:rFonts w:ascii="Times New Roman" w:hAnsi="Times New Roman"/>
          <w:color w:val="000000"/>
          <w:sz w:val="20"/>
        </w:rPr>
        <w:t xml:space="preserve"> </w:t>
      </w:r>
      <w:r>
        <w:rPr>
          <w:rFonts w:ascii="sans-serif" w:hAnsi="sans-serif"/>
          <w:color w:val="000000"/>
          <w:sz w:val="20"/>
        </w:rPr>
        <w:t>million</w:t>
      </w:r>
      <w:r>
        <w:rPr>
          <w:rFonts w:ascii="Times New Roman" w:hAnsi="Times New Roman"/>
          <w:color w:val="000000"/>
          <w:sz w:val="20"/>
        </w:rPr>
        <w:t xml:space="preserve"> </w:t>
      </w:r>
      <w:r>
        <w:rPr>
          <w:rFonts w:ascii="sans-serif" w:hAnsi="sans-serif"/>
          <w:color w:val="000000"/>
          <w:sz w:val="20"/>
        </w:rPr>
        <w:t>was allocated to the embedded conversion options and recorded separately as a derivative liability (See “Embedded Conversion Features” section below for additional details). The remaining $72</w:t>
      </w:r>
      <w:r>
        <w:rPr>
          <w:rFonts w:ascii="Times New Roman" w:hAnsi="Times New Roman"/>
          <w:color w:val="000000"/>
          <w:sz w:val="20"/>
        </w:rPr>
        <w:t xml:space="preserve"> </w:t>
      </w:r>
      <w:r>
        <w:rPr>
          <w:rFonts w:ascii="sans-serif" w:hAnsi="sans-serif"/>
          <w:color w:val="000000"/>
          <w:sz w:val="20"/>
        </w:rPr>
        <w:t>million is being accreted to the mandatory redemption amount using the effective interest method to Additional paid in capital in the Consolidated Statement of Financial Position as a deemed dividend from the Amendment Date through the mandatory redemption date, June 11, 2029. The Company has classified the 6.0% Series B Preferred Stock as temporary equity in the Consolidated Statement of Financial Position.</w:t>
      </w:r>
    </w:p>
    <w:p>
      <w:pPr>
        <w:pStyle w:val="TextBody"/>
        <w:bidi w:val="0"/>
        <w:spacing w:before="200" w:after="283"/>
        <w:jc w:val="left"/>
        <w:rPr>
          <w:rFonts w:ascii="sans-serif" w:hAnsi="sans-serif"/>
          <w:b/>
          <w:i/>
          <w:color w:val="000000"/>
          <w:sz w:val="20"/>
        </w:rPr>
      </w:pPr>
      <w:r>
        <w:rPr>
          <w:rFonts w:ascii="sans-serif" w:hAnsi="sans-serif"/>
          <w:b/>
          <w:i/>
          <w:color w:val="000000"/>
          <w:sz w:val="20"/>
        </w:rPr>
        <w:t>Dividend and Other Rights</w:t>
      </w:r>
    </w:p>
    <w:p>
      <w:pPr>
        <w:pStyle w:val="TextBody"/>
        <w:bidi w:val="0"/>
        <w:spacing w:before="200" w:after="283"/>
        <w:jc w:val="left"/>
        <w:rPr>
          <w:rFonts w:ascii="sans-serif" w:hAnsi="sans-serif"/>
          <w:color w:val="000000"/>
          <w:sz w:val="20"/>
        </w:rPr>
      </w:pPr>
      <w:r>
        <w:rPr>
          <w:rFonts w:ascii="sans-serif" w:hAnsi="sans-serif"/>
          <w:color w:val="000000"/>
          <w:sz w:val="20"/>
        </w:rPr>
        <w:t>The 6.0% Series B Preferred Stock ranks senior to the Company's common stock, par value $.01 per share ("Common Stock") with respect to dividend rights and rights on liquidation, winding-up and dissolution. The 6.0% Series B Preferred Stock has a liquidation preference of $100 per share, and the holders of 6.0% Series B Preferred Stock are entitled to cumulative dividends payable quarterly in cash at a rate of 6.0% per annum. Holders of 6.0% Series B Preferred Stock will have certain limited special approval rights, including with respect to the issuance of pari passu or senior equity securities of the Company. The Series B Preferred Stock Amendment also includes certain limitations on the Company’s ability to incur certain debt for borrowed money without the consent of the holders of 66 2/3% of the outstanding 6.0% Series B Preferred Stock, provided that the Company would have the right to redeem the 6.0% Series B Preferred Stock in full for cash if such consent is not provided (subject to the terms set forth in the Series B Preferred Stock Amendment).</w:t>
      </w:r>
    </w:p>
    <w:p>
      <w:pPr>
        <w:pStyle w:val="TextBody"/>
        <w:bidi w:val="0"/>
        <w:spacing w:before="200" w:after="283"/>
        <w:jc w:val="left"/>
        <w:rPr>
          <w:rFonts w:ascii="sans-serif" w:hAnsi="sans-serif"/>
          <w:b/>
          <w:i/>
          <w:color w:val="000000"/>
          <w:sz w:val="20"/>
        </w:rPr>
      </w:pPr>
      <w:r>
        <w:rPr>
          <w:rFonts w:ascii="sans-serif" w:hAnsi="sans-serif"/>
          <w:b/>
          <w:i/>
          <w:color w:val="000000"/>
          <w:sz w:val="20"/>
        </w:rPr>
        <w:t>Redemption Features</w:t>
      </w:r>
    </w:p>
    <w:p>
      <w:pPr>
        <w:pStyle w:val="TextBody"/>
        <w:bidi w:val="0"/>
        <w:spacing w:before="200" w:after="283"/>
        <w:jc w:val="left"/>
        <w:rPr>
          <w:rFonts w:ascii="sans-serif" w:hAnsi="sans-serif"/>
          <w:color w:val="000000"/>
          <w:sz w:val="20"/>
        </w:rPr>
      </w:pPr>
      <w:r>
        <w:rPr>
          <w:rFonts w:ascii="sans-serif" w:hAnsi="sans-serif"/>
          <w:color w:val="000000"/>
          <w:sz w:val="20"/>
        </w:rPr>
        <w:t xml:space="preserve">If any shares of 6.0% Series B Preferred Stock have not been converted prior to June 11, 2029 (the “Mandatory Redemption Date”), the Company is required to redeem such shares at $100 per share plus the amount of accrued and unpaid dividends. As the Company concluded the 6.0% Series B Preferred Stock is considered more akin to a debt-type instrument, the redemption feature is considered to be clearly and closely related to the host contract and therefore was not required to be separated from the 6.0% Series B Preferred Stock. </w:t>
      </w:r>
    </w:p>
    <w:p>
      <w:pPr>
        <w:pStyle w:val="TextBody"/>
        <w:bidi w:val="0"/>
        <w:spacing w:before="200" w:after="283"/>
        <w:jc w:val="left"/>
        <w:rPr>
          <w:rFonts w:ascii="sans-serif" w:hAnsi="sans-serif"/>
          <w:sz w:val="20"/>
        </w:rPr>
      </w:pPr>
      <w:r>
        <w:rPr>
          <w:rFonts w:ascii="sans-serif" w:hAnsi="sans-serif"/>
          <w:b/>
          <w:i/>
          <w:color w:val="000000"/>
          <w:sz w:val="20"/>
        </w:rPr>
        <w:t>Conversion Features</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Each share of 6.0% Series B Preferred Stock is convertible, at the option of each holder at any time, into shares of Common Stock at the initial conversion rate of 10.00 shares of Common Stock for each share of 6.0% Series B Preferred Stock (equivalent to an initial conversion price of $10.00 per share of Common Stock). The initial conversion rate and the corresponding conversion price are subject to certain customary anti-dilution adjustments. If a holder elects to convert any shares of 6.0% Series B Preferred Stock during a specified period in connection with a fundamental change (as defined in the Series B Preferred Stock Amendment), such holder can elect to receive a make-whole premium, payable in additional shares of Common Stock, following the conversion of 6.0% Series B Preferred Stock into shares of Common Stock if a fundamental change has occurred. In each case, the holder will also be entitled to receive shares with respect to accumulated dividends. In addition, the Company will have the right to require holders to convert any shares of 6.0% Series B Preferred Stock in connection with certain reorganization events in which case the conversion rate will be adjusted, subject to certain limitations.</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color w:val="000000"/>
          <w:sz w:val="20"/>
        </w:rPr>
      </w:pPr>
      <w:r>
        <w:rPr>
          <w:rFonts w:ascii="sans-serif" w:hAnsi="sans-serif"/>
          <w:color w:val="000000"/>
          <w:sz w:val="20"/>
        </w:rPr>
        <w:t>The Company has the right, subject to certain conditions, to cause the mandatory conversion of the 6.0% Series B Preferred Stock into shares of Common Stock in three tranches, each representing one-third of the 6.0% Series B Preferred Stock if the closing price of the Common Stock has for 45 trading days within a period of 60 consecutive trading days a) equaled or exceeded $14.50 after eighteen months from the Amendment Date, b) equaled or exceeded $15.50 after twenty four months from the Amendment Date and c) equaled or exceeded $16.50 after thirty months from the Amendment Date (in each case, the amount per share is subject to adjustment in the same manner as the conversion price).</w:t>
      </w:r>
    </w:p>
    <w:p>
      <w:pPr>
        <w:pStyle w:val="TextBody"/>
        <w:bidi w:val="0"/>
        <w:spacing w:before="200" w:after="283"/>
        <w:jc w:val="left"/>
        <w:rPr>
          <w:rFonts w:ascii="sans-serif" w:hAnsi="sans-serif"/>
          <w:color w:val="000000"/>
          <w:sz w:val="20"/>
        </w:rPr>
      </w:pPr>
      <w:r>
        <w:rPr>
          <w:rFonts w:ascii="sans-serif" w:hAnsi="sans-serif"/>
          <w:color w:val="000000"/>
          <w:sz w:val="20"/>
        </w:rPr>
        <w:t>Upon a voluntary or mandatory conversion of the 6.0% Series B Preferred Stock, to the extent the Company would otherwise be required to issue shares of Common Stock in excess of the number permitted without obtaining shareholder or regulatory approval, the Company is required to pay cash in lieu of issuing such excess shares. The cash payment is determined based on the market value of the Common Stock as of the applicable conversion date.</w:t>
      </w:r>
    </w:p>
    <w:p>
      <w:pPr>
        <w:pStyle w:val="TextBody"/>
        <w:bidi w:val="0"/>
        <w:spacing w:before="200" w:after="283"/>
        <w:jc w:val="left"/>
        <w:rPr>
          <w:rFonts w:ascii="sans-serif" w:hAnsi="sans-serif"/>
          <w:b/>
          <w:i/>
          <w:color w:val="000000"/>
          <w:sz w:val="20"/>
        </w:rPr>
      </w:pPr>
      <w:r>
        <w:rPr>
          <w:rFonts w:ascii="sans-serif" w:hAnsi="sans-serif"/>
          <w:b/>
          <w:i/>
          <w:color w:val="000000"/>
          <w:sz w:val="20"/>
        </w:rPr>
        <w:t>Embedded Conversion Features</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Company concluded the economic characteristics and risks of the embedded conversion features are not considered clearly and closely related to the 6.0% Series B Preferred Stock. Accordingly, these embedded conversion features were bifurcated from the 6.0% Series B Preferred Stock and separately accounted for on a combined basis as a single derivative liability. The Company allocated $30 million of the total fair value of the 6.0% Series B Preferred Stock to the derivative liability based on the aggregate fair value of the embedded conversion features as of the Amendment Date. The derivative is being accounted for at fair value with subsequent changes in the fair value being reported as part of Other charges, net in the Consolidated Statement of Operations. </w:t>
      </w:r>
    </w:p>
    <w:p>
      <w:pPr>
        <w:pStyle w:val="TextBody"/>
        <w:bidi w:val="0"/>
        <w:spacing w:before="200" w:after="283"/>
        <w:jc w:val="left"/>
        <w:rPr>
          <w:rFonts w:ascii="sans-serif" w:hAnsi="sans-serif"/>
          <w:color w:val="000000"/>
          <w:sz w:val="20"/>
        </w:rPr>
      </w:pPr>
      <w:r>
        <w:rPr>
          <w:rFonts w:ascii="sans-serif" w:hAnsi="sans-serif"/>
          <w:color w:val="000000"/>
          <w:sz w:val="20"/>
        </w:rPr>
        <w:t>The fair value of the embedded derivative as of September 30, 2026 was a liability of $43 million and is included in Other long-term liabilities in the accompanying Consolidated Statement of Financial Position. Refer to Note 20, “Financial Instruments” for information on the valuation of the derivative.</w:t>
      </w:r>
    </w:p>
    <w:p>
      <w:pPr>
        <w:pStyle w:val="TextBody"/>
        <w:bidi w:val="0"/>
        <w:spacing w:before="200" w:after="283"/>
        <w:jc w:val="left"/>
        <w:rPr>
          <w:rFonts w:ascii="sans-serif" w:hAnsi="sans-serif"/>
          <w:sz w:val="20"/>
        </w:rPr>
      </w:pPr>
      <w:r>
        <w:rPr>
          <w:rFonts w:ascii="sans-serif" w:hAnsi="sans-serif"/>
          <w:b/>
          <w:color w:val="000000"/>
          <w:sz w:val="20"/>
        </w:rPr>
        <w:t>Beneficial Ownership Side Letter</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amendment to an existing agreement (the “Side Letter”) with Kennedy Lewis Management LP and Kennedy Lewis Capital Partners Master Fund III LP, KLIM Delta HQC3 LP, Kennedy Lewis (EU) SPV LP and KLCP Co-Investment Opportunities III LP, (each, a “Fund”) which provides that no Fund shall have the right to convert any shares of 6.0% Series B Preferred Stock to the extent that after giving effect to such conversion, the Fund, together with the Fund’s Attribution Parties (as defined in the Side Letter), would collectively beneficially own a number of shares of Common Stock of the Company in excess of 4.99% of the number of shares of Common Stock outstanding (the “Beneficial Ownership Limitation”). The Funds may increase or decrease the Beneficial Ownership Limitation at any time upon not less than sixty-one (61) days’ prior written notice to the Company.</w:t>
      </w:r>
    </w:p>
    <w:p>
      <w:pPr>
        <w:pStyle w:val="TextBody"/>
        <w:bidi w:val="0"/>
        <w:spacing w:before="200" w:after="283"/>
        <w:jc w:val="left"/>
        <w:rPr>
          <w:rFonts w:ascii="sans-serif" w:hAnsi="sans-serif"/>
          <w:b/>
          <w:color w:val="000000"/>
          <w:sz w:val="20"/>
        </w:rPr>
      </w:pPr>
      <w:r>
        <w:rPr>
          <w:rFonts w:ascii="sans-serif" w:hAnsi="sans-serif"/>
          <w:b/>
          <w:color w:val="000000"/>
          <w:sz w:val="20"/>
        </w:rPr>
        <w:t>Investor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an Investor Rights Agreement (the “Series B Investor Rights Agreement”) with Kennedy Lewis Investment Management LLC (together with its affiliates and certain funds, accounts or clients managed, advised or sub-advised by Kennedy Lewis Investment Management LLC or its affiliates, “Kennedy Lewis”). Under the terms of the Series B Investor Rights Agreement, Kennedy Lewis is entitled to certain preemptive rights in connection with future issuances of the Company’s equity securities and the Company is entitled to rights of first refusal in connection with any proposed transfer by Kennedy Lewis of the Series B Preferred Stock, in each case, subject to customary terms and conditions. In addition, the Company has agreed to provide Kennedy Lewis with a reasonable opportunity to participate in future debt financings.</w:t>
      </w:r>
    </w:p>
    <w:p>
      <w:pPr>
        <w:pStyle w:val="TextBody"/>
        <w:bidi w:val="0"/>
        <w:spacing w:before="200" w:after="283"/>
        <w:jc w:val="left"/>
        <w:rPr>
          <w:rFonts w:ascii="sans-serif" w:hAnsi="sans-serif"/>
          <w:b/>
          <w:color w:val="000000"/>
          <w:sz w:val="20"/>
        </w:rPr>
      </w:pPr>
      <w:r>
        <w:rPr>
          <w:rFonts w:ascii="sans-serif" w:hAnsi="sans-serif"/>
          <w:b/>
          <w:color w:val="000000"/>
          <w:sz w:val="20"/>
        </w:rPr>
        <w:t>Registration Rights Agreement</w:t>
      </w:r>
    </w:p>
    <w:p>
      <w:pPr>
        <w:pStyle w:val="TextBody"/>
        <w:bidi w:val="0"/>
        <w:spacing w:before="200" w:after="283"/>
        <w:jc w:val="left"/>
        <w:rPr>
          <w:rFonts w:ascii="sans-serif" w:hAnsi="sans-serif"/>
          <w:color w:val="000000"/>
          <w:sz w:val="20"/>
        </w:rPr>
      </w:pPr>
      <w:r>
        <w:rPr>
          <w:rFonts w:ascii="sans-serif" w:hAnsi="sans-serif"/>
          <w:color w:val="000000"/>
          <w:sz w:val="20"/>
        </w:rPr>
        <w:t>On March 11, 2026, in connection with the Series B Preferred Stock Amendment, the Company entered into a Registration Rights Agreement (the “Series B Registration Rights Agreement”) with Kennedy Lewis. Under the terms of the Series B Registration Rights Agreement, Kennedy Lewis (i) is entitled to require the Company to register for resale the shares of Common Stock issuable upon conversion of the Series B Preferred Stock, along with other shares of Common Stock held by Kennedy Lewis, on a shelf registration statement and (ii) has certain demand rights with respect to takedowns from such shelf registration statement. The Series B Registration Rights Agreement includes customary terms and conditions, including certain customary indemnification obligations.</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NOTE 8: LEASES</w:t>
      </w:r>
    </w:p>
    <w:p>
      <w:pPr>
        <w:pStyle w:val="TextBody"/>
        <w:bidi w:val="0"/>
        <w:spacing w:before="200" w:after="283"/>
        <w:jc w:val="left"/>
        <w:rPr>
          <w:rFonts w:ascii="sans-serif" w:hAnsi="sans-serif"/>
          <w:sz w:val="20"/>
        </w:rPr>
      </w:pPr>
      <w:bookmarkStart w:id="16" w:name="led293237f20228201663700835225"/>
      <w:bookmarkEnd w:id="16"/>
      <w:r>
        <w:rPr>
          <w:rFonts w:ascii="sans-serif" w:hAnsi="sans-serif"/>
          <w:color w:val="000000"/>
          <w:sz w:val="20"/>
        </w:rPr>
        <w:t xml:space="preserve">Income recognized on operating lease arrangements for the three and nine months ended September 30, 2026 and 2025 is presented below. Income recognized for sales-type lease arrangements for the three and nine months ended </w:t>
      </w:r>
      <w:bookmarkStart w:id="17" w:name="led293237f20247221724358253665"/>
      <w:bookmarkEnd w:id="17"/>
      <w:r>
        <w:rPr>
          <w:rFonts w:ascii="sans-serif" w:hAnsi="sans-serif"/>
          <w:color w:val="000000"/>
          <w:sz w:val="20"/>
        </w:rPr>
        <w:t>September 30, 2026 was less than $1 million and $1 million, respectively. Income recognized for sales-type lease arrangements for the three and nine months ended September 30, 2025 was $1 million and $2 million, respectively.</w:t>
      </w:r>
    </w:p>
    <w:p>
      <w:pPr>
        <w:pStyle w:val="TextBody"/>
        <w:bidi w:val="0"/>
        <w:jc w:val="left"/>
      </w:pPr>
      <w:r>
        <w:t> </w:t>
      </w:r>
    </w:p>
    <w:tbl>
      <w:tblPr>
        <w:tblW w:w="8677" w:type="dxa"/>
        <w:jc w:val="left"/>
        <w:tblInd w:w="0" w:type="dxa"/>
        <w:tblLayout w:type="fixed"/>
        <w:tblCellMar>
          <w:top w:w="28" w:type="dxa"/>
          <w:left w:w="28" w:type="dxa"/>
          <w:bottom w:w="28" w:type="dxa"/>
          <w:right w:w="28" w:type="dxa"/>
        </w:tblCellMar>
      </w:tblPr>
      <w:tblGrid>
        <w:gridCol w:w="3346"/>
        <w:gridCol w:w="146"/>
        <w:gridCol w:w="448"/>
        <w:gridCol w:w="448"/>
        <w:gridCol w:w="289"/>
        <w:gridCol w:w="289"/>
        <w:gridCol w:w="448"/>
        <w:gridCol w:w="448"/>
        <w:gridCol w:w="146"/>
        <w:gridCol w:w="146"/>
        <w:gridCol w:w="351"/>
        <w:gridCol w:w="538"/>
        <w:gridCol w:w="227"/>
        <w:gridCol w:w="227"/>
        <w:gridCol w:w="351"/>
        <w:gridCol w:w="538"/>
        <w:gridCol w:w="291"/>
      </w:tblGrid>
      <w:t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Lease income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96"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89"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Variable 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r>
      <w:t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sans-serif" w:hAnsi="sans-serif"/>
                <w:color w:val="000000"/>
                <w:sz w:val="20"/>
              </w:rPr>
              <w:t>Total 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9: COMMITMENTS AND CONTINGENCIES</w:t>
      </w:r>
    </w:p>
    <w:p>
      <w:pPr>
        <w:pStyle w:val="TextBody"/>
        <w:bidi w:val="0"/>
        <w:jc w:val="left"/>
      </w:pPr>
      <w:r>
        <w:t> </w:t>
      </w:r>
    </w:p>
    <w:p>
      <w:pPr>
        <w:pStyle w:val="TextBody"/>
        <w:bidi w:val="0"/>
        <w:jc w:val="left"/>
        <w:rPr>
          <w:rFonts w:ascii="sans-serif" w:hAnsi="sans-serif"/>
          <w:color w:val="000000"/>
          <w:sz w:val="20"/>
        </w:rPr>
      </w:pPr>
      <w:bookmarkStart w:id="18" w:name="led293237f20232271679935024973"/>
      <w:bookmarkEnd w:id="18"/>
      <w:r>
        <w:rPr>
          <w:rFonts w:ascii="sans-serif" w:hAnsi="sans-serif"/>
          <w:color w:val="000000"/>
          <w:sz w:val="20"/>
        </w:rPr>
        <w:t>As of September 30, 2026, the Company had outstanding letters of credit of $19 million issued under the Amended and Restated L/C Facility Agreement, as well as bank guarantees and letters of credit of $2 million, surety bonds in the amount of $54 million, and restricted cash of $96 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Other current assets and Restricted cash in the Consolidated Statement of Financial Position.</w:t>
      </w:r>
    </w:p>
    <w:p>
      <w:pPr>
        <w:pStyle w:val="TextBody"/>
        <w:bidi w:val="0"/>
        <w:jc w:val="left"/>
      </w:pPr>
      <w:r>
        <w:t> </w:t>
      </w:r>
    </w:p>
    <w:p>
      <w:pPr>
        <w:pStyle w:val="TextBody"/>
        <w:bidi w:val="0"/>
        <w:jc w:val="left"/>
        <w:rPr>
          <w:rFonts w:ascii="sans-serif" w:hAnsi="sans-serif"/>
          <w:color w:val="000000"/>
          <w:sz w:val="20"/>
        </w:rPr>
      </w:pPr>
      <w:bookmarkStart w:id="19" w:name="led293237f20232271679935289080"/>
      <w:bookmarkEnd w:id="19"/>
      <w:r>
        <w:rPr>
          <w:rFonts w:ascii="sans-serif" w:hAnsi="sans-serif"/>
          <w:color w:val="000000"/>
          <w:sz w:val="20"/>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2026, Kodak’s Brazilian operations maintained accruals of less than $1 million for claims aggregating approximately $32 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$5 million.</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In connection with assessments in Brazil, local regulations may require Kodak’s Brazilian operations to post security for a portion of the amounts in dispute. As of September 30, 2026, Kodak’s Brazilian operations have posted security composed of $5 million of pledged cash reported within Restricted cash in the Consolidated Statement of Financial Position. 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a prior lien on Brazilian non-cash assets with a net book value of $41 million. A related enrollment with the Brazilian Internal Revenue Service of such assets is in the process of being removed but continues to encumber such assets.</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color w:val="000000"/>
          <w:sz w:val="20"/>
        </w:rPr>
      </w:pPr>
      <w:r>
        <w:rPr>
          <w:rFonts w:ascii="sans-serif" w:hAnsi="sans-serif"/>
          <w:color w:val="000000"/>
          <w:sz w:val="20"/>
        </w:rPr>
        <w:t xml:space="preserve">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terminated and ongoing patent infringement claims brought by FUJIFILM Corporation against Eastman Kodak Company (in the US) and its German subsidiaries (in Germany and the Unified Patent Court) alleging that certain of Kodak’s SONORA process free plates infringe four of FUJIFILM Corporation’s patents in the US, Germany and the UK. As a result of the outcome of litigation relating to the European claims, the German subsidiaries have no remaining exposure for damages with respect to three of the patents but, based on the outcome of one lawsuit in the Unified Patent Court, would be subject to infringement damages in Germany under the fourth patent if a different Kodak subsidiary is not successful in having the patent revoked in a pending parallel lawsuit. These matters, including the patent infringement claims where decisions have not become final,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 </w:t>
      </w:r>
    </w:p>
    <w:p>
      <w:pPr>
        <w:pStyle w:val="TextBody"/>
        <w:bidi w:val="0"/>
        <w:spacing w:before="200" w:after="283"/>
        <w:jc w:val="left"/>
        <w:rPr>
          <w:rFonts w:ascii="sans-serif" w:hAnsi="sans-serif"/>
          <w:b/>
          <w:color w:val="000000"/>
          <w:sz w:val="20"/>
        </w:rPr>
      </w:pPr>
      <w:r>
        <w:rPr>
          <w:rFonts w:ascii="sans-serif" w:hAnsi="sans-serif"/>
          <w:b/>
          <w:color w:val="000000"/>
          <w:sz w:val="20"/>
        </w:rPr>
        <w:t>NOTE 10: GUARANTEES</w:t>
      </w:r>
    </w:p>
    <w:p>
      <w:pPr>
        <w:pStyle w:val="TextBody"/>
        <w:bidi w:val="0"/>
        <w:spacing w:before="200" w:after="283"/>
        <w:jc w:val="left"/>
        <w:rPr>
          <w:rFonts w:ascii="sans-serif" w:hAnsi="sans-serif"/>
          <w:color w:val="000000"/>
          <w:sz w:val="20"/>
        </w:rPr>
      </w:pPr>
      <w:r>
        <w:rPr>
          <w:rFonts w:ascii="sans-serif" w:hAnsi="sans-serif"/>
          <w:color w:val="000000"/>
          <w:sz w:val="20"/>
        </w:rPr>
        <w:t>In accordance with the terms of a settlement agreement concerning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pStyle w:val="TextBody"/>
        <w:bidi w:val="0"/>
        <w:spacing w:before="200" w:after="283"/>
        <w:jc w:val="left"/>
        <w:rPr>
          <w:rFonts w:ascii="sans-serif" w:hAnsi="sans-serif"/>
          <w:b/>
          <w:i/>
          <w:color w:val="000000"/>
          <w:sz w:val="20"/>
        </w:rPr>
      </w:pPr>
      <w:r>
        <w:rPr>
          <w:rFonts w:ascii="sans-serif" w:hAnsi="sans-serif"/>
          <w:b/>
          <w:i/>
          <w:color w:val="000000"/>
          <w:sz w:val="20"/>
        </w:rPr>
        <w:t>Extended Warranty Arrangements</w:t>
      </w:r>
    </w:p>
    <w:p>
      <w:pPr>
        <w:pStyle w:val="TextBody"/>
        <w:bidi w:val="0"/>
        <w:spacing w:before="200" w:after="283"/>
        <w:jc w:val="left"/>
        <w:rPr>
          <w:rFonts w:ascii="sans-serif" w:hAnsi="sans-serif"/>
          <w:color w:val="000000"/>
          <w:sz w:val="20"/>
        </w:rPr>
      </w:pPr>
      <w:r>
        <w:rPr>
          <w:rFonts w:ascii="sans-serif" w:hAnsi="sans-serif"/>
          <w:color w:val="000000"/>
          <w:sz w:val="20"/>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2025 to September 30, 2026, which is reflected in Other current liabilities in the accompanying Consolidated Statement of Financial Position, was as follows:</w:t>
      </w:r>
    </w:p>
    <w:p>
      <w:pPr>
        <w:pStyle w:val="TextBody"/>
        <w:bidi w:val="0"/>
        <w:jc w:val="left"/>
      </w:pPr>
      <w:r>
        <w:t> </w:t>
      </w:r>
    </w:p>
    <w:tbl>
      <w:tblPr>
        <w:tblW w:w="8385" w:type="dxa"/>
        <w:jc w:val="left"/>
        <w:tblInd w:w="0" w:type="dxa"/>
        <w:tblLayout w:type="fixed"/>
        <w:tblCellMar>
          <w:top w:w="28" w:type="dxa"/>
          <w:left w:w="28" w:type="dxa"/>
          <w:bottom w:w="28" w:type="dxa"/>
          <w:right w:w="28" w:type="dxa"/>
        </w:tblCellMar>
      </w:tblPr>
      <w:tblGrid>
        <w:gridCol w:w="7366"/>
        <w:gridCol w:w="146"/>
        <w:gridCol w:w="226"/>
        <w:gridCol w:w="421"/>
        <w:gridCol w:w="226"/>
      </w:tblGrid>
      <w:tr>
        <w:tc>
          <w:tcPr>
            <w:tcW w:w="7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New extended warranty and maintenance arrangements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Recognition of extended warranty and maintenance arrangement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revenue on extended warranties as of September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11: REVENUE</w:t>
      </w:r>
    </w:p>
    <w:p>
      <w:pPr>
        <w:pStyle w:val="TextBody"/>
        <w:bidi w:val="0"/>
        <w:spacing w:before="200" w:after="283"/>
        <w:jc w:val="left"/>
        <w:rPr>
          <w:rFonts w:ascii="sans-serif" w:hAnsi="sans-serif"/>
          <w:b/>
          <w:i/>
          <w:color w:val="000000"/>
          <w:sz w:val="20"/>
        </w:rPr>
      </w:pPr>
      <w:r>
        <w:rPr>
          <w:rFonts w:ascii="sans-serif" w:hAnsi="sans-serif"/>
          <w:b/>
          <w:i/>
          <w:color w:val="000000"/>
          <w:sz w:val="20"/>
        </w:rPr>
        <w:t>Disaggregation of Revenue</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tables present revenue disaggregated by major product and geography:</w:t>
      </w:r>
    </w:p>
    <w:p>
      <w:pPr>
        <w:pStyle w:val="TextBody"/>
        <w:bidi w:val="0"/>
        <w:spacing w:before="200" w:after="283"/>
        <w:jc w:val="left"/>
        <w:rPr>
          <w:rFonts w:ascii="sans-serif" w:hAnsi="sans-serif"/>
          <w:b/>
          <w:color w:val="000000"/>
          <w:sz w:val="20"/>
        </w:rPr>
      </w:pPr>
      <w:r>
        <w:rPr>
          <w:rFonts w:ascii="sans-serif" w:hAnsi="sans-serif"/>
          <w:b/>
          <w:color w:val="000000"/>
          <w:sz w:val="20"/>
        </w:rPr>
        <w:t>Major Product:</w:t>
      </w:r>
    </w:p>
    <w:p>
      <w:pPr>
        <w:pStyle w:val="TextBody"/>
        <w:bidi w:val="0"/>
        <w:jc w:val="left"/>
      </w:pPr>
      <w:r>
        <w:t> </w:t>
      </w:r>
    </w:p>
    <w:tbl>
      <w:tblPr>
        <w:tblW w:w="10022" w:type="dxa"/>
        <w:jc w:val="left"/>
        <w:tblInd w:w="0" w:type="dxa"/>
        <w:tblLayout w:type="fixed"/>
        <w:tblCellMar>
          <w:top w:w="28" w:type="dxa"/>
          <w:left w:w="28" w:type="dxa"/>
          <w:bottom w:w="28" w:type="dxa"/>
          <w:right w:w="28" w:type="dxa"/>
        </w:tblCellMar>
      </w:tblPr>
      <w:tblGrid>
        <w:gridCol w:w="3686"/>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591"/>
      </w:tblGrid>
      <w:tr>
        <w:tc>
          <w:tcPr>
            <w:tcW w:w="3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431"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8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8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Other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Other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85"/>
        <w:gridCol w:w="746"/>
        <w:gridCol w:w="146"/>
        <w:gridCol w:w="146"/>
        <w:gridCol w:w="296"/>
        <w:gridCol w:w="455"/>
        <w:gridCol w:w="146"/>
        <w:gridCol w:w="146"/>
        <w:gridCol w:w="418"/>
        <w:gridCol w:w="644"/>
        <w:gridCol w:w="246"/>
        <w:gridCol w:w="246"/>
        <w:gridCol w:w="226"/>
        <w:gridCol w:w="466"/>
        <w:gridCol w:w="592"/>
      </w:tblGrid>
      <w:t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Other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3671"/>
        <w:gridCol w:w="146"/>
        <w:gridCol w:w="226"/>
        <w:gridCol w:w="466"/>
        <w:gridCol w:w="146"/>
        <w:gridCol w:w="146"/>
        <w:gridCol w:w="401"/>
        <w:gridCol w:w="830"/>
        <w:gridCol w:w="146"/>
        <w:gridCol w:w="146"/>
        <w:gridCol w:w="296"/>
        <w:gridCol w:w="455"/>
        <w:gridCol w:w="146"/>
        <w:gridCol w:w="146"/>
        <w:gridCol w:w="418"/>
        <w:gridCol w:w="644"/>
        <w:gridCol w:w="246"/>
        <w:gridCol w:w="246"/>
        <w:gridCol w:w="226"/>
        <w:gridCol w:w="466"/>
        <w:gridCol w:w="592"/>
      </w:tblGrid>
      <w:t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96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Core products and services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Plates, inks and other consumables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Ongoing service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annuities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Equipment &amp;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Film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core products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Growth products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6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Other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Core products and services includes the Print segment and the Motion Picture and Industrial Film and Chemicals businesses within the Advanced Materials and Chemicals segment, excluding coating and product commercialization services (“Coating Services”).</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Growth products consist of Coating Services, Analytical Services and Advanced Materials and Functional Printing within the Advanced Materials and Chemicals segment.</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 xml:space="preserve">Other consists of Intellectual Property Licensing ("IP Licensing") within the Advanced Materials and Chemicals segment, Brand Licensing and Eastman Business Park.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lineRule="auto" w:line="360" w:before="200" w:after="283"/>
        <w:jc w:val="left"/>
        <w:rPr>
          <w:rFonts w:ascii="sans-serif" w:hAnsi="sans-serif"/>
          <w:sz w:val="13"/>
        </w:rPr>
      </w:pPr>
      <w:r>
        <w:rPr>
          <w:rFonts w:ascii="sans-serif" w:hAnsi="sans-serif"/>
          <w:b/>
          <w:color w:val="000000"/>
          <w:sz w:val="20"/>
        </w:rPr>
        <w:t xml:space="preserve">Geography </w:t>
      </w:r>
      <w:r>
        <w:rPr>
          <w:rFonts w:ascii="sans-serif" w:hAnsi="sans-serif"/>
          <w:b/>
          <w:color w:val="000000"/>
          <w:sz w:val="13"/>
        </w:rPr>
        <w:t>(1):</w:t>
      </w:r>
    </w:p>
    <w:p>
      <w:pPr>
        <w:pStyle w:val="TextBody"/>
        <w:bidi w:val="0"/>
        <w:jc w:val="left"/>
      </w:pPr>
      <w: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391"/>
      </w:tblGrid>
      <w:t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tbl>
      <w:tblPr>
        <w:tblW w:w="92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85"/>
        <w:gridCol w:w="746"/>
        <w:gridCol w:w="146"/>
        <w:gridCol w:w="146"/>
        <w:gridCol w:w="296"/>
        <w:gridCol w:w="455"/>
        <w:gridCol w:w="146"/>
        <w:gridCol w:w="146"/>
        <w:gridCol w:w="419"/>
        <w:gridCol w:w="646"/>
        <w:gridCol w:w="146"/>
        <w:gridCol w:w="146"/>
        <w:gridCol w:w="226"/>
        <w:gridCol w:w="466"/>
        <w:gridCol w:w="391"/>
      </w:tblGrid>
      <w:t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tbl>
      <w:tblPr>
        <w:tblW w:w="9027" w:type="dxa"/>
        <w:jc w:val="left"/>
        <w:tblInd w:w="0" w:type="dxa"/>
        <w:tblLayout w:type="fixed"/>
        <w:tblCellMar>
          <w:top w:w="28" w:type="dxa"/>
          <w:left w:w="28" w:type="dxa"/>
          <w:bottom w:w="28" w:type="dxa"/>
          <w:right w:w="28" w:type="dxa"/>
        </w:tblCellMar>
      </w:tblPr>
      <w:tblGrid>
        <w:gridCol w:w="3091"/>
        <w:gridCol w:w="146"/>
        <w:gridCol w:w="226"/>
        <w:gridCol w:w="466"/>
        <w:gridCol w:w="146"/>
        <w:gridCol w:w="146"/>
        <w:gridCol w:w="401"/>
        <w:gridCol w:w="830"/>
        <w:gridCol w:w="146"/>
        <w:gridCol w:w="146"/>
        <w:gridCol w:w="296"/>
        <w:gridCol w:w="455"/>
        <w:gridCol w:w="146"/>
        <w:gridCol w:w="146"/>
        <w:gridCol w:w="419"/>
        <w:gridCol w:w="646"/>
        <w:gridCol w:w="146"/>
        <w:gridCol w:w="146"/>
        <w:gridCol w:w="226"/>
        <w:gridCol w:w="466"/>
        <w:gridCol w:w="191"/>
      </w:tblGrid>
      <w:t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8836"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Advanced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Brand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All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Sales are reported in the geographic area in which they originate.</w:t>
      </w:r>
    </w:p>
    <w:p>
      <w:pPr>
        <w:pStyle w:val="TextBody"/>
        <w:bidi w:val="0"/>
        <w:jc w:val="left"/>
      </w:pPr>
      <w:r>
        <w:t> </w:t>
      </w:r>
    </w:p>
    <w:p>
      <w:pPr>
        <w:pStyle w:val="TextBody"/>
        <w:bidi w:val="0"/>
        <w:jc w:val="left"/>
        <w:rPr>
          <w:rFonts w:ascii="sans-serif" w:hAnsi="sans-serif"/>
          <w:b/>
          <w:i/>
          <w:color w:val="000000"/>
          <w:sz w:val="20"/>
        </w:rPr>
      </w:pPr>
      <w:r>
        <w:rPr>
          <w:rFonts w:ascii="sans-serif" w:hAnsi="sans-serif"/>
          <w:b/>
          <w:i/>
          <w:color w:val="000000"/>
          <w:sz w:val="20"/>
        </w:rPr>
        <w:t>Contract Balances</w:t>
      </w:r>
    </w:p>
    <w:p>
      <w:pPr>
        <w:pStyle w:val="TextBody"/>
        <w:bidi w:val="0"/>
        <w:jc w:val="left"/>
        <w:rPr>
          <w:rFonts w:ascii="sans-serif" w:hAnsi="sans-serif"/>
          <w:color w:val="000000"/>
          <w:sz w:val="20"/>
        </w:rPr>
      </w:pPr>
      <w:r>
        <w:rPr>
          <w:rFonts w:ascii="sans-serif" w:hAnsi="sans-serif"/>
          <w:color w:val="000000"/>
          <w:sz w:val="20"/>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September 30, 2026 and December 31, 2025 was $8 million and $5 million, respectively, and is reported in Other current assets in the Consolidated Statement of Financial Position. The contract liabilities primarily relate to brand licensing agreements, prepaid service contracts or upfront payments for certain equipment purchases. The amount recorded for contract liabilities in the Consolidated Statement of Financial Position at September 30, 2026 and December 31, 2025 was $87 million and $94 million, respectively, of which $40 million and $42 million, respectively, was reported in Other current liabilities and $47 million and $52 million, respectively, was reported in Other long-term liabilities.</w:t>
      </w:r>
    </w:p>
    <w:p>
      <w:pPr>
        <w:pStyle w:val="TextBody"/>
        <w:bidi w:val="0"/>
        <w:jc w:val="left"/>
      </w:pPr>
      <w:r>
        <w:t> </w:t>
      </w:r>
    </w:p>
    <w:p>
      <w:pPr>
        <w:pStyle w:val="TextBody"/>
        <w:bidi w:val="0"/>
        <w:jc w:val="left"/>
        <w:rPr>
          <w:rFonts w:ascii="sans-serif" w:hAnsi="sans-serif"/>
          <w:color w:val="000000"/>
          <w:sz w:val="20"/>
        </w:rPr>
      </w:pPr>
      <w:bookmarkStart w:id="20" w:name="led293237f20245141718396997424"/>
      <w:bookmarkEnd w:id="20"/>
      <w:r>
        <w:rPr>
          <w:rFonts w:ascii="sans-serif" w:hAnsi="sans-serif"/>
          <w:color w:val="000000"/>
          <w:sz w:val="20"/>
        </w:rPr>
        <w:t xml:space="preserve">Revenue recognized for the three and nine months ended September 30, 2026 and 2025 that was included in the contract liability balance at the beginning of the respective fiscal years was $11 million and $37 million, respectively, in 2026 and $9 million and $26 million, respectively in 2025 and primarily represented revenue from prepaid service contracts and equipment sales. Contract liabilities as of September 30, 2026 included $21 million and $28 million of cash payments received during the three and nine months ended September 30, 2026, respectively. Contract liabilities as of September 30, 2025 included $21 million and $32 million of cash payments received during the three and nine months ended September 30, 2025, respectively.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does not disclose the value of unsatisfied performance obligations for contracts with an original expected length of one year or less or for which revenue is recognized at the amount to which Kodak has the right to invoice for services performed.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Performance obligations with an original expected length of greater than one year generally consist of deferred service contracts, operating leases and licensing arrangements. As of September 30, 2026, there was approximately $75 million of unrecognized revenue from unsatisfied performance obligations. Approximately 5% of the revenue from unsatisfied performance obligations is expected to be recognized in the remainder of 2026, 20% in 2027, 15% in 2028, 10% in 2029 and 50% thereafter.</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12: OTHER OPERATING (INCOME) EXPENSE, NET</w:t>
      </w:r>
    </w:p>
    <w:p>
      <w:pPr>
        <w:pStyle w:val="TextBody"/>
        <w:bidi w:val="0"/>
        <w:jc w:val="left"/>
      </w:pPr>
      <w:r>
        <w:t> </w:t>
      </w:r>
    </w:p>
    <w:tbl>
      <w:tblPr>
        <w:tblW w:w="8484" w:type="dxa"/>
        <w:jc w:val="left"/>
        <w:tblInd w:w="0" w:type="dxa"/>
        <w:tblLayout w:type="fixed"/>
        <w:tblCellMar>
          <w:top w:w="28" w:type="dxa"/>
          <w:left w:w="28" w:type="dxa"/>
          <w:bottom w:w="28" w:type="dxa"/>
          <w:right w:w="28" w:type="dxa"/>
        </w:tblCellMar>
      </w:tblPr>
      <w:tblGrid>
        <w:gridCol w:w="3256"/>
        <w:gridCol w:w="146"/>
        <w:gridCol w:w="375"/>
        <w:gridCol w:w="500"/>
        <w:gridCol w:w="300"/>
        <w:gridCol w:w="242"/>
        <w:gridCol w:w="375"/>
        <w:gridCol w:w="575"/>
        <w:gridCol w:w="146"/>
        <w:gridCol w:w="146"/>
        <w:gridCol w:w="354"/>
        <w:gridCol w:w="471"/>
        <w:gridCol w:w="283"/>
        <w:gridCol w:w="228"/>
        <w:gridCol w:w="354"/>
        <w:gridCol w:w="542"/>
        <w:gridCol w:w="191"/>
      </w:tblGrid>
      <w:t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settlements and penalties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NOTE 13: OTHER CHARGES, NET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46"/>
        <w:gridCol w:w="146"/>
        <w:gridCol w:w="362"/>
        <w:gridCol w:w="550"/>
        <w:gridCol w:w="287"/>
        <w:gridCol w:w="232"/>
        <w:gridCol w:w="362"/>
        <w:gridCol w:w="550"/>
        <w:gridCol w:w="181"/>
        <w:gridCol w:w="146"/>
        <w:gridCol w:w="341"/>
        <w:gridCol w:w="519"/>
        <w:gridCol w:w="272"/>
        <w:gridCol w:w="218"/>
        <w:gridCol w:w="341"/>
        <w:gridCol w:w="519"/>
        <w:gridCol w:w="233"/>
      </w:tblGrid>
      <w:tr>
        <w:tc>
          <w:tcPr>
            <w:tcW w:w="4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c>
          <w:tcPr>
            <w:tcW w:w="4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on foreign exchange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Change in fair value of embedded preferred stock </w:t>
              <w:br/>
              <w:t xml:space="preserve">   derivative liability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Asset impairment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Change in fair value of KRIP reversion investment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9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9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 xml:space="preserve">Refer to Note 20, "Financial Instruments" for information on the valuation of this derivative.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 xml:space="preserve">During the second quarter of 2025, Kodak recorded an impairment charge of $17 million related to its investment in Wildcat Discovery Technologies, Inc. (“Wildcat”) due to the strategic options and alternatives being contemplated by Wildcat. The fair value of Kodak’s investment in Wildcat was estimated using a probability weighted assessment of the various options being considered under a combination of market and income approaches (Level 3). With respect to an observable transaction for a similar investment that occurred in October 2025, Kodak recorded an additional impairment charge of $4 million related to its </w:t>
        <w:br/>
        <w:t xml:space="preserve">investment in Wildcat during the third quarter of 2025. The fair value of Kodak's investment in Wildcat was estimated using a market approach (Level 3). </w:t>
      </w:r>
    </w:p>
    <w:p>
      <w:pPr>
        <w:pStyle w:val="TextBody"/>
        <w:bidi w:val="0"/>
        <w:spacing w:before="240" w:after="283"/>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NOTE 14: INCOME TAXES</w:t>
      </w:r>
    </w:p>
    <w:p>
      <w:pPr>
        <w:pStyle w:val="TextBody"/>
        <w:bidi w:val="0"/>
        <w:spacing w:before="200" w:after="283"/>
        <w:jc w:val="left"/>
        <w:rPr>
          <w:rFonts w:ascii="sans-serif" w:hAnsi="sans-serif"/>
          <w:color w:val="000000"/>
          <w:sz w:val="20"/>
        </w:rPr>
      </w:pPr>
      <w:r>
        <w:rPr>
          <w:rFonts w:ascii="sans-serif" w:hAnsi="sans-serif"/>
          <w:color w:val="000000"/>
          <w:sz w:val="20"/>
        </w:rPr>
        <w:t>Kodak’s income tax provision and effective tax rate were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724"/>
        <w:gridCol w:w="146"/>
        <w:gridCol w:w="261"/>
        <w:gridCol w:w="610"/>
        <w:gridCol w:w="332"/>
        <w:gridCol w:w="169"/>
        <w:gridCol w:w="261"/>
        <w:gridCol w:w="610"/>
        <w:gridCol w:w="286"/>
        <w:gridCol w:w="146"/>
        <w:gridCol w:w="243"/>
        <w:gridCol w:w="567"/>
        <w:gridCol w:w="308"/>
        <w:gridCol w:w="157"/>
        <w:gridCol w:w="243"/>
        <w:gridCol w:w="649"/>
        <w:gridCol w:w="493"/>
      </w:tblGrid>
      <w:tr>
        <w:tc>
          <w:tcPr>
            <w:tcW w:w="4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c>
          <w:tcPr>
            <w:tcW w:w="47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6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7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(loss) from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31.3</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4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7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 at U.S.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47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Difference between tax at effective vs.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before="200" w:after="283"/>
        <w:jc w:val="left"/>
        <w:rPr>
          <w:rFonts w:ascii="sans-serif" w:hAnsi="sans-serif"/>
          <w:color w:val="000000"/>
          <w:sz w:val="20"/>
        </w:rPr>
      </w:pPr>
      <w:bookmarkStart w:id="21" w:name="led293237f20247221724359167812"/>
      <w:bookmarkEnd w:id="21"/>
      <w:r>
        <w:rPr>
          <w:rFonts w:ascii="sans-serif" w:hAnsi="sans-serif"/>
          <w:color w:val="000000"/>
          <w:sz w:val="20"/>
        </w:rPr>
        <w:t>For the three and nine months ended September 30, 2026, the difference between Kodak’s effective tax rate and the U.S. statutory rate of 21.0% was primarily attributable to: (1) the movement of valuation allowances associated with changes in net deferred tax assets from current losses and earnings, (2) a provision associated with foreign withholding taxes on undistributed earnings and (3) the recognition of an uncertain tax provision related to German fiscal unity.</w:t>
      </w:r>
    </w:p>
    <w:p>
      <w:pPr>
        <w:pStyle w:val="TextBody"/>
        <w:bidi w:val="0"/>
        <w:spacing w:before="200" w:after="283"/>
        <w:jc w:val="left"/>
        <w:rPr>
          <w:rFonts w:ascii="sans-serif" w:hAnsi="sans-serif"/>
          <w:color w:val="000000"/>
          <w:sz w:val="20"/>
        </w:rPr>
      </w:pPr>
      <w:r>
        <w:rPr>
          <w:rFonts w:ascii="sans-serif" w:hAnsi="sans-serif"/>
          <w:color w:val="000000"/>
          <w:sz w:val="20"/>
        </w:rPr>
        <w:t>For the three and nine months ended September 30, 2025, the difference between Kodak’s effective tax rate and the U.S. statutory rate of 21.0% was primarily attributable to: (1) the jurisdictional mix of earnings; (2) the movement of valuation allowances associated with changes in net deferred tax assets from current earnings and losses and (3) a provision associated with foreign withholding taxes on undistributed earnings.</w:t>
      </w:r>
    </w:p>
    <w:p>
      <w:pPr>
        <w:pStyle w:val="TextBody"/>
        <w:bidi w:val="0"/>
        <w:spacing w:before="200" w:after="283"/>
        <w:jc w:val="left"/>
        <w:rPr>
          <w:rFonts w:ascii="sans-serif" w:hAnsi="sans-serif"/>
          <w:color w:val="000000"/>
          <w:sz w:val="20"/>
        </w:rPr>
      </w:pPr>
      <w:r>
        <w:rPr>
          <w:rFonts w:ascii="sans-serif" w:hAnsi="sans-serif"/>
          <w:color w:val="000000"/>
          <w:sz w:val="20"/>
        </w:rPr>
        <w:t>In December 2021, the Organisation for Economic Cooperation and Development (“OECD”) introduced Base Erosion and Profit Shifting (“BEPS”) Pillar 2 rules that impose a global minimum tax rate of 15%. Many participating countries enacted changes which took effect in 2024. After considering the applicable tax law changes in the Pillar 2 implementation, Kodak determined there was no material impact to its tax provision for the three and nine months ended September 30, 2026 and 2025.</w:t>
      </w:r>
    </w:p>
    <w:p>
      <w:pPr>
        <w:pStyle w:val="TextBody"/>
        <w:bidi w:val="0"/>
        <w:spacing w:before="200" w:after="283"/>
        <w:jc w:val="left"/>
        <w:rPr>
          <w:rFonts w:ascii="sans-serif" w:hAnsi="sans-serif"/>
          <w:color w:val="000000"/>
          <w:sz w:val="20"/>
        </w:rPr>
      </w:pPr>
      <w:r>
        <w:rPr>
          <w:rFonts w:ascii="sans-serif" w:hAnsi="sans-serif"/>
          <w:color w:val="000000"/>
          <w:sz w:val="20"/>
        </w:rPr>
        <w:t>In March 2026, the German Federal Fiscal Court (BFH) ruling (I R 37/22) confirmed that profit and loss transfer agreements ("PLTAs") must be actually and timely implemented to maintain a valid tax group in Germany, including the timely settlement of profit or loss compensation among entities within the group. Kodak evaluated the impact of this ruling on the tax positions of the entities in the Company's German tax group for the 2021–2025 periods and recorded an uncertain tax position of approximately $1 million related to the potential exposures arising from the ruling. The Company will continue to monitor developments and refine its assessment as additional information becomes available.</w:t>
      </w:r>
    </w:p>
    <w:p>
      <w:pPr>
        <w:pStyle w:val="TextBody"/>
        <w:bidi w:val="0"/>
        <w:spacing w:before="240" w:after="283"/>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sz w:val="20"/>
        </w:rPr>
      </w:pPr>
      <w:r>
        <w:rPr>
          <w:rFonts w:ascii="sans-serif" w:hAnsi="sans-serif"/>
          <w:b/>
          <w:color w:val="000000"/>
          <w:sz w:val="20"/>
        </w:rPr>
        <w:t>NOTE 15: RETIREMENT PLANS</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Components of the net periodic benefit cost for all major U.S. and non-U.S. defined benefit pension plans are as follows:</w:t>
      </w:r>
    </w:p>
    <w:p>
      <w:pPr>
        <w:pStyle w:val="TextBody"/>
        <w:bidi w:val="0"/>
        <w:jc w:val="left"/>
      </w:pPr>
      <w:r>
        <w:t> </w:t>
      </w:r>
    </w:p>
    <w:tbl>
      <w:tblPr>
        <w:tblW w:w="11139" w:type="dxa"/>
        <w:jc w:val="left"/>
        <w:tblInd w:w="0" w:type="dxa"/>
        <w:tblLayout w:type="fixed"/>
        <w:tblCellMar>
          <w:top w:w="28" w:type="dxa"/>
          <w:left w:w="28" w:type="dxa"/>
          <w:bottom w:w="28" w:type="dxa"/>
          <w:right w:w="28" w:type="dxa"/>
        </w:tblCellMar>
      </w:tblPr>
      <w:tblGrid>
        <w:gridCol w:w="1441"/>
        <w:gridCol w:w="146"/>
        <w:gridCol w:w="226"/>
        <w:gridCol w:w="421"/>
        <w:gridCol w:w="181"/>
        <w:gridCol w:w="146"/>
        <w:gridCol w:w="421"/>
        <w:gridCol w:w="645"/>
        <w:gridCol w:w="181"/>
        <w:gridCol w:w="146"/>
        <w:gridCol w:w="226"/>
        <w:gridCol w:w="421"/>
        <w:gridCol w:w="181"/>
        <w:gridCol w:w="146"/>
        <w:gridCol w:w="421"/>
        <w:gridCol w:w="645"/>
        <w:gridCol w:w="181"/>
        <w:gridCol w:w="146"/>
        <w:gridCol w:w="226"/>
        <w:gridCol w:w="421"/>
        <w:gridCol w:w="181"/>
        <w:gridCol w:w="146"/>
        <w:gridCol w:w="372"/>
        <w:gridCol w:w="694"/>
        <w:gridCol w:w="181"/>
        <w:gridCol w:w="146"/>
        <w:gridCol w:w="226"/>
        <w:gridCol w:w="541"/>
        <w:gridCol w:w="181"/>
        <w:gridCol w:w="146"/>
        <w:gridCol w:w="372"/>
        <w:gridCol w:w="694"/>
        <w:gridCol w:w="291"/>
      </w:tblGrid>
      <w:t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52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40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5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Non-U.S.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 xml:space="preserve">Major defined benefit </w:t>
              <w:br/>
              <w: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Expected return on plan </w:t>
              <w:br/>
              <w: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Amortization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Actuarial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xml:space="preserve">   expense before special </w:t>
              <w:br/>
              <w:t>   termination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Special termination benefits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sz w:val="20"/>
              </w:rPr>
            </w:pPr>
            <w:r>
              <w:rPr>
                <w:rFonts w:ascii="sans-serif" w:hAnsi="sans-serif"/>
                <w:color w:val="000000"/>
                <w:sz w:val="20"/>
              </w:rPr>
              <w:t>Settlement gain </w:t>
            </w:r>
            <w:r>
              <w:rPr>
                <w:rFonts w:ascii="sans-serif" w:hAnsi="sans-serif"/>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pension (income) </w:t>
              <w:br/>
              <w:t>   expense from major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Total net pension (income)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20"/>
        </w:rPr>
        <w:t>The special termination benefits were incurred as a result of Kodak’s restructuring actions and have been included in Restructuring costs and other in the Consolidated Statement of Operations for that period.</w:t>
      </w:r>
    </w:p>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(2) </w:t>
      </w:r>
      <w:r>
        <w:rPr>
          <w:rFonts w:ascii="sans-serif" w:hAnsi="sans-serif"/>
          <w:color w:val="000000"/>
          <w:sz w:val="20"/>
        </w:rPr>
        <w:t>The 2026 settlement gain related to the $10</w:t>
      </w:r>
      <w:r>
        <w:rPr>
          <w:rFonts w:ascii="sans-serif" w:hAnsi="sans-serif"/>
          <w:color w:val="000000"/>
          <w:sz w:val="13"/>
        </w:rPr>
        <w:t xml:space="preserve"> </w:t>
      </w:r>
      <w:r>
        <w:rPr>
          <w:rFonts w:ascii="sans-serif" w:hAnsi="sans-serif"/>
          <w:color w:val="000000"/>
          <w:sz w:val="20"/>
        </w:rPr>
        <w:t>million cash refund received from Metropolitan Tower Life Insurance Company discussed below. The 2025 settlement gain was the result of lump sum payments from KRIP and the transfer to the insurer of all obligations and responsibilities associated with an existing annuitized obligation.</w:t>
      </w:r>
      <w:r>
        <w:rPr>
          <w:rFonts w:ascii="sans-serif" w:hAnsi="sans-serif"/>
          <w:color w:val="000000"/>
          <w:sz w:val="13"/>
        </w:rPr>
        <w:t xml:space="preserve"> </w:t>
      </w:r>
    </w:p>
    <w:p>
      <w:pPr>
        <w:pStyle w:val="TextBody"/>
        <w:bidi w:val="0"/>
        <w:spacing w:before="200" w:after="160"/>
        <w:jc w:val="left"/>
        <w:rPr>
          <w:rFonts w:ascii="sans-serif" w:hAnsi="sans-serif"/>
          <w:color w:val="000000"/>
          <w:sz w:val="20"/>
        </w:rPr>
      </w:pPr>
      <w:r>
        <w:rPr>
          <w:rFonts w:ascii="sans-serif" w:hAnsi="sans-serif"/>
          <w:color w:val="000000"/>
          <w:sz w:val="20"/>
        </w:rPr>
        <w:t>On January 21, 2025, the Board of Directors of Kodak approved the termination of the Kodak Retirement Income Plan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then current employees. The benefits under the Kodak Cash Balance Plan are substantially the same as those under the cash balance feature of KRIP. On November 26, 2025, all pension obligations under KRIP were fully settled and the excess pension assets were reverted to the Company.</w:t>
      </w:r>
    </w:p>
    <w:p>
      <w:pPr>
        <w:pStyle w:val="TextBody"/>
        <w:bidi w:val="0"/>
        <w:spacing w:before="40" w:after="160"/>
        <w:jc w:val="left"/>
        <w:rPr>
          <w:rFonts w:ascii="sans-serif" w:hAnsi="sans-serif"/>
          <w:color w:val="000000"/>
          <w:sz w:val="20"/>
        </w:rPr>
      </w:pPr>
      <w:r>
        <w:rPr>
          <w:rFonts w:ascii="sans-serif" w:hAnsi="sans-serif"/>
          <w:color w:val="000000"/>
          <w:sz w:val="20"/>
        </w:rPr>
        <w:t>In September 2026, KRIP received a cash refund of approximately $10 million from Metropolitan Tower Life Insurance Company related to the premium true-up of the group annuity contract purchased in October 2025 as part of the KRIP settlement. Kodak recorded the $10 million refund as a settlement gain within Pension income in the Consolidated Statement of Operations. As a result of all KRIP pension obligations being fully settled, approximately $8 million of KRIP’s assets as of September 30, 2026 are not considered plan assets and were included in restricted cash reported in Other current assets on the accompanying Consolidated Statement of Financial Position.</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NOTE 16: EARNINGS PER SHARE</w:t>
      </w:r>
    </w:p>
    <w:p>
      <w:pPr>
        <w:pStyle w:val="TextBody"/>
        <w:bidi w:val="0"/>
        <w:spacing w:before="200" w:after="283"/>
        <w:jc w:val="left"/>
        <w:rPr>
          <w:rFonts w:ascii="sans-serif" w:hAnsi="sans-serif"/>
          <w:color w:val="000000"/>
          <w:sz w:val="20"/>
        </w:rPr>
      </w:pPr>
      <w:r>
        <w:rPr>
          <w:rFonts w:ascii="sans-serif" w:hAnsi="sans-serif"/>
          <w:color w:val="000000"/>
          <w:sz w:val="20"/>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pStyle w:val="TextBody"/>
        <w:bidi w:val="0"/>
        <w:spacing w:before="200" w:after="283"/>
        <w:jc w:val="left"/>
        <w:rPr>
          <w:rFonts w:ascii="sans-serif" w:hAnsi="sans-serif"/>
          <w:color w:val="000000"/>
          <w:sz w:val="20"/>
        </w:rPr>
      </w:pPr>
      <w:bookmarkStart w:id="22" w:name="led293237f20228201663700819811"/>
      <w:bookmarkEnd w:id="22"/>
      <w:r>
        <w:rPr>
          <w:rFonts w:ascii="sans-serif" w:hAnsi="sans-serif"/>
          <w:color w:val="000000"/>
          <w:sz w:val="20"/>
        </w:rPr>
        <w:t>A reconciliation of the amounts used to calculate basic and diluted net income (loss) per share for the three and nine months ended September 30, 2026 and 2025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079"/>
        <w:gridCol w:w="146"/>
        <w:gridCol w:w="336"/>
        <w:gridCol w:w="493"/>
        <w:gridCol w:w="257"/>
        <w:gridCol w:w="207"/>
        <w:gridCol w:w="321"/>
        <w:gridCol w:w="600"/>
        <w:gridCol w:w="181"/>
        <w:gridCol w:w="146"/>
        <w:gridCol w:w="320"/>
        <w:gridCol w:w="469"/>
        <w:gridCol w:w="244"/>
        <w:gridCol w:w="197"/>
        <w:gridCol w:w="305"/>
        <w:gridCol w:w="570"/>
        <w:gridCol w:w="334"/>
      </w:tblGrid>
      <w:tr>
        <w:tc>
          <w:tcPr>
            <w:tcW w:w="5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0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B Preferred stock 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in-kind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Series C Preferred stock exchange to common stock</w:t>
              <w:br/>
              <w:t>   deemed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Preferred stock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Less: Deemed dividend on preferred stock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07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available to common shareholders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2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89"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 xml:space="preserve">Add back: Series B preferred stock cash and </w:t>
              <w:br/>
              <w:t>   deemed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0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earnings (loss) available to common shareholders - </w:t>
              <w:br/>
              <w:t>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pPr>
      <w:r>
        <w:t> </w:t>
      </w:r>
    </w:p>
    <w:tbl>
      <w:tblPr>
        <w:tblW w:w="8931" w:type="dxa"/>
        <w:jc w:val="left"/>
        <w:tblInd w:w="0" w:type="dxa"/>
        <w:tblLayout w:type="fixed"/>
        <w:tblCellMar>
          <w:top w:w="28" w:type="dxa"/>
          <w:left w:w="28" w:type="dxa"/>
          <w:bottom w:w="28" w:type="dxa"/>
          <w:right w:w="28" w:type="dxa"/>
        </w:tblCellMar>
      </w:tblPr>
      <w:tblGrid>
        <w:gridCol w:w="3601"/>
        <w:gridCol w:w="146"/>
        <w:gridCol w:w="197"/>
        <w:gridCol w:w="872"/>
        <w:gridCol w:w="197"/>
        <w:gridCol w:w="197"/>
        <w:gridCol w:w="197"/>
        <w:gridCol w:w="710"/>
        <w:gridCol w:w="146"/>
        <w:gridCol w:w="146"/>
        <w:gridCol w:w="185"/>
        <w:gridCol w:w="822"/>
        <w:gridCol w:w="185"/>
        <w:gridCol w:w="185"/>
        <w:gridCol w:w="185"/>
        <w:gridCol w:w="669"/>
        <w:gridCol w:w="291"/>
      </w:tblGrid>
      <w:t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c>
          <w:tcPr>
            <w:tcW w:w="36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0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pPr>
            <w:r>
              <w:t> </w:t>
            </w:r>
          </w:p>
        </w:tc>
      </w:tr>
      <w:t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Employee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101.9</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spacing w:before="200" w:after="283"/>
        <w:jc w:val="left"/>
        <w:rPr>
          <w:rFonts w:ascii="sans-serif" w:hAnsi="sans-serif"/>
          <w:color w:val="000000"/>
          <w:sz w:val="20"/>
        </w:rPr>
      </w:pPr>
      <w:r>
        <w:rPr>
          <w:rFonts w:ascii="sans-serif" w:hAnsi="sans-serif"/>
          <w:color w:val="000000"/>
          <w:sz w:val="20"/>
        </w:rPr>
        <w:t>As a result of the net loss available to common shareholders for the three and nine months ended September 30, 2025, Kodak calculated diluted earnings per share using weighted-average basic shares outstanding. If Kodak had reported income available to common shareholders for the three months ended September 30, 2025, the calculation of diluted earnings per share would have included the assumed vesting of 1.5 million unvested restricted stock units, the assumed exercise of 1.7 million stock options and the assumed conversion of 1.0 million shares of 4.0% Series B Preferred Stock. For the nine months ended September 30, 2025, the calculation of diluted earnings per share would have included the assumed vesting of 1.6 million unvested restricted stock units, the assumed exercise of 1.7 million stock options and the assumed conversion of 1.0 million shares of 4.0% Series B Preferred Stock.</w:t>
      </w:r>
    </w:p>
    <w:p>
      <w:pPr>
        <w:pStyle w:val="TextBody"/>
        <w:bidi w:val="0"/>
        <w:spacing w:before="200" w:after="283"/>
        <w:jc w:val="left"/>
        <w:rPr>
          <w:rFonts w:ascii="sans-serif" w:hAnsi="sans-serif"/>
          <w:color w:val="000000"/>
          <w:sz w:val="20"/>
        </w:rPr>
      </w:pPr>
      <w:r>
        <w:rPr>
          <w:rFonts w:ascii="sans-serif" w:hAnsi="sans-serif"/>
          <w:color w:val="000000"/>
          <w:sz w:val="20"/>
        </w:rPr>
        <w:t>The computation of diluted earnings per share for the three and nine months ended September 30, 2026 excluded the impact of (1) the assumed conversion of 0.1 million shares of 6.0% Series B Preferred Stock as permitted by the Beneficial Ownership Limitation and (2) the assumed exercise of 1.6 million outstanding employee stock options because the effects would have been anti-dilutive.</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computation of diluted earnings per share for the three and nine months ended September 30, 2025 excluded the impact of (1) the assumed conversion of 1.0 million shares of 4.0% Series B Preferred Stock and (2) the assumed exercise of 1.7 million outstanding employee stock options because the effects would have been anti-dilutive. </w:t>
      </w:r>
    </w:p>
    <w:p>
      <w:pPr>
        <w:pStyle w:val="TextBody"/>
        <w:bidi w:val="0"/>
        <w:spacing w:before="240" w:after="283"/>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sz w:val="20"/>
        </w:rPr>
      </w:pPr>
      <w:r>
        <w:rPr>
          <w:rFonts w:ascii="sans-serif" w:hAnsi="sans-serif"/>
          <w:b/>
          <w:color w:val="000000"/>
          <w:sz w:val="20"/>
        </w:rPr>
        <w:t>NOTE 17: SHAREHOLDERS</w:t>
      </w:r>
      <w:r>
        <w:rPr>
          <w:rFonts w:ascii="sans-serif" w:hAnsi="sans-serif"/>
          <w:color w:val="000000"/>
          <w:sz w:val="20"/>
        </w:rPr>
        <w:t xml:space="preserve">’ </w:t>
      </w:r>
      <w:r>
        <w:rPr>
          <w:rFonts w:ascii="sans-serif" w:hAnsi="sans-serif"/>
          <w:b/>
          <w:color w:val="000000"/>
          <w:sz w:val="20"/>
        </w:rPr>
        <w:t>EQUITY</w:t>
      </w:r>
    </w:p>
    <w:p>
      <w:pPr>
        <w:pStyle w:val="TextBody"/>
        <w:bidi w:val="0"/>
        <w:spacing w:before="200" w:after="283"/>
        <w:jc w:val="left"/>
        <w:rPr>
          <w:rFonts w:ascii="sans-serif" w:hAnsi="sans-serif"/>
          <w:color w:val="000000"/>
          <w:sz w:val="20"/>
        </w:rPr>
      </w:pPr>
      <w:r>
        <w:rPr>
          <w:rFonts w:ascii="sans-serif" w:hAnsi="sans-serif"/>
          <w:color w:val="000000"/>
          <w:sz w:val="20"/>
        </w:rPr>
        <w:t>The Company has 560 million shares of authorized stock, consisting of: (i) 500 million shares of common stock, par value $0.01 per share and (ii) 60 million shares of preferred stock, no par value, issuable in one or more series.</w:t>
      </w:r>
    </w:p>
    <w:p>
      <w:pPr>
        <w:pStyle w:val="TextBody"/>
        <w:bidi w:val="0"/>
        <w:spacing w:before="200" w:after="283"/>
        <w:jc w:val="left"/>
        <w:rPr>
          <w:rFonts w:ascii="sans-serif" w:hAnsi="sans-serif"/>
          <w:b/>
          <w:color w:val="000000"/>
          <w:sz w:val="20"/>
        </w:rPr>
      </w:pPr>
      <w:r>
        <w:rPr>
          <w:rFonts w:ascii="sans-serif" w:hAnsi="sans-serif"/>
          <w:b/>
          <w:color w:val="000000"/>
          <w:sz w:val="20"/>
        </w:rPr>
        <w:t>Common Stock</w:t>
      </w:r>
    </w:p>
    <w:p>
      <w:pPr>
        <w:pStyle w:val="TextBody"/>
        <w:bidi w:val="0"/>
        <w:spacing w:before="200" w:after="283"/>
        <w:jc w:val="left"/>
        <w:rPr>
          <w:rFonts w:ascii="sans-serif" w:hAnsi="sans-serif"/>
          <w:color w:val="000000"/>
          <w:sz w:val="20"/>
        </w:rPr>
      </w:pPr>
      <w:r>
        <w:rPr>
          <w:rFonts w:ascii="sans-serif" w:hAnsi="sans-serif"/>
          <w:color w:val="000000"/>
          <w:sz w:val="20"/>
        </w:rPr>
        <w:t>As of September 30, 2026 and December 31, 2025, there were 98.1 million and 97.4 million shares of common stock outstanding,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Preferred Stock</w:t>
      </w:r>
    </w:p>
    <w:p>
      <w:pPr>
        <w:pStyle w:val="TextBody"/>
        <w:bidi w:val="0"/>
        <w:spacing w:before="200" w:after="283"/>
        <w:jc w:val="left"/>
        <w:rPr>
          <w:rFonts w:ascii="sans-serif" w:hAnsi="sans-serif"/>
          <w:color w:val="000000"/>
          <w:sz w:val="20"/>
        </w:rPr>
      </w:pPr>
      <w:r>
        <w:rPr>
          <w:rFonts w:ascii="sans-serif" w:hAnsi="sans-serif"/>
          <w:color w:val="000000"/>
          <w:sz w:val="20"/>
        </w:rPr>
        <w:t xml:space="preserve">Series B Preferred stock issued and outstanding included 1.0 million shares of 6.0% Series B Preferred Stock at September 30, 2026 and 1.0 million shares of 4.0% Series B Preferred Stock at December 31, 2025. </w:t>
      </w:r>
    </w:p>
    <w:p>
      <w:pPr>
        <w:pStyle w:val="TextBody"/>
        <w:bidi w:val="0"/>
        <w:spacing w:before="200" w:after="283"/>
        <w:jc w:val="left"/>
        <w:rPr>
          <w:rFonts w:ascii="sans-serif" w:hAnsi="sans-serif"/>
          <w:b/>
          <w:color w:val="000000"/>
          <w:sz w:val="20"/>
        </w:rPr>
      </w:pPr>
      <w:r>
        <w:rPr>
          <w:rFonts w:ascii="sans-serif" w:hAnsi="sans-serif"/>
          <w:b/>
          <w:color w:val="000000"/>
          <w:sz w:val="20"/>
        </w:rPr>
        <w:t>Treasury Stock</w:t>
      </w:r>
    </w:p>
    <w:p>
      <w:pPr>
        <w:pStyle w:val="TextBody"/>
        <w:bidi w:val="0"/>
        <w:spacing w:before="200" w:after="283"/>
        <w:jc w:val="left"/>
        <w:rPr>
          <w:rFonts w:ascii="sans-serif" w:hAnsi="sans-serif"/>
          <w:color w:val="000000"/>
          <w:sz w:val="20"/>
        </w:rPr>
      </w:pPr>
      <w:r>
        <w:rPr>
          <w:rFonts w:ascii="sans-serif" w:hAnsi="sans-serif"/>
          <w:color w:val="000000"/>
          <w:sz w:val="20"/>
        </w:rPr>
        <w:t>Treasury stock consisted of approximately 3.4 million and 3.0 million shares as of September 30, 2026 and December 31, 2025, respectively.</w:t>
      </w:r>
    </w:p>
    <w:p>
      <w:pPr>
        <w:pStyle w:val="TextBody"/>
        <w:bidi w:val="0"/>
        <w:spacing w:before="200" w:after="283"/>
        <w:jc w:val="left"/>
        <w:rPr>
          <w:rFonts w:ascii="sans-serif" w:hAnsi="sans-serif"/>
          <w:b/>
          <w:color w:val="000000"/>
          <w:sz w:val="20"/>
        </w:rPr>
      </w:pPr>
      <w:r>
        <w:rPr>
          <w:rFonts w:ascii="sans-serif" w:hAnsi="sans-serif"/>
          <w:b/>
          <w:color w:val="000000"/>
          <w:sz w:val="20"/>
        </w:rPr>
        <w:t>Supplemental Resale Registration</w:t>
      </w:r>
    </w:p>
    <w:p>
      <w:pPr>
        <w:pStyle w:val="TextBody"/>
        <w:bidi w:val="0"/>
        <w:spacing w:before="200" w:after="283"/>
        <w:jc w:val="left"/>
        <w:rPr>
          <w:rFonts w:ascii="sans-serif" w:hAnsi="sans-serif"/>
          <w:color w:val="000000"/>
          <w:sz w:val="20"/>
        </w:rPr>
      </w:pPr>
      <w:r>
        <w:rPr>
          <w:rFonts w:ascii="sans-serif" w:hAnsi="sans-serif"/>
          <w:color w:val="000000"/>
          <w:sz w:val="20"/>
        </w:rPr>
        <w:t>On July 1, 2026 the Company filed a Registration Statement on Form S-3, which was declared effective on July 8, 2026, to register the resale of up to an additional 4,426,268 shares of the Company's common stock by GO EK Ventures IV, LLC and funds advised by Kennedy Lewis Management LP to perform its obligations under existing registration rights agreements. Of the shares covered by the registration statement, 3,451,113 shares are currently issued and outstanding and 975,155 shares are issuable upon the conversion of a portion of the outstanding shares of 6% Series B Preferred stock. In conjunction with the filing of the registration statement, the Company filed a prospectus supplement associated with a previously existing effective registration statement to, among other updates, remove from the corresponding prospectus 5,031,489 shares of common stock that will not be sold pursuant to such previously existing registration statement.</w:t>
      </w:r>
    </w:p>
    <w:p>
      <w:pPr>
        <w:pStyle w:val="TextBody"/>
        <w:bidi w:val="0"/>
        <w:spacing w:before="200" w:after="283"/>
        <w:jc w:val="left"/>
        <w:rPr>
          <w:rFonts w:ascii="sans-serif" w:hAnsi="sans-serif"/>
          <w:b/>
          <w:color w:val="000000"/>
          <w:sz w:val="20"/>
        </w:rPr>
      </w:pPr>
      <w:r>
        <w:rPr>
          <w:rFonts w:ascii="sans-serif" w:hAnsi="sans-serif"/>
          <w:b/>
          <w:color w:val="000000"/>
          <w:sz w:val="20"/>
        </w:rPr>
        <w:t>NOTE 18: OTHER COMPREHENSIVE INCOME</w:t>
      </w:r>
    </w:p>
    <w:p>
      <w:pPr>
        <w:pStyle w:val="TextBody"/>
        <w:bidi w:val="0"/>
        <w:spacing w:before="200" w:after="283"/>
        <w:jc w:val="left"/>
        <w:rPr>
          <w:rFonts w:ascii="sans-serif" w:hAnsi="sans-serif"/>
          <w:color w:val="000000"/>
          <w:sz w:val="20"/>
        </w:rPr>
      </w:pPr>
      <w:r>
        <w:rPr>
          <w:rFonts w:ascii="sans-serif" w:hAnsi="sans-serif"/>
          <w:color w:val="000000"/>
          <w:sz w:val="20"/>
        </w:rPr>
        <w:t>The changes in Other comprehensive income by component were as follows: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23"/>
        <w:gridCol w:w="146"/>
        <w:gridCol w:w="351"/>
        <w:gridCol w:w="503"/>
        <w:gridCol w:w="212"/>
        <w:gridCol w:w="212"/>
        <w:gridCol w:w="351"/>
        <w:gridCol w:w="503"/>
        <w:gridCol w:w="181"/>
        <w:gridCol w:w="146"/>
        <w:gridCol w:w="330"/>
        <w:gridCol w:w="471"/>
        <w:gridCol w:w="246"/>
        <w:gridCol w:w="198"/>
        <w:gridCol w:w="330"/>
        <w:gridCol w:w="471"/>
        <w:gridCol w:w="631"/>
      </w:tblGrid>
      <w:tr>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Pension and other postretirement benefit plan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Newly established net actuarial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pPr>
            <w:r>
              <w:t> </w:t>
            </w:r>
          </w:p>
        </w:tc>
      </w:tr>
      <w:tr>
        <w:tc>
          <w:tcPr>
            <w:tcW w:w="492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sans-serif" w:hAnsi="sans-serif"/>
                <w:sz w:val="20"/>
              </w:rPr>
            </w:pPr>
            <w:r>
              <w:rPr>
                <w:rFonts w:ascii="sans-serif" w:hAnsi="sans-serif"/>
                <w:color w:val="000000"/>
                <w:sz w:val="20"/>
              </w:rPr>
              <w:t xml:space="preserve">Amortization of prior service cost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6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pPr>
            <w:r>
              <w:t> </w:t>
            </w:r>
          </w:p>
        </w:tc>
      </w:tr>
      <w:tr>
        <w:tc>
          <w:tcPr>
            <w:tcW w:w="492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sans-serif" w:hAnsi="sans-serif"/>
                <w:sz w:val="20"/>
              </w:rPr>
            </w:pPr>
            <w:r>
              <w:rPr>
                <w:rFonts w:ascii="sans-serif" w:hAnsi="sans-serif"/>
                <w:color w:val="000000"/>
                <w:sz w:val="20"/>
              </w:rPr>
              <w:t xml:space="preserve">Amortization of actuarial gains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c>
          <w:tcPr>
            <w:tcW w:w="492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400"/>
              <w:jc w:val="left"/>
              <w:rPr>
                <w:rFonts w:ascii="sans-serif" w:hAnsi="sans-serif"/>
                <w:sz w:val="20"/>
              </w:rPr>
            </w:pPr>
            <w:r>
              <w:rPr>
                <w:rFonts w:ascii="sans-serif" w:hAnsi="sans-serif"/>
                <w:color w:val="000000"/>
                <w:sz w:val="20"/>
              </w:rPr>
              <w:t xml:space="preserve">Recognition of gains due to settlement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reclassification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Reclassification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492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Pension and other postretirement benefit plan changes, net </w:t>
              <w:br/>
              <w: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49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Reclassified to Total Net Periodic Benefit Cost - refer to Note 15, "Retirement Plans".</w:t>
      </w:r>
    </w:p>
    <w:p>
      <w:pPr>
        <w:pStyle w:val="TextBody"/>
        <w:bidi w:val="0"/>
        <w:spacing w:before="240" w:after="283"/>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NOTE 19: SEGMENT INFORMATION</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pStyle w:val="TextBody"/>
        <w:bidi w:val="0"/>
        <w:spacing w:before="200" w:after="283"/>
        <w:jc w:val="left"/>
        <w:rPr>
          <w:rFonts w:ascii="sans-serif" w:hAnsi="sans-serif"/>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business.</w:t>
      </w:r>
    </w:p>
    <w:p>
      <w:pPr>
        <w:pStyle w:val="TextBody"/>
        <w:bidi w:val="0"/>
        <w:spacing w:before="200" w:after="283"/>
        <w:jc w:val="left"/>
        <w:rPr>
          <w:rFonts w:ascii="sans-serif" w:hAnsi="sans-serif"/>
          <w:sz w:val="20"/>
        </w:rPr>
      </w:pPr>
      <w:r>
        <w:rPr>
          <w:rFonts w:ascii="sans-serif" w:hAnsi="sans-serif"/>
          <w:b/>
          <w:color w:val="000000"/>
          <w:sz w:val="20"/>
        </w:rPr>
        <w:t>Advanced Materials and Chemicals:</w:t>
      </w:r>
      <w:r>
        <w:rPr>
          <w:rFonts w:ascii="sans-serif" w:hAnsi="sans-serif"/>
          <w:color w:val="000000"/>
          <w:sz w:val="20"/>
        </w:rPr>
        <w:t xml:space="preserve"> 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sans-serif" w:hAnsi="sans-serif"/>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Eastman Business Park ("EBP") and do not meet the criteria of a reportable segment, are reported in All Other Revenues and All Other Operational EBITDA.</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accounting policies of the segments are the same as those described in the summary of significant accounting policies in Note 1 included in the 2025 Form 10-K. There are no intersegment sales between the segments. </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Kodak’s CODM is the Executive Chairman and Chief Executive Officer. Kodak’s segment measure of profit and loss is an adjusted earnings before interest, taxes, depreciation and amortization (“Operational EBITDA”). Operational EBITDA represents the consolidated income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income (expense), net and other charges, net. </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CODM uses Operational EBITDA in assessing segment performance and deciding how to allocate resources for each segment predominantly through the annual budget and forecasting process. The CODM evaluates Operational EBITDA budget-to-actual variances and changes in Operational EBITDA from prior periods when comparing the results of each segment with one another. </w:t>
      </w:r>
    </w:p>
    <w:p>
      <w:pPr>
        <w:pStyle w:val="TextBody"/>
        <w:bidi w:val="0"/>
        <w:spacing w:before="200" w:after="283"/>
        <w:jc w:val="left"/>
        <w:rPr>
          <w:rFonts w:ascii="sans-serif" w:hAnsi="sans-serif"/>
          <w:color w:val="000000"/>
          <w:sz w:val="20"/>
        </w:rPr>
      </w:pPr>
      <w:r>
        <w:rPr>
          <w:rFonts w:ascii="sans-serif" w:hAnsi="sans-serif"/>
          <w:color w:val="000000"/>
          <w:sz w:val="20"/>
        </w:rPr>
        <w:t xml:space="preserve">Segment financial information is shown below. Asset information by reportable segment is not disclosed below as this information is not regularly provided to or used by the CODM in assessing performance and allocating resources.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Segment Revenues, Operational EBITDA and Consolidated Income (Loss) from Continuing Operations Before Income Taxes</w:t>
      </w:r>
      <w:r>
        <w:rPr>
          <w:rFonts w:ascii="sans-serif" w:hAnsi="sans-serif"/>
          <w:color w:val="000000"/>
          <w:sz w:val="20"/>
        </w:rPr>
        <w:t xml:space="preserve">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296"/>
        <w:gridCol w:w="294"/>
        <w:gridCol w:w="607"/>
        <w:gridCol w:w="235"/>
        <w:gridCol w:w="190"/>
        <w:gridCol w:w="294"/>
        <w:gridCol w:w="607"/>
        <w:gridCol w:w="181"/>
        <w:gridCol w:w="146"/>
        <w:gridCol w:w="280"/>
        <w:gridCol w:w="578"/>
        <w:gridCol w:w="224"/>
        <w:gridCol w:w="180"/>
        <w:gridCol w:w="280"/>
        <w:gridCol w:w="578"/>
        <w:gridCol w:w="235"/>
      </w:tblGrid>
      <w:tr>
        <w:tc>
          <w:tcPr>
            <w:tcW w:w="5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2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Print:</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Advanced Materials and Chemicals:</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Cost of revenues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 expenses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Brand:</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Revenues from external customers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Selling, general and administrative expenses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Operational EBITDA</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Operational EBITDA for Reportable Segments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All Other Operational EBITDA</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Depreciation and amortization</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Restructuring costs and other</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Stock-based compensation</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FFFFFF"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Consulting and other costs </w:t>
            </w:r>
            <w:r>
              <w:rPr>
                <w:rFonts w:ascii="sans-serif" w:hAnsi="sans-serif"/>
                <w:color w:val="000000"/>
                <w:sz w:val="13"/>
              </w:rPr>
              <w:t>(1)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Idle costs </w:t>
            </w:r>
            <w:r>
              <w:rPr>
                <w:rFonts w:ascii="sans-serif" w:hAnsi="sans-serif"/>
                <w:color w:val="000000"/>
                <w:sz w:val="13"/>
              </w:rPr>
              <w:t>(2)</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FFFFFF"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Other operating income (expense), net </w:t>
            </w:r>
            <w:r>
              <w:rPr>
                <w:rFonts w:ascii="sans-serif" w:hAnsi="sans-serif"/>
                <w:color w:val="000000"/>
                <w:sz w:val="13"/>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Interest expense </w:t>
            </w:r>
            <w:r>
              <w:rPr>
                <w:rFonts w:ascii="sans-serif" w:hAnsi="sans-serif"/>
                <w:color w:val="000000"/>
                <w:sz w:val="13"/>
              </w:rPr>
              <w:t>(3)</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FFFFFF"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Pension income excluding service cost component </w:t>
            </w:r>
            <w:r>
              <w:rPr>
                <w:rFonts w:ascii="sans-serif" w:hAnsi="sans-serif"/>
                <w:color w:val="000000"/>
                <w:sz w:val="13"/>
              </w:rPr>
              <w:t>(3)</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CFF0FC"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Loss on early extinguishment of debt </w:t>
            </w:r>
            <w:r>
              <w:rPr>
                <w:rFonts w:ascii="sans-serif" w:hAnsi="sans-serif"/>
                <w:color w:val="000000"/>
                <w:sz w:val="13"/>
              </w:rPr>
              <w:t>(3)</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296" w:type="dxa"/>
            <w:tcBorders/>
            <w:shd w:fill="FFFFFF" w:val="clear"/>
            <w:tcMar>
              <w:top w:w="0" w:type="dxa"/>
              <w:left w:w="0" w:type="dxa"/>
              <w:bottom w:w="0" w:type="dxa"/>
              <w:right w:w="0" w:type="dxa"/>
            </w:tcMar>
            <w:vAlign w:val="center"/>
          </w:tcPr>
          <w:p>
            <w:pPr>
              <w:pStyle w:val="TableContents"/>
              <w:bidi w:val="0"/>
              <w:spacing w:lineRule="auto" w:line="360" w:before="0" w:after="283"/>
              <w:jc w:val="left"/>
            </w:pPr>
            <w:r>
              <w:rPr>
                <w:color w:val="000000"/>
              </w:rPr>
              <w:t>    </w:t>
            </w:r>
            <w:r>
              <w:rPr>
                <w:rFonts w:ascii="sans-serif" w:hAnsi="sans-serif"/>
                <w:color w:val="000000"/>
                <w:sz w:val="20"/>
              </w:rPr>
              <w:t xml:space="preserve">Other charges, net </w:t>
            </w:r>
            <w:r>
              <w:rPr>
                <w:rFonts w:ascii="sans-serif" w:hAnsi="sans-serif"/>
                <w:color w:val="000000"/>
                <w:sz w:val="13"/>
              </w:rPr>
              <w:t>(3)</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income (loss) from continuing operations before </w:t>
              <w:br/>
              <w:t>   income taxes</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20"/>
        </w:rPr>
        <w:t>The Consulting and other costs are professional services and internal costs associated with corporate strategic initiatives and litigation. Consulting and other costs included $1</w:t>
      </w:r>
      <w:r>
        <w:rPr>
          <w:rFonts w:ascii="sans-serif" w:hAnsi="sans-serif"/>
          <w:color w:val="000000"/>
          <w:sz w:val="13"/>
        </w:rPr>
        <w:t xml:space="preserve"> </w:t>
      </w:r>
      <w:r>
        <w:rPr>
          <w:rFonts w:ascii="sans-serif" w:hAnsi="sans-serif"/>
          <w:color w:val="000000"/>
          <w:sz w:val="20"/>
        </w:rPr>
        <w:t>million of income in both the nine months ended September 30, 2026</w:t>
      </w:r>
      <w:r>
        <w:rPr>
          <w:rFonts w:ascii="sans-serif" w:hAnsi="sans-serif"/>
          <w:color w:val="000000"/>
          <w:sz w:val="13"/>
        </w:rPr>
        <w:t xml:space="preserve"> </w:t>
      </w:r>
      <w:r>
        <w:rPr>
          <w:rFonts w:ascii="sans-serif" w:hAnsi="sans-serif"/>
          <w:color w:val="000000"/>
          <w:sz w:val="20"/>
        </w:rPr>
        <w:t>and 2025, representing insurance reimbursement of legal costs previously paid by the Company associated with investigations and litigation matters.</w:t>
      </w:r>
      <w:r>
        <w:rPr>
          <w:rFonts w:ascii="sans-serif" w:hAnsi="sans-serif"/>
          <w:color w:val="000000"/>
          <w:sz w:val="13"/>
        </w:rPr>
        <w:t xml:space="preserve"> </w:t>
      </w:r>
    </w:p>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A reconciliation of reportable segment revenues to consolidated revenues follows:</w:t>
      </w:r>
    </w:p>
    <w:p>
      <w:pPr>
        <w:pStyle w:val="TextBody"/>
        <w:bidi w:val="0"/>
        <w:jc w:val="left"/>
      </w:pPr>
      <w:r>
        <w:t> </w:t>
      </w:r>
    </w:p>
    <w:tbl>
      <w:tblPr>
        <w:tblW w:w="8774" w:type="dxa"/>
        <w:jc w:val="left"/>
        <w:tblInd w:w="0" w:type="dxa"/>
        <w:tblLayout w:type="fixed"/>
        <w:tblCellMar>
          <w:top w:w="28" w:type="dxa"/>
          <w:left w:w="28" w:type="dxa"/>
          <w:bottom w:w="28" w:type="dxa"/>
          <w:right w:w="28" w:type="dxa"/>
        </w:tblCellMar>
      </w:tblPr>
      <w:tblGrid>
        <w:gridCol w:w="3691"/>
        <w:gridCol w:w="319"/>
        <w:gridCol w:w="659"/>
        <w:gridCol w:w="206"/>
        <w:gridCol w:w="206"/>
        <w:gridCol w:w="319"/>
        <w:gridCol w:w="659"/>
        <w:gridCol w:w="146"/>
        <w:gridCol w:w="146"/>
        <w:gridCol w:w="301"/>
        <w:gridCol w:w="621"/>
        <w:gridCol w:w="194"/>
        <w:gridCol w:w="194"/>
        <w:gridCol w:w="301"/>
        <w:gridCol w:w="621"/>
        <w:gridCol w:w="191"/>
      </w:tblGrid>
      <w:tr>
        <w:tc>
          <w:tcPr>
            <w:tcW w:w="36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Reportable Segment Revenues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Consolidated Revenues</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decreased employee benefit reserves by approximately $4 million and $5 million in both the three and nine months ended September 30, 2026, respectively, due to a decrease in workers' compensation reserves driven by changes in discount rates. The decrease in reserves in the three months ended September 30, 2026 impacted gross profit by approximately $2 million and selling, general and administrative expenses (SG&amp;A) by approximately $1 million. The decrease in reserves in the nine months ended September 30, 2026 impacted gross profit by approximately $3 million and SG&amp;A by approximately $1 million.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 decreased employee benefit reserves by approximately $1 million in the three months ended September 30, 2025 due to a decrease in workers' compensation reserves driven by changes in discount rates. The decrease in reserves in the three months ended September 30, 2025 impacted gross profit by approximately $1 million. There was no change to employee benefit reserves in the nine months ended September 30, 2025.</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Amortization and depreciation expense by segment are not included in the segment measure of profit and loss but are regularly provided to the CODM.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4950"/>
        <w:gridCol w:w="404"/>
        <w:gridCol w:w="617"/>
        <w:gridCol w:w="260"/>
        <w:gridCol w:w="260"/>
        <w:gridCol w:w="407"/>
        <w:gridCol w:w="403"/>
        <w:gridCol w:w="146"/>
        <w:gridCol w:w="146"/>
        <w:gridCol w:w="381"/>
        <w:gridCol w:w="581"/>
        <w:gridCol w:w="245"/>
        <w:gridCol w:w="245"/>
        <w:gridCol w:w="383"/>
        <w:gridCol w:w="380"/>
        <w:gridCol w:w="397"/>
      </w:tblGrid>
      <w:tr>
        <w:tc>
          <w:tcPr>
            <w:tcW w:w="495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c>
          <w:tcPr>
            <w:tcW w:w="495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2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3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9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 xml:space="preserve">Intangible asset amortization expense from </w:t>
              <w:br/>
              <w:t>   continuing operations:</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95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495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105"/>
        <w:gridCol w:w="393"/>
        <w:gridCol w:w="587"/>
        <w:gridCol w:w="247"/>
        <w:gridCol w:w="247"/>
        <w:gridCol w:w="407"/>
        <w:gridCol w:w="385"/>
        <w:gridCol w:w="146"/>
        <w:gridCol w:w="146"/>
        <w:gridCol w:w="344"/>
        <w:gridCol w:w="513"/>
        <w:gridCol w:w="216"/>
        <w:gridCol w:w="216"/>
        <w:gridCol w:w="344"/>
        <w:gridCol w:w="513"/>
        <w:gridCol w:w="396"/>
      </w:tblGrid>
      <w:tr>
        <w:tc>
          <w:tcPr>
            <w:tcW w:w="510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ind w:left="0" w:right="0" w:firstLine="200"/>
              <w:jc w:val="left"/>
              <w:rPr>
                <w:sz w:val="4"/>
                <w:szCs w:val="4"/>
              </w:rPr>
            </w:pPr>
            <w:r>
              <w:rPr>
                <w:sz w:val="4"/>
                <w:szCs w:val="4"/>
              </w:rPr>
            </w:r>
          </w:p>
        </w:tc>
      </w:tr>
      <w:tr>
        <w:tc>
          <w:tcPr>
            <w:tcW w:w="51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pPr>
            <w:r>
              <w:t> </w:t>
            </w:r>
          </w:p>
        </w:tc>
        <w:tc>
          <w:tcPr>
            <w:tcW w:w="22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22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Depreciation expense from continuing operations:</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10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10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51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pPr>
      <w:r>
        <w:t> </w:t>
      </w:r>
    </w:p>
    <w:tbl>
      <w:tblPr>
        <w:tblW w:w="7399" w:type="dxa"/>
        <w:jc w:val="left"/>
        <w:tblInd w:w="0" w:type="dxa"/>
        <w:tblLayout w:type="fixed"/>
        <w:tblCellMar>
          <w:top w:w="28" w:type="dxa"/>
          <w:left w:w="28" w:type="dxa"/>
          <w:bottom w:w="28" w:type="dxa"/>
          <w:right w:w="28" w:type="dxa"/>
        </w:tblCellMar>
      </w:tblPr>
      <w:tblGrid>
        <w:gridCol w:w="3541"/>
        <w:gridCol w:w="562"/>
        <w:gridCol w:w="1163"/>
        <w:gridCol w:w="146"/>
        <w:gridCol w:w="146"/>
        <w:gridCol w:w="539"/>
        <w:gridCol w:w="1111"/>
        <w:gridCol w:w="191"/>
      </w:tblGrid>
      <w:tr>
        <w:tc>
          <w:tcPr>
            <w:tcW w:w="35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b/>
                <w:color w:val="000000"/>
                <w:sz w:val="20"/>
              </w:rPr>
              <w:t xml:space="preserve">Long-lived assets located in: </w:t>
            </w:r>
            <w:r>
              <w:rPr>
                <w:rFonts w:ascii="sans-serif" w:hAnsi="sans-serif"/>
                <w:b/>
                <w:color w:val="000000"/>
                <w:sz w:val="13"/>
              </w:rPr>
              <w:t>(1)</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United States</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Canada and Latin America</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35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Non-U.S. countries total </w:t>
            </w:r>
            <w:r>
              <w:rPr>
                <w:rFonts w:ascii="sans-serif" w:hAnsi="sans-serif"/>
                <w:color w:val="000000"/>
                <w:sz w:val="13"/>
              </w:rPr>
              <w:t>(2)</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20"/>
        </w:rPr>
        <w:t>Long-lived assets are comprised of property, plant and equipment, net.</w:t>
      </w:r>
    </w:p>
    <w:p>
      <w:pPr>
        <w:pStyle w:val="TextBody"/>
        <w:bidi w:val="0"/>
        <w:spacing w:lineRule="auto" w:line="360"/>
        <w:jc w:val="left"/>
        <w:rPr>
          <w:rFonts w:ascii="sans-serif" w:hAnsi="sans-serif"/>
          <w:sz w:val="13"/>
        </w:rPr>
      </w:pPr>
      <w:r>
        <w:rPr>
          <w:rFonts w:ascii="sans-serif" w:hAnsi="sans-serif"/>
          <w:color w:val="000000"/>
          <w:sz w:val="13"/>
        </w:rPr>
        <w:t xml:space="preserve">(2) </w:t>
      </w:r>
      <w:r>
        <w:rPr>
          <w:rFonts w:ascii="sans-serif" w:hAnsi="sans-serif"/>
          <w:color w:val="000000"/>
          <w:sz w:val="20"/>
        </w:rPr>
        <w:t>Of the total non-U.S. property, plant and equipment as of September 30, 2026, $41</w:t>
      </w:r>
      <w:r>
        <w:rPr>
          <w:rFonts w:ascii="sans-serif" w:hAnsi="sans-serif"/>
          <w:color w:val="000000"/>
          <w:sz w:val="13"/>
        </w:rPr>
        <w:t xml:space="preserve"> </w:t>
      </w:r>
      <w:r>
        <w:rPr>
          <w:rFonts w:ascii="sans-serif" w:hAnsi="sans-serif"/>
          <w:color w:val="000000"/>
          <w:sz w:val="20"/>
        </w:rPr>
        <w:t>million was located in Brazil. Of the total non-U.S. property, plant and equipment as of December 31, 2025, $39</w:t>
      </w:r>
      <w:r>
        <w:rPr>
          <w:rFonts w:ascii="sans-serif" w:hAnsi="sans-serif"/>
          <w:color w:val="000000"/>
          <w:sz w:val="13"/>
        </w:rPr>
        <w:t xml:space="preserve"> </w:t>
      </w:r>
      <w:r>
        <w:rPr>
          <w:rFonts w:ascii="sans-serif" w:hAnsi="sans-serif"/>
          <w:color w:val="000000"/>
          <w:sz w:val="20"/>
        </w:rPr>
        <w:t>million was located in Brazil.</w:t>
      </w:r>
    </w:p>
    <w:p>
      <w:pPr>
        <w:pStyle w:val="TextBody"/>
        <w:bidi w:val="0"/>
        <w:spacing w:before="240" w:after="283"/>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NOTE 20: FINANCIAL INSTRUMENTS</w:t>
      </w:r>
    </w:p>
    <w:p>
      <w:pPr>
        <w:pStyle w:val="TextBody"/>
        <w:bidi w:val="0"/>
        <w:spacing w:before="200" w:after="283"/>
        <w:jc w:val="left"/>
        <w:rPr>
          <w:rFonts w:ascii="sans-serif" w:hAnsi="sans-serif"/>
          <w:color w:val="000000"/>
          <w:sz w:val="20"/>
        </w:rPr>
      </w:pPr>
      <w:r>
        <w:rPr>
          <w:rFonts w:ascii="sans-serif" w:hAnsi="sans-serif"/>
          <w:color w:val="000000"/>
          <w:sz w:val="20"/>
        </w:rPr>
        <w:t xml:space="preserve">Kodak, as a result of its global operating and financing activities, is exposed to changes in foreign currency exchange rates, commodity pricing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w:t>
      </w:r>
    </w:p>
    <w:p>
      <w:pPr>
        <w:pStyle w:val="TextBody"/>
        <w:bidi w:val="0"/>
        <w:spacing w:before="200" w:after="283"/>
        <w:jc w:val="left"/>
        <w:rPr>
          <w:rFonts w:ascii="sans-serif" w:hAnsi="sans-serif"/>
          <w:color w:val="000000"/>
          <w:sz w:val="20"/>
        </w:rPr>
      </w:pPr>
      <w:r>
        <w:rPr>
          <w:rFonts w:ascii="sans-serif" w:hAnsi="sans-serif"/>
          <w:color w:val="000000"/>
          <w:sz w:val="20"/>
        </w:rPr>
        <w:t>Kodak’s exposure to changes in interest rates results from its investing and borrowing activities used to meet its liquidity needs. Kodak does not utilize financial instruments for trading or other speculative purposes.</w:t>
      </w:r>
    </w:p>
    <w:p>
      <w:pPr>
        <w:pStyle w:val="TextBody"/>
        <w:bidi w:val="0"/>
        <w:spacing w:before="200" w:after="283"/>
        <w:jc w:val="left"/>
        <w:rPr>
          <w:rFonts w:ascii="sans-serif" w:hAnsi="sans-serif"/>
          <w:color w:val="000000"/>
          <w:sz w:val="20"/>
        </w:rPr>
      </w:pPr>
      <w:r>
        <w:rPr>
          <w:rFonts w:ascii="sans-serif" w:hAnsi="sans-serif"/>
          <w:color w:val="000000"/>
          <w:sz w:val="20"/>
        </w:rPr>
        <w:t>Kodak’s foreign currency forward contracts are not designated as hedges and are marked to market through net income (loss) at the same time that the exposed assets and liabilities are re-measured through net income (loss) (both in Other charges, net in the Consolidated Statement of Operations). The notional amount of such contracts open at September 30, 2026 and December 31, 2025 was approximately $188 million and $224 million, respectively. The majority of the contracts of this type held by Kodak as of September 30, 2026 were denominated in Chinese renminbi and Japanese yen and as of December 31, 2025 were denominated in Chinese renminbi, Japanese yen and European euros.</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net effect of foreign currency forward contracts in the results of operations is shown in the following table: </w:t>
      </w:r>
    </w:p>
    <w:tbl>
      <w:tblPr>
        <w:tblW w:w="10205" w:type="dxa"/>
        <w:jc w:val="left"/>
        <w:tblInd w:w="0" w:type="dxa"/>
        <w:tblLayout w:type="fixed"/>
        <w:tblCellMar>
          <w:top w:w="28" w:type="dxa"/>
          <w:left w:w="28" w:type="dxa"/>
          <w:bottom w:w="28" w:type="dxa"/>
          <w:right w:w="28" w:type="dxa"/>
        </w:tblCellMar>
      </w:tblPr>
      <w:tblGrid>
        <w:gridCol w:w="5174"/>
        <w:gridCol w:w="146"/>
        <w:gridCol w:w="399"/>
        <w:gridCol w:w="504"/>
        <w:gridCol w:w="303"/>
        <w:gridCol w:w="244"/>
        <w:gridCol w:w="410"/>
        <w:gridCol w:w="380"/>
        <w:gridCol w:w="146"/>
        <w:gridCol w:w="146"/>
        <w:gridCol w:w="412"/>
        <w:gridCol w:w="313"/>
        <w:gridCol w:w="245"/>
        <w:gridCol w:w="245"/>
        <w:gridCol w:w="400"/>
        <w:gridCol w:w="506"/>
        <w:gridCol w:w="232"/>
      </w:tblGrid>
      <w:tr>
        <w:tc>
          <w:tcPr>
            <w:tcW w:w="5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5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4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7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7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7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(gain) loss from derivatives not designated as hedging </w:t>
              <w:br/>
              <w: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 had no derivatives designated as hedging instruments for the three and nine months ended September 30, 2026 and 2025.</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In the event of a default under any of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pStyle w:val="TextBody"/>
        <w:bidi w:val="0"/>
        <w:jc w:val="left"/>
      </w:pPr>
      <w:r>
        <w:t> </w:t>
      </w:r>
    </w:p>
    <w:p>
      <w:pPr>
        <w:pStyle w:val="TextBody"/>
        <w:bidi w:val="0"/>
        <w:jc w:val="left"/>
        <w:rPr>
          <w:rFonts w:ascii="sans-serif" w:hAnsi="sans-serif"/>
          <w:b/>
          <w:i/>
          <w:color w:val="000000"/>
          <w:sz w:val="20"/>
        </w:rPr>
      </w:pPr>
      <w:r>
        <w:rPr>
          <w:rFonts w:ascii="sans-serif" w:hAnsi="sans-serif"/>
          <w:b/>
          <w:i/>
          <w:color w:val="000000"/>
          <w:sz w:val="20"/>
        </w:rPr>
        <w:t>Fair Value</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September 30, 2026 and December 31, 2025 was less than $1 million. The gross fair value of foreign currency forward contracts in a liability position as of both September 30, 2026 and December 31, 2025 was less than $1 million.</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 fair values of long-term debt (Level 2 fair value measurements) are determined by reference to quoted market prices of similar instruments, if available, or by pricing models based on the value of related cash flows discounted at current market interest rates.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 fair values of long-term borrowings were $95 million and $151 million at September 30, 2026 and December 31, 2025, respectively.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carrying values of cash and cash equivalents, restricted cash and the current portion of long-term debt approximate their fair values at both September 30, 2026 and December 31, 2025.</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2026.</w:t>
      </w:r>
    </w:p>
    <w:p>
      <w:pPr>
        <w:pStyle w:val="TextBody"/>
        <w:bidi w:val="0"/>
        <w:spacing w:before="240" w:after="283"/>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As disclosed in Note 7, “Redeemable, Convertible Preferred Stock”, the embedded conversion options were bifurcated from the 6.0% Series B Preferred Stock and are accounted for on a combined basis as a single derivative liability. The fair value of these embedded conversion options is determined using significant unobservable inputs (Level 3 fair value measurements). The Company estimates the fair value of each embedded conversion option using a binomial lattice model, and the combined fair value is recorded as a derivative liability.</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following table presents the key inputs used in the determination of fair value for the embedded conversion options:</w:t>
      </w:r>
    </w:p>
    <w:p>
      <w:pPr>
        <w:pStyle w:val="TextBody"/>
        <w:bidi w:val="0"/>
        <w:jc w:val="left"/>
      </w:pPr>
      <w:r>
        <w:t> </w:t>
      </w:r>
    </w:p>
    <w:tbl>
      <w:tblPr>
        <w:tblW w:w="8785" w:type="dxa"/>
        <w:jc w:val="left"/>
        <w:tblInd w:w="0" w:type="dxa"/>
        <w:tblLayout w:type="fixed"/>
        <w:tblCellMar>
          <w:top w:w="28" w:type="dxa"/>
          <w:left w:w="28" w:type="dxa"/>
          <w:bottom w:w="28" w:type="dxa"/>
          <w:right w:w="28" w:type="dxa"/>
        </w:tblCellMar>
      </w:tblPr>
      <w:tblGrid>
        <w:gridCol w:w="4786"/>
        <w:gridCol w:w="146"/>
        <w:gridCol w:w="466"/>
        <w:gridCol w:w="1334"/>
        <w:gridCol w:w="286"/>
        <w:gridCol w:w="146"/>
        <w:gridCol w:w="334"/>
        <w:gridCol w:w="956"/>
        <w:gridCol w:w="331"/>
      </w:tblGrid>
      <w:t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4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Valuation Date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March 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7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September 30, </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xml:space="preserve">2026 </w:t>
              <w:br/>
              <w:t>(inception)</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value of embedded derivative ($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Kodak's closing stock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Expected stock price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Risk 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Implied yield on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sz w:val="20"/>
        </w:rPr>
      </w:pPr>
      <w:bookmarkStart w:id="23" w:name="mda"/>
      <w:bookmarkEnd w:id="23"/>
      <w:r>
        <w:rPr>
          <w:rFonts w:ascii="sans-serif" w:hAnsi="sans-serif"/>
          <w:b/>
          <w:color w:val="000000"/>
          <w:sz w:val="20"/>
        </w:rPr>
        <w:t>Item</w:t>
      </w:r>
      <w:r>
        <w:rPr>
          <w:rFonts w:ascii="sans-serif" w:hAnsi="sans-serif"/>
          <w:color w:val="000000"/>
          <w:sz w:val="20"/>
        </w:rPr>
        <w:t xml:space="preserve"> </w:t>
      </w:r>
      <w:r>
        <w:rPr>
          <w:rFonts w:ascii="sans-serif" w:hAnsi="sans-serif"/>
          <w:b/>
          <w:color w:val="000000"/>
          <w:sz w:val="20"/>
        </w:rPr>
        <w:t>2. Management</w:t>
      </w:r>
      <w:r>
        <w:rPr>
          <w:rFonts w:ascii="sans-serif" w:hAnsi="sans-serif"/>
          <w:color w:val="000000"/>
          <w:sz w:val="20"/>
        </w:rPr>
        <w:t>’</w:t>
      </w:r>
      <w:r>
        <w:rPr>
          <w:rFonts w:ascii="sans-serif" w:hAnsi="sans-serif"/>
          <w:b/>
          <w:color w:val="000000"/>
          <w:sz w:val="20"/>
        </w:rPr>
        <w:t>s Discussion and Analysis of Financial Condition and Results of Operations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CAUTIONARY STATEMENT PURSUANT TO SAFE HARBOR PROVISIONS OF THE PRIVATE SECURITIES LITIGATION REFORM ACT OF 1995</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This report on Form 10-Q includes “forward–looking statements” as that term is defined under the Private Securities Litigation Reform Act of 1995.</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the Company’s Annual Report on Form 10</w:t>
        <w:noBreakHyphen/>
        <w:t>K for the year ended December 31, 2025 (“2025 Form 10-K”) under the headings “Business,” “Risk Factors,” “Legal Proceedings,” and/or “Management’s Discussion and Analysis of Financial Condition and Results of Operations–Liquidity and Capital Resources,” in the corresponding sections of this report on Form 10</w:t>
        <w:noBreakHyphen/>
        <w:t>Q and the Company’s quarterly reports on Form 10‐Q for the quarters ended March 31, 2026 and June 30, 2026, and in other filings the Company makes with the SEC from time to time, as well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improve and sustain its operating structure, cash flow, profitability and other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achieve strategic objectives, cash forecasts, financial projections, and projected growth;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achieve the financial and operational results contained in its business plans;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Changes in commodity prices, tariff rates, foreign currency exchange rates and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impact of the global economic environment, including geopolitical issues, inflationary pressures, changes in trade policies, including tariffs or other trade restrictions or the threat of such actions, medical epidemics and Kodak’s ability to effectively mitigate or recoup any associated increased costs of aluminum, silver and other raw materials, energy, labor, shipping, delays in shipment and production time and manage any associated fluctuations in demand;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fund continued investments, capital needs and collateral requirements and service its debt and Series B Preferred Stock;</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effectively compete with large, well-financed industry participants or with competitors whose cost structure is lower than Kodak’s;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intellectual property rights and commodity supply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effect strategic transactions, such as investments, acquisitions, strategic alliances, divestitures and similar transactions, or to achieve the benefits sought to be achieved from such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comply with the covenants in its various credit facilities;</w:t>
      </w:r>
    </w:p>
    <w:p>
      <w:pPr>
        <w:pStyle w:val="TextBody"/>
        <w:bidi w:val="0"/>
        <w:spacing w:before="240" w:after="283"/>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continued ability to manage, defend and resolve a variety of current and legacy claims without incurring material losses or disruptions to its business and to bear the costs associated with such claims;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Kodak’s ability to discontinue, sell or spin-off certain non-core businesses or operations, or otherwise monetize assets;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potential impact of force majeure events, cyber‐attacks or other data security incidents or IT outages that could disrupt or otherwise harm Kodak’s operations.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Future events and other factors may cause Kodak’s actual results or outcomes to differ materially from the forward–looking statements. All forward–looking statements attributable to Kodak or persons acting on its behalf apply only as of the date of this report on Form 10</w:t>
        <w:noBreakHyphen/>
        <w:t>Q and are expressly qualified in their entirety by the cautionary statements included or referenced in this document. Kodak undertakes no obligation to update or revise forward–looking statements to reflect events or circumstances that arise after the date made or to reflect the occurrence of unanticipated events, except as required by law.</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EXECUTIVE OVERVIEW</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Kodak the partner of choice for commercial printers worldwide. Kodak is committed to environmental stewardship, including industry leadership in developing sustainable solutions for print. </w:t>
      </w:r>
    </w:p>
    <w:p>
      <w:pPr>
        <w:pStyle w:val="TextBody"/>
        <w:bidi w:val="0"/>
        <w:jc w:val="left"/>
      </w:pPr>
      <w:r>
        <w:t> </w:t>
      </w:r>
    </w:p>
    <w:p>
      <w:pPr>
        <w:pStyle w:val="TextBody"/>
        <w:bidi w:val="0"/>
        <w:jc w:val="left"/>
        <w:rPr>
          <w:rFonts w:ascii="sans-serif" w:hAnsi="sans-serif"/>
          <w:sz w:val="20"/>
        </w:rPr>
      </w:pPr>
      <w:bookmarkStart w:id="24" w:name="led293315f20228281664393426633"/>
      <w:bookmarkEnd w:id="24"/>
      <w:r>
        <w:rPr>
          <w:rFonts w:ascii="sans-serif" w:hAnsi="sans-serif"/>
          <w:color w:val="000000"/>
          <w:sz w:val="20"/>
        </w:rPr>
        <w:t>Consolidated revenues in the three and nine months ended September 30, 2026 were $276 million and $852 million, respectively, increases of $7 million (3</w:t>
      </w:r>
      <w:bookmarkStart w:id="25" w:name="led293315f20228281664393551046"/>
      <w:bookmarkEnd w:id="25"/>
      <w:r>
        <w:rPr>
          <w:rFonts w:ascii="sans-serif" w:hAnsi="sans-serif"/>
          <w:color w:val="000000"/>
          <w:sz w:val="20"/>
        </w:rPr>
        <w:t>%) and $73 million (9%), respectively, compared to the prior year quarter and year-to-date period. Currency fluctuations had an unfavorable impact on revenues ($2 million) in the three months ended September 30, 2026 compared to the three months ended September 30, 2025 and a favorable impact on revenues ($5 million) in the nine months ended September 30, 2026 compared to the nine months ended September 30, 2025.</w:t>
      </w:r>
    </w:p>
    <w:p>
      <w:pPr>
        <w:pStyle w:val="TextBody"/>
        <w:bidi w:val="0"/>
        <w:jc w:val="left"/>
      </w:pPr>
      <w:r>
        <w:t> </w:t>
      </w:r>
    </w:p>
    <w:p>
      <w:pPr>
        <w:pStyle w:val="TextBody"/>
        <w:bidi w:val="0"/>
        <w:jc w:val="left"/>
        <w:rPr>
          <w:rFonts w:ascii="sans-serif" w:hAnsi="sans-serif"/>
          <w:sz w:val="20"/>
        </w:rPr>
      </w:pPr>
      <w:bookmarkStart w:id="26" w:name="led293315f20228281664393783696"/>
      <w:bookmarkEnd w:id="26"/>
      <w:r>
        <w:rPr>
          <w:rFonts w:ascii="sans-serif" w:hAnsi="sans-serif"/>
          <w:color w:val="000000"/>
          <w:sz w:val="20"/>
        </w:rPr>
        <w:t>Print revenues in the three and nine months ended September 30, 2026 were $165 million and $540 million, respectively, a decrease of $12 million (</w:t>
      </w:r>
      <w:bookmarkStart w:id="27" w:name="led293315f20228281664393840864"/>
      <w:bookmarkEnd w:id="27"/>
      <w:r>
        <w:rPr>
          <w:rFonts w:ascii="sans-serif" w:hAnsi="sans-serif"/>
          <w:color w:val="000000"/>
          <w:sz w:val="20"/>
        </w:rPr>
        <w:t xml:space="preserve">7%) compared to the prior year quarter and an increase of $20 million (4%) compared to the prior year-to-date period. Print revenues accounted for </w:t>
      </w:r>
      <w:bookmarkStart w:id="28" w:name="led293315f20228281664393706189"/>
      <w:bookmarkEnd w:id="28"/>
      <w:r>
        <w:rPr>
          <w:rFonts w:ascii="sans-serif" w:hAnsi="sans-serif"/>
          <w:color w:val="000000"/>
          <w:sz w:val="20"/>
        </w:rPr>
        <w:t>60% and 63% of Kodak’s total revenues for the three and nine months ended September 30, 2026, respectively. Advanced Materials and Chemicals revenues in the three and nine months ended September 30, 2026 were $99 million and $280 million, respectively, increases of $17 million (21%) and $49 million (21%) compared to the prior year quarter and year-to-date period.</w:t>
      </w:r>
    </w:p>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Economic Environment and Other Global Events</w:t>
      </w:r>
      <w:r>
        <w:rPr>
          <w:rFonts w:ascii="sans-serif" w:hAnsi="sans-serif"/>
          <w:b/>
          <w:i/>
          <w:color w:val="000000"/>
          <w:sz w:val="20"/>
        </w:rPr>
        <w:t>:</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sells and services its products globally, with more than half of sales generated outside the U.S. The macroeconomic environment remains highly volatile due to changes in trade policies, including tariffs or other trade restrictions or the threat of such actions, geopolitical conflicts, fluctuations in commodity prices, elevated inflation and ongoing supply chain constraints, all of which have impacted Kodak’s operations.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These conditions have contributed to increased manufacturing costs, primarily due to the impact of U.S. tariffs on imported goods (including aluminum, steel and certain raw materials and component parts used in Kodak’s manufacturing and supply chain), as well as increases in commodity prices including aluminum and silver, higher labor, material, and distribution costs, and lower production volumes. The Company has implemented various pricing actions, productivity improvements, supply chain and workforce optimization initiatives and other cost savings activities. In addition, the Company has renegotiated supplier contracts and obtained certain tariff exemptions. Collectively, these actions have largely mitigated the impact of higher manufacturing costs and, as a result, did not have a material adverse effect on Kodak’s operations, financial condition or cash flows for the three and nine months ended September 30, 2026.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is in the process of applying for refunds of certain tariffs pursuant to the International Emergency Economic Powers Act ("IEEPA"). Refunds received during the current quarter were approximately $3 million. The timing and amount of any future refunds are uncertain and subject to the outcome of the Company's applications and related governmental determinations.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continues to actively monitor the developments related to tariffs to assess additional actions that may be taken to mitigate the impact of future tariff changes, including further pricing actions, additional cost reduction measures, securing alternative suppliers and evaluating potential changes to the Company’s manufacturing footprint. However, 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 and scope, all of which could have a material adverse effect on Kodak’s business, financial condition and results of operations.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As a result of a trade case brought by the Company in the U.S., the following duties are currently being imposed on U.S. imports of aluminum lithographic printing plates: (i) anti-dumping duties of 115.84% on plates manufactured in China by Fujifilm and 317.43% on such plates manufactured in China by other entities, (ii) countervailing duties of 35.66% on practically all plates manufactured in China, and (iii) anti-dumping duties of 91.83% on practically all plates manufactured in Japan. Fujifilm has appealed the basis for the imposition of these duties. These duties are in addition to other tariffs that may be imposed on imports generally, including on aluminum derivative products to the extent applicable. There can be no assurance that the duties imposed on imported plates will provide Kodak effective relief and will not be reduced or impaired by any appeal or other challenge.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has implemented numerous measures to mitigate the challenges associated with supply chain disruptions and shortages in materials, including increasing safety stock on certain materials, increasing lead-times, providing suppliers with longer forecasts of future demand and certifying additional sources or substitute materials where possible. These measures have enabled Kodak to largely meet current demand.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 Advanced Materials and Chemicals segment has experienced labor shortages in certain manufacturing areas. Increased demand for consumer film products along with manufacturing equipment limitations and labor shortages have contributed to increased backorders. The Advanced Materials and Chemicals segment has increased headcount and made capital investments in equipment upgrades and new equipment that increased capacity and streamlined processes which has reduced backorders and improved operational efficiency. Increased demand for film products may continue to place stress on manufacturing equipment and the labor force without further investment or additional hiring in key areas.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ongoing changes in global economic conditions and the impact of other global events on Kodak’s operations and financial performance remains uncertain. A further deterioration in economic conditions, sustained supply chain disruptions or constraints in securing raw materials and components, or additional increases in manufacturing and other costs without further pricing actions, productivity improvements, supply chain mitigation actions or other cost saving measures, could unfavorably impact Kodak's operating results.</w:t>
      </w:r>
    </w:p>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Kodak</w:t>
      </w:r>
      <w:r>
        <w:rPr>
          <w:rFonts w:ascii="sans-serif" w:hAnsi="sans-serif"/>
          <w:color w:val="000000"/>
          <w:sz w:val="20"/>
        </w:rPr>
        <w:t>’</w:t>
      </w:r>
      <w:r>
        <w:rPr>
          <w:rFonts w:ascii="sans-serif" w:hAnsi="sans-serif"/>
          <w:b/>
          <w:color w:val="000000"/>
          <w:sz w:val="20"/>
        </w:rPr>
        <w:t>s Strategy and Capital Allocation Framework</w:t>
      </w:r>
      <w:r>
        <w:rPr>
          <w:rFonts w:ascii="sans-serif" w:hAnsi="sans-serif"/>
          <w:b/>
          <w:i/>
          <w:color w:val="000000"/>
          <w:sz w:val="20"/>
        </w:rPr>
        <w:t>:</w:t>
      </w:r>
    </w:p>
    <w:p>
      <w:pPr>
        <w:pStyle w:val="TextBody"/>
        <w:bidi w:val="0"/>
        <w:spacing w:before="200" w:after="160"/>
        <w:jc w:val="left"/>
        <w:rPr>
          <w:rFonts w:ascii="sans-serif" w:hAnsi="sans-serif"/>
          <w:color w:val="000000"/>
          <w:sz w:val="20"/>
        </w:rPr>
      </w:pPr>
      <w:r>
        <w:rPr>
          <w:rFonts w:ascii="sans-serif" w:hAnsi="sans-serif"/>
          <w:color w:val="000000"/>
          <w:sz w:val="20"/>
        </w:rPr>
        <w:t>Kodak’s strategy is to leverage its core competencies, intellectual property and manufacturing infrastructure to grow industrial manufacturing businesses in segments with attractive long-term growth potential and high barriers to entry. The Company allocates capital through a framework focusing on ROI potential, the ability to monetize opportunities efficiently, and performance reviews by a core control team. Specific strategies include: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Be a global leader in targeted Print segments by leveraging Kodak’s key strengths in plates and high-speed inkjet, including proprietary technologies that enable customers to improve productivity, cost efficiency and sustainability;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investing in Advanced Materials and Chemicals to drive innovation in Kodak’s highest-growth segment by applying the Company’s deep expertise in chemicals, layering and coating, and materials science to existing and new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to expand the Company’s Brand Licensing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Scale and streamline operations through automation, systems and process improvements to enable Kodak to monetize opportunities quickly and efficiently;</w:t>
      </w:r>
    </w:p>
    <w:p>
      <w:pPr>
        <w:pStyle w:val="TextBody"/>
        <w:bidi w:val="0"/>
        <w:spacing w:before="240" w:after="283"/>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Consider targeted opportunities to expand Kodak’s existing portfolio, support and accelerate R&amp;D efforts, increase utilization of Kodak’s asset base, and drive long-term growth;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working to unlock stranded value within the Company by utilizing existing infrastructure, intellectual property and technical capabilities in industrial manufacturing growth markets.</w:t>
      </w:r>
    </w:p>
    <w:p>
      <w:pPr>
        <w:pStyle w:val="TextBody"/>
        <w:bidi w:val="0"/>
        <w:spacing w:before="200" w:after="160"/>
        <w:jc w:val="left"/>
        <w:rPr>
          <w:rFonts w:ascii="sans-serif" w:hAnsi="sans-serif"/>
          <w:color w:val="000000"/>
          <w:sz w:val="20"/>
        </w:rPr>
      </w:pPr>
      <w:r>
        <w:rPr>
          <w:rFonts w:ascii="sans-serif" w:hAnsi="sans-serif"/>
          <w:color w:val="000000"/>
          <w:sz w:val="20"/>
        </w:rPr>
        <w:t>Kodak prioritizes opportunities focusing on strategic fit with the Company’s core competencies, ROI potential, cost and time barriers to entry, as well as the Company’s ability to build, automate and commercialize more efficiently than others. A discussion of opportunities and challenges related to Kodak’s strategy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0"/>
        </w:rPr>
      </w:pPr>
      <w:r>
        <w:rPr>
          <w:rFonts w:ascii="sans-serif" w:hAnsi="sans-serif"/>
          <w:color w:val="000000"/>
          <w:sz w:val="20"/>
        </w:rPr>
        <w:t xml:space="preserve">Print remains a core area of focus in which Kodak seeks to be a global leader in targeted segments by leveraging its key strengths in both traditional and digital print.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In traditional print, Kodak’s plate products include KODAK SONORA Process Free Plates and traditional wet plates. SONORA Process Free Plates allow Kodak customers to skip the traditional plate processing step which streamlines the workflow and saves time and costs for customers. SONORA Process Free Plates also reduce the environmental impact of the printing process because they eliminate the use of chemicals (including solvents), water and power that is otherwise required to process a traditional plate. Kodak continues to innovate in the process-free segment, introducing KODAK SONORA UltraXR Plates in May 2026 in the European market only. The Company’s plates business is experiencing challenges from higher prices and availability of raw materials, digital substitution and competitive pricing pressures. Kodak seeks to mitigate the impact of increases in manufacturing costs through a combination of pricing actions, improved production efficiency, cost reduction initiatives and government tariffs that establish a level playing field.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 the digital printing business, Kodak is investing in high-speed inkjet solutions that leverage the company’s proprietary continuous inkjet technology. The PROSPER Inkjet Systems product offerings are expected to grow and continue to build profitability. Kodak launched the industry’s fastest inkjet press, the PROSPER 7000 Turbo Press, in June 2022. The PROSPER 7000 Turbo Press enables commercial, publishing and newspaper printers to compete more effectively with offset and to shift more long-run jobs from conventional printing processes to inkjet. The KODAK PROSPER ULTRA 520 Digital Press, which utilizes Kodak's next-generation ULTRASTREAM inkjet technology, offers offset print quality in a smaller footprint. In addition, Kodak inkjet imprinting system components can be integrated with analog offset, flexographic, and gravure printing and finishing equipment as hybrid digital/analog solutions that offer high quality, high-speed variable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Advanced Materials and Chemicals is an area of growth for the Company. Kodak is using its deep expertise in chemistry and strengths in layering and coating processes created by decades of experience in film manufacturing to pursue existing and new initiatives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Film – Kodak has grown the film segment by investing in product innovation and significantly increasing manufacturing capacity. In the fourth quarter of 2025, Kodak launched its own direct-to-distributors line of still films which aim to provide distributors, retailers and consumers with more stable pricing and a broader, more reliable supply. In addition, Kodak announced the availability of KODAK VERITA 200D Color Negative Motion Picture Film (5206/7206), a new specialty film stock that expands the Company's motion picture portfolio and reinforces Kodak’s long-standing leadership in film. The Company is committed to providing film to customers to help meet the film industry’s demand.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EV/Energy Storage Battery Material Manufacturing – Coating of substrates is a critical aspect of manufacturing materials for batteries and Kodak plans to capitalize on its expertise in coating technology to develop opportunities in this area. Kodak utilizes its pilot coating facility to conduct development of coated electrode components for a variety of battery, fuel cell, and solar film companies. Kodak continues to utilize a separate existing production coating facility to manufacture coated substrates for EV cell assembly. Investment in this production facility began in 2025 and has continued into 2026 to expand capabilities and capacity to enable greater 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Pharmaceuticals Manufacturing – Kodak completed construction of its Current Good Manufacturing Practice (“cGMP”) lab and manufacturing facility at Eastman Business Park (”EBP”) in 2025 and is now certified to manufacture unregulated and regulated reagents for certain healthcare applications. On October 28, 2026, Kodak announced the expansion of its pharmaceutical product portfolio with the addition of KODAK® Normal Saline, and launched its new U.S.-based online store designed to simplify purchasing for pharmaceutical, biotech, and life science customers. Kodak plans to continue expanding its product offering over time and is in the process of obtaining ISO 13458 and FDA Class II certification for its manufacturing facility.</w:t>
      </w:r>
    </w:p>
    <w:p>
      <w:pPr>
        <w:pStyle w:val="TextBody"/>
        <w:bidi w:val="0"/>
        <w:spacing w:before="240" w:after="283"/>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Additional nascent growth initiatives – Kodak plans to leverage its proprietary copper micro-wire technologies and high-resolution printing expertise to contract-manufacture custom transparent antennas for automotive, commercial construction, and other applications requiring excellent radio frequency (“RF”) and optical performance. Kodak is also evaluating this unique technology and expertise for transparent heaters in automotive and telecom applications, as well as for electronic films used in the medical device market. In addition, the Company is leveraging a proprietary technology designed to offer superior visible, ultraviolet and infrared light management, from complete blackout to selective light filtering that is compatible with an unmatched range of fabrics. </w:t>
      </w:r>
    </w:p>
    <w:p>
      <w:pPr>
        <w:pStyle w:val="TextBody"/>
        <w:bidi w:val="0"/>
        <w:spacing w:before="20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before="200" w:after="283"/>
        <w:jc w:val="left"/>
        <w:rPr>
          <w:rFonts w:ascii="sans-serif" w:hAnsi="sans-serif"/>
          <w:sz w:val="20"/>
        </w:rPr>
      </w:pPr>
      <w:bookmarkStart w:id="29" w:name="led293237f20243211713732989449"/>
      <w:bookmarkEnd w:id="29"/>
      <w:r>
        <w:rPr>
          <w:rFonts w:ascii="sans-serif" w:hAnsi="sans-serif"/>
          <w:b/>
          <w:color w:val="000000"/>
          <w:sz w:val="20"/>
        </w:rPr>
        <w:t>2026</w:t>
      </w:r>
      <w:r>
        <w:rPr>
          <w:rFonts w:ascii="sans-serif" w:hAnsi="sans-serif"/>
          <w:color w:val="000000"/>
          <w:sz w:val="20"/>
        </w:rPr>
        <w:t xml:space="preserve"> </w:t>
      </w:r>
      <w:r>
        <w:rPr>
          <w:rFonts w:ascii="sans-serif" w:hAnsi="sans-serif"/>
          <w:b/>
          <w:color w:val="000000"/>
          <w:sz w:val="20"/>
        </w:rPr>
        <w:t xml:space="preserve">COMPARED TO </w:t>
      </w:r>
      <w:bookmarkStart w:id="30" w:name="led293237f20243211713733002175"/>
      <w:bookmarkEnd w:id="30"/>
      <w:r>
        <w:rPr>
          <w:rFonts w:ascii="sans-serif" w:hAnsi="sans-serif"/>
          <w:b/>
          <w:color w:val="000000"/>
          <w:sz w:val="20"/>
        </w:rPr>
        <w:t>2025</w:t>
      </w:r>
    </w:p>
    <w:p>
      <w:pPr>
        <w:pStyle w:val="TextBody"/>
        <w:bidi w:val="0"/>
        <w:spacing w:before="200" w:after="283"/>
        <w:jc w:val="left"/>
        <w:rPr>
          <w:rFonts w:ascii="sans-serif" w:hAnsi="sans-serif"/>
          <w:b/>
          <w:color w:val="000000"/>
          <w:sz w:val="20"/>
        </w:rPr>
      </w:pPr>
      <w:r>
        <w:rPr>
          <w:rFonts w:ascii="sans-serif" w:hAnsi="sans-serif"/>
          <w:b/>
          <w:color w:val="000000"/>
          <w:sz w:val="20"/>
        </w:rPr>
        <w:t>THIRD QUARTER RESULTS OF OPERATIONS</w:t>
      </w:r>
    </w:p>
    <w:tbl>
      <w:tblPr>
        <w:tblW w:w="13050" w:type="dxa"/>
        <w:jc w:val="left"/>
        <w:tblInd w:w="0" w:type="dxa"/>
        <w:tblLayout w:type="fixed"/>
        <w:tblCellMar>
          <w:top w:w="28" w:type="dxa"/>
          <w:left w:w="28" w:type="dxa"/>
          <w:bottom w:w="28" w:type="dxa"/>
          <w:right w:w="28" w:type="dxa"/>
        </w:tblCellMar>
      </w:tblPr>
      <w:tblGrid>
        <w:gridCol w:w="1726"/>
        <w:gridCol w:w="146"/>
        <w:gridCol w:w="226"/>
        <w:gridCol w:w="466"/>
        <w:gridCol w:w="181"/>
        <w:gridCol w:w="146"/>
        <w:gridCol w:w="191"/>
        <w:gridCol w:w="455"/>
        <w:gridCol w:w="271"/>
        <w:gridCol w:w="146"/>
        <w:gridCol w:w="226"/>
        <w:gridCol w:w="466"/>
        <w:gridCol w:w="181"/>
        <w:gridCol w:w="146"/>
        <w:gridCol w:w="191"/>
        <w:gridCol w:w="455"/>
        <w:gridCol w:w="271"/>
        <w:gridCol w:w="146"/>
        <w:gridCol w:w="372"/>
        <w:gridCol w:w="694"/>
        <w:gridCol w:w="181"/>
        <w:gridCol w:w="146"/>
        <w:gridCol w:w="226"/>
        <w:gridCol w:w="466"/>
        <w:gridCol w:w="181"/>
        <w:gridCol w:w="146"/>
        <w:gridCol w:w="191"/>
        <w:gridCol w:w="455"/>
        <w:gridCol w:w="271"/>
        <w:gridCol w:w="146"/>
        <w:gridCol w:w="226"/>
        <w:gridCol w:w="466"/>
        <w:gridCol w:w="181"/>
        <w:gridCol w:w="146"/>
        <w:gridCol w:w="191"/>
        <w:gridCol w:w="455"/>
        <w:gridCol w:w="271"/>
        <w:gridCol w:w="146"/>
        <w:gridCol w:w="372"/>
        <w:gridCol w:w="694"/>
        <w:gridCol w:w="391"/>
      </w:tblGrid>
      <w:t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52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Sales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Selling, general and </w:t>
              <w:br/>
              <w:t>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Research and development </w:t>
              <w:br/>
              <w: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operating (income)</w:t>
              <w:br/>
              <w: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Income from operations </w:t>
              <w:br/>
              <w:t>   before interest expense,</w:t>
              <w:br/>
              <w:t xml:space="preserve">   pension income </w:t>
              <w:br/>
              <w:t xml:space="preserve">   excluding service cost </w:t>
              <w:br/>
              <w:t xml:space="preserve">   component, loss on early </w:t>
              <w:br/>
              <w:t xml:space="preserve">   extinguishment of debt, </w:t>
              <w:br/>
              <w:t xml:space="preserve">   other charges, net and </w:t>
              <w:br/>
              <w:t>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Pension income excluding </w:t>
              <w:br/>
              <w:t>   service cost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Loss on early extinguishment </w:t>
              <w:br/>
              <w: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charges,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 xml:space="preserve">Income (loss) from </w:t>
              <w:br/>
              <w:t xml:space="preserve">   operations before </w:t>
              <w:br/>
              <w: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Revenue</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sz w:val="20"/>
        </w:rPr>
      </w:pPr>
      <w:bookmarkStart w:id="31" w:name="led293237f20228201663701475391"/>
      <w:bookmarkEnd w:id="31"/>
      <w:r>
        <w:rPr>
          <w:rFonts w:ascii="sans-serif" w:hAnsi="sans-serif"/>
          <w:color w:val="000000"/>
          <w:sz w:val="20"/>
        </w:rPr>
        <w:t xml:space="preserve">For the three months ended September 30, 2026 revenues increased </w:t>
      </w:r>
      <w:bookmarkStart w:id="32" w:name="led293315f20228281664394300359"/>
      <w:bookmarkEnd w:id="32"/>
      <w:r>
        <w:rPr>
          <w:rFonts w:ascii="sans-serif" w:hAnsi="sans-serif"/>
          <w:color w:val="000000"/>
          <w:sz w:val="20"/>
        </w:rPr>
        <w:t xml:space="preserve">$7 million compared with the same period in </w:t>
      </w:r>
      <w:bookmarkStart w:id="33" w:name="led293237f20228201663701716909"/>
      <w:bookmarkEnd w:id="33"/>
      <w:r>
        <w:rPr>
          <w:rFonts w:ascii="sans-serif" w:hAnsi="sans-serif"/>
          <w:color w:val="000000"/>
          <w:sz w:val="20"/>
        </w:rPr>
        <w:t>2025, primarily driven by improved pricing in Print ($16 million) and Advanced Materials and Chemicals ($7 million) and higher volumes in Advanced Material and Chemicals ($10 million) and Brand ($3 million). These favorable impacts were partially offset by lower Print volumes ($26 million) and unfavorable foreign currency fluctuations ($2 million). See segment discussions for additional details.</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For the nine months ended September 30, 2026 revenues increased $73 million compared with the same period in 2025, primarily driven by improved pricing in Print ($39 million) and Advanced Materials and Chemicals ($29 million), higher volumes in Advanced Materials and Chemicals ($20 million) and Brand ($6 million) and favorable foreign currency fluctuations ($5 million). These favorable impacts were partially offset by lower Print volumes ($24 million). See segment discussions for additional details.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Gross Profit</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bookmarkStart w:id="34" w:name="led293320f20243181713455091557"/>
      <w:bookmarkEnd w:id="34"/>
      <w:r>
        <w:rPr>
          <w:rFonts w:ascii="sans-serif" w:hAnsi="sans-serif"/>
          <w:color w:val="000000"/>
          <w:sz w:val="20"/>
        </w:rPr>
        <w:t xml:space="preserve">Gross profit for the three months ended September 30, 2026 increased $5 million compared with the same period in 2025, primarily due to improved pricing in Print ($14 million) and Advanced Materials and Chemicals ($8 million), higher volumes in Advanced Materials and Chemicals ($7 million) and Brand ($3 million) and net change in employee benefit reserves ($2 million). These favorable impacts were partially offset by higher aluminum costs ($15 million), higher silver costs ($6 million), lower Print volumes ($4 million) and increased manufacturing costs in Advanced Materials and Chemicals ($3 million) and Print ($1 million). See segment discussions for additional details. </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 xml:space="preserve">Gross profit for the nine months ended September 30, 2026 increased $47 million compared with the same period in 2025, primarily due to improved pricing in Print ($36 million) and Advanced Materials and Chemicals ($24 million), higher volumes in Advanced Materials and Chemicals ($17 million), Brand ($6 million) and Print ($3 million), reduced manufacturing costs in Print ($3 million) and net change in employee benefit reserves ($3 million). These favorable impacts were partially offset by higher aluminum costs ($24 million), higher silver costs ($19 million) and increased manufacturing costs in Advanced Materials and Chemicals ($2 million). See segment discussions for additional details. </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Selling, General and Administrative Expenses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bookmarkStart w:id="35" w:name="led293237f20239201697814713951"/>
      <w:bookmarkEnd w:id="35"/>
      <w:r>
        <w:rPr>
          <w:rFonts w:ascii="sans-serif" w:hAnsi="sans-serif"/>
          <w:color w:val="000000"/>
          <w:sz w:val="20"/>
        </w:rPr>
        <w:t>Consolidated selling and general administrative expenses ("SG&amp;A") increased $9 million in the three months ended September 30, 2026 compared to the prior year period, primarily due to an increase in equity compensation costs ($7 million) and an increase in selling and administrative costs ($2 million) primarily related to changes in employee benefit accruals.</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Consolidated SG&amp;A increased $24 million in the nine months ended September 30, 2026 compared to the prior year period, primarily due to an increase in equity compensation costs ($18 million) and an increase in selling and administrative costs ($6 million) primarily related to changes in employee benefit accruals and costs associated with corporate infrastructure, partially offset by litigation matters.</w:t>
      </w:r>
    </w:p>
    <w:p>
      <w:pPr>
        <w:pStyle w:val="TextBody"/>
        <w:bidi w:val="0"/>
        <w:spacing w:before="200" w:after="283"/>
        <w:jc w:val="left"/>
        <w:rPr>
          <w:rFonts w:ascii="sans-serif" w:hAnsi="sans-serif"/>
          <w:b/>
          <w:color w:val="000000"/>
          <w:sz w:val="20"/>
        </w:rPr>
      </w:pPr>
      <w:r>
        <w:rPr>
          <w:rFonts w:ascii="sans-serif" w:hAnsi="sans-serif"/>
          <w:b/>
          <w:color w:val="000000"/>
          <w:sz w:val="20"/>
        </w:rPr>
        <w:t>Research and Development Costs</w:t>
      </w:r>
    </w:p>
    <w:p>
      <w:pPr>
        <w:pStyle w:val="TextBody"/>
        <w:bidi w:val="0"/>
        <w:spacing w:before="200" w:after="283"/>
        <w:jc w:val="left"/>
        <w:rPr>
          <w:rFonts w:ascii="sans-serif" w:hAnsi="sans-serif"/>
          <w:color w:val="000000"/>
          <w:sz w:val="20"/>
        </w:rPr>
      </w:pPr>
      <w:r>
        <w:rPr>
          <w:rFonts w:ascii="sans-serif" w:hAnsi="sans-serif"/>
          <w:color w:val="000000"/>
          <w:sz w:val="20"/>
        </w:rPr>
        <w:t xml:space="preserve">Consolidated research and development ("R&amp;D") expenses in the three and nine months ended September 30, 2026 were relatively flat compared to the prior year period. </w:t>
      </w:r>
    </w:p>
    <w:p>
      <w:pPr>
        <w:pStyle w:val="TextBody"/>
        <w:bidi w:val="0"/>
        <w:spacing w:before="200" w:after="283"/>
        <w:jc w:val="left"/>
        <w:rPr>
          <w:rFonts w:ascii="sans-serif" w:hAnsi="sans-serif"/>
          <w:b/>
          <w:color w:val="000000"/>
          <w:sz w:val="20"/>
        </w:rPr>
      </w:pPr>
      <w:r>
        <w:rPr>
          <w:rFonts w:ascii="sans-serif" w:hAnsi="sans-serif"/>
          <w:b/>
          <w:color w:val="000000"/>
          <w:sz w:val="20"/>
        </w:rPr>
        <w:t>Pension Income Excluding Service Cost Component</w:t>
      </w:r>
    </w:p>
    <w:p>
      <w:pPr>
        <w:pStyle w:val="TextBody"/>
        <w:bidi w:val="0"/>
        <w:spacing w:before="200" w:after="283"/>
        <w:jc w:val="left"/>
        <w:rPr>
          <w:rFonts w:ascii="sans-serif" w:hAnsi="sans-serif"/>
          <w:color w:val="000000"/>
          <w:sz w:val="20"/>
        </w:rPr>
      </w:pPr>
      <w:bookmarkStart w:id="36" w:name="led293237f20239201697817068266"/>
      <w:bookmarkEnd w:id="36"/>
      <w:r>
        <w:rPr>
          <w:rFonts w:ascii="sans-serif" w:hAnsi="sans-serif"/>
          <w:color w:val="000000"/>
          <w:sz w:val="20"/>
        </w:rPr>
        <w:t>Pension income excluding service cost component decreased $1 million and $30 million, respectively, in the three and nine months ended September 30, 2026 due to lower expected return on assets driven by a decrease in the asset base due to the settlement of the Kodak Retirement Income Plan ("KRIP") in the fourth quarter of 2025. The decrease in both the three and nine months ended September 30, 2026 was also partially offset by a settlement gain of approximately $10 million recognized in the third quarter of 2026. The gain relates to a cash refund KRIP received from Metropolitan Tower Life Insurance Company for the premium true-up of the group annuity contract purchased as part of the KRIP settlement. Refer to Note 15, "Retirement Plans".</w:t>
      </w:r>
    </w:p>
    <w:p>
      <w:pPr>
        <w:pStyle w:val="TextBody"/>
        <w:bidi w:val="0"/>
        <w:spacing w:before="200" w:after="283"/>
        <w:jc w:val="left"/>
        <w:rPr>
          <w:rFonts w:ascii="sans-serif" w:hAnsi="sans-serif"/>
          <w:b/>
          <w:color w:val="000000"/>
          <w:sz w:val="20"/>
        </w:rPr>
      </w:pPr>
      <w:r>
        <w:rPr>
          <w:rFonts w:ascii="sans-serif" w:hAnsi="sans-serif"/>
          <w:b/>
          <w:color w:val="000000"/>
          <w:sz w:val="20"/>
        </w:rPr>
        <w:t>Other Operating (Income) Expense,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12, "Other Operating (Income) Expense, Net".</w:t>
      </w:r>
    </w:p>
    <w:p>
      <w:pPr>
        <w:pStyle w:val="TextBody"/>
        <w:bidi w:val="0"/>
        <w:spacing w:before="200" w:after="283"/>
        <w:jc w:val="left"/>
        <w:rPr>
          <w:rFonts w:ascii="sans-serif" w:hAnsi="sans-serif"/>
          <w:b/>
          <w:color w:val="000000"/>
          <w:sz w:val="20"/>
        </w:rPr>
      </w:pPr>
      <w:r>
        <w:rPr>
          <w:rFonts w:ascii="sans-serif" w:hAnsi="sans-serif"/>
          <w:b/>
          <w:color w:val="000000"/>
          <w:sz w:val="20"/>
        </w:rPr>
        <w:t>Other Charges, Net</w:t>
      </w:r>
    </w:p>
    <w:p>
      <w:pPr>
        <w:pStyle w:val="TextBody"/>
        <w:bidi w:val="0"/>
        <w:spacing w:before="200" w:after="283"/>
        <w:jc w:val="left"/>
        <w:rPr>
          <w:rFonts w:ascii="sans-serif" w:hAnsi="sans-serif"/>
          <w:color w:val="000000"/>
          <w:sz w:val="20"/>
        </w:rPr>
      </w:pPr>
      <w:r>
        <w:rPr>
          <w:rFonts w:ascii="sans-serif" w:hAnsi="sans-serif"/>
          <w:color w:val="000000"/>
          <w:sz w:val="20"/>
        </w:rPr>
        <w:t>For details, refer to Note 13, "Other Charges, Net".</w:t>
      </w:r>
    </w:p>
    <w:p>
      <w:pPr>
        <w:pStyle w:val="TextBody"/>
        <w:bidi w:val="0"/>
        <w:spacing w:before="240" w:after="283"/>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REPORTABLE SEGMENTS</w:t>
      </w:r>
    </w:p>
    <w:p>
      <w:pPr>
        <w:pStyle w:val="TextBody"/>
        <w:bidi w:val="0"/>
        <w:spacing w:before="200" w:after="283"/>
        <w:jc w:val="left"/>
        <w:rPr>
          <w:rFonts w:ascii="sans-serif" w:hAnsi="sans-serif"/>
          <w:color w:val="000000"/>
          <w:sz w:val="20"/>
        </w:rPr>
      </w:pPr>
      <w:r>
        <w:rPr>
          <w:rFonts w:ascii="sans-serif" w:hAnsi="sans-serif"/>
          <w:color w:val="000000"/>
          <w:sz w:val="20"/>
        </w:rPr>
        <w:t>Kodak has three reportable segments: Print, Advanced Materials and Chemicals and Brand. A description of Kodak’s reportable segments follows.</w:t>
      </w:r>
    </w:p>
    <w:p>
      <w:pPr>
        <w:pStyle w:val="TextBody"/>
        <w:bidi w:val="0"/>
        <w:spacing w:before="200" w:after="283"/>
        <w:jc w:val="left"/>
        <w:rPr>
          <w:rFonts w:ascii="sans-serif" w:hAnsi="sans-serif"/>
          <w:sz w:val="20"/>
        </w:rPr>
      </w:pPr>
      <w:r>
        <w:rPr>
          <w:rFonts w:ascii="sans-serif" w:hAnsi="sans-serif"/>
          <w:b/>
          <w:color w:val="000000"/>
          <w:sz w:val="20"/>
        </w:rPr>
        <w:t>Print</w:t>
      </w:r>
      <w:r>
        <w:rPr>
          <w:rFonts w:ascii="sans-serif" w:hAnsi="sans-serif"/>
          <w:color w:val="000000"/>
          <w:sz w:val="20"/>
        </w:rPr>
        <w:t>: The Print segment is comprised of four lines of business: the Prepress Solutions business, the PROSPER business, the Software business and the Electrophotographic Printing Solutions ("EPS") business.</w:t>
      </w:r>
    </w:p>
    <w:p>
      <w:pPr>
        <w:pStyle w:val="TextBody"/>
        <w:bidi w:val="0"/>
        <w:spacing w:before="200" w:after="283"/>
        <w:jc w:val="left"/>
        <w:rPr>
          <w:rFonts w:ascii="sans-serif" w:hAnsi="sans-serif"/>
          <w:sz w:val="20"/>
        </w:rPr>
      </w:pPr>
      <w:r>
        <w:rPr>
          <w:rFonts w:ascii="sans-serif" w:hAnsi="sans-serif"/>
          <w:b/>
          <w:color w:val="000000"/>
          <w:sz w:val="20"/>
        </w:rPr>
        <w:t xml:space="preserve">Advanced Materials and Chemicals: </w:t>
      </w:r>
      <w:r>
        <w:rPr>
          <w:rFonts w:ascii="sans-serif" w:hAnsi="sans-serif"/>
          <w:color w:val="000000"/>
          <w:sz w:val="20"/>
        </w:rPr>
        <w:t>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w:t>
      </w:r>
    </w:p>
    <w:p>
      <w:pPr>
        <w:pStyle w:val="TextBody"/>
        <w:bidi w:val="0"/>
        <w:spacing w:before="200" w:after="283"/>
        <w:jc w:val="left"/>
        <w:rPr>
          <w:rFonts w:ascii="sans-serif" w:hAnsi="sans-serif"/>
          <w:sz w:val="20"/>
        </w:rPr>
      </w:pPr>
      <w:r>
        <w:rPr>
          <w:rFonts w:ascii="sans-serif" w:hAnsi="sans-serif"/>
          <w:b/>
          <w:color w:val="000000"/>
          <w:sz w:val="20"/>
        </w:rPr>
        <w:t>Brand</w:t>
      </w:r>
      <w:r>
        <w:rPr>
          <w:rFonts w:ascii="sans-serif" w:hAnsi="sans-serif"/>
          <w:color w:val="000000"/>
          <w:sz w:val="20"/>
        </w:rPr>
        <w:t>: The Brand segment contains the brand licensing business.</w:t>
      </w:r>
    </w:p>
    <w:p>
      <w:pPr>
        <w:pStyle w:val="TextBody"/>
        <w:bidi w:val="0"/>
        <w:spacing w:before="200" w:after="283"/>
        <w:jc w:val="left"/>
        <w:rPr>
          <w:rFonts w:ascii="sans-serif" w:hAnsi="sans-serif"/>
          <w:color w:val="000000"/>
          <w:sz w:val="20"/>
        </w:rPr>
      </w:pPr>
      <w:r>
        <w:rPr>
          <w:rFonts w:ascii="sans-serif" w:hAnsi="sans-serif"/>
          <w:color w:val="000000"/>
          <w:sz w:val="20"/>
        </w:rPr>
        <w:t>The balance of Kodak’s continuing operations, which primarily represent the operations of EBP and do not meet the criteria of a reportable segment, are reported in All Other revenues and All Other.</w:t>
      </w:r>
    </w:p>
    <w:p>
      <w:pPr>
        <w:pStyle w:val="TextBody"/>
        <w:bidi w:val="0"/>
        <w:spacing w:before="200" w:after="283"/>
        <w:jc w:val="left"/>
        <w:rPr>
          <w:rFonts w:ascii="sans-serif" w:hAnsi="sans-serif"/>
          <w:b/>
          <w:color w:val="000000"/>
          <w:sz w:val="20"/>
        </w:rPr>
      </w:pPr>
      <w:r>
        <w:rPr>
          <w:rFonts w:ascii="sans-serif" w:hAnsi="sans-serif"/>
          <w:b/>
          <w:color w:val="000000"/>
          <w:sz w:val="20"/>
        </w:rPr>
        <w:t>Segment Revenues</w:t>
      </w:r>
    </w:p>
    <w:p>
      <w:pPr>
        <w:pStyle w:val="TextBody"/>
        <w:bidi w:val="0"/>
        <w:jc w:val="left"/>
      </w:pPr>
      <w:r>
        <w:t> </w:t>
      </w:r>
    </w:p>
    <w:tbl>
      <w:tblPr>
        <w:tblW w:w="8970" w:type="dxa"/>
        <w:jc w:val="left"/>
        <w:tblInd w:w="0" w:type="dxa"/>
        <w:tblLayout w:type="fixed"/>
        <w:tblCellMar>
          <w:top w:w="28" w:type="dxa"/>
          <w:left w:w="28" w:type="dxa"/>
          <w:bottom w:w="28" w:type="dxa"/>
          <w:right w:w="28" w:type="dxa"/>
        </w:tblCellMar>
      </w:tblPr>
      <w:tblGrid>
        <w:gridCol w:w="3541"/>
        <w:gridCol w:w="146"/>
        <w:gridCol w:w="319"/>
        <w:gridCol w:w="659"/>
        <w:gridCol w:w="206"/>
        <w:gridCol w:w="206"/>
        <w:gridCol w:w="319"/>
        <w:gridCol w:w="659"/>
        <w:gridCol w:w="146"/>
        <w:gridCol w:w="146"/>
        <w:gridCol w:w="301"/>
        <w:gridCol w:w="621"/>
        <w:gridCol w:w="194"/>
        <w:gridCol w:w="194"/>
        <w:gridCol w:w="301"/>
        <w:gridCol w:w="621"/>
        <w:gridCol w:w="391"/>
      </w:tblGrid>
      <w:t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Total of reportable segments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pPr>
            <w:r>
              <w:t> </w:t>
            </w:r>
          </w:p>
        </w:tc>
      </w:tr>
      <w:t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Consolidated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Kodak’s segment measure of profit and loss is an adjusted earnings before interest, taxes, depreciation and amortization (“Operational EBITDA”). As demonstrated in the table below, Operational EBITDA represents consolidated income (loss) from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income (expense), net and other charges, net.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Segment Operational EBITDA and Consolidated Income (Loss) from Operations Before Income Taxes</w:t>
      </w:r>
    </w:p>
    <w:tbl>
      <w:tblPr>
        <w:tblW w:w="10205" w:type="dxa"/>
        <w:jc w:val="left"/>
        <w:tblInd w:w="0" w:type="dxa"/>
        <w:tblLayout w:type="fixed"/>
        <w:tblCellMar>
          <w:top w:w="28" w:type="dxa"/>
          <w:left w:w="28" w:type="dxa"/>
          <w:bottom w:w="28" w:type="dxa"/>
          <w:right w:w="28" w:type="dxa"/>
        </w:tblCellMar>
      </w:tblPr>
      <w:tblGrid>
        <w:gridCol w:w="5020"/>
        <w:gridCol w:w="146"/>
        <w:gridCol w:w="342"/>
        <w:gridCol w:w="514"/>
        <w:gridCol w:w="269"/>
        <w:gridCol w:w="216"/>
        <w:gridCol w:w="336"/>
        <w:gridCol w:w="626"/>
        <w:gridCol w:w="181"/>
        <w:gridCol w:w="146"/>
        <w:gridCol w:w="303"/>
        <w:gridCol w:w="566"/>
        <w:gridCol w:w="243"/>
        <w:gridCol w:w="196"/>
        <w:gridCol w:w="303"/>
        <w:gridCol w:w="566"/>
        <w:gridCol w:w="232"/>
      </w:tblGrid>
      <w:tr>
        <w:tc>
          <w:tcPr>
            <w:tcW w:w="5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1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Advanced Materials and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costs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Consulting and other costs </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Idle costs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Other operating income (expense),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Interest expense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Pension income excluding service cost component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Loss on early extinguishment of debt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pPr>
            <w:r>
              <w:t> </w:t>
            </w:r>
          </w:p>
        </w:tc>
      </w:tr>
      <w:tr>
        <w:tc>
          <w:tcPr>
            <w:tcW w:w="5020"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 xml:space="preserve">Other charges, net </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0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Consolidated income (loss) from operations before </w:t>
              <w:br/>
              <w:t>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Consulting and other costs are professional services and internal costs associated with corporate strategic initiatives and litigation. Consulting and other costs included $1 million of income in both the nine months ended September 30, 2026 and September 30, 2025, representing insurance reimbursement of legal costs previously paid by the Company associated with investigations and litigation matters. </w:t>
      </w:r>
    </w:p>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 xml:space="preserve">As reported in the Consolidated Statement of Operations.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Kodak decreased employee benefit reserves by approximately $4 million and $5 million in both the three and nine months ended September 30, 2026, respectively, due to a decrease in workers' compensation reserves driven by changes in discount rates. The decrease in reserves in the three months ended September 30, 2026 impacted gross profit by approximately $2 million and SG&amp;A by approximately $1 million. The decrease in reserves in the nine months ended September 30, 2026 impacted gross profit by approximately $3 million and SG&amp;A by approximately $1 million.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 decreased employee benefit reserves by approximately $1 million in the three months ended September 30, 2025 due to a decrease in workers' compensation reserves driven by changes in discount rates. The decrease in reserves in the three months ended September 30, 2025 impacted gross profit by approximately $1 million. There was no change to employee benefit reserves in the nine months ended September 30, 2025.</w:t>
      </w:r>
    </w:p>
    <w:p>
      <w:pPr>
        <w:pStyle w:val="TextBody"/>
        <w:bidi w:val="0"/>
        <w:spacing w:before="200" w:after="283"/>
        <w:jc w:val="left"/>
        <w:rPr>
          <w:rFonts w:ascii="sans-serif" w:hAnsi="sans-serif"/>
          <w:b/>
          <w:color w:val="000000"/>
          <w:sz w:val="20"/>
        </w:rPr>
      </w:pPr>
      <w:r>
        <w:rPr>
          <w:rFonts w:ascii="sans-serif" w:hAnsi="sans-serif"/>
          <w:b/>
          <w:color w:val="000000"/>
          <w:sz w:val="20"/>
        </w:rPr>
        <w:t>PRINT SEGMENT</w:t>
      </w:r>
    </w:p>
    <w:tbl>
      <w:tblPr>
        <w:tblW w:w="10205" w:type="dxa"/>
        <w:jc w:val="left"/>
        <w:tblInd w:w="0" w:type="dxa"/>
        <w:tblLayout w:type="fixed"/>
        <w:tblCellMar>
          <w:top w:w="28" w:type="dxa"/>
          <w:left w:w="28" w:type="dxa"/>
          <w:bottom w:w="28" w:type="dxa"/>
          <w:right w:w="28" w:type="dxa"/>
        </w:tblCellMar>
      </w:tblPr>
      <w:tblGrid>
        <w:gridCol w:w="2160"/>
        <w:gridCol w:w="146"/>
        <w:gridCol w:w="256"/>
        <w:gridCol w:w="528"/>
        <w:gridCol w:w="324"/>
        <w:gridCol w:w="165"/>
        <w:gridCol w:w="256"/>
        <w:gridCol w:w="528"/>
        <w:gridCol w:w="324"/>
        <w:gridCol w:w="165"/>
        <w:gridCol w:w="398"/>
        <w:gridCol w:w="743"/>
        <w:gridCol w:w="181"/>
        <w:gridCol w:w="146"/>
        <w:gridCol w:w="252"/>
        <w:gridCol w:w="521"/>
        <w:gridCol w:w="319"/>
        <w:gridCol w:w="163"/>
        <w:gridCol w:w="252"/>
        <w:gridCol w:w="521"/>
        <w:gridCol w:w="353"/>
        <w:gridCol w:w="163"/>
        <w:gridCol w:w="450"/>
        <w:gridCol w:w="691"/>
        <w:gridCol w:w="200"/>
      </w:tblGrid>
      <w:tr>
        <w:tc>
          <w:tcPr>
            <w:tcW w:w="2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216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6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4"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7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6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Print revenues for the three months ended September 30, 2026 decreased $12 million primarily due to lower volumes in Prepress Solutions ($16 million), PROSPER ($6 million), EPS and Software ($2 million each) and unfavorable foreign currency fluctuations ($2 million). These unfavorable impacts were partially offset by improved pricing in Prepress Solutions ($14 million) and EPS ($1 million).</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revenues for the nine months ended September 30, 2026 increased $20 million primarily due to improved pricing in Prepress Solutions ($38 million) and EPS ($1 million), higher volumes in PROSPER ($7 million) and favorable foreign currency fluctuations ($5 million). These favorable impacts were partially offset by lower volumes in Prepress Solutions ($23 million), EPS ($7 million) and Software ($1 million).</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 xml:space="preserve">Print Operational EBITDA for the three months ended September 30, 2026 decreased $7 million primarily due to higher aluminum costs ($15 million), lower volumes for Prepress Solutions ($3 million), Software ($2 million) and PROSPER ($1 million) and higher manufacturing costs ($1 million). The unfavorable impacts were partially offset by increased pricing for Prepress Solutions ($14 million), higher margins in EPS ($1 million) and net change in employee benefit reserves ($1 million). </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Print Operational EBITDA for the nine months ended September 30, 2026 increased $17 million primarily due to improved pricing in Prepress Solutions ($35 million), higher volumes in PROSPER ($5 million), higher margins in EPS ($3 million), reduced manufacturing costs ($3 million) and net change in employee benefit reserves ($1 million). These favorable impacts were partially offset by higher costs for aluminum ($24 million) and lower volumes in Prepress Solutions ($4 million) and Software ($1 million).</w:t>
      </w:r>
    </w:p>
    <w:p>
      <w:pPr>
        <w:pStyle w:val="TextBody"/>
        <w:bidi w:val="0"/>
        <w:spacing w:before="200" w:after="283"/>
        <w:jc w:val="left"/>
        <w:rPr>
          <w:rFonts w:ascii="sans-serif" w:hAnsi="sans-serif"/>
          <w:b/>
          <w:color w:val="000000"/>
          <w:sz w:val="20"/>
        </w:rPr>
      </w:pPr>
      <w:r>
        <w:rPr>
          <w:rFonts w:ascii="sans-serif" w:hAnsi="sans-serif"/>
          <w:b/>
          <w:color w:val="000000"/>
          <w:sz w:val="20"/>
        </w:rPr>
        <w:t>ADVANCED MATERIALS AND CHEMICALS SEGMENT</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219"/>
        <w:gridCol w:w="146"/>
        <w:gridCol w:w="319"/>
        <w:gridCol w:w="416"/>
        <w:gridCol w:w="344"/>
        <w:gridCol w:w="175"/>
        <w:gridCol w:w="319"/>
        <w:gridCol w:w="416"/>
        <w:gridCol w:w="344"/>
        <w:gridCol w:w="175"/>
        <w:gridCol w:w="450"/>
        <w:gridCol w:w="691"/>
        <w:gridCol w:w="146"/>
        <w:gridCol w:w="146"/>
        <w:gridCol w:w="257"/>
        <w:gridCol w:w="530"/>
        <w:gridCol w:w="325"/>
        <w:gridCol w:w="166"/>
        <w:gridCol w:w="257"/>
        <w:gridCol w:w="530"/>
        <w:gridCol w:w="325"/>
        <w:gridCol w:w="166"/>
        <w:gridCol w:w="450"/>
        <w:gridCol w:w="691"/>
        <w:gridCol w:w="202"/>
      </w:tblGrid>
      <w:tr>
        <w:tc>
          <w:tcPr>
            <w:tcW w:w="2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2219"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280</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8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2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2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bookmarkStart w:id="37" w:name="led293315f20228281664395085709"/>
      <w:bookmarkEnd w:id="37"/>
      <w:r>
        <w:rPr>
          <w:rFonts w:ascii="sans-serif" w:hAnsi="sans-serif"/>
          <w:color w:val="000000"/>
          <w:sz w:val="20"/>
        </w:rPr>
        <w:t>Advanced Materials and Chemicals revenues for the three months ended September 30, 2026 increased $17 million primarily due to higher volumes in Industrial Film and Chemicals ($8 million) and Motion Picture ($1 million) and improved pricing in Industrial Film and Chemicals ($7 million).</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revenues for the nine months ended September 30, 2026 increased $49 million primarily due to improved pricing in Industrial Film and Chemicals ($27 million) and Motion Picture ($2 million) and higher volumes in Industrial Film and Chemicals ($17 million) and Motion Picture ($2 million).</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Operational EBITDA</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Current Quarter</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for the three months ended September 30, 2026 increased $5 million due to improved pricing in Industrial Film and Chemicals ($7 million), higher volumes in Industrial Film and Chemicals ($6 million) and Motion Picture ($1 million) and net change in employee benefit reserves ($1 million). These favorable impacts were partially offset by higher silver costs ($6 million), manufacturing costs ($3 million) and SG&amp;A ($2 million).</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Year-to-Date</w:t>
      </w:r>
    </w:p>
    <w:p>
      <w:pPr>
        <w:pStyle w:val="TextBody"/>
        <w:bidi w:val="0"/>
        <w:jc w:val="left"/>
        <w:rPr>
          <w:rFonts w:ascii="sans-serif" w:hAnsi="sans-serif"/>
          <w:color w:val="000000"/>
          <w:sz w:val="20"/>
        </w:rPr>
      </w:pPr>
      <w:r>
        <w:rPr>
          <w:rFonts w:ascii="sans-serif" w:hAnsi="sans-serif"/>
          <w:color w:val="000000"/>
          <w:sz w:val="20"/>
        </w:rPr>
        <w:t>Advanced Materials and Chemicals Operational EBITDA for the nine months ended September 30, 2026 increased $19 million due to improved pricing in Industrial Film and Chemicals ($22 million) and Motion Picture ($1 million), higher volumes in Industrial Film and Chemicals ($17 million) and Motion Picture ($1 million) and net change in employee benefit reserves ($2 million). These favorable impacts were partially offset by higher silver costs ($19 million), SG&amp;A ($5 million) and manufacturing costs ($2 million).</w:t>
      </w:r>
    </w:p>
    <w:p>
      <w:pPr>
        <w:pStyle w:val="TextBody"/>
        <w:bidi w:val="0"/>
        <w:spacing w:before="200" w:after="283"/>
        <w:jc w:val="left"/>
        <w:rPr>
          <w:rFonts w:ascii="sans-serif" w:hAnsi="sans-serif"/>
          <w:b/>
          <w:color w:val="000000"/>
          <w:sz w:val="20"/>
        </w:rPr>
      </w:pPr>
      <w:r>
        <w:rPr>
          <w:rFonts w:ascii="sans-serif" w:hAnsi="sans-serif"/>
          <w:b/>
          <w:color w:val="000000"/>
          <w:sz w:val="20"/>
        </w:rPr>
        <w:t>BRAND SEGMENT</w:t>
      </w:r>
    </w:p>
    <w:tbl>
      <w:tblPr>
        <w:tblW w:w="10205" w:type="dxa"/>
        <w:jc w:val="left"/>
        <w:tblInd w:w="0" w:type="dxa"/>
        <w:tblLayout w:type="fixed"/>
        <w:tblCellMar>
          <w:top w:w="28" w:type="dxa"/>
          <w:left w:w="28" w:type="dxa"/>
          <w:bottom w:w="28" w:type="dxa"/>
          <w:right w:w="28" w:type="dxa"/>
        </w:tblCellMar>
      </w:tblPr>
      <w:tblGrid>
        <w:gridCol w:w="2184"/>
        <w:gridCol w:w="146"/>
        <w:gridCol w:w="270"/>
        <w:gridCol w:w="557"/>
        <w:gridCol w:w="342"/>
        <w:gridCol w:w="174"/>
        <w:gridCol w:w="319"/>
        <w:gridCol w:w="414"/>
        <w:gridCol w:w="342"/>
        <w:gridCol w:w="174"/>
        <w:gridCol w:w="570"/>
        <w:gridCol w:w="571"/>
        <w:gridCol w:w="146"/>
        <w:gridCol w:w="146"/>
        <w:gridCol w:w="320"/>
        <w:gridCol w:w="416"/>
        <w:gridCol w:w="344"/>
        <w:gridCol w:w="175"/>
        <w:gridCol w:w="320"/>
        <w:gridCol w:w="416"/>
        <w:gridCol w:w="344"/>
        <w:gridCol w:w="175"/>
        <w:gridCol w:w="570"/>
        <w:gridCol w:w="571"/>
        <w:gridCol w:w="199"/>
      </w:tblGrid>
      <w:tr>
        <w:tc>
          <w:tcPr>
            <w:tcW w:w="2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218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7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6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 September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 Change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84"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827"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3"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r>
        <w:tc>
          <w:tcPr>
            <w:tcW w:w="2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r>
        <w:tc>
          <w:tcPr>
            <w:tcW w:w="2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Operational EBITDA as a %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Revenues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Brand revenues for the three and nine months ended September 30, 2026 increased $3 million and $6 million, respectively, due to higher volumes.</w:t>
      </w:r>
    </w:p>
    <w:p>
      <w:pPr>
        <w:pStyle w:val="TextBody"/>
        <w:bidi w:val="0"/>
        <w:spacing w:before="200" w:after="283"/>
        <w:jc w:val="left"/>
        <w:rPr>
          <w:rFonts w:ascii="sans-serif" w:hAnsi="sans-serif"/>
          <w:b/>
          <w:color w:val="000000"/>
          <w:sz w:val="20"/>
        </w:rPr>
      </w:pPr>
      <w:r>
        <w:rPr>
          <w:rFonts w:ascii="sans-serif" w:hAnsi="sans-serif"/>
          <w:b/>
          <w:color w:val="000000"/>
          <w:sz w:val="20"/>
        </w:rPr>
        <w:t>Operational EBITDA</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Brand Operational EBITDA for the three and nine months ended September 30, 2026 increased $4 million and $6 million, respectively, due to higher volumes.</w:t>
      </w:r>
    </w:p>
    <w:p>
      <w:pPr>
        <w:pStyle w:val="TextBody"/>
        <w:bidi w:val="0"/>
        <w:spacing w:before="200" w:after="283"/>
        <w:jc w:val="left"/>
        <w:rPr>
          <w:rFonts w:ascii="sans-serif" w:hAnsi="sans-serif"/>
          <w:b/>
          <w:color w:val="000000"/>
          <w:sz w:val="20"/>
        </w:rPr>
      </w:pPr>
      <w:r>
        <w:rPr>
          <w:rFonts w:ascii="sans-serif" w:hAnsi="sans-serif"/>
          <w:b/>
          <w:color w:val="000000"/>
          <w:sz w:val="20"/>
        </w:rPr>
        <w:t>RESTRUCTURING COSTS AND OTHER</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 recorded charges of $2 million and $3 million for the three and nine months ended September 30, 2026, respectively, in Restructuring costs and other in the Consolidated Statement of Operations.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 made cash payments related to restructuring of approximately $3 million and $8 million during the three and nine months ended September 30, 2026, respectively.</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restructuring actions implemented in the first nine months of 2026 are expected to generate future annual cash savings of approximately $5 million, which are expected to reduce both future annual SG&amp;A expenses and Cost of revenues by $2 million and $3 million, respectively. The majority of the annual savings are expected to be in effect by the end of the fourth quarter of 2026 as such actions are completed.</w:t>
      </w:r>
    </w:p>
    <w:p>
      <w:pPr>
        <w:pStyle w:val="TextBody"/>
        <w:bidi w:val="0"/>
        <w:jc w:val="left"/>
      </w:pPr>
      <w:r>
        <w:t> </w:t>
      </w:r>
    </w:p>
    <w:p>
      <w:pPr>
        <w:pStyle w:val="TextBody"/>
        <w:bidi w:val="0"/>
        <w:jc w:val="left"/>
        <w:rPr>
          <w:rFonts w:ascii="sans-serif" w:hAnsi="sans-serif"/>
          <w:b/>
          <w:color w:val="000000"/>
          <w:sz w:val="20"/>
        </w:rPr>
      </w:pPr>
      <w:bookmarkStart w:id="38" w:name="liquid"/>
      <w:bookmarkEnd w:id="38"/>
      <w:r>
        <w:rPr>
          <w:rFonts w:ascii="sans-serif" w:hAnsi="sans-serif"/>
          <w:b/>
          <w:color w:val="000000"/>
          <w:sz w:val="20"/>
        </w:rPr>
        <w:t>LIQUIDITY AND CAPITAL RESOURCES</w:t>
      </w:r>
    </w:p>
    <w:p>
      <w:pPr>
        <w:pStyle w:val="TextBody"/>
        <w:bidi w:val="0"/>
        <w:jc w:val="left"/>
      </w:pPr>
      <w:r>
        <w:t> </w:t>
      </w:r>
    </w:p>
    <w:p>
      <w:pPr>
        <w:pStyle w:val="TextBody"/>
        <w:bidi w:val="0"/>
        <w:jc w:val="left"/>
        <w:rPr>
          <w:rFonts w:ascii="sans-serif" w:hAnsi="sans-serif"/>
          <w:sz w:val="20"/>
        </w:rPr>
      </w:pPr>
      <w:r>
        <w:rPr>
          <w:rFonts w:ascii="sans-serif" w:hAnsi="sans-serif"/>
          <w:b/>
          <w:color w:val="000000"/>
          <w:sz w:val="20"/>
        </w:rPr>
        <w:t>Management</w:t>
      </w:r>
      <w:r>
        <w:rPr>
          <w:rFonts w:ascii="sans-serif" w:hAnsi="sans-serif"/>
          <w:color w:val="000000"/>
          <w:sz w:val="20"/>
        </w:rPr>
        <w:t>’</w:t>
      </w:r>
      <w:r>
        <w:rPr>
          <w:rFonts w:ascii="sans-serif" w:hAnsi="sans-serif"/>
          <w:b/>
          <w:color w:val="000000"/>
          <w:sz w:val="20"/>
        </w:rPr>
        <w:t>s Assessment of Liquidity</w:t>
      </w:r>
    </w:p>
    <w:p>
      <w:pPr>
        <w:pStyle w:val="TextBody"/>
        <w:bidi w:val="0"/>
        <w:jc w:val="left"/>
      </w:pPr>
      <w:r>
        <w:t> </w:t>
      </w:r>
    </w:p>
    <w:p>
      <w:pPr>
        <w:pStyle w:val="TextBody"/>
        <w:bidi w:val="0"/>
        <w:jc w:val="left"/>
        <w:rPr>
          <w:rFonts w:ascii="sans-serif" w:hAnsi="sans-serif"/>
          <w:sz w:val="20"/>
        </w:rPr>
      </w:pPr>
      <w:bookmarkStart w:id="39" w:name="led293246f20228281664397857067"/>
      <w:bookmarkEnd w:id="39"/>
      <w:r>
        <w:rPr>
          <w:rFonts w:ascii="sans-serif" w:hAnsi="sans-serif"/>
          <w:color w:val="000000"/>
          <w:sz w:val="20"/>
        </w:rPr>
        <w:t xml:space="preserve">Kodak ended the quarter with a cash balance of $317 million, a decrease of $20 million from </w:t>
      </w:r>
      <w:bookmarkStart w:id="40" w:name="led293237f20232271679950210847"/>
      <w:bookmarkEnd w:id="40"/>
      <w:r>
        <w:rPr>
          <w:rFonts w:ascii="sans-serif" w:hAnsi="sans-serif"/>
          <w:color w:val="000000"/>
          <w:sz w:val="20"/>
        </w:rPr>
        <w:t xml:space="preserve">December 31, 2025. </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During the fourth quarter of 2025, the Company completed the settlement of the KRIP and received $144 million in net cash proceeds from the reversion of KRIP assets, after required debt payments and payment of excise taxes, as well as $158 million of investment assets, of which $9 million was converted to cash in December 2025. The investment assets received by the Company are primarily hedge fund investments which are in redemption.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During the first, second and third quarters of 2026, the Company received $46 million, $41 million and $6 million, respectively, of cash from these redemptions. In October 2026, the Company received an additional $5 million of cash from these redemptions. The remaining value of the investment assets is expected to be converted to cash primarily in 2027 and 2028.</w:t>
      </w:r>
    </w:p>
    <w:p>
      <w:pPr>
        <w:pStyle w:val="TextBody"/>
        <w:bidi w:val="0"/>
        <w:jc w:val="left"/>
      </w:pPr>
      <w:r>
        <w:t> </w:t>
      </w:r>
    </w:p>
    <w:p>
      <w:pPr>
        <w:pStyle w:val="TextBody"/>
        <w:bidi w:val="0"/>
        <w:spacing w:before="0" w:after="160"/>
        <w:jc w:val="left"/>
        <w:rPr>
          <w:rFonts w:ascii="sans-serif" w:hAnsi="sans-serif"/>
          <w:color w:val="000000"/>
          <w:sz w:val="20"/>
        </w:rPr>
      </w:pPr>
      <w:r>
        <w:rPr>
          <w:rFonts w:ascii="sans-serif" w:hAnsi="sans-serif"/>
          <w:color w:val="000000"/>
          <w:sz w:val="20"/>
        </w:rPr>
        <w:t xml:space="preserve">As of September 30, 2026, Kodak estimates that KRIP had excess assets of approximately $10 million due to a cash refund received from Metropolitan Tower Life Insurance Company in September 2026. Kodak expects that it will direct the transfer of or otherwise contribute 25% of the excess assets to the Kodak Cash Balance Plan (the “Replacement Plan”). After contribution to the Replacement Plan and the payment of the 20% excise tax due on the remaining excess amount, Kodak projects it will receive additional net cash proceeds from KRIP of approximately $6 million. Kodak expects the reversion to occur either in the fourth quarter of 2026 or first quarter of 2027. </w:t>
      </w:r>
    </w:p>
    <w:p>
      <w:pPr>
        <w:pStyle w:val="TextBody"/>
        <w:bidi w:val="0"/>
        <w:jc w:val="left"/>
        <w:rPr>
          <w:rFonts w:ascii="sans-serif" w:hAnsi="sans-serif"/>
          <w:color w:val="000000"/>
          <w:sz w:val="20"/>
        </w:rPr>
      </w:pPr>
      <w:r>
        <w:rPr>
          <w:rFonts w:ascii="sans-serif" w:hAnsi="sans-serif"/>
          <w:color w:val="000000"/>
          <w:sz w:val="20"/>
        </w:rPr>
        <w:t>Available liquidity includes existing cash and cash equivalent balances. The amount of available liquidity is subject to fluctuations and includes cash balances held by various entities worldwide. At September 30, 2026 and December 31, 2025 approximately $168 million and $231 million, respectively, of cash and cash equivalents were held within the U.S. and approximately $149 million and $106 million, respectively, of cash and cash equivalents were held outside the U.S. Cash balances held outside the U.S. are generally required to support local country operations and may have high tax costs or other limitations which could delay the ability to repatriate, and therefore may not be readily available for transfer to other jurisdictions. Kodak utilizes cash balances outside the U.S. to fund needs in the U.S. through the use of intercompany loans.</w:t>
      </w:r>
    </w:p>
    <w:p>
      <w:pPr>
        <w:pStyle w:val="TextBody"/>
        <w:bidi w:val="0"/>
        <w:jc w:val="left"/>
      </w:pPr>
      <w:r>
        <w:t> </w:t>
      </w:r>
    </w:p>
    <w:p>
      <w:pPr>
        <w:pStyle w:val="TextBody"/>
        <w:bidi w:val="0"/>
        <w:jc w:val="left"/>
        <w:rPr>
          <w:rFonts w:ascii="sans-serif" w:hAnsi="sans-serif"/>
          <w:sz w:val="20"/>
        </w:rPr>
      </w:pPr>
      <w:r>
        <w:rPr>
          <w:rFonts w:ascii="sans-serif" w:hAnsi="sans-serif"/>
          <w:color w:val="000000"/>
          <w:sz w:val="20"/>
        </w:rPr>
        <w:t>As of September 30, 2026 and December 31, 2025, outstanding intercompany loans to the U.S. were $461 million and $509 million, respectively, which included short-term intercompany loans from Kodak’s international finance center of $192 million and $235 million, respectively</w:t>
      </w:r>
      <w:r>
        <w:rPr>
          <w:rFonts w:ascii="sans-serif" w:hAnsi="sans-serif"/>
          <w:b/>
          <w:color w:val="000000"/>
          <w:sz w:val="20"/>
        </w:rPr>
        <w:t xml:space="preserve">. </w:t>
      </w:r>
      <w:r>
        <w:rPr>
          <w:rFonts w:ascii="sans-serif" w:hAnsi="sans-serif"/>
          <w:color w:val="000000"/>
          <w:sz w:val="20"/>
        </w:rPr>
        <w:t xml:space="preserve">In China, where approximately $43 million and $35 million of cash and cash equivalents was held as of September 30, 2026 and December 31, 2025, respectively, there are limitations related to net asset balances which may impact the ability to make cash available to other jurisdictions in the world. </w:t>
      </w:r>
    </w:p>
    <w:p>
      <w:pPr>
        <w:pStyle w:val="TextBody"/>
        <w:bidi w:val="0"/>
        <w:jc w:val="left"/>
      </w:pPr>
      <w:r>
        <w:t> </w:t>
      </w:r>
    </w:p>
    <w:p>
      <w:pPr>
        <w:pStyle w:val="TextBody"/>
        <w:bidi w:val="0"/>
        <w:jc w:val="left"/>
        <w:rPr>
          <w:rFonts w:ascii="Times New Roman" w:hAnsi="Times New Roman"/>
          <w:sz w:val="20"/>
        </w:rPr>
      </w:pPr>
      <w:r>
        <w:rPr>
          <w:rFonts w:ascii="sans-serif" w:hAnsi="sans-serif"/>
          <w:color w:val="000000"/>
          <w:sz w:val="20"/>
        </w:rPr>
        <w:t>The Company’s Hong Kong subsidiary has an intercompany loan from one of the Company’s Chinese subsidiaries, the proceeds of which were in turn loaned to the Company. The outstanding balance of the intercompany loan as of September 30, 2026 was $63 million. The Company paid $5 million of the outstanding balance in October 2026. The existing intercompany loan agreement remains in effect in accordance with its terms and has a stated maturity date of November 16, 2026.</w:t>
      </w:r>
      <w:r>
        <w:rPr>
          <w:rFonts w:ascii="Times New Roman" w:hAnsi="Times New Roman"/>
          <w:color w:val="000000"/>
          <w:sz w:val="20"/>
        </w:rPr>
        <w:t xml:space="preserve"> </w:t>
      </w:r>
      <w:r>
        <w:rPr>
          <w:rFonts w:ascii="sans-serif" w:hAnsi="sans-serif"/>
          <w:color w:val="000000"/>
          <w:sz w:val="20"/>
        </w:rPr>
        <w:t>The Company understands the State Administration of Foreign Exchange (“SAFE”) will not approve a further extension of this loan arrangement. Accordingly, the intercompany loan is expected to be classified as overdue by SAFE following its contractual maturity. Notwithstanding this classification, the Company does not currently anticipate the Chinese subsidiary demanding immediate repayment of the outstanding balance. The Company will continue to settle interest payments and withholding taxes as required under the terms of the agreement.</w:t>
      </w:r>
      <w:r>
        <w:rPr>
          <w:rFonts w:ascii="Times New Roman" w:hAnsi="Times New Roman"/>
          <w:color w:val="000000"/>
          <w:sz w:val="20"/>
        </w:rPr>
        <w:t xml:space="preserve">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The Company and its subsidiaries will continue to evaluate repayment and repatriation alternatives to address the outstanding obligation in a manner which will allow Kodak and its subsidiaries to meet their respective obligations while minimizing the impact on U.S. liquidity considering the applicable requirements imposed by Chinese regulators. Any amounts repaid to the Chinese subsidiary may not be able to be loaned, repatriated or otherwise moved back to the U.S., which could reduce the Company’s U.S. liquidity.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On March 11, 2026, the Company filed with the Department of Treasury of the State of New Jersey a Certificate of Amendment to the Series B Certificate of Designations which amended certain terms of the Company’s 4.0% Series B Preferred Stock (the “Series B Preferred Stock Amendment”) and set forth the terms of the Company’s 6.0% Series B Convertible Preferred Stock, no par value (the “6.0% Series B Preferred Stock”). The Series B Preferred Stock Amendment (i) extended the mandatory redemption date from May 28, 2026 to June 11, 2029, (ii) increased the annual cash dividend rate from 4.0% to 6.0% and (iii) reduced the conversion price from $10.50 to $10.00 per share and modified certain other conversion terms. The 6.0% Series B Preferred Stock is convertible into shares of common stock; however, the timing and likelihood of such conversion are dependent on market conditions and other factors and is subject to certain restrictions whereby the Company would be required to pay cash in lieu of issuing shares in excess of a maximum number. The cash payment is determined based on the market value of the Company’s common stock as of the applicable conversion date.</w:t>
      </w:r>
    </w:p>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On March 11, 2026, in connection with the Series B Preferred Stock Amendment, the Company and certain of its subsidiaries entered into the Fourth Amendment to the term loan credit agreement (the “Term Loan Amendment”), which amends the Company’s Amended and Restated Credit Agreement, dated as of June 30, 2023 (as amended, the “Term Loan Credit Agreement”). Under the Term Loan Credit Agreement, the term loan lenders provided the Company with a commitment to provide term loans in an aggregate principal amount of $450 million (the “Term Loans”). The Term Loan Amendment required the Company to prepay an aggregate principal amount of $100 million of Term Loans, consisting of a $50 million prepayment due on or prior to March 18, 2026 and $50 million prepayment due on or prior to June 1, 2026, in each case, plus a prepayment premium equal to one percent. On June 1, 2026, the Company and the term loan lenders entered into a Limited Waiver Agreement to the Term Loan Credit Agreement, which extended the due date for the second $50 million prepayment to be payable on or before July 1, 2026. </w:t>
      </w:r>
    </w:p>
    <w:p>
      <w:pPr>
        <w:pStyle w:val="TextBody"/>
        <w:bidi w:val="0"/>
        <w:spacing w:before="200" w:after="283"/>
        <w:jc w:val="left"/>
        <w:rPr>
          <w:rFonts w:ascii="sans-serif" w:hAnsi="sans-serif"/>
          <w:color w:val="000000"/>
          <w:sz w:val="20"/>
        </w:rPr>
      </w:pPr>
      <w:r>
        <w:rPr>
          <w:rFonts w:ascii="sans-serif" w:hAnsi="sans-serif"/>
          <w:color w:val="000000"/>
          <w:sz w:val="20"/>
        </w:rPr>
        <w:t>The terms of the 6.0% Series B Preferred Stock limit the Company’s ability to incur certain indebtedness for borrowed money without the consent of the holders of 66 2/3% of the outstanding 6.0% Series B Preferred Stock. If such consent is not provided, the Company has the right to redeem the 6.0% Series B Preferred Stock in full for cash, subject to the terms of the Series B Preferred Stock Amendment. As a result, the Company’s ability to obtain additional debt financing, including to fund the mandatory redemption of the 6.0% Series B Preferred Stock, may depend on obtaining such consent or on having sufficient liquidity to redeem the 6.0% Series B Preferred Stock in full.</w:t>
      </w:r>
    </w:p>
    <w:p>
      <w:pPr>
        <w:pStyle w:val="TextBody"/>
        <w:bidi w:val="0"/>
        <w:spacing w:before="200" w:after="283"/>
        <w:jc w:val="left"/>
        <w:rPr>
          <w:rFonts w:ascii="sans-serif" w:hAnsi="sans-serif"/>
          <w:color w:val="000000"/>
          <w:sz w:val="20"/>
        </w:rPr>
      </w:pPr>
      <w:r>
        <w:rPr>
          <w:rFonts w:ascii="sans-serif" w:hAnsi="sans-serif"/>
          <w:color w:val="000000"/>
          <w:sz w:val="20"/>
        </w:rPr>
        <w:t>On March 13,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first quarter of 2026. On June 26, 2026, the Company paid $50 million of the outstanding principal amount of the Term Loans, $1 million in accrued uncapitalized interest and a prepayment premium equal to one percent of the principal amount paid. The Company recorded a loss on early extinguishment of debt of approximately $1 million during the second quarter of 2026. The Company funded these payments through a combination of cash proceeds from the redemption of KRIP investment assets and cash on hand.</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Kodak's cash flows continue to be negatively impacted by higher manufacturing, labor, material and distribution costs, along with volume declines, supply chain disruptions and shortages in materials and labor. These impacts have been largely mitigated by price increases, savings relating to rationalization, cost reductions and operational efficiencies and supply chain-related cost improvements. In addition, the cash proceeds from the KRIP reversion and redemption of reverted investment assets, reduced cash interest payments due to the paydown of the Term loans, and additional cash proceeds expected from the further redemption or other monetization of investment assets provides additional liquidity to the Company to adequately fund ongoing operations.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geopolitical conflicts and other factors such as the Company's ability to continue to secure raw materials and components, the ability to increase prices to offset rising product costs or how quickly and to what extent normal economic and operating conditions can resume.</w:t>
      </w:r>
    </w:p>
    <w:p>
      <w:pPr>
        <w:pStyle w:val="TextBody"/>
        <w:bidi w:val="0"/>
        <w:spacing w:before="200" w:after="283"/>
        <w:jc w:val="left"/>
        <w:rPr>
          <w:rFonts w:ascii="sans-serif" w:hAnsi="sans-serif"/>
          <w:color w:val="000000"/>
          <w:sz w:val="20"/>
        </w:rPr>
      </w:pPr>
      <w:r>
        <w:rPr>
          <w:rFonts w:ascii="sans-serif" w:hAnsi="sans-serif"/>
          <w:color w:val="000000"/>
          <w:sz w:val="20"/>
        </w:rPr>
        <w:t>Kodak's plans to return to sustainable positive cash flow include generating profitable revenues through continued pricing actions and customer-focused initiatives, investing in new product innovation to drive growth in Kodak’s businesses of print and advanced materials and chemicals,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w:t>
      </w:r>
    </w:p>
    <w:p>
      <w:pPr>
        <w:pStyle w:val="TextBody"/>
        <w:bidi w:val="0"/>
        <w:spacing w:before="200" w:after="283"/>
        <w:jc w:val="left"/>
        <w:rPr>
          <w:rFonts w:ascii="sans-serif" w:hAnsi="sans-serif"/>
          <w:color w:val="000000"/>
          <w:sz w:val="20"/>
        </w:rPr>
      </w:pPr>
      <w:r>
        <w:rPr>
          <w:rFonts w:ascii="sans-serif" w:hAnsi="sans-serif"/>
          <w:color w:val="000000"/>
          <w:sz w:val="20"/>
        </w:rPr>
        <w:t>Kodak believes its liquidity position is adequate to fund operations, meet its obligations and provide the flexibility to respond as necessary to ordinary changes in the business and economic environment within twelve months as of the filing of this Form 10-Q.</w:t>
      </w:r>
    </w:p>
    <w:p>
      <w:pPr>
        <w:pStyle w:val="TextBody"/>
        <w:bidi w:val="0"/>
        <w:spacing w:before="200" w:after="283"/>
        <w:jc w:val="left"/>
        <w:rPr>
          <w:rFonts w:ascii="sans-serif" w:hAnsi="sans-serif"/>
          <w:b/>
          <w:color w:val="000000"/>
          <w:sz w:val="20"/>
        </w:rPr>
      </w:pPr>
      <w:r>
        <w:rPr>
          <w:rFonts w:ascii="sans-serif" w:hAnsi="sans-serif"/>
          <w:b/>
          <w:color w:val="000000"/>
          <w:sz w:val="20"/>
        </w:rPr>
        <w:t>Letter of Credit Facility Agreement</w:t>
      </w:r>
    </w:p>
    <w:p>
      <w:pPr>
        <w:pStyle w:val="TextBody"/>
        <w:bidi w:val="0"/>
        <w:spacing w:before="200" w:after="283"/>
        <w:jc w:val="left"/>
        <w:rPr>
          <w:rFonts w:ascii="sans-serif" w:hAnsi="sans-serif"/>
          <w:sz w:val="20"/>
        </w:rPr>
      </w:pPr>
      <w:bookmarkStart w:id="41" w:name="led293237f20242261711470288355"/>
      <w:bookmarkEnd w:id="41"/>
      <w:r>
        <w:rPr>
          <w:rFonts w:ascii="sans-serif" w:hAnsi="sans-serif"/>
          <w:color w:val="000000"/>
          <w:sz w:val="20"/>
        </w:rPr>
        <w:t>Approximately $19 million and $24 million of letters of credit were issued under the Amended and Restated L/C Facility Agreement as of September 30, 2026 and December 31, 2025, respectively</w:t>
      </w:r>
      <w:bookmarkStart w:id="42" w:name="led293237f20242261711470319489"/>
      <w:bookmarkEnd w:id="42"/>
      <w:r>
        <w:rPr>
          <w:rFonts w:ascii="sans-serif" w:hAnsi="sans-serif"/>
          <w:color w:val="000000"/>
          <w:sz w:val="20"/>
        </w:rPr>
        <w:t>. The letters of credit under the Amended and Restated L/C Facility Agreement are collateralized by cash collateral (the “L/C Cash Collateral”). The L/C Cash Collateral was $20 million as of September 30, 2026 and $25 million as of December 31, 2025, respectively, which was classified as Restricted Cash.</w:t>
      </w:r>
    </w:p>
    <w:p>
      <w:pPr>
        <w:pStyle w:val="TextBody"/>
        <w:bidi w:val="0"/>
        <w:spacing w:before="240" w:after="283"/>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Cash Flow</w:t>
      </w:r>
    </w:p>
    <w:p>
      <w:pPr>
        <w:pStyle w:val="TextBody"/>
        <w:bidi w:val="0"/>
        <w:spacing w:before="200" w:after="283"/>
        <w:jc w:val="left"/>
        <w:rPr>
          <w:rFonts w:ascii="sans-serif" w:hAnsi="sans-serif"/>
          <w:color w:val="000000"/>
          <w:sz w:val="20"/>
        </w:rPr>
      </w:pPr>
      <w:r>
        <w:rPr>
          <w:rFonts w:ascii="sans-serif" w:hAnsi="sans-serif"/>
          <w:color w:val="000000"/>
          <w:sz w:val="20"/>
        </w:rPr>
        <w:t>Cash, cash equivalents and restricted cash balances were as follows:</w:t>
      </w:r>
    </w:p>
    <w:p>
      <w:pPr>
        <w:pStyle w:val="TextBody"/>
        <w:bidi w:val="0"/>
        <w:jc w:val="left"/>
      </w:pPr>
      <w:r>
        <w:t> </w:t>
      </w:r>
    </w:p>
    <w:tbl>
      <w:tblPr>
        <w:tblW w:w="8295" w:type="dxa"/>
        <w:jc w:val="left"/>
        <w:tblInd w:w="0" w:type="dxa"/>
        <w:tblLayout w:type="fixed"/>
        <w:tblCellMar>
          <w:top w:w="28" w:type="dxa"/>
          <w:left w:w="28" w:type="dxa"/>
          <w:bottom w:w="28" w:type="dxa"/>
          <w:right w:w="28" w:type="dxa"/>
        </w:tblCellMar>
      </w:tblPr>
      <w:tblGrid>
        <w:gridCol w:w="4291"/>
        <w:gridCol w:w="146"/>
        <w:gridCol w:w="562"/>
        <w:gridCol w:w="1163"/>
        <w:gridCol w:w="146"/>
        <w:gridCol w:w="146"/>
        <w:gridCol w:w="539"/>
        <w:gridCol w:w="1111"/>
        <w:gridCol w:w="191"/>
      </w:tblGrid>
      <w:t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4291"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Cash Flow Activity</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5120"/>
        <w:gridCol w:w="146"/>
        <w:gridCol w:w="266"/>
        <w:gridCol w:w="638"/>
        <w:gridCol w:w="213"/>
        <w:gridCol w:w="172"/>
        <w:gridCol w:w="266"/>
        <w:gridCol w:w="496"/>
        <w:gridCol w:w="181"/>
        <w:gridCol w:w="146"/>
        <w:gridCol w:w="685"/>
        <w:gridCol w:w="1644"/>
        <w:gridCol w:w="232"/>
      </w:tblGrid>
      <w:tr>
        <w:tc>
          <w:tcPr>
            <w:tcW w:w="5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Nine Months Ended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September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2329"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Year-Over-Year Change</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r>
      <w:tr>
        <w:tc>
          <w:tcPr>
            <w:tcW w:w="51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1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r>
      <w:tr>
        <w:tc>
          <w:tcPr>
            <w:tcW w:w="51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u w:val="single"/>
              </w:rPr>
            </w:pPr>
            <w:r>
              <w:rPr>
                <w:rFonts w:ascii="sans-serif" w:hAnsi="sans-serif"/>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329" w:type="dxa"/>
            <w:gridSpan w:val="2"/>
            <w:tcBorders/>
            <w:shd w:fill="CFF0FC" w:val="clear"/>
            <w:tcMar>
              <w:top w:w="0" w:type="dxa"/>
              <w:left w:w="0" w:type="dxa"/>
              <w:bottom w:w="0" w:type="dxa"/>
              <w:right w:w="0" w:type="dxa"/>
            </w:tcMar>
            <w:vAlign w:val="center"/>
          </w:tcPr>
          <w:p>
            <w:pPr>
              <w:pStyle w:val="TableContents"/>
              <w:bidi w:val="0"/>
              <w:spacing w:before="0" w:after="283"/>
              <w:jc w:val="right"/>
            </w:pPr>
            <w: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pPr>
            <w:r>
              <w:t> </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1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Effect of exchange rate changes on cash, cash equivalents and restricted </w:t>
              <w:br/>
              <w:t>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c>
          <w:tcPr>
            <w:tcW w:w="51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r>
    </w:tbl>
    <w:p>
      <w:pPr>
        <w:pStyle w:val="TextBody"/>
        <w:bidi w:val="0"/>
        <w:jc w:val="left"/>
      </w:pPr>
      <w:r>
        <w:t> </w:t>
      </w:r>
    </w:p>
    <w:p>
      <w:pPr>
        <w:pStyle w:val="TextBody"/>
        <w:bidi w:val="0"/>
        <w:jc w:val="left"/>
        <w:rPr>
          <w:rFonts w:ascii="sans-serif" w:hAnsi="sans-serif"/>
          <w:b/>
          <w:i/>
          <w:color w:val="000000"/>
          <w:sz w:val="20"/>
        </w:rPr>
      </w:pPr>
      <w:r>
        <w:rPr>
          <w:rFonts w:ascii="sans-serif" w:hAnsi="sans-serif"/>
          <w:b/>
          <w:i/>
          <w:color w:val="000000"/>
          <w:sz w:val="20"/>
        </w:rPr>
        <w:t>Operating Activities</w:t>
      </w:r>
    </w:p>
    <w:p>
      <w:pPr>
        <w:pStyle w:val="TextBody"/>
        <w:bidi w:val="0"/>
        <w:spacing w:before="200" w:after="283"/>
        <w:jc w:val="left"/>
        <w:rPr>
          <w:rFonts w:ascii="sans-serif" w:hAnsi="sans-serif"/>
          <w:color w:val="000000"/>
          <w:sz w:val="20"/>
        </w:rPr>
      </w:pPr>
      <w:r>
        <w:rPr>
          <w:rFonts w:ascii="sans-serif" w:hAnsi="sans-serif"/>
          <w:color w:val="000000"/>
          <w:sz w:val="20"/>
        </w:rPr>
        <w:t>Net cash used in operating activities decreased by $9 million for the nine months ended September 30, 2026 as compared with the corresponding period in 2025 primarily due to improved earnings ($42 million) and a decrease in trade receivables ($9 million). This was partially offset by an increase in inventory ($32 million), an increase in miscellaneous receivables ($7 million) and a decrease in trade payables ($2 million).</w:t>
      </w:r>
    </w:p>
    <w:p>
      <w:pPr>
        <w:pStyle w:val="TextBody"/>
        <w:bidi w:val="0"/>
        <w:spacing w:before="200" w:after="283"/>
        <w:jc w:val="left"/>
        <w:rPr>
          <w:rFonts w:ascii="sans-serif" w:hAnsi="sans-serif"/>
          <w:b/>
          <w:i/>
          <w:color w:val="000000"/>
          <w:sz w:val="20"/>
        </w:rPr>
      </w:pPr>
      <w:r>
        <w:rPr>
          <w:rFonts w:ascii="sans-serif" w:hAnsi="sans-serif"/>
          <w:b/>
          <w:i/>
          <w:color w:val="000000"/>
          <w:sz w:val="20"/>
        </w:rPr>
        <w:t>Investing Activities</w:t>
      </w:r>
    </w:p>
    <w:p>
      <w:pPr>
        <w:pStyle w:val="TextBody"/>
        <w:bidi w:val="0"/>
        <w:spacing w:before="200" w:after="283"/>
        <w:jc w:val="left"/>
        <w:rPr>
          <w:rFonts w:ascii="sans-serif" w:hAnsi="sans-serif"/>
          <w:color w:val="000000"/>
          <w:sz w:val="20"/>
        </w:rPr>
      </w:pPr>
      <w:r>
        <w:rPr>
          <w:rFonts w:ascii="sans-serif" w:hAnsi="sans-serif"/>
          <w:color w:val="000000"/>
          <w:sz w:val="20"/>
        </w:rPr>
        <w:t xml:space="preserve">Net cash provided by (used in) investing activities for the nine months ended September 30, 2026 increased $102 million compared to the corresponding period in 2025 due to cash proceeds from the redemption of KRIP reversion investments ($93 million), proceeds from the sale of preferred equity investment ($2 million) and a decrease in capital expenditures ($10 million), partially offset by lower proceeds from the sale of assets in the current year ($3 million). </w:t>
      </w:r>
    </w:p>
    <w:p>
      <w:pPr>
        <w:pStyle w:val="TextBody"/>
        <w:bidi w:val="0"/>
        <w:spacing w:before="200" w:after="283"/>
        <w:jc w:val="left"/>
        <w:rPr>
          <w:rFonts w:ascii="sans-serif" w:hAnsi="sans-serif"/>
          <w:b/>
          <w:i/>
          <w:color w:val="000000"/>
          <w:sz w:val="20"/>
        </w:rPr>
      </w:pPr>
      <w:r>
        <w:rPr>
          <w:rFonts w:ascii="sans-serif" w:hAnsi="sans-serif"/>
          <w:b/>
          <w:i/>
          <w:color w:val="000000"/>
          <w:sz w:val="20"/>
        </w:rPr>
        <w:t>Financing Activities</w:t>
      </w:r>
    </w:p>
    <w:p>
      <w:pPr>
        <w:pStyle w:val="TextBody"/>
        <w:bidi w:val="0"/>
        <w:spacing w:before="200" w:after="283"/>
        <w:jc w:val="left"/>
        <w:rPr>
          <w:rFonts w:ascii="sans-serif" w:hAnsi="sans-serif"/>
          <w:color w:val="000000"/>
          <w:sz w:val="20"/>
        </w:rPr>
      </w:pPr>
      <w:r>
        <w:rPr>
          <w:rFonts w:ascii="sans-serif" w:hAnsi="sans-serif"/>
          <w:color w:val="000000"/>
          <w:sz w:val="20"/>
        </w:rPr>
        <w:t xml:space="preserve">Net cash used in financing activities for the nine months ended September 30, 2026 increased $105 million compared to the corresponding period in 2025 primarily driven by the $101 million prepayment of the Term Loans and an increase in preferred stock cash dividend payments due to the increase in the annual cash dividend rate from 4.0% to 6.0% based on the Series B Preferred Stock Amendment. </w:t>
      </w:r>
    </w:p>
    <w:p>
      <w:pPr>
        <w:pStyle w:val="TextBody"/>
        <w:bidi w:val="0"/>
        <w:spacing w:before="200" w:after="283"/>
        <w:jc w:val="left"/>
        <w:rPr>
          <w:rFonts w:ascii="sans-serif" w:hAnsi="sans-serif"/>
          <w:sz w:val="20"/>
        </w:rPr>
      </w:pPr>
      <w:r>
        <w:rPr>
          <w:rFonts w:ascii="sans-serif" w:hAnsi="sans-serif"/>
          <w:b/>
          <w:color w:val="000000"/>
          <w:sz w:val="20"/>
        </w:rPr>
        <w:t>Other Collateral Requirements</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NYS WCB requires security deposits related to self-insured workers’ compensation obligations, which security deposits are recalculated annually.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that time. </w:t>
      </w:r>
    </w:p>
    <w:p>
      <w:pPr>
        <w:pStyle w:val="TextBody"/>
        <w:bidi w:val="0"/>
        <w:spacing w:before="240" w:after="283"/>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color w:val="000000"/>
          <w:sz w:val="20"/>
        </w:rPr>
      </w:pPr>
      <w:r>
        <w:rPr>
          <w:rFonts w:ascii="sans-serif" w:hAnsi="sans-serif"/>
          <w:color w:val="000000"/>
          <w:sz w:val="20"/>
        </w:rPr>
        <w:t xml:space="preserve">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2025. Accordingly, subject to the possibility of other changes to the calculation of required security deposits by the NYS WCB, the Company expects the amount of the required security deposits to decline over time and the gradual return of the security deposits that have previously been made or the capital used to support such security deposits. </w:t>
      </w:r>
    </w:p>
    <w:p>
      <w:pPr>
        <w:pStyle w:val="TextBody"/>
        <w:bidi w:val="0"/>
        <w:spacing w:before="200" w:after="283"/>
        <w:jc w:val="left"/>
        <w:rPr>
          <w:rFonts w:ascii="sans-serif" w:hAnsi="sans-serif"/>
          <w:color w:val="000000"/>
          <w:sz w:val="20"/>
        </w:rPr>
      </w:pPr>
      <w:r>
        <w:rPr>
          <w:rFonts w:ascii="sans-serif" w:hAnsi="sans-serif"/>
          <w:color w:val="000000"/>
          <w:sz w:val="20"/>
        </w:rPr>
        <w:t>As of September 30, 2026, the Company had $50 million of surety bonds and $25 million deposited directly with the NYS WCB supporting the associated liability. The surety bonds are collateralized with $27 million of cash and the Company could be required to provide up to $23 million of cash or letters of credit to the issuers of certain surety bonds in the future to fully collateralize the bonds.</w:t>
      </w:r>
    </w:p>
    <w:p>
      <w:pPr>
        <w:pStyle w:val="TextBody"/>
        <w:bidi w:val="0"/>
        <w:spacing w:before="200" w:after="283"/>
        <w:jc w:val="left"/>
      </w:pPr>
      <w:r>
        <w:t> </w:t>
      </w:r>
    </w:p>
    <w:p>
      <w:pPr>
        <w:pStyle w:val="TextBody"/>
        <w:bidi w:val="0"/>
        <w:spacing w:before="200" w:after="283"/>
        <w:jc w:val="left"/>
        <w:rPr>
          <w:rFonts w:ascii="sans-serif" w:hAnsi="sans-serif"/>
          <w:b/>
          <w:color w:val="000000"/>
          <w:sz w:val="20"/>
        </w:rPr>
      </w:pPr>
      <w:r>
        <w:rPr>
          <w:rFonts w:ascii="sans-serif" w:hAnsi="sans-serif"/>
          <w:b/>
          <w:color w:val="000000"/>
          <w:sz w:val="20"/>
        </w:rPr>
        <w:t>Other Uses of Cash Related to Financing Transactions</w:t>
      </w:r>
    </w:p>
    <w:p>
      <w:pPr>
        <w:pStyle w:val="TextBody"/>
        <w:bidi w:val="0"/>
        <w:spacing w:before="200" w:after="283"/>
        <w:jc w:val="left"/>
        <w:rPr>
          <w:rFonts w:ascii="sans-serif" w:hAnsi="sans-serif"/>
          <w:color w:val="000000"/>
          <w:sz w:val="20"/>
        </w:rPr>
      </w:pPr>
      <w:r>
        <w:rPr>
          <w:rFonts w:ascii="sans-serif" w:hAnsi="sans-serif"/>
          <w:color w:val="000000"/>
          <w:sz w:val="20"/>
        </w:rPr>
        <w:t>The holders of the Term Loans are entitled to quarterly cash interest payments at a rate of 12.5% which can be paid fully in cash or paid at a rate of 7.5% per annum in cash and 5.0% per annum payable in kind ("PIK") at the Company’s option (or entirely in PIK through the October 1, 2026 interest payment date). As a result of the Series B Preferred Stock Amendment, the holders are now entitled to cumulative dividends payable quarterly in cash at a rate of 6.0% per annum. All interest and dividends have been paid when due in cash.</w:t>
      </w:r>
    </w:p>
    <w:p>
      <w:pPr>
        <w:pStyle w:val="TextBody"/>
        <w:bidi w:val="0"/>
        <w:spacing w:before="200" w:after="283"/>
        <w:jc w:val="left"/>
        <w:rPr>
          <w:rFonts w:ascii="sans-serif" w:hAnsi="sans-serif"/>
          <w:sz w:val="20"/>
        </w:rPr>
      </w:pPr>
      <w:r>
        <w:rPr>
          <w:rFonts w:ascii="sans-serif" w:hAnsi="sans-serif"/>
          <w:b/>
          <w:color w:val="000000"/>
          <w:sz w:val="20"/>
        </w:rPr>
        <w:t>Defined Benefit Pension and Postretirement Plans</w:t>
      </w:r>
      <w:r>
        <w:rPr>
          <w:rFonts w:ascii="sans-serif" w:hAnsi="sans-serif"/>
          <w:color w:val="000000"/>
          <w:sz w:val="20"/>
        </w:rPr>
        <w:t xml:space="preserve"> </w:t>
      </w:r>
    </w:p>
    <w:p>
      <w:pPr>
        <w:pStyle w:val="TextBody"/>
        <w:bidi w:val="0"/>
        <w:spacing w:before="200" w:after="283"/>
        <w:jc w:val="left"/>
        <w:rPr>
          <w:rFonts w:ascii="sans-serif" w:hAnsi="sans-serif"/>
          <w:sz w:val="20"/>
        </w:rPr>
      </w:pPr>
      <w:bookmarkStart w:id="43" w:name="led293237f20228201663701622308"/>
      <w:bookmarkEnd w:id="43"/>
      <w:r>
        <w:rPr>
          <w:rFonts w:ascii="sans-serif" w:hAnsi="sans-serif"/>
          <w:color w:val="000000"/>
          <w:sz w:val="20"/>
        </w:rPr>
        <w:t xml:space="preserve">Kodak made net contributions (funded plans) or paid benefits (unfunded plans) totaling approximately $8 million to its non-U.S. defined benefit pension and postretirement benefit plans for the nine months ended September 30, 2026. For the balance of </w:t>
      </w:r>
      <w:bookmarkStart w:id="44" w:name="led293237f20232271679952306693"/>
      <w:bookmarkEnd w:id="44"/>
      <w:r>
        <w:rPr>
          <w:rFonts w:ascii="sans-serif" w:hAnsi="sans-serif"/>
          <w:color w:val="000000"/>
          <w:sz w:val="20"/>
        </w:rPr>
        <w:t>2026, the forecasted contribution (funded plans) and benefit payment (unfunded plans) requirements for these pension and postretirement plans are approximately $2 million.</w:t>
      </w:r>
    </w:p>
    <w:p>
      <w:pPr>
        <w:pStyle w:val="TextBody"/>
        <w:bidi w:val="0"/>
        <w:spacing w:before="200" w:after="283"/>
        <w:jc w:val="left"/>
        <w:rPr>
          <w:rFonts w:ascii="sans-serif" w:hAnsi="sans-serif"/>
          <w:b/>
          <w:color w:val="000000"/>
          <w:sz w:val="20"/>
        </w:rPr>
      </w:pPr>
      <w:r>
        <w:rPr>
          <w:rFonts w:ascii="sans-serif" w:hAnsi="sans-serif"/>
          <w:b/>
          <w:color w:val="000000"/>
          <w:sz w:val="20"/>
        </w:rPr>
        <w:t>Capital Expenditures</w:t>
      </w:r>
    </w:p>
    <w:p>
      <w:pPr>
        <w:pStyle w:val="TextBody"/>
        <w:bidi w:val="0"/>
        <w:spacing w:before="200" w:after="283"/>
        <w:jc w:val="left"/>
        <w:rPr>
          <w:rFonts w:ascii="sans-serif" w:hAnsi="sans-serif"/>
          <w:color w:val="000000"/>
          <w:sz w:val="20"/>
        </w:rPr>
      </w:pPr>
      <w:r>
        <w:rPr>
          <w:rFonts w:ascii="sans-serif" w:hAnsi="sans-serif"/>
          <w:color w:val="000000"/>
          <w:sz w:val="20"/>
        </w:rPr>
        <w:t xml:space="preserve">Cash flows from investing activities included $18 million of capital expenditures for the nine months ended September 30, 2026. Kodak expects approximately $30 million to $35 million of total capital expenditures for 2026. </w:t>
      </w:r>
    </w:p>
    <w:p>
      <w:pPr>
        <w:pStyle w:val="TextBody"/>
        <w:bidi w:val="0"/>
        <w:spacing w:before="20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The accounting policies most critical to the preparation of the consolidated financial statements and that require the most difficult, subjective or complex judgments are described in Management's Discussion and Analysis of Financial Condition and Results of Operations included in the 2025 Form 10-K. There have been no material changes in the Company's critical accounting policies or estimates since December 31, 2025.</w:t>
      </w:r>
    </w:p>
    <w:p>
      <w:pPr>
        <w:pStyle w:val="TextBody"/>
        <w:bidi w:val="0"/>
        <w:jc w:val="left"/>
      </w:pPr>
      <w:r>
        <w:t> </w:t>
      </w:r>
    </w:p>
    <w:p>
      <w:pPr>
        <w:pStyle w:val="TextBody"/>
        <w:bidi w:val="0"/>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before="200" w:after="283"/>
        <w:jc w:val="left"/>
        <w:rPr>
          <w:rFonts w:ascii="sans-serif" w:hAnsi="sans-serif"/>
          <w:color w:val="000000"/>
          <w:sz w:val="20"/>
        </w:rPr>
      </w:pPr>
      <w:bookmarkStart w:id="45" w:name="qqd1"/>
      <w:bookmarkEnd w:id="45"/>
      <w:r>
        <w:rPr>
          <w:rFonts w:ascii="sans-serif" w:hAnsi="sans-serif"/>
          <w:color w:val="000000"/>
          <w:sz w:val="20"/>
        </w:rPr>
        <w:t>As noted in the 2025 Form 10-K, Kodak operates and conducts business in many foreign countries and as a result is exposed to fluctuations between the U.S. dollar and other currencies. Volatility in the global financial markets could increase the volatility of foreign currency exchange rates which would, in turn, impact sales and net income. For a discussion of the Company's exposure to market risk and how market risk is mitigated, refer to Part I, Item 1A "Risk Factors" and Part II, Item 7A, "Quantitative and Qualitative Disclosures About Market Risk", contained in the 2025 Form 10-K.</w:t>
      </w:r>
    </w:p>
    <w:p>
      <w:pPr>
        <w:pStyle w:val="TextBody"/>
        <w:bidi w:val="0"/>
        <w:spacing w:before="240" w:after="283"/>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left"/>
        <w:rPr>
          <w:rFonts w:ascii="sans-serif" w:hAnsi="sans-serif"/>
          <w:sz w:val="20"/>
        </w:rPr>
      </w:pPr>
      <w:bookmarkStart w:id="46" w:name="controls"/>
      <w:bookmarkEnd w:id="46"/>
      <w:r>
        <w:rPr>
          <w:rFonts w:ascii="sans-serif" w:hAnsi="sans-serif"/>
          <w:b/>
          <w:color w:val="000000"/>
          <w:sz w:val="20"/>
        </w:rPr>
        <w:t>Item</w:t>
      </w:r>
      <w:r>
        <w:rPr>
          <w:rFonts w:ascii="sans-serif" w:hAnsi="sans-serif"/>
          <w:color w:val="000000"/>
          <w:sz w:val="20"/>
        </w:rPr>
        <w:t xml:space="preserve"> </w:t>
      </w:r>
      <w:r>
        <w:rPr>
          <w:rFonts w:ascii="sans-serif" w:hAnsi="sans-serif"/>
          <w:b/>
          <w:color w:val="000000"/>
          <w:sz w:val="20"/>
        </w:rPr>
        <w:t>4. Controls and Procedures</w:t>
      </w:r>
    </w:p>
    <w:p>
      <w:pPr>
        <w:pStyle w:val="TextBody"/>
        <w:bidi w:val="0"/>
        <w:spacing w:before="200" w:after="283"/>
        <w:jc w:val="left"/>
        <w:rPr>
          <w:rFonts w:ascii="sans-serif" w:hAnsi="sans-serif"/>
          <w:b/>
          <w:color w:val="000000"/>
          <w:sz w:val="20"/>
        </w:rPr>
      </w:pPr>
      <w:r>
        <w:rPr>
          <w:rFonts w:ascii="sans-serif" w:hAnsi="sans-serif"/>
          <w:b/>
          <w:color w:val="000000"/>
          <w:sz w:val="20"/>
        </w:rPr>
        <w:t>Evaluation of Disclosure Controls and Procedures</w:t>
      </w:r>
    </w:p>
    <w:p>
      <w:pPr>
        <w:pStyle w:val="TextBody"/>
        <w:bidi w:val="0"/>
        <w:spacing w:before="200" w:after="283"/>
        <w:jc w:val="left"/>
        <w:rPr>
          <w:rFonts w:ascii="sans-serif" w:hAnsi="sans-serif"/>
          <w:color w:val="000000"/>
          <w:sz w:val="20"/>
        </w:rPr>
      </w:pPr>
      <w:r>
        <w:rPr>
          <w:rFonts w:ascii="sans-serif" w:hAnsi="sans-serif"/>
          <w:color w:val="000000"/>
          <w:sz w:val="20"/>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Kodak’s Executive Chairman and Chief Executive Officer and Chief Financial Officer have concluded that, as of the end of the period covered by this Quarterly Report on Form 10-Q, Kodak’s disclosure controls and procedures (as defined in Rules 13a-15(e) and 15d-15(e) under the Exchange Act) were effective.</w:t>
      </w:r>
    </w:p>
    <w:p>
      <w:pPr>
        <w:pStyle w:val="TextBody"/>
        <w:bidi w:val="0"/>
        <w:spacing w:before="200" w:after="283"/>
        <w:jc w:val="left"/>
        <w:rPr>
          <w:rFonts w:ascii="sans-serif" w:hAnsi="sans-serif"/>
          <w:b/>
          <w:color w:val="000000"/>
          <w:sz w:val="20"/>
        </w:rPr>
      </w:pPr>
      <w:r>
        <w:rPr>
          <w:rFonts w:ascii="sans-serif" w:hAnsi="sans-serif"/>
          <w:b/>
          <w:color w:val="000000"/>
          <w:sz w:val="20"/>
        </w:rPr>
        <w:t>Changes in Internal Control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pStyle w:val="TextBody"/>
        <w:bidi w:val="0"/>
        <w:spacing w:before="200" w:after="283"/>
        <w:jc w:val="left"/>
        <w:rPr>
          <w:rFonts w:ascii="sans-serif" w:hAnsi="sans-serif"/>
          <w:color w:val="000000"/>
          <w:sz w:val="20"/>
        </w:rPr>
      </w:pPr>
      <w:r>
        <w:rPr>
          <w:rFonts w:ascii="sans-serif" w:hAnsi="sans-serif"/>
          <w:color w:val="000000"/>
          <w:sz w:val="20"/>
        </w:rPr>
        <w:t>There have been no changes identified in Kodak’s internal control over financial reporting that occurred during the most recently completed fiscal quarter that have materially affected, or are reasonably likely to materially affect, Kodak’s internal control over financial reporting.</w:t>
      </w:r>
    </w:p>
    <w:p>
      <w:pPr>
        <w:pStyle w:val="TextBody"/>
        <w:bidi w:val="0"/>
        <w:spacing w:before="240" w:after="283"/>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spacing w:before="200" w:after="283"/>
        <w:jc w:val="center"/>
        <w:rPr>
          <w:rFonts w:ascii="sans-serif" w:hAnsi="sans-serif"/>
          <w:b/>
          <w:color w:val="000000"/>
          <w:sz w:val="20"/>
        </w:rPr>
      </w:pPr>
      <w:bookmarkStart w:id="47" w:name="part_ii_other_information"/>
      <w:bookmarkEnd w:id="47"/>
      <w:r>
        <w:rPr>
          <w:rFonts w:ascii="sans-serif" w:hAnsi="sans-serif"/>
          <w:b/>
          <w:color w:val="000000"/>
          <w:sz w:val="20"/>
        </w:rPr>
        <w:t>Part II. OTHER INFORMATION</w:t>
      </w:r>
    </w:p>
    <w:p>
      <w:pPr>
        <w:pStyle w:val="TextBody"/>
        <w:bidi w:val="0"/>
        <w:spacing w:before="200" w:after="283"/>
        <w:jc w:val="left"/>
        <w:rPr>
          <w:rFonts w:ascii="sans-serif" w:hAnsi="sans-serif"/>
          <w:b/>
          <w:color w:val="000000"/>
          <w:sz w:val="20"/>
        </w:rPr>
      </w:pPr>
      <w:bookmarkStart w:id="48" w:name="legal_proceedings"/>
      <w:bookmarkEnd w:id="48"/>
      <w:r>
        <w:rPr>
          <w:rFonts w:ascii="sans-serif" w:hAnsi="sans-serif"/>
          <w:b/>
          <w:color w:val="000000"/>
          <w:sz w:val="20"/>
        </w:rPr>
        <w:t>Item 1. Legal Proceedings</w:t>
      </w:r>
    </w:p>
    <w:p>
      <w:pPr>
        <w:pStyle w:val="TextBody"/>
        <w:bidi w:val="0"/>
        <w:spacing w:before="200" w:after="283"/>
        <w:jc w:val="left"/>
        <w:rPr>
          <w:rFonts w:ascii="sans-serif" w:hAnsi="sans-serif"/>
          <w:color w:val="000000"/>
          <w:sz w:val="20"/>
        </w:rPr>
      </w:pPr>
      <w:r>
        <w:rPr>
          <w:rFonts w:ascii="sans-serif" w:hAnsi="sans-serif"/>
          <w:color w:val="000000"/>
          <w:sz w:val="20"/>
        </w:rPr>
        <w:t>See Note 9, “Commitments and Contingencies” in the Notes to the Financial Statements included in Part I, Item 1, “Financial Statements” for information regarding certain legal proceedings in which Kodak is involved.</w:t>
      </w:r>
    </w:p>
    <w:p>
      <w:pPr>
        <w:pStyle w:val="TextBody"/>
        <w:bidi w:val="0"/>
        <w:spacing w:before="200" w:after="283"/>
        <w:jc w:val="left"/>
        <w:rPr>
          <w:rFonts w:ascii="sans-serif" w:hAnsi="sans-serif"/>
          <w:b/>
          <w:color w:val="000000"/>
          <w:sz w:val="20"/>
        </w:rPr>
      </w:pPr>
      <w:bookmarkStart w:id="49" w:name="risk_factors"/>
      <w:bookmarkEnd w:id="49"/>
      <w:r>
        <w:rPr>
          <w:rFonts w:ascii="sans-serif" w:hAnsi="sans-serif"/>
          <w:b/>
          <w:color w:val="000000"/>
          <w:sz w:val="20"/>
        </w:rPr>
        <w:t>Item 1A. Risk Factors</w:t>
      </w:r>
    </w:p>
    <w:p>
      <w:pPr>
        <w:pStyle w:val="TextBody"/>
        <w:bidi w:val="0"/>
        <w:spacing w:before="200" w:after="283"/>
        <w:jc w:val="left"/>
        <w:rPr>
          <w:rFonts w:ascii="sans-serif" w:hAnsi="sans-serif"/>
          <w:color w:val="000000"/>
          <w:sz w:val="20"/>
        </w:rPr>
      </w:pPr>
      <w:bookmarkStart w:id="50" w:name="led293237f20232271679952897691"/>
      <w:bookmarkEnd w:id="50"/>
      <w:r>
        <w:rPr>
          <w:rFonts w:ascii="sans-serif" w:hAnsi="sans-serif"/>
          <w:color w:val="000000"/>
          <w:sz w:val="20"/>
        </w:rPr>
        <w:t>See the Risk Factors set forth in Part I, Item 1A, "Risk Factors" of the 2025 Form 10-K for a detailed discussion of risk factors that could materially affect Kodak’s business, financial condition and results of operations.</w:t>
      </w:r>
    </w:p>
    <w:p>
      <w:pPr>
        <w:pStyle w:val="TextBody"/>
        <w:bidi w:val="0"/>
        <w:spacing w:before="200" w:after="283"/>
        <w:jc w:val="left"/>
        <w:rPr>
          <w:rFonts w:ascii="sans-serif" w:hAnsi="sans-serif"/>
          <w:b/>
          <w:color w:val="000000"/>
          <w:sz w:val="20"/>
        </w:rPr>
      </w:pPr>
      <w:bookmarkStart w:id="51" w:name="item2unregistered"/>
      <w:bookmarkEnd w:id="51"/>
      <w:r>
        <w:rPr>
          <w:rFonts w:ascii="sans-serif" w:hAnsi="sans-serif"/>
          <w:b/>
          <w:color w:val="000000"/>
          <w:sz w:val="20"/>
        </w:rPr>
        <w:t>Item 2. Unregistered Sales of Equity Securities and Use of Proceeds</w:t>
      </w:r>
    </w:p>
    <w:p>
      <w:pPr>
        <w:pStyle w:val="TextBody"/>
        <w:bidi w:val="0"/>
        <w:spacing w:before="200" w:after="283"/>
        <w:jc w:val="left"/>
        <w:rPr>
          <w:rFonts w:ascii="sans-serif" w:hAnsi="sans-serif"/>
          <w:b/>
          <w:color w:val="000000"/>
          <w:sz w:val="20"/>
        </w:rPr>
      </w:pPr>
      <w:r>
        <w:rPr>
          <w:rFonts w:ascii="sans-serif" w:hAnsi="sans-serif"/>
          <w:b/>
          <w:color w:val="000000"/>
          <w:sz w:val="20"/>
        </w:rPr>
        <w:t>(a)</w:t>
      </w:r>
    </w:p>
    <w:p>
      <w:pPr>
        <w:pStyle w:val="TextBody"/>
        <w:bidi w:val="0"/>
        <w:spacing w:before="200" w:after="283"/>
        <w:jc w:val="left"/>
        <w:rPr>
          <w:rFonts w:ascii="sans-serif" w:hAnsi="sans-serif"/>
          <w:b/>
          <w:color w:val="000000"/>
          <w:sz w:val="20"/>
        </w:rPr>
      </w:pPr>
      <w:r>
        <w:rPr>
          <w:rFonts w:ascii="sans-serif" w:hAnsi="sans-serif"/>
          <w:b/>
          <w:color w:val="000000"/>
          <w:sz w:val="20"/>
        </w:rPr>
        <w:t>Sales of unregistered securities during the quarter ended September 30, 2026</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00" w:after="283"/>
        <w:jc w:val="left"/>
        <w:rPr>
          <w:rFonts w:ascii="sans-serif" w:hAnsi="sans-serif"/>
          <w:b/>
          <w:color w:val="000000"/>
          <w:sz w:val="20"/>
        </w:rPr>
      </w:pPr>
      <w:r>
        <w:rPr>
          <w:rFonts w:ascii="sans-serif" w:hAnsi="sans-serif"/>
          <w:b/>
          <w:color w:val="000000"/>
          <w:sz w:val="20"/>
        </w:rPr>
        <w:t>(b)</w:t>
      </w:r>
    </w:p>
    <w:p>
      <w:pPr>
        <w:pStyle w:val="TextBody"/>
        <w:bidi w:val="0"/>
        <w:spacing w:before="200" w:after="283"/>
        <w:jc w:val="left"/>
        <w:rPr>
          <w:rFonts w:ascii="sans-serif" w:hAnsi="sans-serif"/>
          <w:b/>
          <w:color w:val="000000"/>
          <w:sz w:val="20"/>
        </w:rPr>
      </w:pPr>
      <w:r>
        <w:rPr>
          <w:rFonts w:ascii="sans-serif" w:hAnsi="sans-serif"/>
          <w:b/>
          <w:color w:val="000000"/>
          <w:sz w:val="20"/>
        </w:rPr>
        <w:t>Issuer purchases of equity securities during the quarter ended September 30, 2026</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2720"/>
        <w:gridCol w:w="146"/>
        <w:gridCol w:w="256"/>
        <w:gridCol w:w="1284"/>
        <w:gridCol w:w="146"/>
        <w:gridCol w:w="146"/>
        <w:gridCol w:w="353"/>
        <w:gridCol w:w="822"/>
        <w:gridCol w:w="146"/>
        <w:gridCol w:w="146"/>
        <w:gridCol w:w="1868"/>
        <w:gridCol w:w="146"/>
        <w:gridCol w:w="2026"/>
      </w:tblGrid>
      <w:tr>
        <w:tc>
          <w:tcPr>
            <w:tcW w:w="2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Maximum Number</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That May Yet</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Total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Part of Publicly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 Purchased</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Announced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under the Plans or</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54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sans-serif" w:hAnsi="sans-serif"/>
                <w:sz w:val="20"/>
              </w:rPr>
            </w:pPr>
            <w:r>
              <w:rPr>
                <w:rFonts w:ascii="sans-serif" w:hAnsi="sans-serif"/>
                <w:b/>
                <w:color w:val="000000"/>
                <w:sz w:val="20"/>
              </w:rPr>
              <w:t xml:space="preserve">Purchased </w:t>
            </w:r>
            <w:r>
              <w:rPr>
                <w:rFonts w:ascii="sans-serif" w:hAnsi="sans-serif"/>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sans-serif" w:hAnsi="sans-serif"/>
                <w:sz w:val="20"/>
              </w:rPr>
            </w:pPr>
            <w:r>
              <w:rPr>
                <w:rFonts w:ascii="sans-serif" w:hAnsi="sans-serif"/>
                <w:b/>
                <w:color w:val="000000"/>
                <w:sz w:val="20"/>
              </w:rPr>
              <w:t xml:space="preserve">or Programs </w:t>
            </w:r>
            <w:r>
              <w:rPr>
                <w:rFonts w:ascii="sans-serif" w:hAnsi="sans-serif"/>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pPr>
            <w: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sans-serif" w:hAnsi="sans-serif"/>
                <w:sz w:val="20"/>
              </w:rPr>
            </w:pPr>
            <w:r>
              <w:rPr>
                <w:rFonts w:ascii="sans-serif" w:hAnsi="sans-serif"/>
                <w:b/>
                <w:color w:val="000000"/>
                <w:sz w:val="20"/>
              </w:rPr>
              <w:t xml:space="preserve">Programs </w:t>
            </w:r>
            <w:r>
              <w:rPr>
                <w:rFonts w:ascii="sans-serif" w:hAnsi="sans-serif"/>
                <w:b/>
                <w:color w:val="000000"/>
                <w:sz w:val="13"/>
              </w:rPr>
              <w:t>(2)</w:t>
            </w:r>
          </w:p>
        </w:tc>
      </w:tr>
      <w:tr>
        <w:tc>
          <w:tcPr>
            <w:tcW w:w="2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1 through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1 through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c>
          <w:tcPr>
            <w:tcW w:w="27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September 1 through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pPr>
            <w: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N/A</w:t>
            </w:r>
          </w:p>
        </w:tc>
      </w:tr>
      <w:tr>
        <w:tc>
          <w:tcPr>
            <w:tcW w:w="27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1868" w:type="dxa"/>
            <w:tcBorders/>
            <w:shd w:fill="FFFFFF" w:val="clear"/>
            <w:tcMar>
              <w:top w:w="0" w:type="dxa"/>
              <w:left w:w="0" w:type="dxa"/>
              <w:bottom w:w="0" w:type="dxa"/>
              <w:right w:w="0" w:type="dxa"/>
            </w:tcMar>
            <w:vAlign w:val="center"/>
          </w:tcPr>
          <w:p>
            <w:pPr>
              <w:pStyle w:val="TableContents"/>
              <w:bidi w:val="0"/>
              <w:spacing w:before="0" w:after="283"/>
              <w:jc w:val="right"/>
            </w:pPr>
            <w: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pPr>
            <w:r>
              <w:t> </w:t>
            </w:r>
          </w:p>
        </w:tc>
        <w:tc>
          <w:tcPr>
            <w:tcW w:w="2026" w:type="dxa"/>
            <w:tcBorders/>
            <w:shd w:fill="FFFFFF" w:val="clear"/>
            <w:tcMar>
              <w:top w:w="0" w:type="dxa"/>
              <w:left w:w="0" w:type="dxa"/>
              <w:bottom w:w="0" w:type="dxa"/>
              <w:right w:w="0" w:type="dxa"/>
            </w:tcMar>
            <w:vAlign w:val="center"/>
          </w:tcPr>
          <w:p>
            <w:pPr>
              <w:pStyle w:val="TableContents"/>
              <w:bidi w:val="0"/>
              <w:spacing w:before="0" w:after="283"/>
              <w:jc w:val="right"/>
            </w:pPr>
            <w:r>
              <w:t> </w:t>
            </w:r>
          </w:p>
        </w:tc>
      </w:tr>
    </w:tbl>
    <w:p>
      <w:pPr>
        <w:pStyle w:val="TextBody"/>
        <w:bidi w:val="0"/>
        <w:jc w:val="left"/>
      </w:pPr>
      <w: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These purchases were made to satisfy the payment of tax withholding obligations or the exercise price in connection with the vesting of restricted stock units or net exercise of stock options issued to employees.</w:t>
        <w:br/>
        <w:t> </w:t>
      </w:r>
    </w:p>
    <w:p>
      <w:pPr>
        <w:pStyle w:val="TextBody"/>
        <w:bidi w:val="0"/>
        <w:spacing w:lineRule="auto" w:line="360" w:before="0" w:after="0"/>
        <w:jc w:val="left"/>
        <w:rPr>
          <w:rFonts w:ascii="sans-serif" w:hAnsi="sans-serif"/>
          <w:color w:val="000000"/>
          <w:sz w:val="20"/>
        </w:rPr>
      </w:pPr>
      <w:r>
        <w:rPr>
          <w:rFonts w:ascii="sans-serif" w:hAnsi="sans-serif"/>
          <w:color w:val="000000"/>
          <w:sz w:val="20"/>
        </w:rPr>
        <w:t>(2)</w:t>
      </w:r>
    </w:p>
    <w:p>
      <w:pPr>
        <w:pStyle w:val="TextBody"/>
        <w:bidi w:val="0"/>
        <w:jc w:val="left"/>
        <w:rPr>
          <w:rFonts w:ascii="sans-serif" w:hAnsi="sans-serif"/>
          <w:color w:val="000000"/>
          <w:sz w:val="20"/>
        </w:rPr>
      </w:pPr>
      <w:r>
        <w:rPr>
          <w:rFonts w:ascii="sans-serif" w:hAnsi="sans-serif"/>
          <w:color w:val="000000"/>
          <w:sz w:val="20"/>
        </w:rPr>
        <w:t>Kodak does not have a publicly announced repurchase plan or program.</w:t>
      </w:r>
    </w:p>
    <w:p>
      <w:pPr>
        <w:pStyle w:val="TextBody"/>
        <w:bidi w:val="0"/>
        <w:spacing w:before="200" w:after="283"/>
        <w:jc w:val="left"/>
        <w:rPr>
          <w:rFonts w:ascii="sans-serif" w:hAnsi="sans-serif"/>
          <w:sz w:val="20"/>
        </w:rPr>
      </w:pPr>
      <w:bookmarkStart w:id="52" w:name="defaults_upon_senior_securities"/>
      <w:bookmarkEnd w:id="52"/>
      <w:r>
        <w:rPr>
          <w:rFonts w:ascii="sans-serif" w:hAnsi="sans-serif"/>
          <w:b/>
          <w:color w:val="000000"/>
          <w:sz w:val="20"/>
        </w:rPr>
        <w:t>Item 3. Defaults Upon Senior Securities</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None. </w:t>
      </w:r>
    </w:p>
    <w:p>
      <w:pPr>
        <w:pStyle w:val="TextBody"/>
        <w:bidi w:val="0"/>
        <w:spacing w:before="200" w:after="283"/>
        <w:jc w:val="left"/>
        <w:rPr>
          <w:rFonts w:ascii="sans-serif" w:hAnsi="sans-serif"/>
          <w:sz w:val="20"/>
        </w:rPr>
      </w:pPr>
      <w:bookmarkStart w:id="53" w:name="mine_safety_disclosures"/>
      <w:bookmarkEnd w:id="53"/>
      <w:r>
        <w:rPr>
          <w:rFonts w:ascii="sans-serif" w:hAnsi="sans-serif"/>
          <w:b/>
          <w:color w:val="000000"/>
          <w:sz w:val="20"/>
        </w:rPr>
        <w:t>Item 4. Mine Safety Disclosures</w:t>
      </w:r>
      <w:r>
        <w:rPr>
          <w:rFonts w:ascii="sans-serif" w:hAnsi="sans-serif"/>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 xml:space="preserve">Not applicable. </w:t>
      </w:r>
    </w:p>
    <w:p>
      <w:pPr>
        <w:pStyle w:val="TextBody"/>
        <w:bidi w:val="0"/>
        <w:spacing w:before="200" w:after="283"/>
        <w:jc w:val="left"/>
        <w:rPr>
          <w:rFonts w:ascii="sans-serif" w:hAnsi="sans-serif"/>
          <w:b/>
          <w:color w:val="000000"/>
          <w:sz w:val="20"/>
        </w:rPr>
      </w:pPr>
      <w:bookmarkStart w:id="54" w:name="other_information"/>
      <w:bookmarkEnd w:id="54"/>
      <w:r>
        <w:rPr>
          <w:rFonts w:ascii="sans-serif" w:hAnsi="sans-serif"/>
          <w:b/>
          <w:color w:val="000000"/>
          <w:sz w:val="20"/>
        </w:rPr>
        <w:t>Item 5. Other Information</w:t>
      </w:r>
    </w:p>
    <w:p>
      <w:pPr>
        <w:pStyle w:val="TextBody"/>
        <w:bidi w:val="0"/>
        <w:spacing w:before="200" w:after="283"/>
        <w:jc w:val="left"/>
        <w:rPr>
          <w:rFonts w:ascii="sans-serif" w:hAnsi="sans-serif"/>
          <w:b/>
          <w:color w:val="000000"/>
          <w:sz w:val="20"/>
        </w:rPr>
      </w:pPr>
      <w:r>
        <w:rPr>
          <w:rFonts w:ascii="sans-serif" w:hAnsi="sans-serif"/>
          <w:b/>
          <w:color w:val="000000"/>
          <w:sz w:val="20"/>
        </w:rPr>
        <w:t>(c) Rule 10b5-1 Trading Plans</w:t>
      </w:r>
    </w:p>
    <w:p>
      <w:pPr>
        <w:pStyle w:val="TextBody"/>
        <w:bidi w:val="0"/>
        <w:spacing w:before="200" w:after="283"/>
        <w:jc w:val="left"/>
        <w:rPr>
          <w:rFonts w:ascii="sans-serif" w:hAnsi="sans-serif"/>
          <w:color w:val="000000"/>
          <w:sz w:val="20"/>
        </w:rPr>
      </w:pPr>
      <w:r>
        <w:rPr>
          <w:rFonts w:ascii="sans-serif" w:hAnsi="sans-serif"/>
          <w:color w:val="000000"/>
          <w:sz w:val="20"/>
        </w:rPr>
        <w:t>None.</w:t>
      </w:r>
    </w:p>
    <w:p>
      <w:pPr>
        <w:pStyle w:val="TextBody"/>
        <w:bidi w:val="0"/>
        <w:spacing w:before="240" w:after="283"/>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left"/>
        <w:rPr>
          <w:rFonts w:ascii="sans-serif" w:hAnsi="sans-serif"/>
          <w:b/>
          <w:color w:val="000000"/>
          <w:sz w:val="20"/>
        </w:rPr>
      </w:pPr>
      <w:bookmarkStart w:id="55" w:name="exhibits"/>
      <w:bookmarkEnd w:id="55"/>
      <w:r>
        <w:rPr>
          <w:rFonts w:ascii="sans-serif" w:hAnsi="sans-serif"/>
          <w:b/>
          <w:color w:val="000000"/>
          <w:sz w:val="20"/>
        </w:rPr>
        <w:t>Item 6. Exhibits</w:t>
      </w:r>
    </w:p>
    <w:p>
      <w:pPr>
        <w:pStyle w:val="TextBody"/>
        <w:bidi w:val="0"/>
        <w:jc w:val="center"/>
        <w:rPr>
          <w:rFonts w:ascii="sans-serif" w:hAnsi="sans-serif"/>
          <w:b/>
          <w:color w:val="000000"/>
          <w:sz w:val="20"/>
        </w:rPr>
      </w:pPr>
      <w:r>
        <w:rPr>
          <w:rFonts w:ascii="sans-serif" w:hAnsi="sans-serif"/>
          <w:b/>
          <w:color w:val="000000"/>
          <w:sz w:val="20"/>
        </w:rPr>
        <w:t>Eastman Kodak Company</w:t>
      </w:r>
    </w:p>
    <w:p>
      <w:pPr>
        <w:pStyle w:val="TextBody"/>
        <w:bidi w:val="0"/>
        <w:jc w:val="center"/>
        <w:rPr>
          <w:rFonts w:ascii="sans-serif" w:hAnsi="sans-serif"/>
          <w:b/>
          <w:color w:val="000000"/>
          <w:sz w:val="20"/>
        </w:rPr>
      </w:pPr>
      <w:bookmarkStart w:id="56" w:name="index_to_exhibits"/>
      <w:bookmarkEnd w:id="56"/>
      <w:r>
        <w:rPr>
          <w:rFonts w:ascii="sans-serif" w:hAnsi="sans-serif"/>
          <w:b/>
          <w:color w:val="000000"/>
          <w:sz w:val="20"/>
        </w:rPr>
        <w:t>Index to Exhibits</w:t>
      </w:r>
    </w:p>
    <w:p>
      <w:pPr>
        <w:pStyle w:val="TextBody"/>
        <w:bidi w:val="0"/>
        <w:jc w:val="left"/>
      </w:pPr>
      <w:r>
        <w:t> </w:t>
      </w:r>
    </w:p>
    <w:tbl>
      <w:tblPr>
        <w:tblW w:w="10205" w:type="dxa"/>
        <w:jc w:val="left"/>
        <w:tblInd w:w="0" w:type="dxa"/>
        <w:tblLayout w:type="fixed"/>
        <w:tblCellMar>
          <w:top w:w="28" w:type="dxa"/>
          <w:left w:w="28" w:type="dxa"/>
          <w:bottom w:w="28" w:type="dxa"/>
          <w:right w:w="28" w:type="dxa"/>
        </w:tblCellMar>
      </w:tblPr>
      <w:tblGrid>
        <w:gridCol w:w="1021"/>
        <w:gridCol w:w="9184"/>
      </w:tblGrid>
      <w:tr>
        <w:tc>
          <w:tcPr>
            <w:tcW w:w="1021" w:type="dxa"/>
            <w:tcBorders/>
            <w:vAlign w:val="center"/>
          </w:tcPr>
          <w:p>
            <w:pPr>
              <w:pStyle w:val="TableContents"/>
              <w:bidi w:val="0"/>
              <w:spacing w:before="0" w:after="283"/>
              <w:jc w:val="left"/>
              <w:rPr>
                <w:sz w:val="4"/>
                <w:szCs w:val="4"/>
              </w:rPr>
            </w:pPr>
            <w:r>
              <w:rPr>
                <w:sz w:val="4"/>
                <w:szCs w:val="4"/>
              </w:rPr>
            </w:r>
          </w:p>
        </w:tc>
        <w:tc>
          <w:tcPr>
            <w:tcW w:w="9184" w:type="dxa"/>
            <w:tcBorders/>
            <w:vAlign w:val="center"/>
          </w:tcPr>
          <w:p>
            <w:pPr>
              <w:pStyle w:val="TableContents"/>
              <w:bidi w:val="0"/>
              <w:spacing w:before="0" w:after="283"/>
              <w:jc w:val="left"/>
              <w:rPr>
                <w:sz w:val="4"/>
                <w:szCs w:val="4"/>
              </w:rPr>
            </w:pPr>
            <w:r>
              <w:rPr>
                <w:sz w:val="4"/>
                <w:szCs w:val="4"/>
              </w:rPr>
            </w:r>
          </w:p>
        </w:tc>
      </w:tr>
      <w:tr>
        <w:tc>
          <w:tcPr>
            <w:tcW w:w="1021" w:type="dxa"/>
            <w:tcBorders/>
            <w:tcMar>
              <w:top w:w="0" w:type="dxa"/>
              <w:left w:w="0" w:type="dxa"/>
              <w:bottom w:w="0" w:type="dxa"/>
              <w:right w:w="0" w:type="dxa"/>
            </w:tcMar>
            <w:vAlign w:val="center"/>
          </w:tcPr>
          <w:p>
            <w:pPr>
              <w:pStyle w:val="TableContents"/>
              <w:bidi w:val="0"/>
              <w:jc w:val="left"/>
              <w:rPr>
                <w:rFonts w:ascii="sans-serif" w:hAnsi="sans-serif"/>
                <w:b/>
                <w:color w:val="000000"/>
                <w:sz w:val="20"/>
              </w:rPr>
            </w:pPr>
            <w:r>
              <w:rPr>
                <w:rFonts w:ascii="sans-serif" w:hAnsi="sans-serif"/>
                <w:b/>
                <w:color w:val="000000"/>
                <w:sz w:val="20"/>
              </w:rPr>
              <w:t>Exhibit</w:t>
            </w:r>
          </w:p>
          <w:p>
            <w:pPr>
              <w:pStyle w:val="TableContents"/>
              <w:bidi w:val="0"/>
              <w:spacing w:before="0" w:after="283"/>
              <w:jc w:val="left"/>
              <w:rPr>
                <w:rFonts w:ascii="sans-serif" w:hAnsi="sans-serif"/>
                <w:b/>
                <w:color w:val="000000"/>
                <w:sz w:val="20"/>
              </w:rPr>
            </w:pPr>
            <w:r>
              <w:rPr>
                <w:rFonts w:ascii="sans-serif" w:hAnsi="sans-serif"/>
                <w:b/>
                <w:color w:val="000000"/>
                <w:sz w:val="20"/>
              </w:rPr>
              <w:t>Number</w:t>
            </w:r>
          </w:p>
        </w:tc>
        <w:tc>
          <w:tcPr>
            <w:tcW w:w="9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2">
              <w:r>
                <w:rPr>
                  <w:rStyle w:val="InternetLink"/>
                  <w:rFonts w:ascii="sans-serif" w:hAnsi="sans-serif"/>
                  <w:color w:val="0000EE"/>
                  <w:sz w:val="20"/>
                  <w:u w:val="single"/>
                </w:rPr>
                <w:t>Second Amended and Restated Certificate of Incorporation of Eastman Kodak Company (Incorporated by reference to Exhibit 4.1 of the Company’s Registration Statement on Form S-8 as filed on September 3, 2013).</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(3.2)</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3">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November 16, 2016).</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(3.3)</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4">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September 12, 2019).</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(3.4)</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5">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September 12, 2019).</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(3.5)</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6">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December 29, 2020).</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(3.6)</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7">
              <w:r>
                <w:rPr>
                  <w:rStyle w:val="InternetLink"/>
                  <w:rFonts w:ascii="sans-serif" w:hAnsi="sans-serif"/>
                  <w:color w:val="0000EE"/>
                  <w:sz w:val="20"/>
                  <w:u w:val="single"/>
                </w:rPr>
                <w:t>Certificate of Amendment to the Second Amended and Restated Certificate of Incorporation of Eastman Kodak Company (Incorporated by reference to Exhibit 3.1 of the Company’s Current Report on Form 8-K as filed on March 1, 2021).</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(3.7)</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8">
              <w:r>
                <w:rPr>
                  <w:rStyle w:val="InternetLink"/>
                  <w:rFonts w:ascii="sans-serif" w:hAnsi="sans-serif"/>
                  <w:color w:val="0000EE"/>
                  <w:sz w:val="20"/>
                  <w:u w:val="single"/>
                </w:rPr>
                <w:t>Certificate of Amendment to the Second Amended and Restated Certificate of Incorporation of Eastman Kodak Company (Incorporated by reference to Exhibit 3.2 of the Company’s Current Report on Form 8-K as filed on March 1, 2021).</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(3.8)</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9">
              <w:r>
                <w:rPr>
                  <w:rStyle w:val="InternetLink"/>
                  <w:rFonts w:ascii="sans-serif" w:hAnsi="sans-serif"/>
                  <w:color w:val="0000FF"/>
                  <w:sz w:val="20"/>
                  <w:u w:val="single"/>
                </w:rPr>
                <w:t>Certificate of Amendment to the Second Amended and Restated Certificate of Incorporation of Eastman Kodak Company (Incorporated by reference to Exhibit 3.8 of the Company’s Annual Report on Form 10-K for the fiscal year ended December 31, 2025 as filed on March 12, 2026).</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(3.9)</w:t>
            </w:r>
          </w:p>
        </w:tc>
        <w:tc>
          <w:tcPr>
            <w:tcW w:w="9184" w:type="dxa"/>
            <w:tcBorders/>
            <w:tcMar>
              <w:top w:w="0" w:type="dxa"/>
              <w:left w:w="0" w:type="dxa"/>
              <w:bottom w:w="0" w:type="dxa"/>
              <w:right w:w="0" w:type="dxa"/>
            </w:tcMar>
            <w:vAlign w:val="center"/>
          </w:tcPr>
          <w:p>
            <w:pPr>
              <w:pStyle w:val="TableContents"/>
              <w:bidi w:val="0"/>
              <w:spacing w:before="0" w:after="283"/>
              <w:jc w:val="left"/>
            </w:pPr>
            <w:hyperlink r:id="rId10">
              <w:r>
                <w:rPr>
                  <w:rStyle w:val="InternetLink"/>
                  <w:rFonts w:ascii="sans-serif" w:hAnsi="sans-serif"/>
                  <w:color w:val="0000EE"/>
                  <w:sz w:val="20"/>
                  <w:u w:val="single"/>
                </w:rPr>
                <w:t>Fourth Amended and Restated By-Laws of Eastman Kodak Company (Incorporated by reference to Exhibit (3.5) of the Company’s Quarterly Report on Form 10-Q for the quarterly period ended March 31, 2020 as filed on May 12, 2020).</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(31.1)</w:t>
            </w:r>
          </w:p>
        </w:tc>
        <w:tc>
          <w:tcPr>
            <w:tcW w:w="9184" w:type="dxa"/>
            <w:tcBorders/>
            <w:tcMar>
              <w:top w:w="0" w:type="dxa"/>
              <w:left w:w="0" w:type="dxa"/>
              <w:bottom w:w="0" w:type="dxa"/>
              <w:right w:w="0" w:type="dxa"/>
            </w:tcMar>
            <w:vAlign w:val="center"/>
          </w:tcPr>
          <w:p>
            <w:pPr>
              <w:pStyle w:val="TableContents"/>
              <w:bidi w:val="0"/>
              <w:spacing w:before="0" w:after="283"/>
              <w:jc w:val="left"/>
            </w:pPr>
            <w:hyperlink w:anchor="kodk-ex31_1.htm">
              <w:r>
                <w:rPr>
                  <w:rStyle w:val="InternetLink"/>
                  <w:rFonts w:ascii="sans-serif" w:hAnsi="sans-serif"/>
                  <w:color w:val="0000FF"/>
                  <w:sz w:val="20"/>
                  <w:u w:val="single"/>
                </w:rPr>
                <w:t>Certification signed by James V. Continenza, filed herewith.</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(31.2)</w:t>
            </w:r>
          </w:p>
        </w:tc>
        <w:tc>
          <w:tcPr>
            <w:tcW w:w="9184" w:type="dxa"/>
            <w:tcBorders/>
            <w:tcMar>
              <w:top w:w="0" w:type="dxa"/>
              <w:left w:w="0" w:type="dxa"/>
              <w:bottom w:w="0" w:type="dxa"/>
              <w:right w:w="0" w:type="dxa"/>
            </w:tcMar>
            <w:vAlign w:val="center"/>
          </w:tcPr>
          <w:p>
            <w:pPr>
              <w:pStyle w:val="TableContents"/>
              <w:bidi w:val="0"/>
              <w:spacing w:before="0" w:after="283"/>
              <w:jc w:val="left"/>
            </w:pPr>
            <w:hyperlink w:anchor="kodk-ex31_2.htm">
              <w:r>
                <w:rPr>
                  <w:rStyle w:val="InternetLink"/>
                  <w:rFonts w:ascii="sans-serif" w:hAnsi="sans-serif"/>
                  <w:color w:val="0000FF"/>
                  <w:sz w:val="20"/>
                  <w:u w:val="single"/>
                </w:rPr>
                <w:t>Certification signed by David E. Bullwinkle, filed herewith.</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(32.1)</w:t>
            </w:r>
            <w:r>
              <w:rPr>
                <w:rFonts w:ascii="sans-serif" w:hAnsi="sans-serif"/>
                <w:color w:val="000000"/>
                <w:sz w:val="13"/>
              </w:rPr>
              <w:t>(1)</w:t>
            </w:r>
          </w:p>
        </w:tc>
        <w:tc>
          <w:tcPr>
            <w:tcW w:w="9184" w:type="dxa"/>
            <w:tcBorders/>
            <w:tcMar>
              <w:top w:w="0" w:type="dxa"/>
              <w:left w:w="0" w:type="dxa"/>
              <w:bottom w:w="0" w:type="dxa"/>
              <w:right w:w="0" w:type="dxa"/>
            </w:tcMar>
            <w:vAlign w:val="center"/>
          </w:tcPr>
          <w:p>
            <w:pPr>
              <w:pStyle w:val="TableContents"/>
              <w:bidi w:val="0"/>
              <w:spacing w:before="0" w:after="283"/>
              <w:jc w:val="left"/>
            </w:pPr>
            <w:hyperlink w:anchor="kodk-ex32_1.htm">
              <w:r>
                <w:rPr>
                  <w:rStyle w:val="InternetLink"/>
                  <w:rFonts w:ascii="sans-serif" w:hAnsi="sans-serif"/>
                  <w:color w:val="0000FF"/>
                  <w:sz w:val="20"/>
                  <w:u w:val="single"/>
                </w:rPr>
                <w:t>Certification Pursuant to 18 U.S.C. Section 1350, as Adopted Pursuant to Section 906 of the Sarbanes-Oxley Act of 2002, signed by James V. Continenza, furnished herewith.</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lineRule="auto" w:line="360" w:before="0" w:after="283"/>
              <w:jc w:val="left"/>
              <w:rPr>
                <w:rFonts w:ascii="sans-serif" w:hAnsi="sans-serif"/>
                <w:sz w:val="20"/>
              </w:rPr>
            </w:pPr>
            <w:r>
              <w:rPr>
                <w:rFonts w:ascii="sans-serif" w:hAnsi="sans-serif"/>
                <w:color w:val="000000"/>
                <w:sz w:val="20"/>
              </w:rPr>
              <w:t>(32.2)</w:t>
            </w:r>
            <w:r>
              <w:rPr>
                <w:rFonts w:ascii="sans-serif" w:hAnsi="sans-serif"/>
                <w:color w:val="000000"/>
                <w:sz w:val="13"/>
              </w:rPr>
              <w:t>(1)</w:t>
            </w:r>
          </w:p>
        </w:tc>
        <w:tc>
          <w:tcPr>
            <w:tcW w:w="9184" w:type="dxa"/>
            <w:tcBorders/>
            <w:tcMar>
              <w:top w:w="0" w:type="dxa"/>
              <w:left w:w="0" w:type="dxa"/>
              <w:bottom w:w="0" w:type="dxa"/>
              <w:right w:w="0" w:type="dxa"/>
            </w:tcMar>
            <w:vAlign w:val="center"/>
          </w:tcPr>
          <w:p>
            <w:pPr>
              <w:pStyle w:val="TableContents"/>
              <w:bidi w:val="0"/>
              <w:spacing w:before="0" w:after="283"/>
              <w:jc w:val="left"/>
            </w:pPr>
            <w:hyperlink w:anchor="kodk-ex32_2.htm">
              <w:r>
                <w:rPr>
                  <w:rStyle w:val="InternetLink"/>
                  <w:rFonts w:ascii="sans-serif" w:hAnsi="sans-serif"/>
                  <w:color w:val="0000FF"/>
                  <w:sz w:val="20"/>
                  <w:u w:val="single"/>
                </w:rPr>
                <w:t>Certification Pursuant to 18 U.S.C. Section 1350, as Adopted Pursuant to Section 906 of the Sarbanes-Oxley Act of 2002 signed by David E. Bullwinkle, furnished herewith.</w:t>
              </w:r>
            </w:hyperlink>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(101.INS)</w:t>
            </w:r>
          </w:p>
        </w:tc>
        <w:tc>
          <w:tcPr>
            <w:tcW w:w="91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as its XBRL tags are embedded within the Inline XBRL document</w:t>
            </w:r>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(101.SCH)</w:t>
            </w:r>
          </w:p>
        </w:tc>
        <w:tc>
          <w:tcPr>
            <w:tcW w:w="91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Documents</w:t>
            </w:r>
          </w:p>
        </w:tc>
      </w:tr>
      <w:tr>
        <w:tc>
          <w:tcPr>
            <w:tcW w:w="1021" w:type="dxa"/>
            <w:tcBorders/>
            <w:tcMar>
              <w:top w:w="0" w:type="dxa"/>
              <w:left w:w="0" w:type="dxa"/>
              <w:bottom w:w="0" w:type="dxa"/>
              <w:right w:w="0" w:type="dxa"/>
            </w:tcMar>
            <w:vAlign w:val="center"/>
          </w:tcPr>
          <w:p>
            <w:pPr>
              <w:pStyle w:val="TableContents"/>
              <w:bidi w:val="0"/>
              <w:spacing w:before="0" w:after="283"/>
              <w:jc w:val="left"/>
            </w:pPr>
            <w:r>
              <w:t> </w:t>
            </w:r>
          </w:p>
        </w:tc>
        <w:tc>
          <w:tcPr>
            <w:tcW w:w="9184" w:type="dxa"/>
            <w:tcBorders/>
            <w:tcMar>
              <w:top w:w="0" w:type="dxa"/>
              <w:left w:w="0" w:type="dxa"/>
              <w:bottom w:w="0" w:type="dxa"/>
              <w:right w:w="0" w:type="dxa"/>
            </w:tcMar>
            <w:vAlign w:val="center"/>
          </w:tcPr>
          <w:p>
            <w:pPr>
              <w:pStyle w:val="TableContents"/>
              <w:bidi w:val="0"/>
              <w:spacing w:before="0" w:after="283"/>
              <w:ind w:left="0" w:right="0" w:firstLine="360"/>
              <w:jc w:val="left"/>
            </w:pPr>
            <w:r>
              <w:t> </w:t>
            </w:r>
          </w:p>
        </w:tc>
      </w:tr>
      <w:tr>
        <w:tc>
          <w:tcPr>
            <w:tcW w:w="1021" w:type="dxa"/>
            <w:tcBorders/>
            <w:tcMar>
              <w:top w:w="0" w:type="dxa"/>
              <w:left w:w="0" w:type="dxa"/>
              <w:bottom w:w="0" w:type="dxa"/>
              <w:right w:w="0" w:type="dxa"/>
            </w:tcMar>
            <w:vAlign w:val="center"/>
          </w:tcPr>
          <w:p>
            <w:pPr>
              <w:pStyle w:val="TableContents"/>
              <w:bidi w:val="0"/>
              <w:spacing w:before="0" w:after="283"/>
              <w:ind w:left="0" w:right="0" w:firstLine="360"/>
              <w:jc w:val="left"/>
              <w:rPr>
                <w:rFonts w:ascii="sans-serif" w:hAnsi="sans-serif"/>
                <w:color w:val="000000"/>
                <w:sz w:val="20"/>
              </w:rPr>
            </w:pPr>
            <w:r>
              <w:rPr>
                <w:rFonts w:ascii="sans-serif" w:hAnsi="sans-serif"/>
                <w:color w:val="000000"/>
                <w:sz w:val="20"/>
              </w:rPr>
              <w:t>(104)</w:t>
            </w:r>
          </w:p>
        </w:tc>
        <w:tc>
          <w:tcPr>
            <w:tcW w:w="91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Cover page formatted as Inline XBRL and contained in Exhibit 101</w:t>
            </w:r>
          </w:p>
        </w:tc>
      </w:tr>
    </w:tbl>
    <w:p>
      <w:pPr>
        <w:pStyle w:val="TextBody"/>
        <w:bidi w:val="0"/>
        <w:jc w:val="left"/>
      </w:pPr>
      <w:r>
        <w:t> </w:t>
      </w:r>
    </w:p>
    <w:p>
      <w:pPr>
        <w:pStyle w:val="TextBody"/>
        <w:bidi w:val="0"/>
        <w:jc w:val="left"/>
      </w:pPr>
      <w:r>
        <w:t> </w:t>
      </w:r>
    </w:p>
    <w:p>
      <w:pPr>
        <w:pStyle w:val="TextBody"/>
        <w:bidi w:val="0"/>
        <w:spacing w:lineRule="auto" w:line="360"/>
        <w:jc w:val="left"/>
        <w:rPr>
          <w:rFonts w:ascii="sans-serif" w:hAnsi="sans-serif"/>
          <w:sz w:val="13"/>
        </w:rPr>
      </w:pPr>
      <w:r>
        <w:rPr>
          <w:rFonts w:ascii="sans-serif" w:hAnsi="sans-serif"/>
          <w:color w:val="000000"/>
          <w:sz w:val="13"/>
        </w:rPr>
        <w:t xml:space="preserve">(1) </w:t>
      </w:r>
      <w:r>
        <w:rPr>
          <w:rFonts w:ascii="sans-serif" w:hAnsi="sans-serif"/>
          <w:color w:val="000000"/>
          <w:sz w:val="20"/>
        </w:rPr>
        <w:t>Furnished herewith. The certifications that accompany this Quarterly Report on Form 10</w:t>
        <w:noBreakHyphen/>
        <w:t>Q are not deemed filed with the SEC and are not to be incorporated by reference into any filing of the Registrant under the Securities Act of 1933, as amended, or the Securities Exchange Act of 1934, as amended (whether made before or after the date of this Quarterly Report on Form 10</w:t>
        <w:noBreakHyphen/>
        <w:t>Q), irrespective of any general incorporation language contained in such filing.</w:t>
      </w:r>
    </w:p>
    <w:p>
      <w:pPr>
        <w:pStyle w:val="TextBody"/>
        <w:bidi w:val="0"/>
        <w:spacing w:before="240" w:after="283"/>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pPr>
      <w:r/>
    </w:p>
    <w:p>
      <w:pPr>
        <w:pStyle w:val="TextBody"/>
        <w:bidi w:val="0"/>
        <w:jc w:val="left"/>
      </w:pPr>
      <w:hyperlink w:anchor="toc_page">
        <w:r>
          <w:rPr>
            <w:rStyle w:val="InternetLink"/>
            <w:rFonts w:ascii="sans-serif" w:hAnsi="sans-serif"/>
            <w:b/>
            <w:color w:val="0000FF"/>
            <w:sz w:val="20"/>
            <w:u w:val="single"/>
          </w:rPr>
          <w:t>Table of Contents</w:t>
        </w:r>
      </w:hyperlink>
    </w:p>
    <w:p>
      <w:pPr>
        <w:pStyle w:val="TextBody"/>
        <w:bidi w:val="0"/>
        <w:jc w:val="left"/>
      </w:pPr>
      <w:r>
        <w:t> </w:t>
      </w:r>
    </w:p>
    <w:p>
      <w:pPr>
        <w:pStyle w:val="TextBody"/>
        <w:bidi w:val="0"/>
        <w:jc w:val="center"/>
        <w:rPr>
          <w:rFonts w:ascii="sans-serif" w:hAnsi="sans-serif"/>
          <w:b/>
          <w:color w:val="000000"/>
          <w:sz w:val="20"/>
        </w:rPr>
      </w:pPr>
      <w:bookmarkStart w:id="57" w:name="signatures"/>
      <w:bookmarkEnd w:id="57"/>
      <w:r>
        <w:rPr>
          <w:rFonts w:ascii="sans-serif" w:hAnsi="sans-serif"/>
          <w:b/>
          <w:color w:val="000000"/>
          <w:sz w:val="20"/>
        </w:rPr>
        <w:t>SIGNATURES</w:t>
      </w:r>
    </w:p>
    <w:p>
      <w:pPr>
        <w:pStyle w:val="TextBody"/>
        <w:bidi w:val="0"/>
        <w:spacing w:before="20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pPr>
      <w:r>
        <w:t> </w:t>
      </w:r>
    </w:p>
    <w:tbl>
      <w:tblPr>
        <w:tblW w:w="8657" w:type="dxa"/>
        <w:jc w:val="left"/>
        <w:tblInd w:w="0" w:type="dxa"/>
        <w:tblLayout w:type="fixed"/>
        <w:tblCellMar>
          <w:top w:w="28" w:type="dxa"/>
          <w:left w:w="28" w:type="dxa"/>
          <w:bottom w:w="28" w:type="dxa"/>
          <w:right w:w="28" w:type="dxa"/>
        </w:tblCellMar>
      </w:tblPr>
      <w:tblGrid>
        <w:gridCol w:w="2821"/>
        <w:gridCol w:w="5836"/>
      </w:tblGrid>
      <w:tr>
        <w:tc>
          <w:tcPr>
            <w:tcW w:w="2821"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EASTMAN KODAK COMPANY</w:t>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(Registrant)</w:t>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Date: November 3, 2026</w:t>
            </w:r>
          </w:p>
        </w:tc>
        <w:tc>
          <w:tcPr>
            <w:tcW w:w="58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 Richard T. Michaels</w:t>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Richard T. Michaels</w:t>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Corporate Controller</w:t>
            </w:r>
          </w:p>
        </w:tc>
      </w:tr>
      <w:tr>
        <w:tc>
          <w:tcPr>
            <w:tcW w:w="2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Accounting Officer and Authorized Signatory)</w:t>
            </w:r>
          </w:p>
        </w:tc>
      </w:tr>
    </w:tbl>
    <w:p>
      <w:pPr>
        <w:pStyle w:val="TextBody"/>
        <w:bidi w:val="0"/>
        <w:jc w:val="left"/>
      </w:pPr>
      <w:r>
        <w:t> </w:t>
      </w:r>
    </w:p>
    <w:p>
      <w:pPr>
        <w:pStyle w:val="TextBody"/>
        <w:bidi w:val="0"/>
        <w:spacing w:before="240" w:after="283"/>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pPr>
      <w:r/>
    </w:p>
    <w:p>
      <w:pPr>
        <w:pStyle w:val="TextBody"/>
        <w:bidi w:val="0"/>
        <w:jc w:val="right"/>
        <w:rPr>
          <w:rFonts w:ascii="sans-serif" w:hAnsi="sans-serif"/>
          <w:b/>
          <w:color w:val="000000"/>
          <w:sz w:val="19"/>
        </w:rPr>
      </w:pPr>
      <w:bookmarkStart w:id="58" w:name="kodk-ex31_1.htm"/>
      <w:bookmarkStart w:id="59" w:name="kskodkex31_1"/>
      <w:bookmarkEnd w:id="58"/>
      <w:bookmarkEnd w:id="59"/>
      <w:r>
        <w:rPr>
          <w:rFonts w:ascii="sans-serif" w:hAnsi="sans-serif"/>
          <w:b/>
          <w:color w:val="000000"/>
          <w:sz w:val="19"/>
        </w:rPr>
        <w:t>Exhibit (31.1)</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center"/>
      </w:pPr>
      <w:r>
        <w:t> </w:t>
      </w:r>
    </w:p>
    <w:p>
      <w:pPr>
        <w:pStyle w:val="TextBody"/>
        <w:bidi w:val="0"/>
        <w:jc w:val="left"/>
        <w:rPr>
          <w:rFonts w:ascii="sans-serif" w:hAnsi="sans-serif"/>
          <w:color w:val="000000"/>
          <w:sz w:val="19"/>
        </w:rPr>
      </w:pPr>
      <w:r>
        <w:rPr>
          <w:rFonts w:ascii="sans-serif" w:hAnsi="sans-serif"/>
          <w:color w:val="000000"/>
          <w:sz w:val="19"/>
        </w:rPr>
        <w:t>I, James V. Continenza, certify that:</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b) Any fraud, whether or not material, that involves management or other employees who have a significant role in the registrant's internal control over financial reporting.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19"/>
          <w:u w:val="single"/>
        </w:rPr>
      </w:pPr>
      <w:r>
        <w:rPr>
          <w:rFonts w:ascii="sans-serif" w:hAnsi="sans-serif"/>
          <w:color w:val="000000"/>
          <w:sz w:val="19"/>
          <w:u w:val="single"/>
        </w:rPr>
        <w:t>/s/ James V. Continenza</w:t>
      </w:r>
    </w:p>
    <w:p>
      <w:pPr>
        <w:pStyle w:val="TextBody"/>
        <w:bidi w:val="0"/>
        <w:jc w:val="left"/>
        <w:rPr>
          <w:rFonts w:ascii="sans-serif" w:hAnsi="sans-serif"/>
          <w:color w:val="000000"/>
          <w:sz w:val="19"/>
        </w:rPr>
      </w:pPr>
      <w:r>
        <w:rPr>
          <w:rFonts w:ascii="sans-serif" w:hAnsi="sans-serif"/>
          <w:color w:val="000000"/>
          <w:sz w:val="19"/>
        </w:rPr>
        <w:t>James V. Continenza</w:t>
      </w:r>
    </w:p>
    <w:p>
      <w:pPr>
        <w:pStyle w:val="TextBody"/>
        <w:bidi w:val="0"/>
        <w:jc w:val="left"/>
        <w:rPr>
          <w:rFonts w:ascii="sans-serif" w:hAnsi="sans-serif"/>
          <w:color w:val="000000"/>
          <w:sz w:val="19"/>
        </w:rPr>
      </w:pPr>
      <w:r>
        <w:rPr>
          <w:rFonts w:ascii="sans-serif" w:hAnsi="sans-serif"/>
          <w:color w:val="000000"/>
          <w:sz w:val="19"/>
        </w:rPr>
        <w:t>Executive Chairman and</w:t>
      </w:r>
    </w:p>
    <w:p>
      <w:pPr>
        <w:pStyle w:val="TextBody"/>
        <w:bidi w:val="0"/>
        <w:jc w:val="left"/>
        <w:rPr>
          <w:rFonts w:ascii="sans-serif" w:hAnsi="sans-serif"/>
          <w:color w:val="000000"/>
          <w:sz w:val="19"/>
        </w:rPr>
      </w:pPr>
      <w:r>
        <w:rPr>
          <w:rFonts w:ascii="sans-serif" w:hAnsi="sans-serif"/>
          <w:color w:val="000000"/>
          <w:sz w:val="19"/>
        </w:rPr>
        <w:t>Chief Executive Officer</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Date: November 3, 2026</w:t>
      </w:r>
    </w:p>
    <w:p>
      <w:pPr>
        <w:pStyle w:val="HorizontalLine"/>
        <w:pBdr>
          <w:bottom w:val="double" w:sz="2" w:space="0" w:color="808080"/>
        </w:pBdr>
        <w:bidi w:val="0"/>
        <w:spacing w:before="0" w:after="283"/>
        <w:jc w:val="left"/>
      </w:pPr>
      <w:r/>
    </w:p>
    <w:p>
      <w:pPr>
        <w:pStyle w:val="TextBody"/>
        <w:bidi w:val="0"/>
        <w:jc w:val="right"/>
        <w:rPr>
          <w:rFonts w:ascii="sans-serif" w:hAnsi="sans-serif"/>
          <w:b/>
          <w:color w:val="000000"/>
          <w:sz w:val="19"/>
        </w:rPr>
      </w:pPr>
      <w:bookmarkStart w:id="60" w:name="kodk-ex31_2.htm"/>
      <w:bookmarkStart w:id="61" w:name="kskodkex31_2"/>
      <w:bookmarkEnd w:id="60"/>
      <w:bookmarkEnd w:id="61"/>
      <w:r>
        <w:rPr>
          <w:rFonts w:ascii="sans-serif" w:hAnsi="sans-serif"/>
          <w:b/>
          <w:color w:val="000000"/>
          <w:sz w:val="19"/>
        </w:rPr>
        <w:t>Exhibit (31.2)</w:t>
      </w:r>
      <w:r>
        <w:br w:type="page"/>
      </w:r>
    </w:p>
    <w:p>
      <w:pPr>
        <w:pStyle w:val="TextBody"/>
        <w:bidi w:val="0"/>
        <w:jc w:val="center"/>
        <w:rPr>
          <w:rFonts w:ascii="sans-serif" w:hAnsi="sans-serif"/>
          <w:b/>
          <w:color w:val="000000"/>
          <w:sz w:val="19"/>
        </w:rPr>
      </w:pPr>
      <w:r>
        <w:rPr>
          <w:rFonts w:ascii="sans-serif" w:hAnsi="sans-serif"/>
          <w:b/>
          <w:color w:val="000000"/>
          <w:sz w:val="19"/>
        </w:rPr>
        <w:t>CERTIFICATION</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I, David E. Bullwinkle, certify that:</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1)</w:t>
      </w:r>
    </w:p>
    <w:p>
      <w:pPr>
        <w:pStyle w:val="TextBody"/>
        <w:bidi w:val="0"/>
        <w:jc w:val="left"/>
        <w:rPr>
          <w:rFonts w:ascii="sans-serif" w:hAnsi="sans-serif"/>
          <w:color w:val="000000"/>
          <w:sz w:val="19"/>
        </w:rPr>
      </w:pPr>
      <w:r>
        <w:rPr>
          <w:rFonts w:ascii="sans-serif" w:hAnsi="sans-serif"/>
          <w:color w:val="000000"/>
          <w:sz w:val="19"/>
        </w:rPr>
        <w:t>I have reviewed this Form 10-Q of Eastman Kodak Company;</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2)</w:t>
      </w:r>
    </w:p>
    <w:p>
      <w:pPr>
        <w:pStyle w:val="TextBody"/>
        <w:bidi w:val="0"/>
        <w:jc w:val="left"/>
        <w:rPr>
          <w:rFonts w:ascii="sans-serif" w:hAnsi="sans-serif"/>
          <w:color w:val="000000"/>
          <w:sz w:val="19"/>
        </w:rPr>
      </w:pPr>
      <w:r>
        <w:rPr>
          <w:rFonts w:ascii="sans-serif" w:hAnsi="sans-serif"/>
          <w:color w:val="000000"/>
          <w:sz w:val="19"/>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3)</w:t>
      </w:r>
    </w:p>
    <w:p>
      <w:pPr>
        <w:pStyle w:val="TextBody"/>
        <w:bidi w:val="0"/>
        <w:jc w:val="left"/>
        <w:rPr>
          <w:rFonts w:ascii="sans-serif" w:hAnsi="sans-serif"/>
          <w:color w:val="000000"/>
          <w:sz w:val="19"/>
        </w:rPr>
      </w:pPr>
      <w:r>
        <w:rPr>
          <w:rFonts w:ascii="sans-serif" w:hAnsi="sans-serif"/>
          <w:color w:val="000000"/>
          <w:sz w:val="1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pPr>
      <w:r>
        <w:t> </w:t>
      </w:r>
    </w:p>
    <w:p>
      <w:pPr>
        <w:pStyle w:val="TextBody"/>
        <w:bidi w:val="0"/>
        <w:spacing w:before="0" w:after="0"/>
        <w:jc w:val="left"/>
        <w:rPr>
          <w:rFonts w:ascii="sans-serif" w:hAnsi="sans-serif"/>
          <w:color w:val="000000"/>
          <w:sz w:val="19"/>
        </w:rPr>
      </w:pPr>
      <w:r>
        <w:rPr>
          <w:rFonts w:ascii="sans-serif" w:hAnsi="sans-serif"/>
          <w:color w:val="000000"/>
          <w:sz w:val="19"/>
        </w:rPr>
        <w:t>4)</w:t>
      </w:r>
    </w:p>
    <w:p>
      <w:pPr>
        <w:pStyle w:val="TextBody"/>
        <w:bidi w:val="0"/>
        <w:jc w:val="left"/>
        <w:rPr>
          <w:rFonts w:ascii="sans-serif" w:hAnsi="sans-serif"/>
          <w:color w:val="000000"/>
          <w:sz w:val="19"/>
        </w:rPr>
      </w:pPr>
      <w:r>
        <w:rPr>
          <w:rFonts w:ascii="sans-serif" w:hAnsi="sans-serif"/>
          <w:color w:val="000000"/>
          <w:sz w:val="1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sans-serif" w:hAnsi="sans-serif"/>
          <w:color w:val="000000"/>
          <w:sz w:val="19"/>
        </w:rPr>
      </w:pPr>
      <w:r>
        <w:rPr>
          <w:rFonts w:ascii="sans-serif" w:hAnsi="sans-serif"/>
          <w:color w:val="000000"/>
          <w:sz w:val="19"/>
        </w:rPr>
        <w:t>5)</w:t>
      </w:r>
    </w:p>
    <w:p>
      <w:pPr>
        <w:pStyle w:val="TextBody"/>
        <w:bidi w:val="0"/>
        <w:jc w:val="left"/>
        <w:rPr>
          <w:rFonts w:ascii="sans-serif" w:hAnsi="sans-serif"/>
          <w:color w:val="000000"/>
          <w:sz w:val="19"/>
        </w:rPr>
      </w:pPr>
      <w:r>
        <w:rPr>
          <w:rFonts w:ascii="sans-serif" w:hAnsi="sans-serif"/>
          <w:color w:val="000000"/>
          <w:sz w:val="1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 xml:space="preserve">b) Any fraud, whether or not material, that involves management or other employees who have a significant role in the registrant's internal control over financial reporting.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19"/>
          <w:u w:val="single"/>
        </w:rPr>
      </w:pPr>
      <w:r>
        <w:rPr>
          <w:rFonts w:ascii="sans-serif" w:hAnsi="sans-serif"/>
          <w:color w:val="000000"/>
          <w:sz w:val="19"/>
          <w:u w:val="single"/>
        </w:rPr>
        <w:t>/s/ David E. Bullwinkle</w:t>
      </w:r>
    </w:p>
    <w:p>
      <w:pPr>
        <w:pStyle w:val="TextBody"/>
        <w:bidi w:val="0"/>
        <w:jc w:val="left"/>
        <w:rPr>
          <w:rFonts w:ascii="sans-serif" w:hAnsi="sans-serif"/>
          <w:color w:val="000000"/>
          <w:sz w:val="19"/>
        </w:rPr>
      </w:pPr>
      <w:r>
        <w:rPr>
          <w:rFonts w:ascii="sans-serif" w:hAnsi="sans-serif"/>
          <w:color w:val="000000"/>
          <w:sz w:val="19"/>
        </w:rPr>
        <w:t>David E. Bullwinkle</w:t>
      </w:r>
    </w:p>
    <w:p>
      <w:pPr>
        <w:pStyle w:val="TextBody"/>
        <w:bidi w:val="0"/>
        <w:jc w:val="left"/>
        <w:rPr>
          <w:rFonts w:ascii="sans-serif" w:hAnsi="sans-serif"/>
          <w:sz w:val="19"/>
        </w:rPr>
      </w:pPr>
      <w:r>
        <w:rPr>
          <w:rFonts w:ascii="sans-serif" w:hAnsi="sans-serif"/>
          <w:color w:val="000000"/>
          <w:sz w:val="19"/>
        </w:rPr>
        <w:t xml:space="preserve">Chief Financial Officer </w:t>
      </w:r>
      <w:r>
        <w:rPr>
          <w:rFonts w:ascii="sans-serif" w:hAnsi="sans-serif"/>
          <w:color w:val="000000"/>
          <w:sz w:val="20"/>
        </w:rPr>
        <w:t>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19"/>
        </w:rPr>
      </w:pPr>
      <w:r>
        <w:rPr>
          <w:rFonts w:ascii="sans-serif" w:hAnsi="sans-serif"/>
          <w:color w:val="000000"/>
          <w:sz w:val="19"/>
        </w:rPr>
        <w:t>Date: November 3, 2026</w:t>
      </w:r>
    </w:p>
    <w:p>
      <w:pPr>
        <w:pStyle w:val="HorizontalLine"/>
        <w:pBdr>
          <w:bottom w:val="double" w:sz="2" w:space="0" w:color="808080"/>
        </w:pBdr>
        <w:bidi w:val="0"/>
        <w:spacing w:before="0" w:after="283"/>
        <w:jc w:val="left"/>
      </w:pPr>
      <w:r/>
    </w:p>
    <w:p>
      <w:pPr>
        <w:pStyle w:val="TextBody"/>
        <w:bidi w:val="0"/>
        <w:jc w:val="right"/>
      </w:pPr>
      <w:bookmarkStart w:id="62" w:name="kodk-ex32_1.htm"/>
      <w:bookmarkStart w:id="63" w:name="kskodkex32_1"/>
      <w:bookmarkEnd w:id="62"/>
      <w:bookmarkEnd w:id="63"/>
      <w: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jc w:val="center"/>
        <w:rPr>
          <w:rFonts w:ascii="sans-serif" w:hAnsi="sans-serif"/>
          <w:sz w:val="20"/>
        </w:rPr>
      </w:pPr>
      <w:r>
        <w:rPr>
          <w:rFonts w:ascii="sans-serif" w:hAnsi="sans-serif"/>
          <w:b/>
          <w:color w:val="000000"/>
          <w:sz w:val="20"/>
        </w:rPr>
        <w:t>CERTIFICATION PURSUANT TO</w:t>
      </w:r>
      <w:r>
        <w:rPr>
          <w:rFonts w:ascii="sans-serif" w:hAnsi="sans-serif"/>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sans-serif" w:hAnsi="sans-serif"/>
          <w:sz w:val="20"/>
        </w:rPr>
      </w:pPr>
      <w:r>
        <w:rPr>
          <w:rFonts w:ascii="sans-serif" w:hAnsi="sans-serif"/>
          <w:b/>
          <w:color w:val="000000"/>
          <w:sz w:val="20"/>
        </w:rPr>
        <w:t>AS ADOPTED PURSUANT TO</w:t>
      </w:r>
      <w:r>
        <w:rPr>
          <w:rFonts w:ascii="sans-serif" w:hAnsi="sans-serif"/>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center"/>
      </w:pPr>
      <w:r>
        <w:t>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September 30, 2026,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1) The Report fully complies with the requirements of section 13(a) or 15(d) of the Securities Exchange Act of 1934; and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2) The information contained in the Report fairly presents, in all material respects, the financial condition and results of operations of the Company.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0"/>
          <w:u w:val="single"/>
        </w:rPr>
      </w:pPr>
      <w:r>
        <w:rPr>
          <w:rFonts w:ascii="sans-serif" w:hAnsi="sans-serif"/>
          <w:color w:val="000000"/>
          <w:sz w:val="20"/>
          <w:u w:val="single"/>
        </w:rPr>
        <w:t>/s/ James V. Continenza</w:t>
      </w:r>
    </w:p>
    <w:p>
      <w:pPr>
        <w:pStyle w:val="TextBody"/>
        <w:bidi w:val="0"/>
        <w:jc w:val="left"/>
        <w:rPr>
          <w:rFonts w:ascii="sans-serif" w:hAnsi="sans-serif"/>
          <w:color w:val="000000"/>
          <w:sz w:val="20"/>
        </w:rPr>
      </w:pPr>
      <w:r>
        <w:rPr>
          <w:rFonts w:ascii="sans-serif" w:hAnsi="sans-serif"/>
          <w:color w:val="000000"/>
          <w:sz w:val="20"/>
        </w:rPr>
        <w:t>James V. Continenza</w:t>
      </w:r>
    </w:p>
    <w:p>
      <w:pPr>
        <w:pStyle w:val="TextBody"/>
        <w:bidi w:val="0"/>
        <w:jc w:val="left"/>
        <w:rPr>
          <w:rFonts w:ascii="sans-serif" w:hAnsi="sans-serif"/>
          <w:color w:val="000000"/>
          <w:sz w:val="20"/>
        </w:rPr>
      </w:pPr>
      <w:r>
        <w:rPr>
          <w:rFonts w:ascii="sans-serif" w:hAnsi="sans-serif"/>
          <w:color w:val="000000"/>
          <w:sz w:val="20"/>
        </w:rPr>
        <w:t>Executive Chairman and</w:t>
      </w:r>
    </w:p>
    <w:p>
      <w:pPr>
        <w:pStyle w:val="TextBody"/>
        <w:bidi w:val="0"/>
        <w:jc w:val="left"/>
        <w:rPr>
          <w:rFonts w:ascii="sans-serif" w:hAnsi="sans-serif"/>
          <w:color w:val="000000"/>
          <w:sz w:val="20"/>
        </w:rPr>
      </w:pPr>
      <w:r>
        <w:rPr>
          <w:rFonts w:ascii="sans-serif" w:hAnsi="sans-serif"/>
          <w:color w:val="000000"/>
          <w:sz w:val="20"/>
        </w:rPr>
        <w:t>Chief Executive Officer</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Date: November 3, 2026</w:t>
      </w:r>
    </w:p>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pPr>
      <w:bookmarkStart w:id="64" w:name="kodk-ex32_2.htm"/>
      <w:bookmarkStart w:id="65" w:name="kskodkex32_2"/>
      <w:bookmarkEnd w:id="64"/>
      <w:bookmarkEnd w:id="65"/>
      <w:r>
        <w:t> </w:t>
      </w:r>
      <w:r>
        <w:br w:type="page"/>
      </w:r>
    </w:p>
    <w:p>
      <w:pPr>
        <w:pStyle w:val="TextBody"/>
        <w:bidi w:val="0"/>
        <w:jc w:val="right"/>
        <w:rPr>
          <w:rFonts w:ascii="sans-serif" w:hAnsi="sans-serif"/>
          <w:sz w:val="20"/>
        </w:rPr>
      </w:pPr>
      <w:r>
        <w:rPr>
          <w:rFonts w:ascii="sans-serif" w:hAnsi="sans-serif"/>
          <w:b/>
          <w:color w:val="000000"/>
          <w:sz w:val="20"/>
        </w:rPr>
        <w:t>Exhibit (32.2)</w:t>
      </w:r>
      <w:r>
        <w:rPr>
          <w:rFonts w:ascii="sans-serif" w:hAnsi="sans-serif"/>
          <w:color w:val="000000"/>
          <w:sz w:val="20"/>
        </w:rPr>
        <w:t xml:space="preserve"> </w:t>
      </w:r>
    </w:p>
    <w:p>
      <w:pPr>
        <w:pStyle w:val="TextBody"/>
        <w:bidi w:val="0"/>
        <w:jc w:val="center"/>
        <w:rPr>
          <w:rFonts w:ascii="sans-serif" w:hAnsi="sans-serif"/>
          <w:sz w:val="20"/>
        </w:rPr>
      </w:pPr>
      <w:r>
        <w:rPr>
          <w:rFonts w:ascii="sans-serif" w:hAnsi="sans-serif"/>
          <w:b/>
          <w:color w:val="000000"/>
          <w:sz w:val="20"/>
        </w:rPr>
        <w:t>CERTIFICATION PURSUANT TO</w:t>
      </w:r>
      <w:r>
        <w:rPr>
          <w:rFonts w:ascii="sans-serif" w:hAnsi="sans-serif"/>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18 U.S.C. Section 1350,</w:t>
      </w:r>
    </w:p>
    <w:p>
      <w:pPr>
        <w:pStyle w:val="TextBody"/>
        <w:bidi w:val="0"/>
        <w:jc w:val="center"/>
        <w:rPr>
          <w:rFonts w:ascii="sans-serif" w:hAnsi="sans-serif"/>
          <w:sz w:val="20"/>
        </w:rPr>
      </w:pPr>
      <w:r>
        <w:rPr>
          <w:rFonts w:ascii="sans-serif" w:hAnsi="sans-serif"/>
          <w:b/>
          <w:color w:val="000000"/>
          <w:sz w:val="20"/>
        </w:rPr>
        <w:t>AS ADOPTED PURSUANT TO</w:t>
      </w:r>
      <w:r>
        <w:rPr>
          <w:rFonts w:ascii="sans-serif" w:hAnsi="sans-serif"/>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In connection with the Quarterly Report of Eastman Kodak Company (the "Company") on Form 10-Q for the period ended September 30, 2026,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1) The Report fully complies with the requirements of section 13(a) or 15(d) of the Securities Exchange Act of 1934; and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 xml:space="preserve">2) The information contained in the Report fairly presents, in all material respects, the financial condition and results of operations of the Company.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0"/>
          <w:u w:val="single"/>
        </w:rPr>
      </w:pPr>
      <w:r>
        <w:rPr>
          <w:rFonts w:ascii="sans-serif" w:hAnsi="sans-serif"/>
          <w:color w:val="000000"/>
          <w:sz w:val="20"/>
          <w:u w:val="single"/>
        </w:rPr>
        <w:t>/s/ David E. Bullwinkle</w:t>
      </w:r>
    </w:p>
    <w:p>
      <w:pPr>
        <w:pStyle w:val="TextBody"/>
        <w:bidi w:val="0"/>
        <w:jc w:val="left"/>
        <w:rPr>
          <w:rFonts w:ascii="sans-serif" w:hAnsi="sans-serif"/>
          <w:color w:val="000000"/>
          <w:sz w:val="20"/>
        </w:rPr>
      </w:pPr>
      <w:r>
        <w:rPr>
          <w:rFonts w:ascii="sans-serif" w:hAnsi="sans-serif"/>
          <w:color w:val="000000"/>
          <w:sz w:val="20"/>
        </w:rPr>
        <w:t>David E. Bullwinkle</w:t>
      </w:r>
    </w:p>
    <w:p>
      <w:pPr>
        <w:pStyle w:val="TextBody"/>
        <w:bidi w:val="0"/>
        <w:jc w:val="left"/>
        <w:rPr>
          <w:rFonts w:ascii="sans-serif" w:hAnsi="sans-serif"/>
          <w:color w:val="000000"/>
          <w:sz w:val="20"/>
        </w:rPr>
      </w:pPr>
      <w:r>
        <w:rPr>
          <w:rFonts w:ascii="sans-serif" w:hAnsi="sans-serif"/>
          <w:color w:val="000000"/>
          <w:sz w:val="20"/>
        </w:rPr>
        <w:t>Chief Financial Officer and</w:t>
      </w:r>
    </w:p>
    <w:p>
      <w:pPr>
        <w:pStyle w:val="TextBody"/>
        <w:bidi w:val="0"/>
        <w:jc w:val="left"/>
        <w:rPr>
          <w:rFonts w:ascii="sans-serif" w:hAnsi="sans-serif"/>
          <w:color w:val="000000"/>
          <w:sz w:val="20"/>
        </w:rPr>
      </w:pPr>
      <w:r>
        <w:rPr>
          <w:rFonts w:ascii="sans-serif" w:hAnsi="sans-serif"/>
          <w:color w:val="000000"/>
          <w:sz w:val="20"/>
        </w:rPr>
        <w:t>Senior Vice President</w:t>
      </w:r>
    </w:p>
    <w:p>
      <w:pPr>
        <w:pStyle w:val="TextBody"/>
        <w:bidi w:val="0"/>
        <w:jc w:val="left"/>
      </w:pPr>
      <w:r>
        <w:t> </w:t>
      </w:r>
    </w:p>
    <w:p>
      <w:pPr>
        <w:pStyle w:val="TextBody"/>
        <w:bidi w:val="0"/>
        <w:jc w:val="left"/>
      </w:pPr>
      <w:r>
        <w:t> </w:t>
      </w:r>
    </w:p>
    <w:p>
      <w:pPr>
        <w:pStyle w:val="TextBody"/>
        <w:bidi w:val="0"/>
        <w:jc w:val="left"/>
        <w:rPr>
          <w:rFonts w:ascii="sans-serif" w:hAnsi="sans-serif"/>
          <w:color w:val="000000"/>
          <w:sz w:val="20"/>
        </w:rPr>
      </w:pPr>
      <w:r>
        <w:rPr>
          <w:rFonts w:ascii="sans-serif" w:hAnsi="sans-serif"/>
          <w:color w:val="000000"/>
          <w:sz w:val="20"/>
        </w:rPr>
        <w:t>Date: November 3, 2026</w:t>
      </w:r>
    </w:p>
    <w:p>
      <w:pPr>
        <w:pStyle w:val="TextBody"/>
        <w:bidi w:val="0"/>
        <w:jc w:val="left"/>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1235/000119312513354928/d591063dex41.htm" TargetMode="External"/><Relationship Id="rId3" Type="http://schemas.openxmlformats.org/officeDocument/2006/relationships/hyperlink" Target="https://www.sec.gov/Archives/edgar/data/31235/000156459016029358/kodk-ex31_26.htm" TargetMode="External"/><Relationship Id="rId4" Type="http://schemas.openxmlformats.org/officeDocument/2006/relationships/hyperlink" Target="https://www.sec.gov/Archives/edgar/data/31235/000119312519243935/d803063dex31.htm" TargetMode="External"/><Relationship Id="rId5" Type="http://schemas.openxmlformats.org/officeDocument/2006/relationships/hyperlink" Target="https://www.sec.gov/Archives/edgar/data/31235/000119312519243935/d803063dex32.htm" TargetMode="External"/><Relationship Id="rId6" Type="http://schemas.openxmlformats.org/officeDocument/2006/relationships/hyperlink" Target="https://www.sec.gov/Archives/edgar/data/31235/000156459020058718/kodk-ex31_14.htm" TargetMode="External"/><Relationship Id="rId7" Type="http://schemas.openxmlformats.org/officeDocument/2006/relationships/hyperlink" Target="https://www.sec.gov/Archives/edgar/data/31235/000119312521062328/d468860dex31.htm" TargetMode="External"/><Relationship Id="rId8" Type="http://schemas.openxmlformats.org/officeDocument/2006/relationships/hyperlink" Target="https://www.sec.gov/Archives/edgar/data/31235/000119312521062328/d468860dex32.htm" TargetMode="External"/><Relationship Id="rId9" Type="http://schemas.openxmlformats.org/officeDocument/2006/relationships/hyperlink" Target="https://www.sec.gov/Archives/edgar/data/31235/000119312526104214/kodk-ex3_8.htm" TargetMode="External"/><Relationship Id="rId10" Type="http://schemas.openxmlformats.org/officeDocument/2006/relationships/hyperlink" Target="https://www.sec.gov/Archives/edgar/data/31235/000156459020024666/kodk-ex35_3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23503</Words>
  <Characters>125908</Characters>
  <CharactersWithSpaces>152981</CharactersWithSpaces>
  <Paragraphs>10610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