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11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125730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6" w:lineRule="exact"/>
        <w:rPr>
          <w:sz w:val="24"/>
          <w:szCs w:val="24"/>
          <w:color w:val="auto"/>
        </w:rPr>
      </w:pPr>
    </w:p>
    <w:p>
      <w:pPr>
        <w:ind w:left="1900" w:hanging="836"/>
        <w:spacing w:after="0"/>
        <w:tabs>
          <w:tab w:leader="none" w:pos="19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1880" w:hanging="832"/>
        <w:spacing w:after="0"/>
        <w:tabs>
          <w:tab w:leader="none" w:pos="18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4"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EASTMAN KODAK COMPANY</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300" w:type="dxa"/>
            <w:vAlign w:val="bottom"/>
          </w:tcPr>
          <w:p>
            <w:pPr>
              <w:jc w:val="center"/>
              <w:ind w:right="1299"/>
              <w:spacing w:after="0"/>
              <w:rPr>
                <w:sz w:val="20"/>
                <w:szCs w:val="20"/>
                <w:color w:val="auto"/>
              </w:rPr>
            </w:pPr>
            <w:r>
              <w:rPr>
                <w:rFonts w:ascii="Arial" w:cs="Arial" w:eastAsia="Arial" w:hAnsi="Arial"/>
                <w:sz w:val="18"/>
                <w:szCs w:val="18"/>
                <w:b w:val="1"/>
                <w:bCs w:val="1"/>
                <w:color w:val="auto"/>
                <w:w w:val="98"/>
              </w:rPr>
              <w:t>NEW JERSEY</w:t>
            </w:r>
          </w:p>
        </w:tc>
        <w:tc>
          <w:tcPr>
            <w:tcW w:w="3480" w:type="dxa"/>
            <w:vAlign w:val="bottom"/>
          </w:tcPr>
          <w:p>
            <w:pPr>
              <w:jc w:val="right"/>
              <w:ind w:right="539"/>
              <w:spacing w:after="0"/>
              <w:rPr>
                <w:sz w:val="20"/>
                <w:szCs w:val="20"/>
                <w:color w:val="auto"/>
              </w:rPr>
            </w:pPr>
            <w:r>
              <w:rPr>
                <w:rFonts w:ascii="Arial" w:cs="Arial" w:eastAsia="Arial" w:hAnsi="Arial"/>
                <w:sz w:val="18"/>
                <w:szCs w:val="18"/>
                <w:b w:val="1"/>
                <w:bCs w:val="1"/>
                <w:color w:val="auto"/>
              </w:rPr>
              <w:t>16-0417150</w:t>
            </w:r>
          </w:p>
        </w:tc>
      </w:tr>
      <w:tr>
        <w:trPr>
          <w:trHeight w:val="191"/>
        </w:trPr>
        <w:tc>
          <w:tcPr>
            <w:tcW w:w="5300" w:type="dxa"/>
            <w:vAlign w:val="bottom"/>
          </w:tcPr>
          <w:p>
            <w:pPr>
              <w:jc w:val="center"/>
              <w:ind w:right="1299"/>
              <w:spacing w:after="0"/>
              <w:rPr>
                <w:sz w:val="20"/>
                <w:szCs w:val="20"/>
                <w:color w:val="auto"/>
              </w:rPr>
            </w:pPr>
            <w:r>
              <w:rPr>
                <w:rFonts w:ascii="Arial" w:cs="Arial" w:eastAsia="Arial" w:hAnsi="Arial"/>
                <w:sz w:val="14"/>
                <w:szCs w:val="14"/>
                <w:b w:val="1"/>
                <w:bCs w:val="1"/>
                <w:color w:val="auto"/>
                <w:w w:val="93"/>
              </w:rPr>
              <w:t>(State of incorporation)</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23"/>
        </w:trPr>
        <w:tc>
          <w:tcPr>
            <w:tcW w:w="5300" w:type="dxa"/>
            <w:vAlign w:val="bottom"/>
          </w:tcPr>
          <w:p>
            <w:pPr>
              <w:jc w:val="center"/>
              <w:ind w:right="127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3480" w:type="dxa"/>
            <w:vAlign w:val="bottom"/>
          </w:tcPr>
          <w:p>
            <w:pPr>
              <w:jc w:val="right"/>
              <w:ind w:right="759"/>
              <w:spacing w:after="0"/>
              <w:rPr>
                <w:sz w:val="20"/>
                <w:szCs w:val="20"/>
                <w:color w:val="auto"/>
              </w:rPr>
            </w:pPr>
            <w:r>
              <w:rPr>
                <w:rFonts w:ascii="Arial" w:cs="Arial" w:eastAsia="Arial" w:hAnsi="Arial"/>
                <w:sz w:val="18"/>
                <w:szCs w:val="18"/>
                <w:b w:val="1"/>
                <w:bCs w:val="1"/>
                <w:color w:val="auto"/>
              </w:rPr>
              <w:t>14650</w:t>
            </w:r>
          </w:p>
        </w:tc>
      </w:tr>
      <w:tr>
        <w:trPr>
          <w:trHeight w:val="191"/>
        </w:trPr>
        <w:tc>
          <w:tcPr>
            <w:tcW w:w="5300" w:type="dxa"/>
            <w:vAlign w:val="bottom"/>
          </w:tcPr>
          <w:p>
            <w:pPr>
              <w:jc w:val="center"/>
              <w:ind w:right="1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5"/>
          </w:tcPr>
          <w:p>
            <w:pPr>
              <w:spacing w:after="0"/>
              <w:rPr>
                <w:sz w:val="20"/>
                <w:szCs w:val="20"/>
                <w:color w:val="auto"/>
              </w:rPr>
            </w:pPr>
            <w:r>
              <w:rPr>
                <w:rFonts w:ascii="Arial" w:cs="Arial" w:eastAsia="Arial" w:hAnsi="Arial"/>
                <w:sz w:val="18"/>
                <w:szCs w:val="18"/>
                <w:color w:val="auto"/>
                <w:w w:val="95"/>
              </w:rPr>
              <w:t>Securities registered pursuant to Section 12 (b) of the Act:</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19"/>
        </w:trPr>
        <w:tc>
          <w:tcPr>
            <w:tcW w:w="1040" w:type="dxa"/>
            <w:vAlign w:val="bottom"/>
          </w:tcPr>
          <w:p>
            <w:pPr>
              <w:spacing w:after="0"/>
              <w:rPr>
                <w:sz w:val="24"/>
                <w:szCs w:val="24"/>
                <w:color w:val="auto"/>
              </w:rPr>
            </w:pPr>
          </w:p>
        </w:tc>
        <w:tc>
          <w:tcPr>
            <w:tcW w:w="3400" w:type="dxa"/>
            <w:vAlign w:val="bottom"/>
            <w:gridSpan w:val="4"/>
          </w:tcPr>
          <w:p>
            <w:pPr>
              <w:jc w:val="center"/>
              <w:ind w:right="2100"/>
              <w:spacing w:after="0"/>
              <w:rPr>
                <w:sz w:val="20"/>
                <w:szCs w:val="20"/>
                <w:color w:val="auto"/>
              </w:rPr>
            </w:pPr>
            <w:r>
              <w:rPr>
                <w:rFonts w:ascii="Arial" w:cs="Arial" w:eastAsia="Arial" w:hAnsi="Arial"/>
                <w:sz w:val="18"/>
                <w:szCs w:val="18"/>
                <w:color w:val="auto"/>
                <w:w w:val="90"/>
              </w:rPr>
              <w:t>Title of each class</w:t>
            </w:r>
          </w:p>
        </w:tc>
        <w:tc>
          <w:tcPr>
            <w:tcW w:w="240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Trading Symbol (s)</w:t>
            </w:r>
          </w:p>
        </w:tc>
        <w:tc>
          <w:tcPr>
            <w:tcW w:w="396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Name of each exchange on which registered</w:t>
            </w:r>
          </w:p>
        </w:tc>
      </w:tr>
      <w:tr>
        <w:trPr>
          <w:trHeight w:val="439"/>
        </w:trPr>
        <w:tc>
          <w:tcPr>
            <w:tcW w:w="10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c>
          <w:tcPr>
            <w:tcW w:w="30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r>
      <w:tr>
        <w:trPr>
          <w:trHeight w:val="237"/>
        </w:trPr>
        <w:tc>
          <w:tcPr>
            <w:tcW w:w="4440" w:type="dxa"/>
            <w:vAlign w:val="bottom"/>
            <w:gridSpan w:val="5"/>
          </w:tcPr>
          <w:p>
            <w:pPr>
              <w:jc w:val="center"/>
              <w:ind w:right="1040"/>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tcPr>
          <w:p>
            <w:pPr>
              <w:spacing w:after="0"/>
              <w:rPr>
                <w:sz w:val="20"/>
                <w:szCs w:val="20"/>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8"/>
                <w:szCs w:val="18"/>
                <w:color w:val="auto"/>
              </w:rPr>
              <w:t>KODK</w:t>
            </w:r>
          </w:p>
        </w:tc>
        <w:tc>
          <w:tcPr>
            <w:tcW w:w="7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96"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10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660"/>
        <w:spacing w:after="0" w:line="31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1, 2019, the registrant had 43,015,101 shares of common stock, par value $0.01 per share, outstanding.</w:t>
      </w: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440" w:top="661"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2019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40" w:type="dxa"/>
            <w:vAlign w:val="bottom"/>
            <w:gridSpan w:val="4"/>
            <w:vMerge w:val="restart"/>
          </w:tcPr>
          <w:p>
            <w:pPr>
              <w:jc w:val="center"/>
              <w:ind w:right="240"/>
              <w:spacing w:after="0"/>
              <w:rPr>
                <w:sz w:val="20"/>
                <w:szCs w:val="20"/>
                <w:color w:val="auto"/>
              </w:rPr>
            </w:pPr>
            <w:r>
              <w:rPr>
                <w:rFonts w:ascii="Arial" w:cs="Arial" w:eastAsia="Arial" w:hAnsi="Arial"/>
                <w:sz w:val="18"/>
                <w:szCs w:val="18"/>
                <w:b w:val="1"/>
                <w:bCs w:val="1"/>
                <w:color w:val="auto"/>
                <w:w w:val="95"/>
              </w:rPr>
              <w:t>Part I.—Financial Information</w:t>
            </w:r>
          </w:p>
        </w:tc>
        <w:tc>
          <w:tcPr>
            <w:tcW w:w="4240" w:type="dxa"/>
            <w:vAlign w:val="bottom"/>
          </w:tcPr>
          <w:p>
            <w:pPr>
              <w:ind w:left="37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40" w:type="dxa"/>
            <w:vAlign w:val="bottom"/>
            <w:gridSpan w:val="4"/>
            <w:vMerge w:val="continue"/>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tcPr>
          <w:p>
            <w:pPr>
              <w:spacing w:after="0"/>
              <w:rPr>
                <w:sz w:val="19"/>
                <w:szCs w:val="19"/>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 of Operations (Unaudited)</w:t>
              </w:r>
            </w:hyperlink>
          </w:p>
        </w:tc>
        <w:tc>
          <w:tcPr>
            <w:tcW w:w="2800" w:type="dxa"/>
            <w:vAlign w:val="bottom"/>
            <w:gridSpan w:val="5"/>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64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(Loss) Income (Unaudited)</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41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900" w:type="dxa"/>
            <w:vAlign w:val="bottom"/>
            <w:tcBorders>
              <w:top w:val="single" w:sz="8" w:color="0000EE"/>
            </w:tcBorders>
          </w:tcPr>
          <w:p>
            <w:pPr>
              <w:spacing w:after="0"/>
              <w:rPr>
                <w:sz w:val="19"/>
                <w:szCs w:val="19"/>
                <w:color w:val="auto"/>
              </w:rPr>
            </w:pPr>
          </w:p>
        </w:tc>
        <w:tc>
          <w:tcPr>
            <w:tcW w:w="1380" w:type="dxa"/>
            <w:vAlign w:val="bottom"/>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2740" w:type="dxa"/>
            <w:vAlign w:val="bottom"/>
            <w:gridSpan w:val="4"/>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3"/>
        </w:trPr>
        <w:tc>
          <w:tcPr>
            <w:tcW w:w="7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 (Unaudited)</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23"/>
        </w:trPr>
        <w:tc>
          <w:tcPr>
            <w:tcW w:w="7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Liquidity and Capital Resources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23"/>
        </w:trPr>
        <w:tc>
          <w:tcPr>
            <w:tcW w:w="740" w:type="dxa"/>
            <w:vAlign w:val="bottom"/>
            <w:vMerge w:val="continue"/>
          </w:tcPr>
          <w:p>
            <w:pPr>
              <w:spacing w:after="0"/>
              <w:rPr>
                <w:sz w:val="19"/>
                <w:szCs w:val="19"/>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4140" w:type="dxa"/>
            <w:vAlign w:val="bottom"/>
            <w:gridSpan w:val="7"/>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358"/>
        </w:trPr>
        <w:tc>
          <w:tcPr>
            <w:tcW w:w="7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Part II. —Other Information</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5120" w:type="dxa"/>
            <w:vAlign w:val="bottom"/>
            <w:gridSpan w:val="10"/>
          </w:tcPr>
          <w:p>
            <w:pPr>
              <w:spacing w:after="0"/>
              <w:rPr>
                <w:sz w:val="24"/>
                <w:szCs w:val="24"/>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646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7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 w:type="dxa"/>
            <w:vAlign w:val="bottom"/>
            <w:vMerge w:val="continue"/>
          </w:tcPr>
          <w:p>
            <w:pPr>
              <w:spacing w:after="0"/>
              <w:rPr>
                <w:sz w:val="19"/>
                <w:szCs w:val="19"/>
                <w:color w:val="auto"/>
              </w:rPr>
            </w:pPr>
          </w:p>
        </w:tc>
        <w:tc>
          <w:tcPr>
            <w:tcW w:w="6460" w:type="dxa"/>
            <w:vAlign w:val="bottom"/>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Unregistered Sales of Securities and Use of Proceeds</w:t>
              </w:r>
            </w:hyperlink>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2640" w:type="dxa"/>
            <w:vAlign w:val="bottom"/>
            <w:gridSpan w:val="3"/>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Exhibits</w:t>
              </w:r>
            </w:hyperlink>
          </w:p>
        </w:tc>
        <w:tc>
          <w:tcPr>
            <w:tcW w:w="5860" w:type="dxa"/>
            <w:vAlign w:val="bottom"/>
            <w:gridSpan w:val="15"/>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466"/>
        </w:trPr>
        <w:tc>
          <w:tcPr>
            <w:tcW w:w="74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Index to Exhibits</w:t>
              </w:r>
            </w:hyperlink>
          </w:p>
        </w:tc>
        <w:tc>
          <w:tcPr>
            <w:tcW w:w="5220" w:type="dxa"/>
            <w:vAlign w:val="bottom"/>
            <w:gridSpan w:val="12"/>
          </w:tcPr>
          <w:p>
            <w:pPr>
              <w:spacing w:after="0"/>
              <w:rPr>
                <w:sz w:val="24"/>
                <w:szCs w:val="24"/>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5700" w:type="dxa"/>
            <w:vAlign w:val="bottom"/>
            <w:gridSpan w:val="14"/>
          </w:tcPr>
          <w:p>
            <w:pPr>
              <w:spacing w:after="0"/>
              <w:rPr>
                <w:sz w:val="19"/>
                <w:szCs w:val="19"/>
                <w:color w:val="auto"/>
              </w:rPr>
            </w:pPr>
          </w:p>
        </w:tc>
        <w:tc>
          <w:tcPr>
            <w:tcW w:w="4240" w:type="dxa"/>
            <w:vAlign w:val="bottom"/>
          </w:tcPr>
          <w:p>
            <w:pPr>
              <w:jc w:val="center"/>
              <w:ind w:left="357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939"/>
        </w:trPr>
        <w:tc>
          <w:tcPr>
            <w:tcW w:w="740" w:type="dxa"/>
            <w:vAlign w:val="bottom"/>
          </w:tcPr>
          <w:p>
            <w:pPr>
              <w:spacing w:after="0"/>
              <w:rPr>
                <w:sz w:val="24"/>
                <w:szCs w:val="24"/>
                <w:color w:val="auto"/>
              </w:rPr>
            </w:pPr>
          </w:p>
        </w:tc>
        <w:tc>
          <w:tcPr>
            <w:tcW w:w="5080" w:type="dxa"/>
            <w:vAlign w:val="bottom"/>
            <w:gridSpan w:val="15"/>
          </w:tcPr>
          <w:p>
            <w:pPr>
              <w:jc w:val="center"/>
              <w:ind w:left="4770"/>
              <w:spacing w:after="0"/>
              <w:rPr>
                <w:sz w:val="20"/>
                <w:szCs w:val="20"/>
                <w:color w:val="auto"/>
              </w:rPr>
            </w:pPr>
            <w:r>
              <w:rPr>
                <w:rFonts w:ascii="Arial" w:cs="Arial" w:eastAsia="Arial" w:hAnsi="Arial"/>
                <w:sz w:val="18"/>
                <w:szCs w:val="18"/>
                <w:color w:val="auto"/>
              </w:rPr>
              <w:t>[2]</w:t>
            </w:r>
          </w:p>
        </w:tc>
        <w:tc>
          <w:tcPr>
            <w:tcW w:w="1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2640" w:type="dxa"/>
            <w:vAlign w:val="bottom"/>
            <w:gridSpan w:val="5"/>
            <w:vMerge w:val="restart"/>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vMerge w:val="restart"/>
          </w:tcPr>
          <w:p>
            <w:pPr>
              <w:jc w:val="right"/>
              <w:ind w:right="9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9"/>
                <w:szCs w:val="19"/>
                <w:color w:val="auto"/>
              </w:rPr>
            </w:pP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pension income excluding service cost component,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other (income) charges, net and income taxes</w:t>
            </w:r>
          </w:p>
        </w:tc>
        <w:tc>
          <w:tcPr>
            <w:tcW w:w="9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Pension income excluding service cost component</w:t>
            </w: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 before</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w:t>
            </w: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and diluted (loss) income per share attributable</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to Eastman Kodak Company common shareholders: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960" w:type="dxa"/>
            <w:vAlign w:val="bottom"/>
            <w:shd w:val="clear" w:color="auto" w:fill="CFF0FC"/>
          </w:tcPr>
          <w:p>
            <w:pPr>
              <w:jc w:val="right"/>
              <w:ind w:right="80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(0.25)</w:t>
            </w:r>
          </w:p>
        </w:tc>
        <w:tc>
          <w:tcPr>
            <w:tcW w:w="106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(0.65)</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Discontinued operations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(0.02)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Number of common shares used in basic and diluted net</w:t>
            </w: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loss per share</w:t>
            </w: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32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112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(20)</w:t>
            </w: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$8 and $9, respectively</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$443 and $422,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1,431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3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portion of operating leases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 (deficit)</w:t>
            </w: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1,431</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earnings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derivatives in the Series A Preferred Stock and</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Notes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Provision for deferred income taxes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trade payables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sales of businesses/assets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Term Credit Agreement</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Convertible Notes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borrowings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finance leases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restricted cash and cash in assets held for sale, beginning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restricted cash and cash in assets held for sale,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7"/>
                <w:szCs w:val="17"/>
                <w:b w:val="1"/>
                <w:bCs w:val="1"/>
                <w:color w:val="auto"/>
                <w:w w:val="91"/>
              </w:rPr>
              <w:t>Six-Month Period Ending June 30, 2019</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7"/>
                <w:szCs w:val="17"/>
                <w:b w:val="1"/>
                <w:bCs w:val="1"/>
                <w:color w:val="auto"/>
                <w:w w:val="95"/>
              </w:rPr>
              <w:t>Eastman Kodak Company Common Shareholders</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Redeemable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Paid in</w:t>
            </w:r>
          </w:p>
        </w:tc>
        <w:tc>
          <w:tcPr>
            <w:tcW w:w="60" w:type="dxa"/>
            <w:vAlign w:val="bottom"/>
          </w:tcPr>
          <w:p>
            <w:pPr>
              <w:spacing w:after="0"/>
              <w:rPr>
                <w:sz w:val="12"/>
                <w:szCs w:val="12"/>
                <w:color w:val="auto"/>
              </w:rPr>
            </w:pP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1"/>
        </w:trPr>
        <w:tc>
          <w:tcPr>
            <w:tcW w:w="370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2018</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right w:val="single" w:sz="8" w:color="auto"/>
            </w:tcBorders>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617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7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of ASU 2016-02</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2019</w:t>
            </w: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earnings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w:t>
            </w: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7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2019</w:t>
            </w: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11"/>
          </w:tcPr>
          <w:p>
            <w:pPr>
              <w:jc w:val="right"/>
              <w:ind w:right="300"/>
              <w:spacing w:after="0"/>
              <w:rPr>
                <w:sz w:val="20"/>
                <w:szCs w:val="20"/>
                <w:color w:val="auto"/>
              </w:rPr>
            </w:pPr>
            <w:r>
              <w:rPr>
                <w:rFonts w:ascii="Arial" w:cs="Arial" w:eastAsia="Arial" w:hAnsi="Arial"/>
                <w:sz w:val="17"/>
                <w:szCs w:val="17"/>
                <w:b w:val="1"/>
                <w:bCs w:val="1"/>
                <w:color w:val="auto"/>
                <w:w w:val="92"/>
              </w:rPr>
              <w:t>Six-Month Period Ending June 30, 2018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13"/>
          </w:tcPr>
          <w:p>
            <w:pPr>
              <w:jc w:val="right"/>
              <w:ind w:right="480"/>
              <w:spacing w:after="0"/>
              <w:rPr>
                <w:sz w:val="20"/>
                <w:szCs w:val="20"/>
                <w:color w:val="auto"/>
              </w:rPr>
            </w:pPr>
            <w:r>
              <w:rPr>
                <w:rFonts w:ascii="Arial" w:cs="Arial" w:eastAsia="Arial" w:hAnsi="Arial"/>
                <w:sz w:val="17"/>
                <w:szCs w:val="17"/>
                <w:b w:val="1"/>
                <w:bCs w:val="1"/>
                <w:color w:val="auto"/>
                <w:w w:val="94"/>
              </w:rPr>
              <w:t>Eastman Kodak Company Common Shareholders</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Redeemable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Paid in</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1"/>
        </w:trPr>
        <w:tc>
          <w:tcPr>
            <w:tcW w:w="3300" w:type="dxa"/>
            <w:vAlign w:val="bottom"/>
            <w:vMerge w:val="restart"/>
          </w:tcPr>
          <w:p>
            <w:pPr>
              <w:spacing w:after="0"/>
              <w:rPr>
                <w:sz w:val="20"/>
                <w:szCs w:val="20"/>
                <w:color w:val="auto"/>
              </w:rPr>
            </w:pPr>
            <w:r>
              <w:rPr>
                <w:rFonts w:ascii="Arial" w:cs="Arial" w:eastAsia="Arial" w:hAnsi="Arial"/>
                <w:sz w:val="17"/>
                <w:szCs w:val="17"/>
                <w:color w:val="auto"/>
              </w:rPr>
              <w:t>Equity (deficit) as of December 31, 2017</w:t>
            </w:r>
          </w:p>
        </w:tc>
        <w:tc>
          <w:tcPr>
            <w:tcW w:w="360" w:type="dxa"/>
            <w:vAlign w:val="bottom"/>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631</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57</w:t>
            </w:r>
          </w:p>
        </w:tc>
        <w:tc>
          <w:tcPr>
            <w:tcW w:w="240" w:type="dxa"/>
            <w:vAlign w:val="bottom"/>
            <w:tcBorders>
              <w:right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7"/>
                <w:szCs w:val="17"/>
                <w:color w:val="auto"/>
              </w:rPr>
              <w:t>Other comprehensive loss (net of tax):</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0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80"/>
              <w:spacing w:after="0"/>
              <w:rPr>
                <w:sz w:val="20"/>
                <w:szCs w:val="20"/>
                <w:color w:val="auto"/>
              </w:rPr>
            </w:pPr>
            <w:r>
              <w:rPr>
                <w:rFonts w:ascii="Arial" w:cs="Arial" w:eastAsia="Arial" w:hAnsi="Arial"/>
                <w:sz w:val="17"/>
                <w:szCs w:val="17"/>
                <w:color w:val="auto"/>
              </w:rPr>
              <w:t>liability adjustments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 dividends</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7"/>
                <w:szCs w:val="17"/>
                <w:color w:val="auto"/>
              </w:rPr>
              <w:t>Series A preferred stock deemed dividends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7"/>
                <w:szCs w:val="17"/>
                <w:color w:val="auto"/>
              </w:rPr>
              <w:t>Prior period adjustment due to adoption</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140"/>
              <w:spacing w:after="0"/>
              <w:rPr>
                <w:sz w:val="20"/>
                <w:szCs w:val="20"/>
                <w:color w:val="auto"/>
              </w:rPr>
            </w:pPr>
            <w:r>
              <w:rPr>
                <w:rFonts w:ascii="Arial" w:cs="Arial" w:eastAsia="Arial" w:hAnsi="Arial"/>
                <w:sz w:val="17"/>
                <w:szCs w:val="17"/>
                <w:color w:val="auto"/>
              </w:rPr>
              <w:t>of ASU 2014-09</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Equity (deficit) as of March 31, 2018</w:t>
            </w:r>
          </w:p>
        </w:tc>
        <w:tc>
          <w:tcPr>
            <w:tcW w:w="36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vMerge w:val="continue"/>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14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14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earnings</w:t>
            </w:r>
          </w:p>
        </w:tc>
        <w:tc>
          <w:tcPr>
            <w:tcW w:w="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liability adjustments</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dividends</w:t>
            </w: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2018</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2018 (the “2018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2019 and December 31, 2018, Kodak had approximately $216 million and $246 million, respectively, of cash and cash equivalents. $90 million and $117 million was held in the U.S. as of June 30, 2019 and December 31, 2018, respectively, and $126 million and $129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June 30, 2019 and December 31, 2018 were $426 million and $390 million, respectively, which includes short-term intercompany loans from Kodak’s international finance center of $128 million and $92 million as of June 30, 2019 and December 31, 2018, respectively. In China, where approximately $59 million and $72 million of cash and cash equivalents was held as of June 30, 2019 and December 31, 2018, respectively, there are limitations related to net asset balances that may impact the ability to make cash available to other jurisdictions in the world. Kodak had a net decrease in cash, cash equivalents, restricted cash and cash in assets held for sale of $9 million and $102 million for the six months ended June 30, 2019 and the year ended December 31, 2018, respectively, and used $13 million and $49 million in operating activities for the six months ended June 30, 2019 and 2018, respectively.</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 is facing liquidity challenges due to operating losses and negative cash flow. Kodak has eliminated current debt service requirements by paying down the Senior Secured First Lien Term Credit Agreement (the “Term Credit Agreement”) using proceeds from the sale of Kodak’s Flexographic Packaging business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additional asset sales and paring investment in new technology by eliminating or delaying product development programs. The current cash balance outside of China, recent trend of negative cash flow and lack of certainty regarding the return to positive cash flow raise substantial doubt about Kodak’s ability to continue as a going concern</w:t>
      </w:r>
      <w:r>
        <w:rPr>
          <w:rFonts w:ascii="Arial" w:cs="Arial" w:eastAsia="Arial" w:hAnsi="Arial"/>
          <w:sz w:val="17"/>
          <w:szCs w:val="17"/>
          <w:b w:val="1"/>
          <w:bCs w:val="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2019. In addition to the changes in segment reporting under the new organization structure there is a change in the segment measure of profitability. The segment measure of profitability was changed to exclude the costs, net of any rental income received, of underutilized portions of certain properties. Additionally, the allocation of costs from Eastman Business Park (“EBP”) to the Brand, Film and Imaging segment and Advanced Materials and 3D Printing Technology segment as tenants of EBP and to each of the segments as users of shared corporate space at the global headquarters changed. Refer to Note 21, “Segment Information” for additional information.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February 2018, the Financial Accounting Standards Board (“FASB”) issued Accounting Standard Update (“ASU”) 2018-02, “Income Statement— 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Kodak adopted the new standard on January 1, 2019. The adoption of this ASU did not have an impact on the Consolidated Financial Statements as a result of Kodak’s U.S. valuation allowance.</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February 2016, the FASB issued ASU 2016-02, Leases (Topic 842). Topic 842 (as amended by ASU’s 2018-01, 10, 11 and 20 and ASU 2019-01) requires lessees to recognize most leases on their balance sheets as lease liabilities with corresponding right-of-use assets and eliminates certain real estate-specific provisions. The new standard requires lessors to account for leases using an approach that is substantially equivalent to existing guidance for sales-type leases and operating leases. The new leasing standard is effective for fiscal years, and for interim periods within those fiscal years, beginning after December 15, 2018 (January 1, 2019 for Kodak). The original guidance required application on a modified retrospective basis to the earliest period presented. ASU 2018-11, Targeted improvements to ASC 842, includes an option to not restate comparative periods in transition and elect to use the effective date of ASC 842 as the date of initial application of transition. Kodak adopted the new standard on the effective date applying the new transition method allowed under ASU 2018-11. Kodak elected the package of practical expedients which permitted Kodak to not reassess (1) whether any expired or existing contracts are or contain leases, (2) the lease classification for any existing leases, and (3) any initial direct costs for any existing leases as of the effective date. Kodak did not elect the hindsight practical expedient which permits entities to use hindsight in determining the lease term and assessing impairment. The adoption of the amended lease guidance increased the assets and liabilities recorded in the Consolidated Statement of Financial Position due to the recognition of right-of-use assets and liabilities. Kodak recognized a cumulative-effect adjustment to increase retained earnings of approximately $5 million due to the derecognition of assets and deferred gain on previous sale-leaseback transactions. As a lessor, recognition of rental revenue remained mainly consistent with previous guidance, apart from the narrower definition of initial direct costs that can be capitalized. The impact of adoption on the Consolidated Statement of Financial Position is presented below:</w:t>
      </w:r>
    </w:p>
    <w:p>
      <w:pPr>
        <w:spacing w:after="0" w:line="6"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Due</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46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ASU 2016-02</w:t>
            </w:r>
          </w:p>
        </w:tc>
        <w:tc>
          <w:tcPr>
            <w:tcW w:w="18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rent payable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 xml:space="preserve">Deferred gain on previous sale leaseback transaction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fixed assets from previous sale leaseback transaction</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left="1520" w:right="220" w:hanging="378"/>
        <w:spacing w:after="0" w:line="277" w:lineRule="auto"/>
        <w:tabs>
          <w:tab w:leader="none" w:pos="152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Deferred amounts were previously reported in Other current liabilities ($1 million) and Other long-term liabilities ($14 million) in the Consolidated Statements of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(the year ended December 31, 2020 for Kodak). Early adoption is permitted. The standard addresses disclosures only and will not have an impact on Kodak’s consolidated financial statements.</w:t>
      </w:r>
    </w:p>
    <w:p>
      <w:pPr>
        <w:spacing w:after="0" w:line="20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ind w:right="580"/>
        <w:spacing w:after="0" w:line="264" w:lineRule="auto"/>
        <w:rPr>
          <w:sz w:val="20"/>
          <w:szCs w:val="20"/>
          <w:color w:val="auto"/>
        </w:rPr>
      </w:pPr>
      <w:r>
        <w:rPr>
          <w:rFonts w:ascii="Arial" w:cs="Arial" w:eastAsia="Arial" w:hAnsi="Arial"/>
          <w:sz w:val="18"/>
          <w:szCs w:val="18"/>
          <w:color w:val="auto"/>
        </w:rPr>
        <w:t>Kodak retrospectively early adopted the provisions of the ASU that removed or modified disclosures in the fourth quarter of 2018 and expects to prospectively adopt the provisions related to new disclosures January 1, 2020. The standard addresses disclosures only and will not have an impact on Kodak’s consolidated financial statements.</w:t>
      </w:r>
    </w:p>
    <w:p>
      <w:pPr>
        <w:spacing w:after="0" w:line="2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 </w:t>
      </w:r>
      <w:r>
        <w:rPr>
          <w:rFonts w:ascii="Arial" w:cs="Arial" w:eastAsia="Arial" w:hAnsi="Arial"/>
          <w:sz w:val="15"/>
          <w:szCs w:val="15"/>
          <w:color w:val="auto"/>
        </w:rPr>
        <w:t>The ASU should be applied either retrospectively or prospectively to all</w:t>
      </w:r>
      <w:r>
        <w:rPr>
          <w:rFonts w:ascii="Arial" w:cs="Arial" w:eastAsia="Arial" w:hAnsi="Arial"/>
          <w:sz w:val="17"/>
          <w:szCs w:val="17"/>
          <w:color w:val="auto"/>
        </w:rPr>
        <w:t xml:space="preserve"> </w:t>
      </w:r>
      <w:r>
        <w:rPr>
          <w:rFonts w:ascii="Arial" w:cs="Arial" w:eastAsia="Arial" w:hAnsi="Arial"/>
          <w:sz w:val="15"/>
          <w:szCs w:val="15"/>
          <w:color w:val="auto"/>
        </w:rPr>
        <w:t xml:space="preserve">implementation costs incurred after the date of adoption. </w:t>
      </w:r>
      <w:r>
        <w:rPr>
          <w:rFonts w:ascii="Arial" w:cs="Arial" w:eastAsia="Arial" w:hAnsi="Arial"/>
          <w:sz w:val="17"/>
          <w:szCs w:val="17"/>
          <w:color w:val="auto"/>
        </w:rPr>
        <w:t>Kodak is currently evaluating the impact of this ASU.</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Instruments. ASU 2016-13 (as amended by ASU 2018-19 and ASU’s 2019-04 and 05)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 Early adoption is permitted. Kodak is currently evaluating the impact of this ASU.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216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included in assets held for sale</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Flows</w:t>
            </w:r>
          </w:p>
        </w:tc>
        <w:tc>
          <w:tcPr>
            <w:tcW w:w="124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Restricted cash included in Other current assets on the Statement of Financial Position primarily includes collateral for a guaranty provided to MIR Bidco, SA (the “Purchaser”) and collateral in support of hedging activities. On April 16, 2019 the Purchaser of FPD paid Kodak $15 million in the U.S. as a prepayment for transition services and products and services to be provided by Kodak to the Purchaser. Kodak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June 30, 2019, the remaining prepayment balance is $13 million and the cash collateral supporting Kodak’s guaranty is $15 million.</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Long-term restricted cash includes $4 million and $5 million of security posted related to Brazilian legal contingencies as of June 30, 2019 and December 31, 2018, respectively. Long-term restricted cash also includes $11 million and $3 million as of June 30, 2019 and December 31, 2018, respectively, supporting compliance with the Excess Availability threshold under the ABL Credit Agreement, as defined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(in millions)</w:t>
            </w:r>
          </w:p>
        </w:tc>
        <w:tc>
          <w:tcPr>
            <w:tcW w:w="3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2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NOTE 4: OTHER LONG-TERM ASSETS</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5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8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8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Estimated workers' compensation recoveries</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 net of reserve of $4 and $4, respectively</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188</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OTHER CURRENT LIABILITIES</w:t>
            </w:r>
          </w:p>
        </w:tc>
        <w:tc>
          <w:tcPr>
            <w:tcW w:w="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5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8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8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rebates</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 prepayment</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Series A Preferred Stock dividends payable</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198</w:t>
            </w: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customer rebate amounts will potentially be settled through customer deductions applied to outstanding trade receivables in lieu of cash payments.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6: OTHER LONG-TERM LIABILITIES</w:t>
            </w:r>
          </w:p>
        </w:tc>
        <w:tc>
          <w:tcPr>
            <w:tcW w:w="1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14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brand licensing revenue</w:t>
            </w:r>
          </w:p>
        </w:tc>
        <w:tc>
          <w:tcPr>
            <w:tcW w:w="1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Convertible debt embedded derivative liability</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14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23"/>
        </w:trPr>
        <w:tc>
          <w:tcPr>
            <w:tcW w:w="59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right="1440" w:hanging="378"/>
        <w:spacing w:after="0" w:line="342" w:lineRule="auto"/>
        <w:tabs>
          <w:tab w:leader="none" w:pos="1512" w:val="left"/>
        </w:tabs>
        <w:numPr>
          <w:ilvl w:val="0"/>
          <w:numId w:val="4"/>
        </w:numPr>
        <w:rPr>
          <w:rFonts w:ascii="Arial" w:cs="Arial" w:eastAsia="Arial" w:hAnsi="Arial"/>
          <w:sz w:val="14"/>
          <w:szCs w:val="14"/>
          <w:color w:val="auto"/>
        </w:rPr>
      </w:pPr>
      <w:r>
        <w:rPr>
          <w:rFonts w:ascii="Arial" w:cs="Arial" w:eastAsia="Arial" w:hAnsi="Arial"/>
          <w:sz w:val="16"/>
          <w:szCs w:val="16"/>
          <w:color w:val="auto"/>
        </w:rPr>
        <w:t>Other decreased $14 million due to the adoption of ASU 2016-02. Also see the Recently Adopted Accounting Pronouncements subsection of Note 1, “Basis of Presentation and Recent Accounting Pronouncements”.</w:t>
      </w:r>
    </w:p>
    <w:p>
      <w:pPr>
        <w:spacing w:after="0" w:line="12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121" w:right="7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DEBT AND FINANCE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 at June 30, 2019 and December 31, 2018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8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120" w:type="dxa"/>
            <w:vAlign w:val="bottom"/>
            <w:gridSpan w:val="3"/>
          </w:tcPr>
          <w:p>
            <w:pPr>
              <w:jc w:val="center"/>
              <w:ind w:right="330"/>
              <w:spacing w:after="0"/>
              <w:rPr>
                <w:sz w:val="20"/>
                <w:szCs w:val="20"/>
                <w:color w:val="auto"/>
              </w:rPr>
            </w:pPr>
            <w:r>
              <w:rPr>
                <w:rFonts w:ascii="Arial" w:cs="Arial" w:eastAsia="Arial" w:hAnsi="Arial"/>
                <w:sz w:val="14"/>
                <w:szCs w:val="14"/>
                <w:b w:val="1"/>
                <w:bCs w:val="1"/>
                <w:color w:val="auto"/>
                <w:w w:val="93"/>
              </w:rPr>
              <w:t>Effective Interest Rate</w:t>
            </w: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Finance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4"/>
          </w:tcPr>
          <w:p>
            <w:pPr>
              <w:spacing w:after="0"/>
              <w:rPr>
                <w:sz w:val="20"/>
                <w:szCs w:val="20"/>
                <w:color w:val="auto"/>
              </w:rPr>
            </w:pPr>
            <w:r>
              <w:rPr>
                <w:rFonts w:ascii="Arial" w:cs="Arial" w:eastAsia="Arial" w:hAnsi="Arial"/>
                <w:sz w:val="18"/>
                <w:szCs w:val="18"/>
                <w:color w:val="auto"/>
              </w:rPr>
              <w:t>Non-current portion:</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Convertible debt</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11.72%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RED-Rochester,</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rPr>
              <w:t>LLC</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2033</w:t>
            </w:r>
          </w:p>
        </w:tc>
        <w:tc>
          <w:tcPr>
            <w:tcW w:w="1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11.40%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Finance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shd w:val="clear" w:color="auto" w:fill="CFF0FC"/>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2120" w:type="dxa"/>
            <w:vAlign w:val="bottom"/>
            <w:gridSpan w:val="3"/>
          </w:tcPr>
          <w:p>
            <w:pPr>
              <w:jc w:val="center"/>
              <w:ind w:right="330"/>
              <w:spacing w:after="0"/>
              <w:rPr>
                <w:sz w:val="20"/>
                <w:szCs w:val="20"/>
                <w:color w:val="auto"/>
              </w:rPr>
            </w:pPr>
            <w:r>
              <w:rPr>
                <w:rFonts w:ascii="Arial" w:cs="Arial" w:eastAsia="Arial" w:hAnsi="Arial"/>
                <w:sz w:val="18"/>
                <w:szCs w:val="18"/>
                <w:color w:val="auto"/>
                <w:w w:val="88"/>
              </w:rPr>
              <w:t>Various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and finance leases outstanding as of June 30, 2019 were as follows (in millions):</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Maturity</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Q3 - Q4 2019</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2021</w:t>
            </w: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2023</w:t>
            </w:r>
          </w:p>
        </w:tc>
        <w:tc>
          <w:tcPr>
            <w:tcW w:w="2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2024 and thereafter</w:t>
            </w:r>
          </w:p>
        </w:tc>
        <w:tc>
          <w:tcPr>
            <w:tcW w:w="26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1"/>
                <w:szCs w:val="2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April 12, 2019, the Company repaid approximately $312 million of the loans made under the Term Credit Agreement using proceeds from the sale of FPD and on May 24, 2019 repaid the remaining outstanding balance of approximately $83 million with the proceeds from the issuance of Convertible Notes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20, 2019, the Company and Longleaf Partners Small Cap Fund, C2W Partners Master Fund Limited and Deseret Mutual Pension Trust, which are investment funds managed by Southeastern Asset Management, Inc. (the “Notes Purchasers”), entered into a Notes Purchase Agreement (the “Purchase Agreement”) pursuant to which the Company agreed to issue and sell to the Notes Purchasers, and the Notes Purchasers agreed to purchase from the Company, $100 million aggregate principal amount of the Company’s 5.00% Secured Convertible Notes due 2021 (the “Convertible Notes”). The transaction closed on May 24, 2019. The proceeds were used to repay the remaining first lien term loans outstanding ($83 million) under the Term Credit Agreement, which was terminated with the repayment. The remaining proceeds were used for general corporate purposes. The Notes Purchasers also hold all outstanding shares of the Company’s 5.50% Series A Convertible Preferred Stock (the “Series A Preferred Stock”), which vote with the shares of common stock on an as-converted basis, and are holders of shares of the Company’s common stock, par value $0.01 per share (the “Common Stock”), as described below.</w:t>
      </w:r>
    </w:p>
    <w:p>
      <w:pPr>
        <w:spacing w:after="0" w:line="19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Convertible Notes bear interest at a rate of 5.00% per annum, which will be payable in cash on their maturity date and, at the option of the Company, in either cash or additional shares of Common Stock on any conversion date. The payment of interest only at the maturity date has the same effect as delivering additional debt instruments to the Holders of the Convertible Notes and therefore is considered Paid-In-Kind interest (“PIK”). Therefore, PIK will be added to the carrying value of the debt through the term and interest expense will be recorded using the effective interest method.</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maturity date of the Convertible Notes is initially November 1, 2021. The Company has the option to extend the maturity of the Convertible Notes by up to three years in the event that the Series A Preferred Stock is refinanced with debt or equity or the mandatory redemption date of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460"/>
        <w:spacing w:after="0" w:line="277" w:lineRule="auto"/>
        <w:rPr>
          <w:sz w:val="20"/>
          <w:szCs w:val="20"/>
          <w:color w:val="auto"/>
        </w:rPr>
      </w:pPr>
      <w:r>
        <w:rPr>
          <w:rFonts w:ascii="Arial" w:cs="Arial" w:eastAsia="Arial" w:hAnsi="Arial"/>
          <w:sz w:val="18"/>
          <w:szCs w:val="18"/>
          <w:color w:val="auto"/>
        </w:rPr>
        <w:t>Series A Preferred Stock is extended. If the Convertible Notes maturity date is extended, the new maturity date must be no later than 30 days before the maturity date of any new debt or the extended mandatory redemption date of the Series A Preferred Stock.</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Convertible Notes are guaranteed by all of the subsidiaries of the Company that currently guarantee the ABL Credit Agreement (the “Subsidiary Guarantors”), and are secured by a second priority lien on certain receivables, inventory and other assets of the Company and the Subsidiary Guarantors in which the lenders under the ABL Credit Agreement have a first priority security interest.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Features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Holders of the Convertible Notes have the right to elect at any time to convert their Convertible Notes into shares of Common Stock at a conversion rate equal to 314.9785 shares of Common Stock per each $1,000 principal amount of Convertible Notes (based on a conversion price equal to $3.17482 per share of Common Stock (the “Conversion Price”), which represents a 10% premium to the volume weighted average price of the shares of Common Stock for the five day trading period ended on April 9, 2019 (the “Conversion Rate”)). The Conversion Rate and Conversion Price are subject to certain customary antidilution adjustments.</w:t>
      </w:r>
    </w:p>
    <w:p>
      <w:pPr>
        <w:spacing w:after="0" w:line="2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If the closing price of the Common Stock equals or exceeds 150% of the then-effective Conversion Price for 45 trading days within any period of 60 consecutive trading days, with the last trading day of such 60 day period ending on the trading day immediately preceding the business day on which the Company issues a press release announcing the mandatory conversion, the Company may elect to convert all outstanding Convertible Notes into shares of Common Stock at the Conversion Rate then in effect.</w:t>
      </w:r>
    </w:p>
    <w:p>
      <w:pPr>
        <w:spacing w:after="0" w:line="21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the event of certain fundamental transactions, the Notes Purchasers will have the right, within a period of 30 days following the occurrence of such transaction (“Holder Fundamental Transaction Election Period”), to elect to either convert all or a portion of the Convertible Notes into shares of Common Stock at the Conversion Rate then in effect, or to receive the shares of a successor entity, if any, or the Company, and any additional consideration receivable as a result of such fundamental transaction. In addition, the Company will have the option, for a period of 30 days after the expiration of the Holder Fundamental Transaction Election Period, to repay all of the remaining outstanding Convertible Notes at par, plus accrued and unpaid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Derivatives</w:t>
      </w:r>
    </w:p>
    <w:p>
      <w:pPr>
        <w:spacing w:after="0" w:line="2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Convertible Notes are considered more akin to a debt-type instrument and the economic characteristics and risks of the embedded conversion features and term extension at the Company’s option were not considered clearly and closely related to the Convertible Notes. Accordingly, these embedded features were bifurcated from the Convertible Notes and separately accounted for on a combined basis at fair value as a single derivative liability. Kodak allocated $14 million of the net proceeds received to a derivative liability based on the aggregate fair value of the embedded features and term extension on the date of issuance which reduced the net carrying value of the Convertible Notes. The derivative liability is being accounted for at fair value with subsequent changes in the fair value being reported as part of Other (income) charges, net in the Consolidated Statement of Operations. The fair value of the derivative liability as of June 30, 2019 was $14 million and is included within Other long-term liabilities in the accompanying Consolidated Statement of Financial Position.</w:t>
      </w:r>
    </w:p>
    <w:p>
      <w:pPr>
        <w:spacing w:after="0" w:line="16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carrying value of the Convertible Notes at the time of issuance, $84 million ($100 million aggregate gross proceeds less $14 million allocated to the derivative liability and $2 million in transaction costs), is being accreted to the face amount using the effective interest method from the date of issuance through the maturity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 Registration Rights Agreement</w:t>
      </w:r>
    </w:p>
    <w:p>
      <w:pPr>
        <w:spacing w:after="0" w:line="27" w:lineRule="exact"/>
        <w:rPr>
          <w:sz w:val="20"/>
          <w:szCs w:val="20"/>
          <w:color w:val="auto"/>
        </w:rPr>
      </w:pPr>
    </w:p>
    <w:p>
      <w:pPr>
        <w:ind w:right="760"/>
        <w:spacing w:after="0" w:line="323" w:lineRule="auto"/>
        <w:rPr>
          <w:sz w:val="20"/>
          <w:szCs w:val="20"/>
          <w:color w:val="auto"/>
        </w:rPr>
      </w:pPr>
      <w:r>
        <w:rPr>
          <w:rFonts w:ascii="Arial" w:cs="Arial" w:eastAsia="Arial" w:hAnsi="Arial"/>
          <w:sz w:val="16"/>
          <w:szCs w:val="16"/>
          <w:color w:val="auto"/>
        </w:rPr>
        <w:t>At the closing of the issuance and sale of the Convertible Notes, the Company entered into a registration rights agreement which provides the Notes Purchasers with customary registration rights in respect of the shares of the Common Stock issuable upon conversion of the Convertible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Purchasers’ Beneficial Ownership of Common Stock</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the issuance of the Convertible Notes, the Notes Purchasers beneficially owned 4,960,000 shares of the Company’s Common Stock, representing 11.53% of the shares of Common Stock outstanding as of June 30, 2019, and 2,000,000 shares of Series A Preferred Stock, which vote with the Common Stock on an as-converted basis representing 26.72% of the shares of Common Stock outstanding as of June 30, 2019. The Common Stock and Series A Preferred Stock held by the Notes Purchasers represented 30.19% of the voting power of the outstanding capital stock of the Company as of June 30, 2019 giving effect to the conversion of the Series A Preferred Stock. On an as-converted basis, the Convertible Notes would represent 31,497,850 shares of Common Stock, or 42.27% of the shares of Common Stock outstanding as of June 30, 2019 after giving effect to the issuance and conversion. Assuming the issuance of the Convertible Notes and based on the number of shares of Common Stock outstanding as of June 30, 2019, the Notes Purchasers would beneficially own 48.93% of the shares of Common Stock outstanding and their shares of Series A Preferred Stock will vote with the shares of Common Stock on an as-converted basis, representing an aggregate of 55.76% of the voting power of the outstanding capital stock of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 May 26, 2016, the Company and the Subsidiary Guarantors entered into an Amended and Restated Credit Agreement (the “ABL Credit Agreement”) with the lenders party thereto (the “Lenders”), Bank of America, N.A., as administrative and collateral agent, and Bank of America, N.A. and JPMorgan Chase Bank, N.A., as joint lead arrangers and joint bookrunners, which amended and restated the Original ABL Credit Agreement. Each of the capitalized but undefined terms used in the context of describing the ABL Credit Agreement has the meaning ascribed to such term in the ABL Credit Agreement.</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Lenders will make available asset-based revolving loans (the “ABL Loans”) and letters of credit in an aggregate amount of up to $150 million, subject to the Borrowing Base. The Company has issued approximately $80 million and $85 million of letters of credit under the ABL Credit Agreement as of June 30, 2019 and December 31, 2018, respectively. The Company had approximately $24 million and $19 million of Excess Availability under the ABL Credit Agreement as of June 30, 2019 and December 31, 2018, respectively. Availability is subject to the borrowing base calculation, reserves and other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ABL Credit Agreement matures on May 26, 2021.</w:t>
      </w:r>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provided an unconditional guarantee (and any such future subsidiaries must provide an unconditional guarantee) of the obligations of the Company under the ABL Credit Agreement.</w:t>
      </w:r>
    </w:p>
    <w:p>
      <w:pPr>
        <w:spacing w:after="0" w:line="2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$9 million, as of June 30, 2019 (which $9 million decreases by $1 million per quarter) and (iv) Eligible Cash less (a) Rent and Charges Reserves, (b) Principal Outstanding and (c) Outstanding Letters of Credit.</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Under the ABL Credit Agreement, Kodak is required to maintain a minimum Fixed Charge Coverage Ratio of 1.00 to 1.00 when Excess Availability is less than 12.5% of lender commitments. As of June 30, 2019 and December 31, 2018, 12.5% of lender commitments were $18.75 million.</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June 30, 2019 and December 31, 2018, Kodak is not required to have a minimum Fixed Charges Coverage Ratio of 1.0 to 1.0.</w:t>
      </w:r>
    </w:p>
    <w:p>
      <w:pPr>
        <w:spacing w:after="0" w:line="193"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As of June 30, 2019, and December 31, 2018, Kodak had funded $11 million and $3 million respectively, to the Eligible Cash account, held with the ABL Credit Agreement Administrative Agent, which is classified as Restricted Cash in the Consolidated Statement of Financial Position.</w:t>
      </w:r>
    </w:p>
    <w:p>
      <w:pPr>
        <w:spacing w:after="0" w:line="174"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Under the terms of the ABL Credit Agreement, the Company may designate Restricted Subsidiaries as Unrestricted Subsidiaries provided the aggregate sales of all Unrestricted Subsidiaries are less than 7.5% of the consolidated sales of Kodak and the aggregate assets of all Unrestricted Subsidiaries are less than</w:t>
      </w:r>
    </w:p>
    <w:p>
      <w:pPr>
        <w:jc w:val="both"/>
        <w:ind w:right="80"/>
        <w:spacing w:after="0" w:line="254" w:lineRule="auto"/>
        <w:rPr>
          <w:sz w:val="20"/>
          <w:szCs w:val="20"/>
          <w:color w:val="auto"/>
        </w:rPr>
      </w:pPr>
      <w:r>
        <w:rPr>
          <w:rFonts w:ascii="Arial" w:cs="Arial" w:eastAsia="Arial" w:hAnsi="Arial"/>
          <w:sz w:val="18"/>
          <w:szCs w:val="18"/>
          <w:color w:val="auto"/>
        </w:rPr>
        <w:t>7.5% of Kodak’s consolidated assets. Further, on a pro forma basis at the time of designation and immediately after giving effect thereto, Excess Availability must be at least $30 million and the pro forma Fixed Charge Coverage Ratio must be no less than 1.0 to 1.0. Upon designation of Unrestricted Subsidiaries, the Company is required to provide to the Lenders reconciling statements to eliminate all financial information pertaining to Unrestricted Subsidiaries which is included in its annual and quarterly financial statements.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$3 million and $7 million for the quarter and six months ended June 30, 2019, respectively, which represents 1% of Kodak’s consolidated sales in both periods. These subsidiaries had sales of approximately $3 million and $5 million for the quarter and six months ended June 30, 2018, respectively, which represents 1% of Kodak’s consolidated sales for both periods. These subsidiaries had assets of $21 million as of both June 30, 2019 and December 31, 2018, which represents 1% of Kodak’s consolidated assets as of both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Reporting and Other Requirements</w:t>
      </w:r>
    </w:p>
    <w:p>
      <w:pPr>
        <w:spacing w:after="0" w:line="2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Reporting requirements under the ABL Credit Agreement require the Company to provide annual audited financial statements accompanied by an opinion of an independent public accountant without a “going concern” or like qualification or exception and without any qualification or exception as to the scope of such audit or other material qualification or exception, except for any such qualification or exception with respect to any indebtedness maturing within 364 days after the date of such financial statements, and that the opinion be reasonably acceptable to the agent. On March 31, 2019 the Company obtained a waiver from the agent and lenders under the ABL Credit Agreement with respect to any event of default under the reporting covenant that may be deemed to have occurred in relation to the going concern explanatory paragraph in the 2018 Form 10-K audit report.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Convertible Notes and ABL Credit Agreement limit, among other things, the Company’s and the Subsidiary Guarantors’ ability to (i) incur indebtedness,</w:t>
      </w:r>
    </w:p>
    <w:p>
      <w:pPr>
        <w:spacing w:after="0" w:line="46" w:lineRule="exact"/>
        <w:rPr>
          <w:sz w:val="20"/>
          <w:szCs w:val="20"/>
          <w:color w:val="auto"/>
        </w:rPr>
      </w:pPr>
    </w:p>
    <w:p>
      <w:pPr>
        <w:ind w:right="80" w:firstLine="8"/>
        <w:spacing w:after="0" w:line="269"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incur or create liens, (iii) dispose of assets, (iv) make restricted payments (including dividend payments, et al.) and (v) make investments (ABL Credit Agreement only). In addition to other customary affirmative covenants, the Convertible Notes and ABL Credit Agreement provide for a periodic delivery by the Company of its various financial statements as set forth in the Convertible Notes and ABL Credit Agreement. Events of default under the Convertible Notes and/or ABL Credit Agreement include, among others, failure to pay any principal, interest or other amount due under the applicable agreement, failure to deliver conversion shares (Convertible Notes only), breach of specific covenants and a change of control of the Company (ABL Credit Agreement only). Upon an event of default, the applicable lenders may declare the outstanding obligations under the applicable agreement to be immediately due and payable and exercise other rights and remedies provided for in such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RED-Rochester, LLC</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January 2019 Kodak entered into a series of agreements with RED-Rochester, LLC (“RED”), which provides utilities to the Eastman Business Park. Kodak received a payment of $14 million from RED. Kodak is required to pay a minimum annual payment to RED of approximately $2 million regardless of utility usage. Kodak is accounting for the $14 million payment from RED as debt. The minimum payments required under the agreement from Kodak to RED will be reported as a reduction of the debt and interest expense using the effective interest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SERIES A PREFERRED STOCK</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November 15, 2016, the Company issued 2,000,000 shares of 5.50% Series A Convertible Preferred Stock, no par value per share (the “Series A Preferred Stock”), for an aggregate purchase price of $200 million, or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has classified the Series A Preferred Stock as temporary equity in the Consolidated Statement of Financial Position.</w:t>
      </w:r>
    </w:p>
    <w:p>
      <w:pPr>
        <w:spacing w:after="0" w:line="20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Kodak allocated $43 million of the net proceeds received to a derivative liability based on the aggregate fair value of the embedded conversion features on the date of issuance which reduced the net carrying value of the Series A Preferred Stock (see Note 23,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holders of Series A Preferred Stock are entitled to cumulative dividends payable quarterly in cash at a rate of 5.50% per annum. Until the third quarter of 2018 all dividends owed on the Series A Preferred Stock were declared and paid when due. No quarterly dividend was declared in the third or fourth quarters of 2018 or the first and second quarters of 2019.</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Purchasers have the right to nominate members to the Company’s board of directors proportional to their ownership on an as converted basis, which initially allowed the Purchasers to nominate two members to the board.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the Purchasers will be reduced by two nominees at any time the holders of Series A Preferred Stock have the right to elect, or participate in the election of, two additional directors. Two of the directors on the Company’s current board of directors were nominated by the Purchasers.</w:t>
      </w:r>
    </w:p>
    <w:p>
      <w:pPr>
        <w:spacing w:after="0" w:line="1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June 30, 2019,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as lessee</w:t>
      </w:r>
    </w:p>
    <w:p>
      <w:pPr>
        <w:spacing w:after="0" w:line="23" w:lineRule="exact"/>
        <w:rPr>
          <w:sz w:val="20"/>
          <w:szCs w:val="20"/>
          <w:color w:val="auto"/>
        </w:rPr>
      </w:pPr>
    </w:p>
    <w:p>
      <w:pPr>
        <w:ind w:right="560"/>
        <w:spacing w:after="0" w:line="323" w:lineRule="auto"/>
        <w:rPr>
          <w:sz w:val="20"/>
          <w:szCs w:val="20"/>
          <w:color w:val="auto"/>
        </w:rPr>
      </w:pPr>
      <w:r>
        <w:rPr>
          <w:rFonts w:ascii="Arial" w:cs="Arial" w:eastAsia="Arial" w:hAnsi="Arial"/>
          <w:sz w:val="16"/>
          <w:szCs w:val="16"/>
          <w:color w:val="auto"/>
        </w:rPr>
        <w:t>Kodak determines if an arrangement is a lease at inception. Kodak’s operating lease agreements are primarily for real estate space and vehicles and are included within operating lease right-of-use (“ROU”) assets and operating lease liabilities on the Consolidated Statement of Financial Position.</w:t>
      </w:r>
    </w:p>
    <w:p>
      <w:pPr>
        <w:spacing w:after="0" w:line="16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ROU assets and liabilities are recognized at the lease commencement date based on the present value of lease payments over the lease</w:t>
      </w:r>
    </w:p>
    <w:p>
      <w:pPr>
        <w:spacing w:after="0" w:line="261" w:lineRule="auto"/>
        <w:rPr>
          <w:sz w:val="20"/>
          <w:szCs w:val="20"/>
          <w:color w:val="auto"/>
        </w:rPr>
      </w:pPr>
      <w:r>
        <w:rPr>
          <w:rFonts w:ascii="Arial" w:cs="Arial" w:eastAsia="Arial" w:hAnsi="Arial"/>
          <w:sz w:val="18"/>
          <w:szCs w:val="18"/>
          <w:color w:val="auto"/>
        </w:rPr>
        <w:t>term. Variable lease payments are excluded from the measurement of ROU assets and lease liabilities and are recognized in the period in which the obligation for those payments is incurred. Rental expense for lease payments related to operating leases is recognized on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straight-line basis over the lease term. Many of the leases include rental escalation clauses, renewal options and/or termination options that are factored into the determination of lease payments if reasonably assured to be exercised.</w:t>
      </w:r>
    </w:p>
    <w:p>
      <w:pPr>
        <w:spacing w:after="0" w:line="19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Kodak does not separate lease and non-lease components of contracts for real estate leases. When available, the rate implicit in the lease is used to discount lease payments to present value; however, many leases do not provide a readily determinable implicit rate. Therefore, Kodak applies its incremental borrowing rate to discount the lease payments at lease commencement.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The table below presents the lease-related assets and liabilities on the balance sheet: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Classification in the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4"/>
        </w:trPr>
        <w:tc>
          <w:tcPr>
            <w:tcW w:w="40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 Statement of Financial Position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lease assets</w:t>
            </w: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88"/>
              </w:rPr>
              <w:t>Operating lease right-of-use assets</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45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89"/>
              </w:rPr>
              <w:t>Property, plant and equipment, net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Total lease assets</w:t>
            </w:r>
          </w:p>
        </w:tc>
        <w:tc>
          <w:tcPr>
            <w:tcW w:w="4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Borders>
              <w:top w:val="single" w:sz="8" w:color="CFF0FC"/>
            </w:tcBorders>
            <w:shd w:val="clear" w:color="auto" w:fill="CFF0FC"/>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0"/>
              </w:rPr>
              <w:t>Current portion of operating leases</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2"/>
              </w:rPr>
              <w:t>Short-term borrowings and current portion of long-term debt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Noncurrent</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0"/>
              </w:rPr>
              <w:t>Operating leases, net of current portion</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Borders>
              <w:bottom w:val="single" w:sz="8" w:color="CFF0FC"/>
            </w:tcBorders>
          </w:tcPr>
          <w:p>
            <w:pPr>
              <w:jc w:val="center"/>
              <w:ind w:right="70"/>
              <w:spacing w:after="0"/>
              <w:rPr>
                <w:sz w:val="20"/>
                <w:szCs w:val="20"/>
                <w:color w:val="auto"/>
              </w:rPr>
            </w:pPr>
            <w:r>
              <w:rPr>
                <w:rFonts w:ascii="Arial" w:cs="Arial" w:eastAsia="Arial" w:hAnsi="Arial"/>
                <w:sz w:val="18"/>
                <w:szCs w:val="18"/>
                <w:color w:val="auto"/>
                <w:w w:val="91"/>
              </w:rPr>
              <w:t>Long-term debt, net of current portion</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88"/>
              </w:rPr>
              <w:t>Weighted-average remaining lease term</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Finance </w:t>
            </w:r>
            <w:r>
              <w:rPr>
                <w:rFonts w:ascii="Arial" w:cs="Arial" w:eastAsia="Arial" w:hAnsi="Arial"/>
                <w:sz w:val="15"/>
                <w:szCs w:val="15"/>
                <w:color w:val="auto"/>
              </w:rPr>
              <w:t>(1)</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332 years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Operating </w:t>
            </w:r>
            <w:r>
              <w:rPr>
                <w:rFonts w:ascii="Arial" w:cs="Arial" w:eastAsia="Arial" w:hAnsi="Arial"/>
                <w:sz w:val="15"/>
                <w:szCs w:val="15"/>
                <w:color w:val="auto"/>
              </w:rPr>
              <w:t>(2)</w:t>
            </w:r>
          </w:p>
        </w:tc>
        <w:tc>
          <w:tcPr>
            <w:tcW w:w="4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Finance</w:t>
            </w: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right="80" w:hanging="374"/>
        <w:spacing w:after="0" w:line="277"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8"/>
          <w:szCs w:val="18"/>
          <w:color w:val="auto"/>
        </w:rPr>
        <w:t>One finance lease has a remaining term of 968 years. The weighted-average lease term excluding the lease with a remaining term of 968 years is 4 years.</w:t>
      </w:r>
    </w:p>
    <w:p>
      <w:pPr>
        <w:spacing w:after="0" w:line="197" w:lineRule="exact"/>
        <w:rPr>
          <w:rFonts w:ascii="Arial" w:cs="Arial" w:eastAsia="Arial" w:hAnsi="Arial"/>
          <w:sz w:val="15"/>
          <w:szCs w:val="15"/>
          <w:color w:val="auto"/>
        </w:rPr>
      </w:pPr>
    </w:p>
    <w:p>
      <w:pPr>
        <w:ind w:left="760" w:hanging="374"/>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7"/>
          <w:szCs w:val="17"/>
          <w:color w:val="auto"/>
        </w:rPr>
        <w:t>Upon adoption of ASC 842, Kodak’s incremental borrowing rate used for existing operating leases was established at January 1,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Costs</w:t>
      </w:r>
    </w:p>
    <w:p>
      <w:pPr>
        <w:spacing w:after="0" w:line="27"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table below presents certain information related to the lease costs for finance and operating leases. Lease costs are presented gross of sublease income. See Kodak as Lessor section below for income from subleases.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Amortization of leased assets</w:t>
            </w:r>
          </w:p>
        </w:tc>
        <w:tc>
          <w:tcPr>
            <w:tcW w:w="23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lease liabilities</w:t>
            </w:r>
          </w:p>
        </w:tc>
        <w:tc>
          <w:tcPr>
            <w:tcW w:w="1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lease cost</w:t>
            </w: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color w:val="auto"/>
              </w:rPr>
              <w:t>Total lease cost</w:t>
            </w:r>
          </w:p>
        </w:tc>
        <w:tc>
          <w:tcPr>
            <w:tcW w:w="1980" w:type="dxa"/>
            <w:vAlign w:val="bottom"/>
          </w:tcPr>
          <w:p>
            <w:pPr>
              <w:spacing w:after="0"/>
              <w:rPr>
                <w:sz w:val="19"/>
                <w:szCs w:val="19"/>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vMerge w:val="restart"/>
          </w:tcPr>
          <w:p>
            <w:pPr>
              <w:jc w:val="right"/>
              <w:ind w:right="51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supplemental cash flow information related to leases.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2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Cash paid for amounts included in the measurement of lease liabilities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cash flows for operating leases</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 for finance leases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cash flow for finance leases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table below reconciles the undiscounted cash flows for the next five years and thereafter to the finance lease liabilities and operating lease liabilities recorded on the balance sheet.</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Operating Leases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Finance Leases</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Q3 - Q4 2019</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obligations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Future minimum contractual lease payments for operating leases having initial or remaining noncancelable lease terms in excess of one year as of December 31, 2018 were as follows: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December 31,</w:t>
            </w:r>
          </w:p>
        </w:tc>
      </w:tr>
      <w:tr>
        <w:trPr>
          <w:trHeight w:val="234"/>
        </w:trPr>
        <w:tc>
          <w:tcPr>
            <w:tcW w:w="5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20"/>
                <w:szCs w:val="20"/>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5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Kodak as lessor</w:t>
      </w:r>
    </w:p>
    <w:p>
      <w:pPr>
        <w:spacing w:after="0" w:line="2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Kodak places its own equipment at customer sites under sales-type and operating lease arrangements. Arrangements classified as sales-type leases generally transfer title to the equipment by the end of the lease term or have a lease term that is for a major part of the remaining economic life of the equipment; and collectability is considered probable. If the arrangement meets the criteria for a sales-type lease but collectability is not considered probable, Kodak will not derecognize the asset and will record all payments received as a liability until the earlier of collectability becoming probable or the lease is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terminated. Contracts with customers may include multiple performance obligations including equipment, optional software licenses and service agreements. For such arrangements, revenue is allocated to each performance obligation based on its relative standalone selling price. Kodak has no direct financing leases.</w:t>
      </w:r>
    </w:p>
    <w:p>
      <w:pPr>
        <w:spacing w:after="0" w:line="2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Eastman Business Park segment’s core operations are to lease real estate. Kodak also leases underutilized portions of real estate properties to third parties under both operating lease and sublease agreements. Payments received under operating lease agreements as part of the Eastman Business Park segment are reported in Revenues in the Consolidated Statement of Operations. Payments received under lease agreements for underutilized space are reported as cost reductions in Cost of revenues, SG&amp;A expenses, R&amp;D costs and Other charges, net.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8" w:name="page19"/>
    <w:bookmarkEnd w:id="18"/>
    <w:p>
      <w:pPr>
        <w:ind w:right="160"/>
        <w:spacing w:after="0" w:line="342" w:lineRule="auto"/>
        <w:rPr>
          <w:sz w:val="20"/>
          <w:szCs w:val="20"/>
          <w:color w:val="auto"/>
        </w:rPr>
      </w:pPr>
      <w:r>
        <w:rPr>
          <w:rFonts w:ascii="Arial" w:cs="Arial" w:eastAsia="Arial" w:hAnsi="Arial"/>
          <w:sz w:val="16"/>
          <w:szCs w:val="16"/>
          <w:color w:val="auto"/>
        </w:rPr>
        <w:t>The lease arrangements are for various periods and are generally renewable. Renewal options and/or termination options are factored into the determination of lease payments if considered probable. Kodak does not separate lease and non-lease components of contracts for real estate leases.</w:t>
      </w:r>
    </w:p>
    <w:p>
      <w:pPr>
        <w:spacing w:after="0" w:line="15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Kodak’s net investment in sales-type leases as of June 30, 2019 and December 31, 2018 were $4 million and $3 million, respectively. The current portion of the net investment in sales-type leases is included in Trade receivables in the Consolidated Statement of Financial Position. The portion of the net investment in sales-type leases due after one year is included in Other long-term assets.</w:t>
      </w:r>
    </w:p>
    <w:p>
      <w:pPr>
        <w:spacing w:after="0" w:line="20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table below reconciles the undiscounted cash flows to be received for the next five years and thereafter to the net investment in sales-type leases recorded on the balance sheet:</w:t>
      </w:r>
    </w:p>
    <w:p>
      <w:pPr>
        <w:spacing w:after="0" w:line="229"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568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Q3 - Q4 2019</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Less: unearned interest</w:t>
            </w:r>
          </w:p>
        </w:tc>
        <w:tc>
          <w:tcPr>
            <w:tcW w:w="10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4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doubtful accounts</w:t>
            </w:r>
          </w:p>
        </w:tc>
        <w:tc>
          <w:tcPr>
            <w:tcW w:w="10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Net investment in sales-type leases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Undiscounted cash flows to be received for the next five years and thereafter for operating leases and subleases are: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206"/>
        </w:trPr>
        <w:tc>
          <w:tcPr>
            <w:tcW w:w="3980" w:type="dxa"/>
            <w:vAlign w:val="bottom"/>
          </w:tcPr>
          <w:p>
            <w:pPr>
              <w:spacing w:after="0"/>
              <w:rPr>
                <w:sz w:val="20"/>
                <w:szCs w:val="20"/>
                <w:color w:val="auto"/>
              </w:rPr>
            </w:pPr>
            <w:r>
              <w:rPr>
                <w:rFonts w:ascii="Arial" w:cs="Arial" w:eastAsia="Arial" w:hAnsi="Arial"/>
                <w:sz w:val="16"/>
                <w:szCs w:val="16"/>
                <w:color w:val="auto"/>
              </w:rPr>
              <w:t>(in millions)</w:t>
            </w:r>
          </w:p>
        </w:tc>
        <w:tc>
          <w:tcPr>
            <w:tcW w:w="1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Q3 - Q4 2019</w:t>
            </w:r>
          </w:p>
        </w:tc>
        <w:tc>
          <w:tcPr>
            <w:tcW w:w="278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20"/>
                <w:szCs w:val="20"/>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2020</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2022</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7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4"/>
          </w:tcPr>
          <w:p>
            <w:pPr>
              <w:jc w:val="right"/>
              <w:ind w:right="530"/>
              <w:spacing w:after="0"/>
              <w:rPr>
                <w:sz w:val="20"/>
                <w:szCs w:val="20"/>
                <w:color w:val="auto"/>
              </w:rPr>
            </w:pPr>
            <w:r>
              <w:rPr>
                <w:rFonts w:ascii="Arial" w:cs="Arial" w:eastAsia="Arial" w:hAnsi="Arial"/>
                <w:sz w:val="18"/>
                <w:szCs w:val="18"/>
                <w:color w:val="auto"/>
                <w:w w:val="89"/>
              </w:rPr>
              <w:t>Equipment subject to operating leases and the related accumulated depreciation were as follows: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4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Equipment subject to operating leases</w:t>
            </w:r>
          </w:p>
        </w:tc>
        <w:tc>
          <w:tcPr>
            <w:tcW w:w="9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00" w:type="dxa"/>
            <w:vAlign w:val="bottom"/>
            <w:vMerge w:val="continue"/>
            <w:shd w:val="clear" w:color="auto" w:fill="CFF0FC"/>
          </w:tcPr>
          <w:p>
            <w:pPr>
              <w:spacing w:after="0"/>
              <w:rPr>
                <w:sz w:val="20"/>
                <w:szCs w:val="20"/>
                <w:color w:val="auto"/>
              </w:rPr>
            </w:pPr>
          </w:p>
        </w:tc>
        <w:tc>
          <w:tcPr>
            <w:tcW w:w="2420" w:type="dxa"/>
            <w:vAlign w:val="bottom"/>
            <w:gridSpan w:val="2"/>
            <w:shd w:val="clear" w:color="auto" w:fill="CFF0FC"/>
          </w:tcPr>
          <w:p>
            <w:pPr>
              <w:jc w:val="right"/>
              <w:ind w:right="12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Equipment subject to operating leases, net</w:t>
            </w:r>
          </w:p>
        </w:tc>
        <w:tc>
          <w:tcPr>
            <w:tcW w:w="9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000" w:type="dxa"/>
            <w:vAlign w:val="bottom"/>
            <w:vMerge w:val="continue"/>
            <w:shd w:val="clear" w:color="auto" w:fill="CFF0FC"/>
          </w:tcPr>
          <w:p>
            <w:pPr>
              <w:spacing w:after="0"/>
              <w:rPr>
                <w:sz w:val="20"/>
                <w:szCs w:val="20"/>
                <w:color w:val="auto"/>
              </w:rPr>
            </w:pPr>
          </w:p>
        </w:tc>
        <w:tc>
          <w:tcPr>
            <w:tcW w:w="2420" w:type="dxa"/>
            <w:vAlign w:val="bottom"/>
            <w:gridSpan w:val="2"/>
            <w:shd w:val="clear" w:color="auto" w:fill="CFF0FC"/>
          </w:tcPr>
          <w:p>
            <w:pPr>
              <w:jc w:val="right"/>
              <w:ind w:right="12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Equipment subject to operating leases, net is included in Property, plant and equipment, net in the Consolidated Statement of Financial Position.</w:t>
      </w: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recognized on operating lease arrangements for the quarter and six months ended June 30, 2019 is presented below (income recognized for sales-type lease arrangements is $0 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336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580" w:type="dxa"/>
            <w:vAlign w:val="bottom"/>
            <w:tcBorders>
              <w:top w:val="single" w:sz="8" w:color="CFF0FC"/>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Lease income</w:t>
            </w:r>
          </w:p>
        </w:tc>
        <w:tc>
          <w:tcPr>
            <w:tcW w:w="3360" w:type="dxa"/>
            <w:vAlign w:val="bottom"/>
            <w:gridSpan w:val="2"/>
          </w:tcPr>
          <w:p>
            <w:pPr>
              <w:jc w:val="right"/>
              <w:ind w:right="16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15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1580" w:type="dxa"/>
            <w:vAlign w:val="bottom"/>
            <w:tcBorders>
              <w:bottom w:val="single" w:sz="8" w:color="CFF0FC"/>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income</w:t>
            </w:r>
          </w:p>
        </w:tc>
        <w:tc>
          <w:tcPr>
            <w:tcW w:w="3360" w:type="dxa"/>
            <w:vAlign w:val="bottom"/>
            <w:gridSpan w:val="2"/>
            <w:shd w:val="clear" w:color="auto" w:fill="CFF0FC"/>
          </w:tcPr>
          <w:p>
            <w:pPr>
              <w:jc w:val="right"/>
              <w:ind w:right="16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ind w:right="170"/>
              <w:spacing w:after="0"/>
              <w:rPr>
                <w:sz w:val="20"/>
                <w:szCs w:val="20"/>
                <w:color w:val="auto"/>
              </w:rPr>
            </w:pPr>
            <w:r>
              <w:rPr>
                <w:rFonts w:ascii="Arial" w:cs="Arial" w:eastAsia="Arial" w:hAnsi="Arial"/>
                <w:sz w:val="18"/>
                <w:szCs w:val="18"/>
                <w:color w:val="auto"/>
              </w:rPr>
              <w:t>[19]</w:t>
            </w: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June 30, 2019, the Company had outstanding letters of credit of $80 million issued under the ABL Credit Agreement, as well as bank guarantees and letters of credit of $3 million, surety bonds in the amount of $40 million, and restricted cash and deposits of $42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June 30, 2019, the unreserved portion of these contingencies, inclusive of any related interest and penalties, for which there was at least a reasonable possibility that a loss may be incurred, amounted to approximately $10 million.</w:t>
      </w:r>
    </w:p>
    <w:p>
      <w:pPr>
        <w:spacing w:after="0" w:line="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assessments in Brazil, local regulations may require Kodak’s Brazilian operations to post security for a portion of the amounts in dispute. As of June 30, 2019, Kodak’s Brazilian operations have posted security composed of $4 million of pledged cash reported within Restricted cash in the Consolidated Statement of Financial Position and liens on certain Brazilian assets with a net book value of approximately $60 million. Generally, any encumbrances on the Brazilian assets would be removed to the extent the matter is resolved in Kodak's favor.</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GUARANTEES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$2 million and the outstanding amount for those guarantees is less than $1 million.</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2018 to June 30, 2019, which is reflected in Other current liabilities in the accompanying Consolidated Statement of Financial Position,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gridSpan w:val="2"/>
          </w:tcPr>
          <w:p>
            <w:pPr>
              <w:ind w:left="23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2018</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w w:val="91"/>
              </w:rPr>
              <w:t>Recognition of extended warranty and maintenance arrangement revenue</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 2019</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ind w:left="2300"/>
              <w:spacing w:after="0"/>
              <w:rPr>
                <w:sz w:val="20"/>
                <w:szCs w:val="20"/>
                <w:color w:val="auto"/>
              </w:rPr>
            </w:pPr>
            <w:r>
              <w:rPr>
                <w:rFonts w:ascii="Arial" w:cs="Arial" w:eastAsia="Arial" w:hAnsi="Arial"/>
                <w:sz w:val="18"/>
                <w:szCs w:val="18"/>
                <w:color w:val="auto"/>
              </w:rPr>
              <w:t>Deferred revenue on extended warranties as of June 30, 2019</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Inkjet</w:t>
            </w:r>
          </w:p>
        </w:tc>
        <w:tc>
          <w:tcPr>
            <w:tcW w:w="2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340" w:type="dxa"/>
            <w:vAlign w:val="bottom"/>
            <w:gridSpan w:val="4"/>
          </w:tcPr>
          <w:p>
            <w:pPr>
              <w:ind w:left="1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and Imaging</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Technology</w:t>
            </w:r>
          </w:p>
        </w:tc>
        <w:tc>
          <w:tcPr>
            <w:tcW w:w="2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Ongoing service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June 30, 2019</w:t>
            </w:r>
          </w:p>
        </w:tc>
        <w:tc>
          <w:tcPr>
            <w:tcW w:w="10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Inkjet</w:t>
            </w:r>
          </w:p>
        </w:tc>
        <w:tc>
          <w:tcPr>
            <w:tcW w:w="2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340" w:type="dxa"/>
            <w:vAlign w:val="bottom"/>
            <w:gridSpan w:val="4"/>
          </w:tcPr>
          <w:p>
            <w:pPr>
              <w:ind w:left="140"/>
              <w:spacing w:after="0"/>
              <w:rPr>
                <w:sz w:val="20"/>
                <w:szCs w:val="20"/>
                <w:color w:val="auto"/>
              </w:rPr>
            </w:pPr>
            <w:r>
              <w:rPr>
                <w:rFonts w:ascii="Arial" w:cs="Arial" w:eastAsia="Arial" w:hAnsi="Arial"/>
                <w:sz w:val="18"/>
                <w:szCs w:val="18"/>
                <w:b w:val="1"/>
                <w:bCs w:val="1"/>
                <w:color w:val="auto"/>
              </w:rPr>
              <w:t>Brand, Film</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and Imaging</w:t>
            </w: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Technology</w:t>
            </w:r>
          </w:p>
        </w:tc>
        <w:tc>
          <w:tcPr>
            <w:tcW w:w="2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00" w:type="dxa"/>
            <w:vAlign w:val="bottom"/>
          </w:tcPr>
          <w:p>
            <w:pPr>
              <w:spacing w:after="0"/>
              <w:rPr>
                <w:sz w:val="20"/>
                <w:szCs w:val="20"/>
                <w:color w:val="auto"/>
              </w:rPr>
            </w:pPr>
            <w:r>
              <w:rPr>
                <w:rFonts w:ascii="Arial" w:cs="Arial" w:eastAsia="Arial" w:hAnsi="Arial"/>
                <w:sz w:val="18"/>
                <w:szCs w:val="18"/>
                <w:color w:val="auto"/>
              </w:rPr>
              <w:t>Ongoing service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280" w:type="dxa"/>
            <w:vAlign w:val="bottom"/>
            <w:gridSpan w:val="4"/>
          </w:tcPr>
          <w:p>
            <w:pPr>
              <w:ind w:left="120"/>
              <w:spacing w:after="0"/>
              <w:rPr>
                <w:sz w:val="20"/>
                <w:szCs w:val="20"/>
                <w:color w:val="auto"/>
              </w:rPr>
            </w:pPr>
            <w:r>
              <w:rPr>
                <w:rFonts w:ascii="Arial" w:cs="Arial" w:eastAsia="Arial" w:hAnsi="Arial"/>
                <w:sz w:val="18"/>
                <w:szCs w:val="18"/>
                <w:b w:val="1"/>
                <w:bCs w:val="1"/>
                <w:color w:val="auto"/>
              </w:rPr>
              <w:t>Brand, Film</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rPr>
              <w:t>and Imaging</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Technology</w:t>
            </w:r>
          </w:p>
        </w:tc>
        <w:tc>
          <w:tcPr>
            <w:tcW w:w="2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 consumables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tcBorders>
            <w:shd w:val="clear" w:color="auto" w:fill="CFF0FC"/>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20"/>
                <w:szCs w:val="2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Advanced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Materials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3D</w:t>
            </w:r>
          </w:p>
        </w:tc>
        <w:tc>
          <w:tcPr>
            <w:tcW w:w="2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Eastman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Print</w:t>
            </w:r>
          </w:p>
        </w:tc>
        <w:tc>
          <w:tcPr>
            <w:tcW w:w="2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Inkjet</w:t>
            </w:r>
          </w:p>
        </w:tc>
        <w:tc>
          <w:tcPr>
            <w:tcW w:w="2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Kodak</w:t>
            </w:r>
          </w:p>
        </w:tc>
        <w:tc>
          <w:tcPr>
            <w:tcW w:w="1280" w:type="dxa"/>
            <w:vAlign w:val="bottom"/>
            <w:gridSpan w:val="4"/>
          </w:tcPr>
          <w:p>
            <w:pPr>
              <w:ind w:left="120"/>
              <w:spacing w:after="0"/>
              <w:rPr>
                <w:sz w:val="20"/>
                <w:szCs w:val="20"/>
                <w:color w:val="auto"/>
              </w:rPr>
            </w:pPr>
            <w:r>
              <w:rPr>
                <w:rFonts w:ascii="Arial" w:cs="Arial" w:eastAsia="Arial" w:hAnsi="Arial"/>
                <w:sz w:val="18"/>
                <w:szCs w:val="18"/>
                <w:b w:val="1"/>
                <w:bCs w:val="1"/>
                <w:color w:val="auto"/>
              </w:rPr>
              <w:t>Brand, Film</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2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Software</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rPr>
              <w:t>and Imaging</w:t>
            </w: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Technology</w:t>
            </w:r>
          </w:p>
        </w:tc>
        <w:tc>
          <w:tcPr>
            <w:tcW w:w="2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3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Plates, inks and other consumables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Ongoing service arrangements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CFF0FC"/>
            </w:tcBorders>
          </w:tcPr>
          <w:p>
            <w:pPr>
              <w:ind w:left="1660"/>
              <w:spacing w:after="0"/>
              <w:rPr>
                <w:sz w:val="20"/>
                <w:szCs w:val="20"/>
                <w:color w:val="auto"/>
              </w:rPr>
            </w:pPr>
            <w:r>
              <w:rPr>
                <w:rFonts w:ascii="Arial" w:cs="Arial" w:eastAsia="Arial" w:hAnsi="Arial"/>
                <w:sz w:val="18"/>
                <w:szCs w:val="18"/>
                <w:color w:val="auto"/>
              </w:rPr>
              <w:t>Total Annuities</w:t>
            </w: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Equipment &amp; Software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Film and chemicals</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80" w:hanging="572"/>
        <w:spacing w:after="0" w:line="277"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00" w:hanging="572"/>
        <w:spacing w:after="0" w:line="277"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11"/>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June 30, 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restart"/>
          </w:tcPr>
          <w:p>
            <w:pPr>
              <w:jc w:val="right"/>
              <w:ind w:right="72"/>
              <w:spacing w:after="0"/>
              <w:rPr>
                <w:sz w:val="20"/>
                <w:szCs w:val="20"/>
                <w:color w:val="auto"/>
              </w:rPr>
            </w:pPr>
            <w:r>
              <w:rPr>
                <w:rFonts w:ascii="Arial" w:cs="Arial" w:eastAsia="Arial" w:hAnsi="Arial"/>
                <w:sz w:val="18"/>
                <w:szCs w:val="18"/>
                <w:b w:val="1"/>
                <w:bCs w:val="1"/>
                <w:color w:val="auto"/>
                <w:w w:val="92"/>
              </w:rPr>
              <w:t>Advanced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and 3D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Eastman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Print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4"/>
              </w:rPr>
              <w:t>Kodak</w:t>
            </w:r>
          </w:p>
        </w:tc>
        <w:tc>
          <w:tcPr>
            <w:tcW w:w="80" w:type="dxa"/>
            <w:vAlign w:val="bottom"/>
          </w:tcPr>
          <w:p>
            <w:pPr>
              <w:spacing w:after="0"/>
              <w:rPr>
                <w:sz w:val="18"/>
                <w:szCs w:val="18"/>
                <w:color w:val="auto"/>
              </w:rPr>
            </w:pPr>
          </w:p>
        </w:tc>
        <w:tc>
          <w:tcPr>
            <w:tcW w:w="1180" w:type="dxa"/>
            <w:vAlign w:val="bottom"/>
            <w:gridSpan w:val="4"/>
          </w:tcPr>
          <w:p>
            <w:pPr>
              <w:ind w:left="40"/>
              <w:spacing w:after="0"/>
              <w:rPr>
                <w:sz w:val="20"/>
                <w:szCs w:val="20"/>
                <w:color w:val="auto"/>
              </w:rPr>
            </w:pPr>
            <w:r>
              <w:rPr>
                <w:rFonts w:ascii="Arial" w:cs="Arial" w:eastAsia="Arial" w:hAnsi="Arial"/>
                <w:sz w:val="18"/>
                <w:szCs w:val="18"/>
                <w:b w:val="1"/>
                <w:bCs w:val="1"/>
                <w:color w:val="auto"/>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4"/>
              </w:rPr>
              <w:t>Business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Systems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Software</w:t>
            </w:r>
          </w:p>
        </w:tc>
        <w:tc>
          <w:tcPr>
            <w:tcW w:w="80" w:type="dxa"/>
            <w:vAlign w:val="bottom"/>
          </w:tcPr>
          <w:p>
            <w:pPr>
              <w:spacing w:after="0"/>
              <w:rPr>
                <w:sz w:val="20"/>
                <w:szCs w:val="20"/>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Park</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9"/>
              </w:rPr>
              <w:t>14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right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June 30, 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restart"/>
          </w:tcPr>
          <w:p>
            <w:pPr>
              <w:jc w:val="center"/>
              <w:ind w:right="32"/>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and 3D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0"/>
              </w:rPr>
              <w:t>Eastman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Print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4"/>
              </w:rPr>
              <w:t>Kodak</w:t>
            </w:r>
          </w:p>
        </w:tc>
        <w:tc>
          <w:tcPr>
            <w:tcW w:w="80" w:type="dxa"/>
            <w:vAlign w:val="bottom"/>
          </w:tcPr>
          <w:p>
            <w:pPr>
              <w:spacing w:after="0"/>
              <w:rPr>
                <w:sz w:val="18"/>
                <w:szCs w:val="18"/>
                <w:color w:val="auto"/>
              </w:rPr>
            </w:pPr>
          </w:p>
        </w:tc>
        <w:tc>
          <w:tcPr>
            <w:tcW w:w="1180" w:type="dxa"/>
            <w:vAlign w:val="bottom"/>
            <w:gridSpan w:val="4"/>
          </w:tcPr>
          <w:p>
            <w:pPr>
              <w:ind w:left="40"/>
              <w:spacing w:after="0"/>
              <w:rPr>
                <w:sz w:val="20"/>
                <w:szCs w:val="20"/>
                <w:color w:val="auto"/>
              </w:rPr>
            </w:pPr>
            <w:r>
              <w:rPr>
                <w:rFonts w:ascii="Arial" w:cs="Arial" w:eastAsia="Arial" w:hAnsi="Arial"/>
                <w:sz w:val="18"/>
                <w:szCs w:val="18"/>
                <w:b w:val="1"/>
                <w:bCs w:val="1"/>
                <w:color w:val="auto"/>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4"/>
              </w:rPr>
              <w:t>Business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Systems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0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2"/>
              </w:rPr>
              <w:t>Software</w:t>
            </w:r>
          </w:p>
        </w:tc>
        <w:tc>
          <w:tcPr>
            <w:tcW w:w="80" w:type="dxa"/>
            <w:vAlign w:val="bottom"/>
          </w:tcPr>
          <w:p>
            <w:pPr>
              <w:spacing w:after="0"/>
              <w:rPr>
                <w:sz w:val="20"/>
                <w:szCs w:val="20"/>
                <w:color w:val="auto"/>
              </w:rPr>
            </w:pP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Park</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9"/>
              </w:rPr>
              <w:t>28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9"/>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11"/>
          </w:tcPr>
          <w:p>
            <w:pPr>
              <w:ind w:left="7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June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vMerge w:val="restart"/>
          </w:tcPr>
          <w:p>
            <w:pPr>
              <w:jc w:val="center"/>
              <w:ind w:left="12"/>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and 3D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Eastman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Print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6"/>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Software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Park</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color w:val="auto"/>
                <w:w w:val="89"/>
              </w:rPr>
              <w:t>16</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60" w:type="dxa"/>
            <w:vAlign w:val="bottom"/>
            <w:gridSpan w:val="4"/>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8"/>
                <w:szCs w:val="18"/>
                <w:color w:val="auto"/>
                <w:w w:val="89"/>
              </w:rPr>
              <w:t>16</w:t>
            </w:r>
          </w:p>
        </w:tc>
        <w:tc>
          <w:tcPr>
            <w:tcW w:w="22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gridSpan w:val="8"/>
          </w:tcPr>
          <w:p>
            <w:pPr>
              <w:jc w:val="right"/>
              <w:spacing w:after="0"/>
              <w:rPr>
                <w:sz w:val="20"/>
                <w:szCs w:val="20"/>
                <w:color w:val="auto"/>
              </w:rPr>
            </w:pPr>
            <w:r>
              <w:rPr>
                <w:rFonts w:ascii="Arial" w:cs="Arial" w:eastAsia="Arial" w:hAnsi="Arial"/>
                <w:sz w:val="18"/>
                <w:szCs w:val="18"/>
                <w:b w:val="1"/>
                <w:bCs w:val="1"/>
                <w:color w:val="auto"/>
                <w:w w:val="93"/>
              </w:rPr>
              <w:t>Six Months Ended</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June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vMerge w:val="restart"/>
          </w:tcPr>
          <w:p>
            <w:pPr>
              <w:jc w:val="center"/>
              <w:ind w:left="12"/>
              <w:spacing w:after="0"/>
              <w:rPr>
                <w:sz w:val="20"/>
                <w:szCs w:val="20"/>
                <w:color w:val="auto"/>
              </w:rPr>
            </w:pPr>
            <w:r>
              <w:rPr>
                <w:rFonts w:ascii="Arial" w:cs="Arial" w:eastAsia="Arial" w:hAnsi="Arial"/>
                <w:sz w:val="18"/>
                <w:szCs w:val="18"/>
                <w:b w:val="1"/>
                <w:bCs w:val="1"/>
                <w:color w:val="auto"/>
                <w:w w:val="90"/>
              </w:rPr>
              <w:t>Advanced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b w:val="1"/>
                <w:bCs w:val="1"/>
                <w:color w:val="auto"/>
                <w:w w:val="94"/>
              </w:rPr>
              <w:t>Materials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and 3D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Eastman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Print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4"/>
              </w:rPr>
              <w:t>Kodak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Brand, Film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Printing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Arial" w:cs="Arial" w:eastAsia="Arial" w:hAnsi="Arial"/>
                <w:sz w:val="16"/>
                <w:szCs w:val="16"/>
                <w:color w:val="auto"/>
              </w:rPr>
              <w:t>(in millions)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Software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and Imaging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85"/>
              </w:rPr>
              <w:t>Technology</w:t>
            </w:r>
          </w:p>
        </w:tc>
        <w:tc>
          <w:tcPr>
            <w:tcW w:w="120" w:type="dxa"/>
            <w:vAlign w:val="bottom"/>
          </w:tcPr>
          <w:p>
            <w:pPr>
              <w:spacing w:after="0"/>
              <w:rPr>
                <w:sz w:val="20"/>
                <w:szCs w:val="20"/>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Park</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ind w:left="720"/>
              <w:spacing w:after="0"/>
              <w:rPr>
                <w:sz w:val="20"/>
                <w:szCs w:val="20"/>
                <w:color w:val="auto"/>
              </w:rPr>
            </w:pPr>
            <w:r>
              <w:rPr>
                <w:rFonts w:ascii="Arial" w:cs="Arial" w:eastAsia="Arial" w:hAnsi="Arial"/>
                <w:sz w:val="18"/>
                <w:szCs w:val="18"/>
                <w:color w:val="auto"/>
                <w:w w:val="89"/>
              </w:rPr>
              <w:t>32</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4"/>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60" w:type="dxa"/>
            <w:vAlign w:val="bottom"/>
            <w:gridSpan w:val="4"/>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443</w:t>
            </w:r>
          </w:p>
        </w:tc>
        <w:tc>
          <w:tcPr>
            <w:tcW w:w="2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8"/>
                <w:szCs w:val="18"/>
                <w:color w:val="auto"/>
                <w:w w:val="89"/>
              </w:rPr>
              <w:t>32</w:t>
            </w:r>
          </w:p>
        </w:tc>
        <w:tc>
          <w:tcPr>
            <w:tcW w:w="22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210"/>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 w:name="page24"/>
    <w:bookmarkEnd w:id="23"/>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7"/>
          <w:szCs w:val="17"/>
          <w:color w:val="auto"/>
        </w:rPr>
        <w:t>Growth engines consist of Sonora, PROSPER, Kodak Software, AM3D, excluding intellectual property (IP) licensing, and brand licensing.</w:t>
      </w:r>
    </w:p>
    <w:p>
      <w:pPr>
        <w:spacing w:after="0" w:line="263" w:lineRule="exact"/>
        <w:rPr>
          <w:rFonts w:ascii="Arial" w:cs="Arial" w:eastAsia="Arial" w:hAnsi="Arial"/>
          <w:sz w:val="14"/>
          <w:szCs w:val="14"/>
          <w:color w:val="auto"/>
        </w:rPr>
      </w:pPr>
    </w:p>
    <w:p>
      <w:pPr>
        <w:jc w:val="both"/>
        <w:ind w:left="580" w:right="620" w:hanging="572"/>
        <w:spacing w:after="0" w:line="264"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and related service, and Nexpress and related toner business in the Print Systems segment, Motion Picture and Industrial Film and Chemicals in the Brand, Film and Imaging segment, Eastman Business Park and IP licensing.</w:t>
      </w:r>
    </w:p>
    <w:p>
      <w:pPr>
        <w:spacing w:after="0" w:line="208" w:lineRule="exact"/>
        <w:rPr>
          <w:rFonts w:ascii="Arial" w:cs="Arial" w:eastAsia="Arial" w:hAnsi="Arial"/>
          <w:sz w:val="15"/>
          <w:szCs w:val="15"/>
          <w:color w:val="auto"/>
        </w:rPr>
      </w:pPr>
    </w:p>
    <w:p>
      <w:pPr>
        <w:ind w:left="580" w:right="140" w:hanging="572"/>
        <w:spacing w:after="0" w:line="264" w:lineRule="auto"/>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Brand, Film and Imaging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Advanced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 3D</w:t>
            </w:r>
          </w:p>
        </w:tc>
        <w:tc>
          <w:tcPr>
            <w:tcW w:w="14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2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Brand, Film</w:t>
            </w: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6"/>
                <w:szCs w:val="16"/>
                <w:color w:val="auto"/>
              </w:rPr>
              <w:t>(in millions)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Print Systems</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and Imaging</w:t>
            </w:r>
          </w:p>
        </w:tc>
        <w:tc>
          <w:tcPr>
            <w:tcW w:w="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June 30, 2019</w:t>
            </w:r>
          </w:p>
        </w:tc>
        <w:tc>
          <w:tcPr>
            <w:tcW w:w="8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Advanced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 3D</w:t>
            </w:r>
          </w:p>
        </w:tc>
        <w:tc>
          <w:tcPr>
            <w:tcW w:w="14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2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Brand, Film</w:t>
            </w: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6"/>
                <w:szCs w:val="16"/>
                <w:color w:val="auto"/>
              </w:rPr>
              <w:t>(in millions)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Print Systems</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and Imaging</w:t>
            </w:r>
          </w:p>
        </w:tc>
        <w:tc>
          <w:tcPr>
            <w:tcW w:w="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Advanced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 3D</w:t>
            </w:r>
          </w:p>
        </w:tc>
        <w:tc>
          <w:tcPr>
            <w:tcW w:w="14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2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Brand, Film</w:t>
            </w: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6"/>
                <w:szCs w:val="16"/>
                <w:color w:val="auto"/>
              </w:rPr>
              <w:t>(in millions)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Print Systems</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and Imaging</w:t>
            </w:r>
          </w:p>
        </w:tc>
        <w:tc>
          <w:tcPr>
            <w:tcW w:w="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left="730"/>
              <w:spacing w:after="0"/>
              <w:rPr>
                <w:sz w:val="20"/>
                <w:szCs w:val="20"/>
                <w:color w:val="auto"/>
              </w:rPr>
            </w:pPr>
            <w:r>
              <w:rPr>
                <w:rFonts w:ascii="Arial" w:cs="Arial" w:eastAsia="Arial" w:hAnsi="Arial"/>
                <w:sz w:val="18"/>
                <w:szCs w:val="18"/>
                <w:b w:val="1"/>
                <w:bCs w:val="1"/>
                <w:color w:val="auto"/>
                <w:w w:val="90"/>
              </w:rPr>
              <w:t>Six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June 30, 2018</w:t>
            </w:r>
          </w:p>
        </w:tc>
        <w:tc>
          <w:tcPr>
            <w:tcW w:w="8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Advanced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Materials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Enterprise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 3D</w:t>
            </w:r>
          </w:p>
        </w:tc>
        <w:tc>
          <w:tcPr>
            <w:tcW w:w="14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Eastman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Inkjet</w:t>
            </w: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Kodak</w:t>
            </w:r>
          </w:p>
        </w:tc>
        <w:tc>
          <w:tcPr>
            <w:tcW w:w="2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Brand, Film</w:t>
            </w:r>
          </w:p>
        </w:tc>
        <w:tc>
          <w:tcPr>
            <w:tcW w:w="8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Printing</w:t>
            </w: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Business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Arial" w:cs="Arial" w:eastAsia="Arial" w:hAnsi="Arial"/>
                <w:sz w:val="16"/>
                <w:szCs w:val="16"/>
                <w:color w:val="auto"/>
              </w:rPr>
              <w:t>(in millions)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Print Systems</w:t>
            </w: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and Imaging</w:t>
            </w:r>
          </w:p>
        </w:tc>
        <w:tc>
          <w:tcPr>
            <w:tcW w:w="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Technology</w:t>
            </w: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Park</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shd w:val="clear" w:color="auto" w:fill="CFF0FC"/>
          </w:tcPr>
          <w:p>
            <w:pPr>
              <w:ind w:left="680"/>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Latin America</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June 30, 2019 and December 31, 2018 were $2 million and $3 million, respectively, and are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June 30, 2019 and December 31, 2018 were $56 million and $48 million, respectively, of which $37 million and $42 million, respectively, are reported in Other current liabilities and $19 million and $6 million, respectively, are reported in Other long-term liabilities in the Consolidated Statement of Financial Position.</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 recognized for the quarter and six months ended June 30, 2019 and 2018 that was included in the contract liability balance at the beginning of the year was $5 million and $30 million in 2019, respectively, and $4 million and $27 million in 2018, respectively, and primarily represented revenue from prepaid service contracts and equipment revenue recognition. Contract liabilities as of June 30, 2019 included $20 million and $23 million of cash payments received during the quarter and six months ended June 30, 2019, respectively. Contract liabilities as of June 30, 2018 included $23 million and $30 million of cash payments received during the quarter and six months ended June 30, 2018,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June 30, 2019, there was approximately $79 million of unrecognized revenue from unsatisfied performance obligations. Approximately 20% of the revenue from unsatisfied performance obligations is expected to be recognized in the rest of 2019, 30% in 2020, 15% in 2021 and 35% thereafter.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NOTE 13: OTHER OPERATING (INCOME) EXPENSE, NET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9"/>
          </w:tcPr>
          <w:p>
            <w:pPr>
              <w:jc w:val="right"/>
              <w:ind w:right="220"/>
              <w:spacing w:after="0"/>
              <w:rPr>
                <w:sz w:val="20"/>
                <w:szCs w:val="20"/>
                <w:color w:val="auto"/>
              </w:rPr>
            </w:pPr>
            <w:r>
              <w:rPr>
                <w:rFonts w:ascii="Arial" w:cs="Arial" w:eastAsia="Arial" w:hAnsi="Arial"/>
                <w:sz w:val="18"/>
                <w:szCs w:val="18"/>
                <w:b w:val="1"/>
                <w:bCs w:val="1"/>
                <w:color w:val="auto"/>
                <w:w w:val="93"/>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9"/>
          </w:tcPr>
          <w:p>
            <w:pPr>
              <w:jc w:val="right"/>
              <w:ind w:righ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6"/>
          </w:tcPr>
          <w:p>
            <w:pPr>
              <w:jc w:val="right"/>
              <w:ind w:right="245"/>
              <w:spacing w:after="0"/>
              <w:rPr>
                <w:sz w:val="20"/>
                <w:szCs w:val="20"/>
                <w:color w:val="auto"/>
              </w:rPr>
            </w:pPr>
            <w:r>
              <w:rPr>
                <w:rFonts w:ascii="Arial" w:cs="Arial" w:eastAsia="Arial" w:hAnsi="Arial"/>
                <w:sz w:val="18"/>
                <w:szCs w:val="18"/>
                <w:b w:val="1"/>
                <w:bCs w:val="1"/>
                <w:color w:val="auto"/>
                <w:w w:val="85"/>
              </w:rPr>
              <w:t>June 30,</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Transition services agreement income</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3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(gain) on sale of assets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60" w:type="dxa"/>
            <w:vAlign w:val="bottom"/>
            <w:gridSpan w:val="4"/>
            <w:shd w:val="clear" w:color="auto" w:fill="CFF0FC"/>
          </w:tcPr>
          <w:p>
            <w:pPr>
              <w:jc w:val="right"/>
              <w:ind w:right="25"/>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Other</w:t>
            </w:r>
          </w:p>
        </w:tc>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gridSpan w:val="4"/>
          </w:tcPr>
          <w:p>
            <w:pPr>
              <w:jc w:val="right"/>
              <w:ind w:right="25"/>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w:t>
            </w:r>
          </w:p>
        </w:tc>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NOTE 14: OTHER (INCOME) CHARGES, NET</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9"/>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600" w:type="dxa"/>
            <w:vAlign w:val="bottom"/>
            <w:gridSpan w:val="2"/>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0"/>
                <w:szCs w:val="20"/>
                <w:color w:val="auto"/>
              </w:rPr>
            </w:pPr>
          </w:p>
        </w:tc>
        <w:tc>
          <w:tcPr>
            <w:tcW w:w="340" w:type="dxa"/>
            <w:vAlign w:val="bottom"/>
            <w:gridSpan w:val="3"/>
            <w:shd w:val="clear" w:color="auto" w:fill="CFF0FC"/>
          </w:tcPr>
          <w:p>
            <w:pPr>
              <w:jc w:val="right"/>
              <w:ind w:right="14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early retirement of debt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8"/>
              </w:rPr>
              <w:t>Other</w:t>
            </w:r>
          </w:p>
        </w:tc>
        <w:tc>
          <w:tcPr>
            <w:tcW w:w="37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ind w:left="1100"/>
              <w:spacing w:after="0"/>
              <w:rPr>
                <w:sz w:val="20"/>
                <w:szCs w:val="20"/>
                <w:color w:val="auto"/>
              </w:rPr>
            </w:pPr>
            <w:r>
              <w:rPr>
                <w:rFonts w:ascii="Arial" w:cs="Arial" w:eastAsia="Arial" w:hAnsi="Arial"/>
                <w:sz w:val="15"/>
                <w:szCs w:val="15"/>
                <w:color w:val="auto"/>
              </w:rPr>
              <w:t>(1)</w:t>
            </w:r>
          </w:p>
        </w:tc>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Refer to Note 23, “Financial Instruments”.</w:t>
            </w: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580" w:type="dxa"/>
            <w:vAlign w:val="bottom"/>
            <w:gridSpan w:val="2"/>
            <w:vMerge w:val="continue"/>
          </w:tcPr>
          <w:p>
            <w:pPr>
              <w:spacing w:after="0"/>
              <w:rPr>
                <w:sz w:val="24"/>
                <w:szCs w:val="24"/>
                <w:color w:val="auto"/>
              </w:rPr>
            </w:pPr>
          </w:p>
        </w:tc>
        <w:tc>
          <w:tcPr>
            <w:tcW w:w="3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Asset Protection Plan and Protective Amendment</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ability to use its tax attributes (primarily comprised of net operating losses and foreign tax credits) to offset tax on U.S. taxable income would be limited if there were an "ownership change" as defined under Section 382 of the U.S. Internal Revenue Code (the “Code”). In general, an ownership change would occur if "5-percent shareholders," as defined under Section 382, collectively increase their ownership in the Company by more than 50 percentage points over a rolling three-year period.</w:t>
      </w: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12, 2019, the Company filed a preliminary information statement in connection with the (1) issuance and sale of the Convertible Notes, (2) adoption of a protective amendment (the “Protective Amendment”) to restrict certain transfers of Common Stock in order to preserve the tax treatment of the Company’s U.S. tax attributes and (3) adoption of a tax asset protection plan (the “Proposed Plan”) to deter certain transfers of the Common Stock in order to preserve the tax treatment of the Company’s U.S. tax attributes. The protections will become effective shortly after 20 days have elapsed following the filing and distributing of the Definitive Information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Protective Amendment</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Protective Amendment is designed to prevent certain transfers of the Company’s securities that could result in an ownership change under Section 382 of the Code and, therefore, inhibit the Company’s ability to use its tax attributes to reduce future income taxes. The purpose of the Protective Amendment is to protect the long-term value to the Company of its accumulated tax attributes by limiting direct or indirect transfers of the Common Stock that would result in a shareholder owning 10% or more of the then-outstanding Common Stock or in an existing ten percent shareholder acquiring more than an additional 1,000,000 shares. In addition, the Protective Amendment includes a mechanism to block the impact of such transfers while allowing purchasers to receive their money back from prohibited purchases.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Proposed Plan</w:t>
      </w:r>
    </w:p>
    <w:p>
      <w:pPr>
        <w:spacing w:after="0" w:line="2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Proposed Plan is designed to deter any person from buying the Common Stock (or any interest in the Common Stock) if the acquisition would result in a shareholder owning 10% or more of the then-outstanding Common Stock or an existing ten percent shareholder acquiring more than an additional 1,000,000 shares. The Proposed Plan is intended to protect shareholder value by attempting to preserve the Company’s ability to use its tax attributes to reduce its future income tax liability.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9"/>
              </w:rPr>
              <w:t>Kodak’s income tax provision and effective tax rate were as follows: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8"/>
        </w:trPr>
        <w:tc>
          <w:tcPr>
            <w:tcW w:w="1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8"/>
                <w:szCs w:val="18"/>
                <w:b w:val="1"/>
                <w:bCs w:val="1"/>
                <w:color w:val="auto"/>
                <w:w w:val="97"/>
              </w:rPr>
              <w:t>June 30,</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380" w:type="dxa"/>
            <w:vAlign w:val="bottom"/>
            <w:gridSpan w:val="2"/>
          </w:tcPr>
          <w:p>
            <w:pPr>
              <w:ind w:left="110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 operations before</w:t>
            </w: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42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income taxes</w:t>
            </w:r>
          </w:p>
        </w:tc>
        <w:tc>
          <w:tcPr>
            <w:tcW w:w="860" w:type="dxa"/>
            <w:vAlign w:val="bottom"/>
            <w:gridSpan w:val="2"/>
            <w:shd w:val="clear" w:color="auto" w:fill="CFF0FC"/>
          </w:tcPr>
          <w:p>
            <w:pPr>
              <w:jc w:val="right"/>
              <w:ind w:right="51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r>
      <w:tr>
        <w:trPr>
          <w:trHeight w:val="230"/>
        </w:trPr>
        <w:tc>
          <w:tcPr>
            <w:tcW w:w="11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Effective tax rate</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r>
      <w:tr>
        <w:trPr>
          <w:trHeight w:val="223"/>
        </w:trPr>
        <w:tc>
          <w:tcPr>
            <w:tcW w:w="112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r>
      <w:tr>
        <w:trPr>
          <w:trHeight w:val="215"/>
        </w:trPr>
        <w:tc>
          <w:tcPr>
            <w:tcW w:w="1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5"/>
              </w:rPr>
              <w:t>(Benefit) provision for income taxes at U.S. statutory tax</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r>
      <w:tr>
        <w:trPr>
          <w:trHeight w:val="223"/>
        </w:trPr>
        <w:tc>
          <w:tcPr>
            <w:tcW w:w="112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1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June 30, 2019,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2019,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three months ended June 30, 2018, the difference between Kodak’s recorded benefit and the provision that would result from applying the U.S. statutory rate of 21.0% is primarily attributable to: (1) the impact related to existing valuation allowances associated with changes in net deferred tax assets from current earnings and losses and (2) the results from operations in jurisdictions outside the U.S.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2018, the difference between Kodak’s recorded provision and the benefit that would result from applying the U.S. statutory rate of 21.0% is primarily attributable to: (1) the impact related to existing valuation allowances associated with changes in net deferred tax assets from current earnings and losses, (2) the results from operations in jurisdictions outside the U.S. and (3) a provision associated with foreign withholding taxes on undistributed earnings.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RESTRUCTURING LIABILITIES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six months of 2019 were initiated to reduce Kodak’s cost structure as part of its commitment to drive sustainable profitability and included various targeted reductions in manufacturing, service, sales and other administrative functions.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activity in the accrued balances and the non-cash charges and credits incurred in relation to restructuring activities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Exit</w:t>
            </w:r>
          </w:p>
        </w:tc>
        <w:tc>
          <w:tcPr>
            <w:tcW w:w="1820" w:type="dxa"/>
            <w:vAlign w:val="bottom"/>
            <w:gridSpan w:val="4"/>
          </w:tcPr>
          <w:p>
            <w:pPr>
              <w:ind w:left="24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Costs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24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 xml:space="preserve">Q1 other adjustments and reclasses </w:t>
            </w:r>
            <w:r>
              <w:rPr>
                <w:rFonts w:ascii="Arial" w:cs="Arial" w:eastAsia="Arial" w:hAnsi="Arial"/>
                <w:sz w:val="15"/>
                <w:szCs w:val="15"/>
                <w:color w:val="auto"/>
              </w:rPr>
              <w:t>(2)</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Q2 charges - continuing operations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charges - discontinued operations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 severance and exit costs reserves require the outlay of cash, while long-lived asset impairments and inventory write-downs represent non-cash</w:t>
      </w:r>
    </w:p>
    <w:p>
      <w:pPr>
        <w:spacing w:after="0" w:line="4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items.</w:t>
      </w:r>
    </w:p>
    <w:p>
      <w:pPr>
        <w:spacing w:after="0" w:line="9" w:lineRule="exact"/>
        <w:rPr>
          <w:rFonts w:ascii="Arial" w:cs="Arial" w:eastAsia="Arial" w:hAnsi="Arial"/>
          <w:sz w:val="14"/>
          <w:szCs w:val="14"/>
          <w:color w:val="auto"/>
        </w:rPr>
      </w:pPr>
    </w:p>
    <w:p>
      <w:pPr>
        <w:ind w:left="580" w:hanging="572"/>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severance charges funded from pension plan assets, which were reclassified to Pension and other postretirement liabilities.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June 30, 2019 $2 million of charges was reported as Restructuring costs and other, and $1 million was reported in Income from discontinued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severance costs for the three months ended June 30, 2019 related to the elimination of approximately 35 positions including approximately 5 manufacturing/service positions, and 30 administrative and sales positions. The geographic composition of these positions includes approximately 20 in the United States and Canada and 15 throughout the rest of the world.</w:t>
      </w:r>
    </w:p>
    <w:p>
      <w:pPr>
        <w:spacing w:after="0" w:line="2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six months ended June 30, 2019 $4 million of charges was reported as Restructuring costs and other, and $1 million was reported in Income from discontinued operations.</w:t>
      </w:r>
    </w:p>
    <w:p>
      <w:pPr>
        <w:spacing w:after="0" w:line="19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severance costs for the six months ended June 30, 2019 related to the elimination of approximately 75 positions including approximately 20 manufacturing/service positions, and 55 administrative and sales positions. The geographic composition of these positions includes approximately 40 in the United States and Canada and 35 throughout the rest of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initiatives, the majority of the severance will be paid during periods through the end of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NOTE 17: RETIREMENT PLANS AND OTHER POSTRETIREMENT BENEFITS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60" w:type="dxa"/>
            <w:vAlign w:val="bottom"/>
            <w:gridSpan w:val="18"/>
          </w:tcPr>
          <w:p>
            <w:pPr>
              <w:spacing w:after="0"/>
              <w:rPr>
                <w:sz w:val="20"/>
                <w:szCs w:val="20"/>
                <w:color w:val="auto"/>
              </w:rPr>
            </w:pPr>
            <w:r>
              <w:rPr>
                <w:rFonts w:ascii="Arial" w:cs="Arial" w:eastAsia="Arial" w:hAnsi="Arial"/>
                <w:sz w:val="18"/>
                <w:szCs w:val="18"/>
                <w:color w:val="auto"/>
                <w:w w:val="96"/>
              </w:rPr>
              <w:t>Components of the net periodic benefit cost for all major U.S. and Non-U.S. defined benefit plans are as follows: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Service cost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Curtailment (gain)</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pension income from major plans</w:t>
            </w:r>
          </w:p>
        </w:tc>
        <w:tc>
          <w:tcPr>
            <w:tcW w:w="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 plans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pension cost (income)</w:t>
            </w:r>
          </w:p>
        </w:tc>
        <w:tc>
          <w:tcPr>
            <w:tcW w:w="6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CFF0FC"/>
            </w:tcBorders>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three and six months ended June 30, 2019 the special termination benefits charges were incurred as a result of Kodak’s restructuring actions and have been included in Restructuring costs and other in the Consolidated Statement of Operations for those periods.</w:t>
      </w:r>
    </w:p>
    <w:p>
      <w:pPr>
        <w:spacing w:after="0" w:line="19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$2 million curtailment gain for the three and six months ended June 30, 2019 was incurred as a result of the sale of FPD and is included in Income from discontinued operations in the Consolidated Statement of Operations. In addition, the amounts shown for Other plans include $5 million of settlement gains for the three and six months ended June 30, 2019 due to the transfer of non-major, non-U.S. pension liabilities as a result of the sale of FPD. These amounts are also included in Income from discontinued operations in the Consolidated Statement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of the amounts used to calculate basic and diluted earnings per share for quarter and six months ended June 30, 2019 and 2018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5"/>
          </w:tcPr>
          <w:p>
            <w:pPr>
              <w:jc w:val="right"/>
              <w:ind w:right="105"/>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from continuing operations</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5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80" w:type="dxa"/>
            <w:vAlign w:val="bottom"/>
            <w:gridSpan w:val="2"/>
          </w:tcPr>
          <w:p>
            <w:pPr>
              <w:ind w:left="580"/>
              <w:spacing w:after="0"/>
              <w:rPr>
                <w:sz w:val="20"/>
                <w:szCs w:val="20"/>
                <w:color w:val="auto"/>
              </w:rPr>
            </w:pPr>
            <w:r>
              <w:rPr>
                <w:rFonts w:ascii="Arial" w:cs="Arial" w:eastAsia="Arial" w:hAnsi="Arial"/>
                <w:sz w:val="18"/>
                <w:szCs w:val="18"/>
                <w:color w:val="auto"/>
              </w:rPr>
              <w:t>Loss from continuing operations available to</w:t>
            </w: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common shareholders - basic and diluted</w:t>
            </w:r>
          </w:p>
        </w:tc>
        <w:tc>
          <w:tcPr>
            <w:tcW w:w="120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9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80" w:type="dxa"/>
            <w:vAlign w:val="bottom"/>
            <w:vMerge w:val="restart"/>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120" w:type="dxa"/>
            <w:vAlign w:val="bottom"/>
          </w:tcPr>
          <w:p>
            <w:pPr>
              <w:spacing w:after="0"/>
              <w:rPr>
                <w:sz w:val="21"/>
                <w:szCs w:val="21"/>
                <w:color w:val="auto"/>
              </w:rPr>
            </w:pPr>
          </w:p>
        </w:tc>
        <w:tc>
          <w:tcPr>
            <w:tcW w:w="96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income (loss) available to common shareholders - basic and</w:t>
            </w:r>
          </w:p>
        </w:tc>
        <w:tc>
          <w:tcPr>
            <w:tcW w:w="3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196</w:t>
            </w: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72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gridSpan w:val="2"/>
          </w:tcPr>
          <w:p>
            <w:pPr>
              <w:jc w:val="right"/>
              <w:ind w:right="635"/>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9" w:name="page30"/>
    <w:bookmarkEnd w:id="29"/>
    <w:p>
      <w:pPr>
        <w:ind w:right="60"/>
        <w:spacing w:after="0" w:line="276" w:lineRule="auto"/>
        <w:rPr>
          <w:sz w:val="20"/>
          <w:szCs w:val="20"/>
          <w:color w:val="auto"/>
        </w:rPr>
      </w:pPr>
      <w:r>
        <w:rPr>
          <w:rFonts w:ascii="Arial" w:cs="Arial" w:eastAsia="Arial" w:hAnsi="Arial"/>
          <w:sz w:val="17"/>
          <w:szCs w:val="17"/>
          <w:color w:val="auto"/>
        </w:rPr>
        <w:t>As a result of the net loss from continuing operations available to common shareholders for the quarter and six months ended June 30, 2019 and 2018, Kodak calculated diluted earnings per share using weighted-average basic shares outstanding for those periods. If Kodak reported earnings from continuing operations available to common shareholders for the quarter and six months ended June 30, 2019 and 2018, the calculation of diluted earnings per share would have included the assumed conversion of 0.5 million and 0.4 million of unvested restricted stock units for the quarter and six months ending June 30, 2019, respectively, and 0.3 million of unvested restricted stock units for both periods in 2018.</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computation of diluted earnings per share for the quarter and six months ended June 30, 2019 and 2018 excluded the impact of (1) the assumed conversion of 2.0 million shares of Series A convertible preferred shares and (2) the assumed conversion of outstanding employee stock options of 7.2 million both for the three and six months ending June 30, 2019 and 4.9 million and 4.8 million in the three and six months ending June 30, 2018, respectively, because the effects would have been anti-dilutive. The computation of diluted earnings per share for the quarter ended June 30, 2019 also excluded the assumed conversion of $100 million of Convertible Notes because the effects would have been anti-dilutive. In addition, the computation of diluted earnings per share for the quarter and six months ended June 30, 2018 excluded the impact of (1) the assumed conversion of net share settled warrants to purchase 1.8 million shares of common stock at an exercise price of $14.93 and (2) the assumed conversion of net share settled warrants to purchase 1.8 million shares of common stock at an exercise price of $16.12 because the effects would have been anti-dilutive. The net share settled warrants terminated at the close of business on September 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SHAREHOLDERS’ EQUITY</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June 30, 2019 and December 31, 2018, there were 43.0 million and 42.8 million shares of common stock outstanding, respectively, and 2.0 million shares of Series A preferred stock issued and outstanding. Treasury stock consisted of approximately 0.6 million shares at both June 30, 2019 and December 31,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net of tax</w:t>
            </w:r>
          </w:p>
        </w:tc>
        <w:tc>
          <w:tcPr>
            <w:tcW w:w="6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gridSpan w:val="2"/>
            <w:shd w:val="clear" w:color="auto" w:fill="CFF0FC"/>
          </w:tcPr>
          <w:p>
            <w:pPr>
              <w:jc w:val="right"/>
              <w:ind w:right="145"/>
              <w:spacing w:after="0"/>
              <w:rPr>
                <w:sz w:val="20"/>
                <w:szCs w:val="20"/>
                <w:color w:val="auto"/>
              </w:rPr>
            </w:pPr>
            <w:r>
              <w:rPr>
                <w:rFonts w:ascii="Arial" w:cs="Arial" w:eastAsia="Arial" w:hAnsi="Arial"/>
                <w:sz w:val="15"/>
                <w:szCs w:val="15"/>
                <w:color w:val="auto"/>
              </w:rPr>
              <w:t>(a)</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4740" w:type="dxa"/>
            <w:vAlign w:val="bottom"/>
          </w:tcPr>
          <w:p>
            <w:pPr>
              <w:ind w:left="500"/>
              <w:spacing w:after="0"/>
              <w:rPr>
                <w:sz w:val="20"/>
                <w:szCs w:val="20"/>
                <w:color w:val="auto"/>
              </w:rPr>
            </w:pPr>
            <w:r>
              <w:rPr>
                <w:rFonts w:ascii="Arial" w:cs="Arial" w:eastAsia="Arial" w:hAnsi="Arial"/>
                <w:sz w:val="18"/>
                <w:szCs w:val="18"/>
                <w:color w:val="auto"/>
              </w:rPr>
              <w:t>Amortization of actuarial losses</w:t>
            </w:r>
          </w:p>
        </w:tc>
        <w:tc>
          <w:tcPr>
            <w:tcW w:w="800" w:type="dxa"/>
            <w:vAlign w:val="bottom"/>
            <w:gridSpan w:val="2"/>
          </w:tcPr>
          <w:p>
            <w:pPr>
              <w:jc w:val="right"/>
              <w:ind w:right="145"/>
              <w:spacing w:after="0"/>
              <w:rPr>
                <w:sz w:val="20"/>
                <w:szCs w:val="20"/>
                <w:color w:val="auto"/>
              </w:rPr>
            </w:pPr>
            <w:r>
              <w:rPr>
                <w:rFonts w:ascii="Arial" w:cs="Arial" w:eastAsia="Arial" w:hAnsi="Arial"/>
                <w:sz w:val="15"/>
                <w:szCs w:val="15"/>
                <w:color w:val="auto"/>
              </w:rPr>
              <w:t>(a)</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5"/>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Recognition of (gains) losses due to curtailments and</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settlements</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6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16,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Segments</w:t>
      </w:r>
    </w:p>
    <w:p>
      <w:pPr>
        <w:spacing w:after="0" w:line="23"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Effective in January 2019 Kodak changed its organizational structure. Kodak Technology Solutions, formerly part of the Software and Solutions segment, was moved into the Consumer and Film segment. The Consumer and Film segment was renamed the Brand, Film &amp; Imaging segment.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140"/>
        <w:spacing w:after="0" w:line="277" w:lineRule="auto"/>
        <w:rPr>
          <w:sz w:val="20"/>
          <w:szCs w:val="20"/>
          <w:color w:val="auto"/>
        </w:rPr>
      </w:pPr>
      <w:r>
        <w:rPr>
          <w:rFonts w:ascii="Arial" w:cs="Arial" w:eastAsia="Arial" w:hAnsi="Arial"/>
          <w:sz w:val="18"/>
          <w:szCs w:val="18"/>
          <w:color w:val="auto"/>
        </w:rPr>
        <w:t>The Unified Workflow Solutions business, formerly part of the Software and Solutions segment, will operate as a dedicated segment named Kodak Software segment.</w:t>
      </w:r>
    </w:p>
    <w:p>
      <w:pPr>
        <w:spacing w:after="0" w:line="197"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Financial information is reported for six reportable segments: Print Systems, Enterprise Inkjet Systems, Kodak Software, Brand, Film and Imaging,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Software</w:t>
      </w:r>
      <w:r>
        <w:rPr>
          <w:rFonts w:ascii="Arial" w:cs="Arial" w:eastAsia="Arial" w:hAnsi="Arial"/>
          <w:sz w:val="18"/>
          <w:szCs w:val="18"/>
          <w:color w:val="auto"/>
        </w:rPr>
        <w:t>: The Kodak Software segment is comprised of the Software business.</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Brand, Film and Imaging</w:t>
      </w:r>
      <w:r>
        <w:rPr>
          <w:rFonts w:ascii="Arial" w:cs="Arial" w:eastAsia="Arial" w:hAnsi="Arial"/>
          <w:sz w:val="18"/>
          <w:szCs w:val="18"/>
          <w:color w:val="auto"/>
        </w:rPr>
        <w:t>: The Brand, Film and Imaging segment is comprised of five lines of business: Consumer Products, Industrial Film and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Motion Picture, Kodak Services for Business (“KSB”) and Kodakit.</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total</w:t>
            </w:r>
          </w:p>
        </w:tc>
        <w:tc>
          <w:tcPr>
            <w:tcW w:w="10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Segment Operational EBITDA and Consolidated (Loss) Gain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7"/>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Brand, Film and Imaging</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49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Former CEO separation agreement compensation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940" w:type="dxa"/>
            <w:vAlign w:val="bottom"/>
          </w:tcPr>
          <w:p>
            <w:pPr>
              <w:spacing w:after="0"/>
              <w:rPr>
                <w:sz w:val="20"/>
                <w:szCs w:val="20"/>
                <w:color w:val="auto"/>
              </w:rPr>
            </w:pPr>
            <w:r>
              <w:rPr>
                <w:rFonts w:ascii="Arial" w:cs="Arial" w:eastAsia="Arial" w:hAnsi="Arial"/>
                <w:sz w:val="18"/>
                <w:szCs w:val="18"/>
                <w:color w:val="auto"/>
                <w:w w:val="98"/>
              </w:rPr>
              <w:t>Other operating (expense) income, net, excluding income from</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 xml:space="preserve">transition services agreement </w:t>
            </w:r>
            <w:r>
              <w:rPr>
                <w:rFonts w:ascii="Arial" w:cs="Arial" w:eastAsia="Arial" w:hAnsi="Arial"/>
                <w:sz w:val="15"/>
                <w:szCs w:val="15"/>
                <w:color w:val="auto"/>
              </w:rPr>
              <w:t>(3)</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Consolidated (loss) income from continuing operations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before income taxes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240" w:hanging="512"/>
        <w:spacing w:after="0" w:line="277" w:lineRule="auto"/>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62" w:lineRule="exact"/>
        <w:rPr>
          <w:rFonts w:ascii="Arial" w:cs="Arial" w:eastAsia="Arial" w:hAnsi="Arial"/>
          <w:sz w:val="15"/>
          <w:szCs w:val="15"/>
          <w:color w:val="auto"/>
        </w:rPr>
      </w:pPr>
    </w:p>
    <w:p>
      <w:pPr>
        <w:jc w:val="both"/>
        <w:ind w:left="520" w:hanging="512"/>
        <w:spacing w:after="0" w:line="312"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6"/>
          <w:szCs w:val="16"/>
          <w:color w:val="auto"/>
        </w:rPr>
        <w:t>$2 million of income from the transition services agreement with the Purchaser was recognized in the quarter and year-to-date period ended June 30, 2019.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38" w:lineRule="exact"/>
        <w:rPr>
          <w:rFonts w:ascii="Arial" w:cs="Arial" w:eastAsia="Arial" w:hAnsi="Arial"/>
          <w:sz w:val="14"/>
          <w:szCs w:val="14"/>
          <w:color w:val="auto"/>
        </w:rPr>
      </w:pPr>
    </w:p>
    <w:p>
      <w:pPr>
        <w:ind w:left="520" w:hanging="512"/>
        <w:spacing w:after="0"/>
        <w:tabs>
          <w:tab w:leader="none" w:pos="5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(expense) income, net (unless otherwise indicated); goodwill impairment losses; interest expense; and other (income) charges, net.</w:t>
      </w:r>
    </w:p>
    <w:p>
      <w:pPr>
        <w:spacing w:after="0" w:line="19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Change in Segment Measure of Profitability</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DISCONTINUED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of Kodak include the former Flexographic Packaging segment comprised of Kodak’s Flexographic Packaging Business (“FPD”).</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Kodak consummated the sale of certain assets of FPD to the Purchaser on April 8, 2019 for net cash consideration at closing, in addition to the assumption by Purchaser of certain liabilities of FPD, of $320 million, pursuant to the Stock and Asset Purchase Agreement (“SAPA”) signed in November 2018 and amended in March 2019. Assets and liabilities of FPD in China were transferred at a deferred closing on July 1, 2019 for net cash consideration of $5.9 million at closing and a promissory note for $1.6 million in addition to the assumption by Purchaser of certain liabilities of FPD, in accordance with the SAPA. Kodak operated FPD in China, subject to certain covenants, until the deferred closing occurred. Kodak will deliver to (or receive from) the Purchaser a true-up payment reflecting the actual economic benefit (or detriment) attributable to the operation of FPD in China from the time of the initial closing through the time of the deferred closing.</w:t>
      </w:r>
    </w:p>
    <w:p>
      <w:pPr>
        <w:spacing w:after="0" w:line="18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divested business has the right to use Kodak’s corporate brand for a 10-year period related to Covered Products (as defined in the SAPA) for no additional consideration. Therefore, $10 million of consideration received for the sale of FPD has been recognized as deferred revenue related to the brand license. The deferred revenue is reported in Long-term liabilities in the Consolidated Statement of Financial Condition and will be recognized as revenue over the term of the license. Proceeds were allocated between the sale of FPD and the brand license based on their relative fair values.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Kodak recognized a gain on the sale of FPD of $207 million during the second quarter of 2019. The gain excluded recognition of the portion of the purchase price related to the deferred closing of $7.5 million.</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Simultaneously with entering into the SAPA, the Company and the Purchaser entered into an Earn-out Agreement, pursuant to which the Company will be entitled to an aggregate of up to $35 million in additional cash consideration if FPD achieves agreed EBITDA targets for 2018 ($10 million earn-out), 2019 ($10 million earn-out) and 2020 ($15 million earn-out). The EBITDA target for 2018 was not achieved.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16, 2019 the Purchaser paid Kodak $15 million as a prepayment for services and products to be provided by Kodak to the Purchaser. The Purchaser has the option to satisfy its payment obligations to Kodak through a reduction of the prepayment balance or in cash. As of June 30, 2019, the remaining prepayment balance is $13 million.</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results of operations of FPD are classified as discontinued operations in the Consolidated Statement of Operations for all periods presented. 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 Additionally, the assets and liabilities associated with FPD in China are classified as held for sale in the Consolidated Statement of Financial Position as of June 30, 2019 and the assets and liabilities associated with FPD are classified as held for sale December 31,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The results of operations of the Business are presented below:</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w w:val="90"/>
              </w:rPr>
              <w:t>Three Months Ended</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w:t>
            </w:r>
          </w:p>
        </w:tc>
        <w:tc>
          <w:tcPr>
            <w:tcW w:w="11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Gain on divestiture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Income (loss) from discontinued operations before taxes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[33]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3" w:name="page34"/>
    <w:bookmarkEnd w:id="33"/>
    <w:p>
      <w:pPr>
        <w:ind w:right="40"/>
        <w:spacing w:after="0" w:line="308" w:lineRule="auto"/>
        <w:rPr>
          <w:sz w:val="20"/>
          <w:szCs w:val="20"/>
          <w:color w:val="auto"/>
        </w:rPr>
      </w:pPr>
      <w:r>
        <w:rPr>
          <w:rFonts w:ascii="Arial" w:cs="Arial" w:eastAsia="Arial" w:hAnsi="Arial"/>
          <w:sz w:val="17"/>
          <w:szCs w:val="17"/>
          <w:color w:val="auto"/>
        </w:rPr>
        <w:t>After the initial closing, Kodak was required to use a portion of the proceeds from the sale of FPD to repay $312 million of the loans under the Term Credit Agreement. Interest expense on debt that was required to be repaid as a result of the sale was allocated to discontinued operations.</w:t>
      </w:r>
    </w:p>
    <w:p>
      <w:pPr>
        <w:spacing w:after="0" w:line="1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Approximately $2 million and $6 million of transaction costs are included in Selling, general and administrative expenses in the quarter and year-to-date period ending June 30, 2019,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w w:val="93"/>
              </w:rPr>
              <w:t>The following table presents the aggregate carrying amount of major assets and liabilities of FPD:</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40" w:type="dxa"/>
            <w:vAlign w:val="bottom"/>
            <w:gridSpan w:val="2"/>
          </w:tcPr>
          <w:p>
            <w:pPr>
              <w:ind w:left="1140"/>
              <w:spacing w:after="0"/>
              <w:rPr>
                <w:sz w:val="20"/>
                <w:szCs w:val="20"/>
                <w:color w:val="auto"/>
              </w:rPr>
            </w:pPr>
            <w:r>
              <w:rPr>
                <w:rFonts w:ascii="Arial" w:cs="Arial" w:eastAsia="Arial" w:hAnsi="Arial"/>
                <w:sz w:val="14"/>
                <w:szCs w:val="14"/>
                <w:color w:val="auto"/>
              </w:rPr>
              <w:t>(in millions)</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Assets of business held for sale</w:t>
            </w: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11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Liabilities of business held for sale</w:t>
            </w:r>
          </w:p>
        </w:tc>
        <w:tc>
          <w:tcPr>
            <w:tcW w:w="1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 dedicated entity of FPD had intercompany receivables with Kodak of approximately $5 million as of December 31, 2018 that are part of the proposed transaction but are not reflected in the table above as these amounts have been eliminated in deriving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cash flow information associated with FPD:</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ind w:left="78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long-lived assets of FPD included in discontinued operations ceased as of December 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FINANCIAL INSTRUMENTS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June 30, 2019 and December 31, 2018 was approximately $390 million and $415 million, respectively. The majority of the contracts of this type held by Kodak as of June 30, 2019 and December 31, 2018 are denominated in euros, Japanese yen, Chinese renminbi and Swiss francs.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68"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5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CFF0FC"/>
            </w:tcBorders>
          </w:tcPr>
          <w:p>
            <w:pPr>
              <w:spacing w:after="0"/>
              <w:rPr>
                <w:sz w:val="19"/>
                <w:szCs w:val="19"/>
                <w:color w:val="auto"/>
              </w:rPr>
            </w:pPr>
          </w:p>
        </w:tc>
      </w:tr>
      <w:tr>
        <w:trPr>
          <w:trHeight w:val="20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 gain from derivatives not designated as hedging</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quarter and six months ended June 30, 2019 and 2018.</w:t>
      </w:r>
    </w:p>
    <w:p>
      <w:pPr>
        <w:spacing w:after="0" w:line="225"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In the event of a default under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 7, “Debt and Finance Leases”, the Company concluded that the Convertible Notes are considered more akin to a debt-type instrument and that the economic characteristics and risks of the embedded conversion features and term extension option were not considered clearly and closely related to the Convertible Notes. The embedded conversion features not considered clearly and closely related are the conversion at the option of the holder (“Optional Conversion”) and the conversion in the event of a fundamental change or reorganization (“Fundamental Change or Reorganization Conversion”). Accordingly, these embedded conversion features and term extension option were bifurcated from the Convertible Notes and separately accounted for on a combined basis as a single derivative asset or liability. The derivative is in a liability position at June 30, 2019 and is reported in Other long-term liabilities in the Consolidated Statement of Financial Position. The derivative is being accounted for at fair value with changes in fair value being reported in Other charges, net in the Consolidated Statement of Operations.</w:t>
      </w:r>
    </w:p>
    <w:p>
      <w:pPr>
        <w:spacing w:after="0" w:line="20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As discussed in Note 8,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an asset position at both</w:t>
      </w:r>
    </w:p>
    <w:p>
      <w:pPr>
        <w:spacing w:after="0" w:line="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June 30, 2019 and December 31, 2018, and is reported in Other long-term assets in the Consolidated Statement of Financial Position. The derivative is being accounted for at fair value with changes in fair value being reported in Other charges, net in the Consolidated Statement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June 30, 2019 and December 31, 2018 was $1 million and $3 million, respectively. The gross fair value of foreign currency forward contracts in a liability position as of June 30, 2019 and December 31, 2018 was $0 million and $1 million, respectively.</w:t>
      </w:r>
    </w:p>
    <w:p>
      <w:pPr>
        <w:spacing w:after="0" w:line="22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quarter and six months ended June 30, 2019.</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The fair value of the embedded conversion features and term extension option derivatives are calculated using unobservable inputs (Level 3 fair measurements). The value of the Optional Conversion associated with both the Convertible Notes and Series A Preferred Stock is calculated using a binomial lattice model. The value of the term extension option reflects the probability weighted average value of the Convertible Notes using the original maturity date and a hypothetical extended maturity date, with all other contractual terms unchanged.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key inputs in the determination of fair value for the embedded conversion features and termination option derivatives: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w:t>
      </w:r>
    </w:p>
    <w:p>
      <w:pPr>
        <w:spacing w:after="0" w:line="26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Valuation Date</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May 24,</w:t>
      </w:r>
    </w:p>
    <w:p>
      <w:pPr>
        <w:spacing w:after="0" w:line="23" w:lineRule="exact"/>
        <w:rPr>
          <w:sz w:val="20"/>
          <w:szCs w:val="20"/>
          <w:color w:val="auto"/>
        </w:rPr>
      </w:pPr>
    </w:p>
    <w:p>
      <w:pPr>
        <w:ind w:left="7540"/>
        <w:spacing w:after="0"/>
        <w:tabs>
          <w:tab w:leader="none" w:pos="9260" w:val="left"/>
        </w:tabs>
        <w:rPr>
          <w:sz w:val="20"/>
          <w:szCs w:val="20"/>
          <w:color w:val="auto"/>
        </w:rPr>
      </w:pPr>
      <w:r>
        <w:rPr>
          <w:rFonts w:ascii="Arial" w:cs="Arial" w:eastAsia="Arial" w:hAnsi="Arial"/>
          <w:sz w:val="18"/>
          <w:szCs w:val="18"/>
          <w:b w:val="1"/>
          <w:bCs w:val="1"/>
          <w:color w:val="auto"/>
        </w:rPr>
        <w:t>June 30,</w:t>
      </w:r>
      <w:r>
        <w:rPr>
          <w:sz w:val="20"/>
          <w:szCs w:val="20"/>
          <w:color w:val="auto"/>
        </w:rPr>
        <w:tab/>
      </w:r>
      <w:r>
        <w:rPr>
          <w:rFonts w:ascii="Arial" w:cs="Arial" w:eastAsia="Arial" w:hAnsi="Arial"/>
          <w:sz w:val="16"/>
          <w:szCs w:val="16"/>
          <w:b w:val="1"/>
          <w:bCs w:val="1"/>
          <w:color w:val="auto"/>
        </w:rPr>
        <w:t>2019</w:t>
      </w:r>
    </w:p>
    <w:p>
      <w:pPr>
        <w:spacing w:after="0" w:line="23" w:lineRule="exact"/>
        <w:rPr>
          <w:sz w:val="20"/>
          <w:szCs w:val="20"/>
          <w:color w:val="auto"/>
        </w:rPr>
      </w:pPr>
    </w:p>
    <w:p>
      <w:pPr>
        <w:ind w:left="7680"/>
        <w:spacing w:after="0"/>
        <w:tabs>
          <w:tab w:leader="none" w:pos="90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(Inception)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auto"/>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92.48%</w:t>
            </w: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convertible notes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11.98%</w:t>
            </w: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11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60" w:type="dxa"/>
            <w:vAlign w:val="bottom"/>
          </w:tcPr>
          <w:p>
            <w:pPr>
              <w:spacing w:after="0"/>
              <w:rPr>
                <w:sz w:val="20"/>
                <w:szCs w:val="20"/>
                <w:color w:val="auto"/>
              </w:rPr>
            </w:pPr>
          </w:p>
        </w:tc>
        <w:tc>
          <w:tcPr>
            <w:tcW w:w="518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 millions)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95.55%</w:t>
            </w:r>
          </w:p>
        </w:tc>
      </w:tr>
      <w:tr>
        <w:trPr>
          <w:trHeight w:val="230"/>
        </w:trPr>
        <w:tc>
          <w:tcPr>
            <w:tcW w:w="116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30"/>
        </w:trPr>
        <w:tc>
          <w:tcPr>
            <w:tcW w:w="1160" w:type="dxa"/>
            <w:vAlign w:val="bottom"/>
          </w:tcPr>
          <w:p>
            <w:pPr>
              <w:spacing w:after="0"/>
              <w:rPr>
                <w:sz w:val="19"/>
                <w:szCs w:val="19"/>
                <w:color w:val="auto"/>
              </w:rPr>
            </w:pPr>
          </w:p>
        </w:tc>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23.77%</w:t>
            </w: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Fundamental Change and Reorganization Conversion values at issuance were calculated as the difference between the total value of the Convertible Notes or Series A Preferred Stock, as applicable, and the sum of the net present value of the cash flows if the Convertible Notes are repaid at their initial maturity date or Series A Preferred Stock is redeemed on its fifth anniversary and the values of the other embedded derivatives. The Fundamental Change and Reorganization Conversion values reduce the value of the embedded conversion features and term extension option derivative liability. Other than events which alter the likelihood of a fundamental change or reorganization event, the value of the Fundamental Change and Reorganization Conversion reflects the value as of the issuance date, amortized for the passage of time. The Fundamental Change and Reorganization Conversion value for the Series A Preferred Stock exceeded the value of the Optional Conversion and Mandatory Conversion values at both June 30, 2019 and December 31, 2018 resulting in the Series A Preferred Stock derivative being reported as an asset.</w:t>
      </w:r>
    </w:p>
    <w:p>
      <w:pPr>
        <w:spacing w:after="0" w:line="1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$105 million and $5 million at June 30, 2019 and December 31, 2018, respectively. At December 31, 2018, the fair value of current portion of long-term debt was also determined by reference to quoted market prices of similar instruments, if available, or by pricing models based on the value of related cash flows discounted at current market interest rates. The fair value of current portion of long-term debt was $378 million at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and restricted cash approximate their fair values at both June 30, 2019 and December 31,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current portion of long-term debt at June 30, 2019 approximates its carrying value.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w:t>
      </w:r>
    </w:p>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August 3, 2019 Kodak reached an agreement with Lucky HuaGuang Graphics Co. Ltd (“HuaGuang”) to establish a strategic relationship in the People’s Republic of China. The relationship will be comprised of an agreement for Kodak to sell its shares of the Kodak (China) Graphic Communication Co. Ltd. entity which includes the offset printing plates facility in Xiamen, China, and related assets and liabilities, to HuaGuang, a supply agreement from HuaGuang to Kodak and a license agreement under which Kodak licenses its plates technology to HuaGuang to sell into the plates market in China. The relationship is expected to be established at a closing in the third quarter of 2019, subject to the satisfaction of customary closing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2018 under the headings “Business,” “Risk Factors,” “Legal Proceedings,” and/or “Management’s Discussion and Analysis of Financial Condition and Results of Operations–Liquidity and Capital Resources,” in the corresponding sections of this report on Form 10-Q and the Company’s quarterly report on Form 10-Q for the quarter ended March 31, 2019, and in other filings the Company makes with the SEC from time to time, as well as the following:</w:t>
      </w:r>
    </w:p>
    <w:p>
      <w:pPr>
        <w:spacing w:after="0" w:line="72"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or otherwise monetize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ABL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graphic communications market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and provides products and services for motion pictures and other commercial films.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 decreased $25 million and $52 compared to the prior year quarter and first six months (8% for each period), including the unfavorable impact of currency ($9 million and $20 million) in the current year quarter and first six months,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370"/>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Focus product investment in the following growth engines - Sonora, Ultrastream, Advanced Materials and 3D Printing and Software</w:t>
      </w:r>
    </w:p>
    <w:p>
      <w:pPr>
        <w:spacing w:after="0" w:line="101" w:lineRule="exact"/>
        <w:rPr>
          <w:rFonts w:ascii="Arial" w:cs="Arial" w:eastAsia="Arial" w:hAnsi="Arial"/>
          <w:sz w:val="17"/>
          <w:szCs w:val="17"/>
          <w:color w:val="auto"/>
        </w:rPr>
      </w:pPr>
    </w:p>
    <w:p>
      <w:pPr>
        <w:ind w:left="1040" w:hanging="37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37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37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37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39" w:lineRule="exact"/>
        <w:rPr>
          <w:sz w:val="20"/>
          <w:szCs w:val="20"/>
          <w:color w:val="auto"/>
        </w:rPr>
      </w:pPr>
    </w:p>
    <w:p>
      <w:pPr>
        <w:ind w:left="1020" w:right="20" w:hanging="377"/>
        <w:spacing w:after="0" w:line="273"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Kodak has eliminated current debt service requirements by paying down the Term Credit Agreement using proceeds from the sale of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additional asset sales and paring investment in new technology by eliminating or delaying product development programs.</w:t>
      </w:r>
    </w:p>
    <w:p>
      <w:pPr>
        <w:spacing w:after="0" w:line="56" w:lineRule="exact"/>
        <w:rPr>
          <w:rFonts w:ascii="Arial" w:cs="Arial" w:eastAsia="Arial" w:hAnsi="Arial"/>
          <w:sz w:val="17"/>
          <w:szCs w:val="17"/>
          <w:color w:val="auto"/>
        </w:rPr>
      </w:pPr>
    </w:p>
    <w:p>
      <w:pPr>
        <w:ind w:left="1020" w:right="20" w:hanging="377"/>
        <w:spacing w:after="0" w:line="23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Print Systems’ revenues accounted for approximately 67% of Kodak’s revenues for both the quarter and six months ended June 30, 2019. Print Systems’ revenues decreased $20 million (9%) and $44 million (10%) compared with the prior year quarter and first six months, respectively, including the unfavorable impact of currency ($7 million and $16 million, respectively). Segment earnings improved $1 million (17%) and $3 million (33%) compared to the prior year quarter and first six months, respectively, as refunds of aluminum tariffs which were paid by Kodak over the last two quarters of 2018 and cost improvements exceeded the impact of declining revenues.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w:t>
      </w:r>
    </w:p>
    <w:p>
      <w:pPr>
        <w:spacing w:after="0" w:line="150" w:lineRule="exact"/>
        <w:rPr>
          <w:rFonts w:ascii="Arial" w:cs="Arial" w:eastAsia="Arial" w:hAnsi="Arial"/>
          <w:sz w:val="17"/>
          <w:szCs w:val="17"/>
          <w:color w:val="auto"/>
        </w:rPr>
      </w:pPr>
    </w:p>
    <w:p>
      <w:pPr>
        <w:ind w:left="1040" w:hanging="370"/>
        <w:spacing w:after="0" w:line="231"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w:t>
      </w:r>
    </w:p>
    <w:p>
      <w:pPr>
        <w:spacing w:after="0" w:line="148" w:lineRule="exact"/>
        <w:rPr>
          <w:rFonts w:ascii="Arial" w:cs="Arial" w:eastAsia="Arial" w:hAnsi="Arial"/>
          <w:sz w:val="18"/>
          <w:szCs w:val="18"/>
          <w:color w:val="auto"/>
        </w:rPr>
      </w:pPr>
    </w:p>
    <w:p>
      <w:pPr>
        <w:ind w:left="1040" w:right="460" w:hanging="370"/>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Kodak Software segment’s revenues declined $2 million (13%) and $4 million (13%) compared to the prior year quarter and first six months, respectively, primarily reflecting volume declines.</w:t>
      </w:r>
    </w:p>
    <w:p>
      <w:pPr>
        <w:spacing w:after="0" w:line="142" w:lineRule="exact"/>
        <w:rPr>
          <w:rFonts w:ascii="Arial" w:cs="Arial" w:eastAsia="Arial" w:hAnsi="Arial"/>
          <w:sz w:val="18"/>
          <w:szCs w:val="18"/>
          <w:color w:val="auto"/>
        </w:rPr>
      </w:pPr>
    </w:p>
    <w:p>
      <w:pPr>
        <w:jc w:val="both"/>
        <w:ind w:left="1040" w:right="80" w:hanging="370"/>
        <w:spacing w:after="0" w:line="253" w:lineRule="auto"/>
        <w:tabs>
          <w:tab w:leader="none" w:pos="10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Brand, Film and Imaging revenues improved $1 million compared with the prior year quarter (2%) and declined $2 million compared with the prior year first six months (2%). The segment loss improved $3 million compared with both the prior year quarter (60%) and first six months (25%). Kodak plans to continue to promote the use of film to utilize as much film manufacturing capacity as possible.</w:t>
      </w:r>
    </w:p>
    <w:p>
      <w:pPr>
        <w:spacing w:after="0" w:line="57" w:lineRule="exact"/>
        <w:rPr>
          <w:rFonts w:ascii="Arial" w:cs="Arial" w:eastAsia="Arial" w:hAnsi="Arial"/>
          <w:sz w:val="17"/>
          <w:szCs w:val="17"/>
          <w:color w:val="auto"/>
        </w:rPr>
      </w:pPr>
    </w:p>
    <w:p>
      <w:pPr>
        <w:ind w:left="1040" w:right="380" w:hanging="370"/>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EBP.</w:t>
      </w:r>
    </w:p>
    <w:p>
      <w:pPr>
        <w:spacing w:after="0" w:line="61" w:lineRule="exact"/>
        <w:rPr>
          <w:rFonts w:ascii="Arial" w:cs="Arial" w:eastAsia="Arial" w:hAnsi="Arial"/>
          <w:sz w:val="18"/>
          <w:szCs w:val="18"/>
          <w:color w:val="auto"/>
        </w:rPr>
      </w:pPr>
    </w:p>
    <w:p>
      <w:pPr>
        <w:ind w:left="1040" w:right="200" w:hanging="370"/>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420" w:hanging="370"/>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and selling and leasing excess capacity in its properties.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Kodak has six reportable segments: Print Systems; Enterprise Inkjet Systems; Kodak Software; Brand, Film and Imaging;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toner-based technology. The Print Systems segment provides digital and traditional product and service offerings to a variety of commercial industries, including commercial print, direct mail, book publishing, newspapers and magazines and packaging.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240" w:right="80" w:hanging="516"/>
        <w:spacing w:after="0" w:line="286"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240" w:right="60" w:hanging="516"/>
        <w:spacing w:after="0" w:line="259"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240" w:right="240" w:hanging="516"/>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240" w:right="380" w:hanging="516"/>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hanging="376"/>
        <w:spacing w:after="0" w:line="290"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(“OEM”)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 The business model is further supplemented by consumption of other consumables including refurbished jetting modules and service.</w:t>
      </w:r>
    </w:p>
    <w:p>
      <w:pPr>
        <w:spacing w:after="0" w:line="193" w:lineRule="exact"/>
        <w:rPr>
          <w:rFonts w:ascii="Arial" w:cs="Arial" w:eastAsia="Arial" w:hAnsi="Arial"/>
          <w:sz w:val="16"/>
          <w:szCs w:val="16"/>
          <w:color w:val="auto"/>
        </w:rPr>
      </w:pPr>
    </w:p>
    <w:p>
      <w:pPr>
        <w:ind w:left="1140" w:right="100" w:hanging="376"/>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OEMs as well as direct sale press products that widens its reach into applications for packaging and décor and expands the substrate range to include plastics. The Prosper business secured its first agreement in the fourth quarter of 2018 with an industry OEM, who will integrate Ultrastream in a packaging press solution.</w:t>
      </w:r>
    </w:p>
    <w:p>
      <w:pPr>
        <w:spacing w:after="0" w:line="186" w:lineRule="exact"/>
        <w:rPr>
          <w:rFonts w:ascii="Arial" w:cs="Arial" w:eastAsia="Arial" w:hAnsi="Arial"/>
          <w:sz w:val="18"/>
          <w:szCs w:val="18"/>
          <w:color w:val="auto"/>
        </w:rPr>
      </w:pPr>
    </w:p>
    <w:p>
      <w:pPr>
        <w:ind w:left="1140" w:right="60" w:hanging="376"/>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00" w:hanging="376"/>
        <w:spacing w:after="0" w:line="31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Kodak Software</w:t>
      </w:r>
    </w:p>
    <w:p>
      <w:pPr>
        <w:spacing w:after="0" w:line="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Kodak Software segment is comprised of the Software business. 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Software business includes digital front-end controllers which manage the delivery of personalized content to digital presses while controlling color and print consistency.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Film and Imaging</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Brand, Film and Imaging segment is comprised of five lines of business: Consumer Products, Industrial Film and Chemicals, Motion Picture, Kodak Services for Business (“KSB”) and Kodakit. Sales in KSB are project-based and can vary from year to year depending on the nature and number of projects in existence that year.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80" w:hanging="376"/>
        <w:spacing w:after="0" w:line="256"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party sales of Specialty Inks and Dispersions.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80" w:hanging="376"/>
        <w:spacing w:after="0" w:line="25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60" w:hanging="376"/>
        <w:spacing w:after="0" w:line="25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 Services for Business:</w:t>
      </w:r>
    </w:p>
    <w:p>
      <w:pPr>
        <w:spacing w:after="0" w:line="252" w:lineRule="exact"/>
        <w:rPr>
          <w:sz w:val="20"/>
          <w:szCs w:val="20"/>
          <w:color w:val="auto"/>
        </w:rPr>
      </w:pPr>
    </w:p>
    <w:p>
      <w:pPr>
        <w:ind w:left="1140" w:right="240" w:hanging="376"/>
        <w:spacing w:after="0" w:line="25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KSB assists organizations with challenges and opportunities created by the worldwide digital transformation. It provides business process outsourcing services, scan and capture solutions, records conversion services, workflow solutions, content management,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Kodakit:</w:t>
      </w:r>
    </w:p>
    <w:p>
      <w:pPr>
        <w:spacing w:after="0" w:line="252" w:lineRule="exact"/>
        <w:rPr>
          <w:sz w:val="20"/>
          <w:szCs w:val="20"/>
          <w:color w:val="auto"/>
        </w:rPr>
      </w:pPr>
    </w:p>
    <w:p>
      <w:pPr>
        <w:ind w:left="1140" w:right="100" w:hanging="376"/>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27"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Product solutions in Advanced Materials and 3D Printing are in the process of being commercialized, and there are new business opportunities with identified markets and customers.</w:t>
      </w:r>
    </w:p>
    <w:p>
      <w:pPr>
        <w:spacing w:after="0" w:line="22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Advanced Materials and 3D Printing Technology segment will also pursue partnership opportunities to commercialize functional materials and printed electronics technologies. These partnerships may include non-recurring engineering payments for Kodak efforts to further develop such technologies into products. Advanced Materials and 3D Printing Technology segment also provides a wide range of analytical services to external clients at market rates.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Advanced Materials:</w:t>
      </w:r>
    </w:p>
    <w:p>
      <w:pPr>
        <w:spacing w:after="0" w:line="117" w:lineRule="exact"/>
        <w:rPr>
          <w:sz w:val="20"/>
          <w:szCs w:val="20"/>
          <w:color w:val="auto"/>
        </w:rPr>
      </w:pPr>
    </w:p>
    <w:p>
      <w:pPr>
        <w:ind w:left="1140" w:right="20" w:hanging="376"/>
        <w:spacing w:after="0" w:line="264"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micro 3D printing solutions such as printed electronics. In addition, for macro 3D printing, AM3D manufactures and sells a specialty material to a 3D printing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right="160" w:hanging="376"/>
        <w:spacing w:after="0" w:line="286"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Segment Revenues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8"/>
          </w:tcPr>
          <w:p>
            <w:pPr>
              <w:jc w:val="center"/>
              <w:ind w:left="216"/>
              <w:spacing w:after="0"/>
              <w:rPr>
                <w:sz w:val="20"/>
                <w:szCs w:val="20"/>
                <w:color w:val="auto"/>
              </w:rPr>
            </w:pPr>
            <w:r>
              <w:rPr>
                <w:rFonts w:ascii="Arial" w:cs="Arial" w:eastAsia="Arial" w:hAnsi="Arial"/>
                <w:sz w:val="18"/>
                <w:szCs w:val="18"/>
                <w:b w:val="1"/>
                <w:bCs w:val="1"/>
                <w:color w:val="auto"/>
                <w:w w:val="90"/>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gridSpan w:val="3"/>
          </w:tcPr>
          <w:p>
            <w:pPr>
              <w:ind w:left="580"/>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399</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443</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Enterprise Inkjet Systems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Brand, Film and Imaging</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103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Eastman Business Park</w:t>
            </w:r>
          </w:p>
        </w:tc>
        <w:tc>
          <w:tcPr>
            <w:tcW w:w="4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Consolidated total</w:t>
            </w:r>
          </w:p>
        </w:tc>
        <w:tc>
          <w:tcPr>
            <w:tcW w:w="4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598</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650</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20" w:type="dxa"/>
            <w:vAlign w:val="bottom"/>
            <w:gridSpan w:val="15"/>
          </w:tcPr>
          <w:p>
            <w:pPr>
              <w:spacing w:after="0"/>
              <w:rPr>
                <w:sz w:val="20"/>
                <w:szCs w:val="20"/>
                <w:color w:val="auto"/>
              </w:rPr>
            </w:pPr>
            <w:r>
              <w:rPr>
                <w:rFonts w:ascii="Arial" w:cs="Arial" w:eastAsia="Arial" w:hAnsi="Arial"/>
                <w:sz w:val="18"/>
                <w:szCs w:val="18"/>
                <w:b w:val="1"/>
                <w:bCs w:val="1"/>
                <w:color w:val="auto"/>
                <w:w w:val="92"/>
              </w:rPr>
              <w:t>Segment Operational EBITDA and Consolidated Loss from Continuing Operations Before Income Taxes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tcPr>
          <w:p>
            <w:pPr>
              <w:ind w:left="560"/>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1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Kodak Software</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Brand, Film and Imaging</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3D Printing Technology</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Eastman Business Park</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Former CEO separation agreement compensation</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2"/>
              </w:rPr>
              <w:t>Other operating (expense) income, net, excluding income</w:t>
            </w: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from transition services agreement </w:t>
            </w:r>
            <w:r>
              <w:rPr>
                <w:rFonts w:ascii="Arial" w:cs="Arial" w:eastAsia="Arial" w:hAnsi="Arial"/>
                <w:sz w:val="15"/>
                <w:szCs w:val="15"/>
                <w:color w:val="auto"/>
              </w:rPr>
              <w:t>(3)</w:t>
            </w:r>
          </w:p>
        </w:tc>
        <w:tc>
          <w:tcPr>
            <w:tcW w:w="4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9"/>
              </w:rPr>
              <w:t xml:space="preserve">Pension income excluding service cost component </w:t>
            </w:r>
            <w:r>
              <w:rPr>
                <w:rFonts w:ascii="Arial" w:cs="Arial" w:eastAsia="Arial" w:hAnsi="Arial"/>
                <w:sz w:val="15"/>
                <w:szCs w:val="15"/>
                <w:color w:val="auto"/>
                <w:w w:val="99"/>
              </w:rPr>
              <w:t>(4)</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Consolidated (loss) income from continuing operations</w:t>
            </w:r>
          </w:p>
        </w:tc>
        <w:tc>
          <w:tcPr>
            <w:tcW w:w="4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before income taxes</w:t>
            </w:r>
          </w:p>
        </w:tc>
        <w:tc>
          <w:tcPr>
            <w:tcW w:w="62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1" w:name="page42"/>
    <w:bookmarkEnd w:id="41"/>
    <w:p>
      <w:pPr>
        <w:ind w:left="520" w:hanging="512"/>
        <w:spacing w:after="0"/>
        <w:tabs>
          <w:tab w:leader="none" w:pos="520" w:val="left"/>
        </w:tabs>
        <w:numPr>
          <w:ilvl w:val="0"/>
          <w:numId w:val="27"/>
        </w:numPr>
        <w:rPr>
          <w:rFonts w:ascii="Arial" w:cs="Arial" w:eastAsia="Arial" w:hAnsi="Arial"/>
          <w:sz w:val="31"/>
          <w:szCs w:val="31"/>
          <w:color w:val="auto"/>
          <w:vertAlign w:val="superscript"/>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09" w:lineRule="exact"/>
        <w:rPr>
          <w:rFonts w:ascii="Arial" w:cs="Arial" w:eastAsia="Arial" w:hAnsi="Arial"/>
          <w:sz w:val="31"/>
          <w:szCs w:val="31"/>
          <w:color w:val="auto"/>
          <w:vertAlign w:val="superscript"/>
        </w:rPr>
      </w:pPr>
    </w:p>
    <w:p>
      <w:pPr>
        <w:ind w:left="520" w:right="400" w:hanging="512"/>
        <w:spacing w:after="0" w:line="259" w:lineRule="auto"/>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77" w:lineRule="exact"/>
        <w:rPr>
          <w:rFonts w:ascii="Arial" w:cs="Arial" w:eastAsia="Arial" w:hAnsi="Arial"/>
          <w:sz w:val="15"/>
          <w:szCs w:val="15"/>
          <w:color w:val="auto"/>
        </w:rPr>
      </w:pPr>
    </w:p>
    <w:p>
      <w:pPr>
        <w:jc w:val="both"/>
        <w:ind w:left="580" w:right="120" w:hanging="572"/>
        <w:spacing w:after="0" w:line="312" w:lineRule="auto"/>
        <w:tabs>
          <w:tab w:leader="none" w:pos="580" w:val="left"/>
        </w:tabs>
        <w:numPr>
          <w:ilvl w:val="0"/>
          <w:numId w:val="27"/>
        </w:numPr>
        <w:rPr>
          <w:rFonts w:ascii="Arial" w:cs="Arial" w:eastAsia="Arial" w:hAnsi="Arial"/>
          <w:sz w:val="14"/>
          <w:szCs w:val="14"/>
          <w:color w:val="auto"/>
        </w:rPr>
      </w:pPr>
      <w:r>
        <w:rPr>
          <w:rFonts w:ascii="Arial" w:cs="Arial" w:eastAsia="Arial" w:hAnsi="Arial"/>
          <w:sz w:val="16"/>
          <w:szCs w:val="16"/>
          <w:color w:val="auto"/>
        </w:rPr>
        <w:t>$2 million of income from the transition services agreement with the Purchaser was recognized in the quarter and year-to-date period ended June 30, 2019. The income was reported in Other operating income, net in the Consolidated Statement of Operations. Other operating income, net is typically excluded from the segment measure. However, the income from the transition services agreement was included in the segment measure.</w:t>
      </w:r>
    </w:p>
    <w:p>
      <w:pPr>
        <w:spacing w:after="0" w:line="38" w:lineRule="exact"/>
        <w:rPr>
          <w:rFonts w:ascii="Arial" w:cs="Arial" w:eastAsia="Arial" w:hAnsi="Arial"/>
          <w:sz w:val="14"/>
          <w:szCs w:val="14"/>
          <w:color w:val="auto"/>
        </w:rPr>
      </w:pPr>
    </w:p>
    <w:p>
      <w:pPr>
        <w:ind w:left="580" w:hanging="572"/>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former CEO separation agreement compensation; other operating (expense) income, net (unless otherwise indicated); goodwill impairment losses; interest expense; and other income (charges), net.</w:t>
      </w:r>
    </w:p>
    <w:p>
      <w:pPr>
        <w:spacing w:after="0" w:line="19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2019 the segment measure was changed to exclude the costs, net of any rental income received, of underutilized portions of certain properties. Additionally, the allocation of costs from EBP to the Brand, Film and Imaging segment and Advanced Materials and 3D Printing Technology segment as tenants of EBP and to each of the segments as users of shared corporate space at the global headquarters changed. Prior year results have been revised to reflect these changes.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COMPARED WITH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w w:val="95"/>
              </w:rPr>
              <w:t>Six Months Ended June 30,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Arial" w:cs="Arial" w:eastAsia="Arial" w:hAnsi="Arial"/>
                <w:sz w:val="16"/>
                <w:szCs w:val="16"/>
                <w:color w:val="auto"/>
              </w:rPr>
              <w:t>(in millions)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Sales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Change</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82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8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w w:val="94"/>
              </w:rPr>
              <w:t>Loss from continuing operations before interest</w:t>
            </w: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w w:val="92"/>
              </w:rPr>
              <w:t>expense, other charges, net and income taxes</w:t>
            </w:r>
          </w:p>
        </w:tc>
        <w:tc>
          <w:tcPr>
            <w:tcW w:w="1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rPr>
                <w:sz w:val="20"/>
                <w:szCs w:val="20"/>
                <w:color w:val="auto"/>
              </w:rPr>
            </w:pPr>
            <w:r>
              <w:rPr>
                <w:rFonts w:ascii="Arial" w:cs="Arial" w:eastAsia="Arial" w:hAnsi="Arial"/>
                <w:sz w:val="18"/>
                <w:szCs w:val="18"/>
                <w:color w:val="auto"/>
              </w:rPr>
              <w:t>Pension income excluding service cost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component</w:t>
            </w:r>
          </w:p>
        </w:tc>
        <w:tc>
          <w:tcPr>
            <w:tcW w:w="1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w:t>
            </w:r>
          </w:p>
        </w:tc>
        <w:tc>
          <w:tcPr>
            <w:tcW w:w="1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before</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(22)</w:t>
            </w:r>
          </w:p>
        </w:tc>
        <w:tc>
          <w:tcPr>
            <w:tcW w:w="2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5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0"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three months ended June 30, 2019 revenues declined $25 million compared with the same period in 2018, driven by volume and pricing declines within Print Systems ($11 million and $2 million, respectively) and unfavorable foreign currency ($9 million). See segment discussions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For the six months ended June 30, 2019 revenues declined $52 million compared with the same period in 2018, driven by volume and pricing declines within Print Systems ($21 million and $8 million, respectively) and unfavorable foreign currency ($20 million). See segment discussions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decline in gross profit for the three months ended June 30, 2019 of approximately $3 million compared with the same period in 2018 reflected unfavorable pricing and product mix in Print Systems ($4 million), lower selling prices in Enterprise Inkjet Systems ($4 million) and volume declines in Enterprise Inkjet Systems and Kodak Software (each $1 million) partially offset by improved costs in Brand, Film and Imaging ($4 million) and lower depreciation and amortization ($4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decline in gross profit for the six months ended June 30, 2019 of approximately $1 million compared with the same period in 2018 reflected unfavorable pricing and product mix in Print Systems ($9 million), lower volume in Enterprise Inkjet Systems, Kodak Software and Brand, Film and Imaging (each $2 million) and unfavorable foreign currency ($2 million) partially offset by cost improvements in Brand, Film and Imaging ($6 million), refunds of aluminum tariffs paid by Kodak in the last half of 2018 in Print Systems ($2 million) and lower depreciation and amortization expense ($8 million). See segment discussions for additional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Consolidated SG&amp;A decreased $5 million for the quarter ended June 30, 2019 primarily due to lower investment in segment selling and marketing activities ($4 million) as well as lower consulting and project costs ($2 million). Consolidated SG&amp;A decreased $4 million in the six months ended June 30, 2019 primarily due to lower investment in segment selling and marketing activities ($5 million) partially offset by $2 million of compensation included in the former CEO separation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Consolidated R&amp;D expenses decreased $1 million and $3 million for the quarter and six months ended June 30, 2019 primarily due to the reduced level of investment across the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Interest expense of $7 million was allocated to discontinued operations in the three months ended June 30, 2018. Interest expense of $7 million and $13 million was allocated to discontinued operations for the six months ended June 30, 2019 and 2018,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4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decrease in Print Systems revenues for the three months ended June 30, 2019 of approximately $20 million primarily reflected volume and pricing declines ($7 million and $3 million, respectively) in Prepress Solutions consumables, volume declines and unfavorable product mix in Electrophotographic Printing Solutions consumables and service (each $1 million) and volume declines in Electrophotographic Printing Solutions equipment ($1 million) as well as unfavorable foreign currency ($7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decrease in Print Systems revenues for the six months ended June 30, 2019 of approximately $44 million primarily reflected volume and pricing declines ($14 million and $5 million, respectively) in Prepress Solutions consumables and service, volume declines and unfavorable product mix in Electrophotographic Printing Solutions consumables and service (each $3 million) and volume declines and unfavorable product mix in Electrophotographic Printing Solutions equipment ($2 million and $1 million, respectively) as well as unfavorable foreign currency ($16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Print Systems Operational EBITDA for the three months ended June 30, 2019 improved $1 million compared to the prior year reflecting manufacturing cost improvements ($2 million) in Electrophotographic Printing Solutions and lower investment in sales and marketing activities ($2 million) partially offset by pricing declines ($3 million) in Prepress Solutions consumables and service.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Print Systems Operational EBITDA for the six months ended June 30, 2019 improved $3 million compared to the prior year reflecting lower investment in sales and marketing activities ($4 million), refunds of aluminum tariffs which were paid by Kodak in the last half of 2018 ($2 million) in Prepress Solutions consumables, manufacturing cost improvements ($2 million) in Electrophotographic Printing Solutions and favorable foreign currency ($2 million) partially offset by volume and pricing declines ($2 million and $5 million, respectively) in Prepress Solutions consumables and service and unfavorable product mix in Electrophotographic Printing Solutions ($2 million).</w:t>
      </w:r>
    </w:p>
    <w:p>
      <w:pPr>
        <w:spacing w:after="0" w:line="21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2018 U.S. tariffs imposed on aluminum purchases were included as part of the cost of printing plates sold. In January 2019, Kodak received retroactive exemptions on U.S. tariffs for aluminum. Due to the exemptions, all aluminum tariffs paid by Kodak in prior periods have been recognized as a cost reduction in the current year-to-date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4"/>
                <w:szCs w:val="24"/>
                <w:color w:val="auto"/>
              </w:rPr>
            </w:pPr>
          </w:p>
        </w:tc>
        <w:tc>
          <w:tcPr>
            <w:tcW w:w="3200" w:type="dxa"/>
            <w:vAlign w:val="bottom"/>
            <w:gridSpan w:val="10"/>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44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vMerge w:val="continue"/>
            <w:shd w:val="clear" w:color="auto" w:fill="CFF0FC"/>
          </w:tcPr>
          <w:p>
            <w:pPr>
              <w:spacing w:after="0"/>
              <w:rPr>
                <w:sz w:val="19"/>
                <w:szCs w:val="19"/>
                <w:color w:val="auto"/>
              </w:rPr>
            </w:pPr>
          </w:p>
        </w:tc>
        <w:tc>
          <w:tcPr>
            <w:tcW w:w="4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6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decline in Enterprise Inkjet Systems revenues for the three months ended June 30, 2019 of approximately $4 million primarily reflected lower volume of VERSAMARK service and consumables ($3 million) due to declines in the installed base of VERSAMARK systems and lower volume of PROSPER components ($3 million) partially offset by higher volume of PROSPER service and consumables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decline in Enterprise Inkjet Systems revenues for the six months ended June 30, 2019 of approximately $3 million primarily reflected lower volume of VERSAMARK service and consumables ($5 million) due to declines in the installed base of VERSAMARK systems, lower volume of PROSPER components ($4 million) and the unfavorable impact of currency ($2 million) partially offset by higher volume of PROSPER systems ($3 million) and service and consumables ($4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Enterprise Inkjet Systems Operational EBITDA for the quarter and six months ended June 30, 2019 each declined $4 million primarily due to pricing declines in Prosper Systems ($3 million) and lower volume of Prosper components ($1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KODAK SOFTWARE SEGMENT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8"/>
          </w:tcPr>
          <w:p>
            <w:pPr>
              <w:jc w:val="right"/>
              <w:ind w:right="70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Kodak Software revenues for the three and six months ended June 30, 2019 declined $2 million and $4 million primarily due to lower volume ($2 million and $4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Kodak Software Operational EBITDA declined $1 million and $3 million for the quarter and six months ended June 30, 2019 compared to the prior year quarter primarily due to lower sales volumes ($1 million and $2 million,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BRAND, FILM AND IMAGING SEGMENT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5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6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increase in Brand, Film and Imaging revenues for the three months ended June 30, 2019 of approximately $1 million was primarily due to higher revenues in Motion Picture ($5 million) driven by higher volume of color negative film partially offset by volume declines in Consumer Inkjet Systems ($2 million), driven by lower sales of ink to the existing installed base of printers and lower volume in Industrial Film and Chemicals ($3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decrease in Brand, Film and Imaging revenues for the six months ended June 30, 2019 of approximately $2 million was primarily due to lower volume in Industrial Film and Chemicals ($4 million), volume declines in Consumer Inkjet Systems ($3 million) driven by lower sales of ink to the existing installed base of printers, and the unfavorable impact of currency ($2 million) partially offset by favorable volume in Motion Picture ($4 million) and Kodakit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Brand, Film and Imaging Operational EBITDA for the three months ended June 30, 2019 improved $3 million compared with the prior year quarter primarily reflecting cost improvements in Motion Picture ($2 million) and Industrial Film and Chemicals ($1 million) offset by volume declines in Consumer Inkjet Systems driven by lower sales of ink to the existing installed base of printers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Brand, Film and Imaging Operational EBITDA for the six months ended June 30, 2019 improved $3 million compared with the prior year quarter primarily reflecting cost improvements in Motion Picture ($2 million) and Industrial Film and Chemicals ($1 million) and lower investment in sales and marketing activities ($1 million) offset by volume declines in Consumer Inkjet Systems driven by lower sales of ink to the existing installed base of printers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98"/>
              </w:rPr>
              <w:t>Three Months Ended June 30,</w:t>
            </w:r>
          </w:p>
        </w:tc>
        <w:tc>
          <w:tcPr>
            <w:tcW w:w="180" w:type="dxa"/>
            <w:vAlign w:val="bottom"/>
          </w:tcPr>
          <w:p>
            <w:pPr>
              <w:spacing w:after="0"/>
              <w:rPr>
                <w:sz w:val="20"/>
                <w:szCs w:val="20"/>
                <w:color w:val="auto"/>
              </w:rPr>
            </w:pPr>
          </w:p>
        </w:tc>
        <w:tc>
          <w:tcPr>
            <w:tcW w:w="3180" w:type="dxa"/>
            <w:vAlign w:val="bottom"/>
            <w:gridSpan w:val="9"/>
          </w:tcPr>
          <w:p>
            <w:pPr>
              <w:ind w:left="3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vMerge w:val="continue"/>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0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Advanced Materials and 3D Printing Technology Operational EBITDA for the quarter and six months ended June 30, 2019 improved by approximately $1 million and $3 million, respectively, primarily due to a lower level of investment in R&amp;D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EASTMAN BUSINESS PARK SEGMENT</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7"/>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8"/>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Eastman Business Park Operational EBITDA for the quarter and six months ended June 30, 2019 improved by $1 million and $2 million, respectively, primarily due to lower utility and maintenance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Kodak recorded $3 million and $5 million of charges for the quarter and six months ended June 30, 2019, respectively, $1 million of which was reported in Income from discontinued operations for each respective time period in the Consolidated Statement of Operations, with the remainder reported as Restructuring costs and Other.</w:t>
      </w:r>
    </w:p>
    <w:p>
      <w:pPr>
        <w:spacing w:after="0" w:line="2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Kodak made cash payments related to restructuring of approximately $2 million and $4 million during the quarter and six months ended June 30, 2019, respectively.</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restructuring actions implemented in the first six months of 2019 are expected to generate future annual cash savings of approximately $7 million. These savings are expected to reduce future annual Cost of revenues and SG&amp;A expenses by $2 million and $5 million, respectively. Kodak began realizing a portion of these savings in the first six months and expects the majority of the annual savings to be in effect by the end of the third quarter of 2019 as actions are completed.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Kodak is facing liquidity challenges due to operating losses and negative cash flow. Kodak has eliminated current debt service requirements by paying down the Term Credit Agreement using proceeds from the sale of FPD and refinancing the remaining balance through the issuance of convertible debt which does not require any debt service until conversion or maturity on November 1, 2021. However, Kodak has significant cash requirements to fund ongoing operations, restructuring programs, pension and other postretirement obligations, and other obligations. Kodak’s plans to return to positive cash flow include growing revenues profitably, reducing operating expenses, simplifying the organizational structure, generating cash from additional asset sales and paring investment in new technology by eliminating or delaying product development programs. The current cash balance outside of China, recent trend of negative cash flow and lack of certainty regarding the return to positive cash flow raise substantial doubt about Kodak’s ability to continue as a going concern</w:t>
      </w:r>
      <w:r>
        <w:rPr>
          <w:rFonts w:ascii="Arial" w:cs="Arial" w:eastAsia="Arial" w:hAnsi="Arial"/>
          <w:sz w:val="16"/>
          <w:szCs w:val="16"/>
          <w:b w:val="1"/>
          <w:bCs w:val="1"/>
          <w:color w:val="auto"/>
        </w:rPr>
        <w:t>.</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 to the Going Concern section of Note 1, “Basis of Presentation and Recent Accounting Pronouncements”; Note 7, "Debt and Finance Leases," and Note 8, “Redeemable, Convertible Series A Preferred Stock” in the Notes to Financial Statements for further discussion.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8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Cash, cash equivalents, restricted cash and cash in assets held for sale</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3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59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Change</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920" w:type="dxa"/>
            <w:vAlign w:val="bottom"/>
            <w:gridSpan w:val="5"/>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operating activities improved $36 million for the six months ended June 30, 2019 as compared with the corresponding period in 2018 primarily due to lower cash spend on inventory, higher build of accounts payable, the allocation of $10 million of the proceeds from the divestiture of FPD as consideration for a brand license, and the receipt of a $15 million prepayment for transition services, products, and other services as a part of the divestiture of FPD partially offset by lower cash earnings and less cash provided by the decline in accounts receivable.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Net cash provided by investing activities improved $313 million for the six months ended June 30, 2019 as compared with the corresponding period in 2018 due to the proceeds from the sale of FPD and reduced capital spend.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Net cash used in financing activities increased $286 million in the six months ended June 30, 2019 as compared with the corresponding period in 2018 driven by the repayment of the Term Credit Agreement partially offset by the issuance of the Convertible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Available liquidity includes cash balances and the unused portion of the ABL Credit Agreement. The ABL Credit Agreement had $24 million of net availability (“Excess Availability”) as of June 30, 2019. The amount of available liquidity is subject to fluctuations and includes cash balances held by various entities worldwide. At June 30, 2019 and December 31, 2018 approximately $90 million and $117 million, respectively, of cash and cash equivalents were held within the U.S. and approximately $126 million and $131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June 30, 2019 and December 31, 2018, outstanding inter-company loans to the U.S. were $426 million and $390 million, respectively, which includes short-term inter-company loans from Kodak’s international finance center of $128 million and $92 million, respectively</w:t>
      </w:r>
      <w:r>
        <w:rPr>
          <w:rFonts w:ascii="Arial" w:cs="Arial" w:eastAsia="Arial" w:hAnsi="Arial"/>
          <w:sz w:val="17"/>
          <w:szCs w:val="17"/>
          <w:b w:val="1"/>
          <w:bCs w:val="1"/>
          <w:color w:val="auto"/>
        </w:rPr>
        <w:t>.</w:t>
      </w:r>
      <w:r>
        <w:rPr>
          <w:rFonts w:ascii="Arial" w:cs="Arial" w:eastAsia="Arial" w:hAnsi="Arial"/>
          <w:sz w:val="17"/>
          <w:szCs w:val="17"/>
          <w:color w:val="auto"/>
        </w:rPr>
        <w:t xml:space="preserve"> In China, where approximately $59 million and $72 million of cash and cash equivalents was held as of June 30, 2019 and December 31, 2018, respectively, there are limitations related to net asset balances that may impact the ability to make cash available to other jurisdictions in the world. Under the terms of the ABL Credit Agreement, the Company is permitted to invest up to $100 million in subsidiaries and joint ventures that are not party to the ABL Credit Agreement.</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April 16, 2019, the Purchaser paid Kodak $15 million in the U.S. as a prepayment for transition services and products and services to be provided by Kodak to the Purchaser. Kodak has provided a $15 million guaranty, supported by cash collateral in China, to the Purchaser. The Purchaser has the option to satisfy its payment obligations to Kodak through a reduction of the prepayment balance or in cash. When the Purchaser satisfies its payment obligations to Kodak by utilizing its prepayment balance, Kodak can follow a guaranty amendment process to reduce the amount of its guaranty and cash collateral supporting the prepayment balance. As of June 30, 2019, the remaining prepayment balance is $13 million and the cash collateral supporting Kodak’s guaranty is $15 million.</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3, 2019 Kodak reached an agreement with Lucky HuaGuang Graphics Co. Ltd (“HuaGuang”) to establish a strategic relationship in the People’s Republic of China. The relationship will be comprised of an agreement for Kodak to sell its shares of the Kodak (China) Graphic Communication Co. Ltd. entity which includes the offset printing plates facility in Xiamen, China, and related assets and liabilities, to HuaGuang, a supply agreement for HuaGuang to help Kodak fulfill customer demand and a license agreement under which Kodak licenses its plates technology to HuaGuang with the intent of expanding the plates market in China. The relationship is expected to be established at a closing in the third quarter of 2019, subject to the satisfaction of customary closing conditions. At the closing Kodak expects to receive net cash proceeds of $22.5 million, of which $13.5 million is expected to be received in the United States. As part of the closing, an escrow of $15.5 million will be established by Kodak in China to secure various ongoing obligations under the agreements.</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47" w:name="page48"/>
    <w:bookmarkEnd w:id="47"/>
    <w:p>
      <w:pPr>
        <w:ind w:right="40"/>
        <w:spacing w:after="0" w:line="271" w:lineRule="auto"/>
        <w:rPr>
          <w:sz w:val="20"/>
          <w:szCs w:val="20"/>
          <w:color w:val="auto"/>
        </w:rPr>
      </w:pPr>
      <w:r>
        <w:rPr>
          <w:rFonts w:ascii="Arial" w:cs="Arial" w:eastAsia="Arial" w:hAnsi="Arial"/>
          <w:sz w:val="17"/>
          <w:szCs w:val="17"/>
          <w:color w:val="auto"/>
        </w:rPr>
        <w:t>Under the ABL Credit Agreement, if Excess Availability ($24 million at June 30, 2019) falls below 12.5% of lender commitments ($18.75 million at June 30, 2019), Kodak would be required to be in compliance with the minimum Fixed Charge Coverage Ratio (the only financial covenant in the ABL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ABL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June 30, 2019, Kodak is not required to have a minimum Fixed Charge Coverage Ratio of 1.0 to 1.0. As of June 30, 2019 Fixed Charges exceeded EBITDA (as defined in the ABL Credit Agreement) by approximately $6 million.</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quarter of 2017, the Company reduced the amount of outstanding letters of credit issued under the ABL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credit ratings, the Company was required to provide $6 million in letters of credit to the issuers of the surety bonds during the third quarter of 2018. The Company could be required to provide up to an additional $13 million of letters of credit to the issuers of the surety bonds in the future to fully collateralize the bonds.</w:t>
      </w:r>
    </w:p>
    <w:p>
      <w:pPr>
        <w:spacing w:after="0" w:line="22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June 30, 2019 and December 31, 2018, Kodak had funded $11 million and $3 million, respectively, to the Eligible Cash account held with the ABL Credit Agreement Administrative Agent which was classified as Restricted cash in the Consolidated Statement of Financial Position, supporting the Excess Availability amount.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27" w:lineRule="exact"/>
        <w:rPr>
          <w:sz w:val="20"/>
          <w:szCs w:val="20"/>
          <w:color w:val="auto"/>
        </w:rPr>
      </w:pPr>
    </w:p>
    <w:p>
      <w:pPr>
        <w:jc w:val="both"/>
        <w:ind w:right="720"/>
        <w:spacing w:after="0" w:line="255" w:lineRule="auto"/>
        <w:rPr>
          <w:sz w:val="20"/>
          <w:szCs w:val="20"/>
          <w:color w:val="auto"/>
        </w:rPr>
      </w:pPr>
      <w:r>
        <w:rPr>
          <w:rFonts w:ascii="Arial" w:cs="Arial" w:eastAsia="Arial" w:hAnsi="Arial"/>
          <w:sz w:val="18"/>
          <w:szCs w:val="18"/>
          <w:color w:val="auto"/>
        </w:rPr>
        <w:t>Kodak made net contributions (funded plans) or paid benefits (unfunded plans) totaling approximately $11 million to its defined benefit pension and postretirement benefit plans in the first six months of 2019. For the balance of 2019, the forecasted contribution (funded plans) and benefit payment (unfunded plans) requirements for its pension and postretirement plans are approximately $11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Cash flow from investing activities included $5 million of capital expenditures for the six months ended June 30, 2019. Kodak expects approximately $10 million to $20 million of total capital expenditures for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Executive Chairman and Chief Financial Officer, as appropriate, to allow timely decisions regarding required disclosure. Kodak’s management, with participation of Kodak’s Executive Chairman and Chief Financial Officer, has evaluated the effectiveness of Kodak’s disclosure controls and procedures as of the end of the period covered by this Quarterly Report on Form 10-Q. Kodak’s Executive Chairman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June 30, 2019, Kodak’s Brazilian Operations maintained accruals of approximately $4 million for claims aggregating approximately $159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Quarterly Report on Form 10-Q, including the Management’s Discussion and Analysis of Financial Condition and Results of Operations (MD&amp;A) section and the consolidated financial statements and related notes. The following discussion of “risk factors” identifies Kodak’s assessment of the most significant factors which 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Kodak’s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generate positive operating cash flows will be necessary for Kodak to continue to operate its business.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Kodak has not generated positive operating cash flows over the past five years and, based on forecasted cash flows, there are uncertainties regarding its ability to meet commitments in the U.S. as they come due. The Print Systems segment is its largest segment and has had declining revenues and segment earnings which are expected to continue to decline. Kodak’s stable and remaining growth businesses may not grow or continue to generate the same or enough cash flow to offset businesses with declining cash flows and investments needed for certain growth businesses. It may take Kodak longer to generate positive cash flow from operations than planned, which would have a material adverse effect on its liquidity and financial position. If Kodak is unable to generate positive cash flow from operations in the future or to adequately supplement such cash flow from operations with proceeds from the sale of businesses or assets or other monetization transactions, its ability to continue as a going concern could be impaired or limited.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line="375"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Kodak’s business may not generate cash flow in an amount sufficient to enable it to pay the principal or mandatory redemption price of, or interest and dividends on its indebtedness and Series A Preferred Stock, or to fund Kodak’s other liquidity needs, including working capital, capital expenditures, product development efforts, strategic acquisitions, investments and alliances, restructuring actions and other general corporate requirements.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Kodak’s ability to generate cash is subject to general economic, financial, competitive, litigation, regulatory and other factors beyond its control. There are no assurances:</w:t>
      </w:r>
    </w:p>
    <w:p>
      <w:pPr>
        <w:spacing w:after="0" w:line="197"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Kodak’s businesses will generate sufficient cash flow from operations;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Kodak will be able to generate expected levels of operational EBITDA;</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Kodak will be able to repatriate or move cash to locations where and when it is needed;</w:t>
      </w:r>
    </w:p>
    <w:p>
      <w:pPr>
        <w:spacing w:after="0" w:line="9" w:lineRule="exact"/>
        <w:rPr>
          <w:rFonts w:ascii="Arial" w:cs="Arial" w:eastAsia="Arial" w:hAnsi="Arial"/>
          <w:sz w:val="18"/>
          <w:szCs w:val="18"/>
          <w:color w:val="auto"/>
        </w:rPr>
      </w:pPr>
    </w:p>
    <w:p>
      <w:pPr>
        <w:ind w:left="820" w:right="2700" w:hanging="407"/>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meet all the conditions associated with making borrowings or issuing letters of credit under the ABL Credit Agreement;</w:t>
      </w:r>
    </w:p>
    <w:p>
      <w:pPr>
        <w:ind w:left="820" w:right="2720" w:hanging="407"/>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Kodak will realize cost savings, earnings growth and operating improvements resulting from the execution of its business and restructuring plan;</w:t>
      </w: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Kodak will not have to expend cash defending lawsuits regardless of the merits of any claims raised; or</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sources of funding will be available in amounts sufficient to enable funding of its liquidity needs.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were able to incur additional debt, the risks associated with the Company’s substantial leverage, including the risk it will be unable to service its debt, generate cash flow sufficient to fund its liquidity needs, or maintain compliance with the covenants in its debt agreements, could significantly increase.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Kodak is unable to successfully develop, fund and commercialize products in certain businesses upon which it is focused or do so within an acceptable timeframe, its financial performance could be adversely affected.</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Kodak has focused its investments on imaging and printing for business, specifically, commercial inkjet, packaging, advanced materials and 3D printing, and software and services.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Kodak’s inability to effectively complete and manage strategic transactions could adversely impact its business performance, including its financial results.</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particularly following the recent completion of the sale of its Flexographic Packaging Division.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8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line="264" w:lineRule="auto"/>
        <w:rPr>
          <w:sz w:val="20"/>
          <w:szCs w:val="20"/>
          <w:color w:val="auto"/>
        </w:rPr>
      </w:pPr>
      <w:r>
        <w:rPr>
          <w:rFonts w:ascii="Arial" w:cs="Arial" w:eastAsia="Arial" w:hAnsi="Arial"/>
          <w:sz w:val="18"/>
          <w:szCs w:val="18"/>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208"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obtain required regulatory and other approvals;</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integrate acquired or combined operations with its business;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 w:lineRule="exact"/>
        <w:rPr>
          <w:rFonts w:ascii="Arial" w:cs="Arial" w:eastAsia="Arial" w:hAnsi="Arial"/>
          <w:sz w:val="18"/>
          <w:szCs w:val="18"/>
          <w:color w:val="auto"/>
        </w:rPr>
      </w:pPr>
    </w:p>
    <w:p>
      <w:pPr>
        <w:ind w:left="880" w:right="2400" w:hanging="440"/>
        <w:spacing w:after="0" w:line="250"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evaluating operating costs, infrastructure requirements, environmental and other liabilities and other factors beyond its control;</w:t>
      </w: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wrong, inaccurate or changing business assumptions on which such acquisitions or combinations are predicated;</w:t>
      </w:r>
    </w:p>
    <w:p>
      <w:pPr>
        <w:spacing w:after="0" w:line="21"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lack of operating experience in new business or geographic areas;</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its expenses and working capital requirements;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management’s attention may be temporarily diverted; and</w:t>
      </w:r>
    </w:p>
    <w:p>
      <w:pPr>
        <w:spacing w:after="0" w:line="9" w:lineRule="exact"/>
        <w:rPr>
          <w:rFonts w:ascii="Arial" w:cs="Arial" w:eastAsia="Arial" w:hAnsi="Arial"/>
          <w:sz w:val="18"/>
          <w:szCs w:val="18"/>
          <w:color w:val="auto"/>
        </w:rPr>
      </w:pPr>
    </w:p>
    <w:p>
      <w:pPr>
        <w:ind w:left="880" w:right="2520" w:hanging="440"/>
        <w:spacing w:after="0" w:line="26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it may be required to issue a substantial amount of additional equity or debt securities or assume additional debt in connection with any such transactions.</w:t>
      </w:r>
    </w:p>
    <w:p>
      <w:pPr>
        <w:spacing w:after="0" w:line="7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5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Due to the nature of the products it sells and Kodak’s worldwide distribution, Kodak is exposed to fluctuations in foreign currency exchange rates, interest rates and commodity costs which, together with tariffs that may be imposed, may adversely impact its results of operations and financial position.</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petroleum-based or other commodity-based raw materials, the prices of which have been, and may continue to be, volatile. In the case of aluminum and other raw materials and components imported by Kodak, tariffs imposed from time to time may give rise to future cost increases. Tariffs or duties may also be imposed on exported products produced by Kodak, making such products less competitive in jurisdictions imposing such tariffs or duties. If the global economic situation remains uncertain or worsens, there could be further volatility in changes in currency exchange rates, interest rates and commodity prices, which could have negative effects on its revenue and earnings.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2016, the United Kingdom (the “UK”) held a referendum in which voters opted for the country’s exit from the EU, commonly referred to as Brexit and, accordingly, the UK is scheduled to leave the EU on October 31, 2019 (unless delayed). The UK government has been negotiating with the EU on terms for such exit but no agreement has yet been reached. Leaving without any agreement on terms would lead to disruption to UK/EU trade. However, we have put appropriate plans in place for continuity of supply and purchase of products, although there is likely to be some limited cost impact associated with these plans.</w:t>
      </w:r>
    </w:p>
    <w:p>
      <w:pPr>
        <w:spacing w:after="0" w:line="2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prospect of </w:t>
      </w:r>
      <w:r>
        <w:rPr>
          <w:rFonts w:ascii="Arial" w:cs="Arial" w:eastAsia="Arial" w:hAnsi="Arial"/>
          <w:sz w:val="16"/>
          <w:szCs w:val="16"/>
          <w:color w:val="333333"/>
        </w:rPr>
        <w:t>Brexit</w:t>
      </w:r>
      <w:r>
        <w:rPr>
          <w:rFonts w:ascii="Arial" w:cs="Arial" w:eastAsia="Arial" w:hAnsi="Arial"/>
          <w:sz w:val="16"/>
          <w:szCs w:val="16"/>
          <w:color w:val="auto"/>
        </w:rPr>
        <w:t xml:space="preserve"> has also caused global stock market volatility and currency exchange rate fluctuations that resulted in strengthening of the U.S. dollar relative to other foreign currencies in which we conduct business. There may also be broader uncertainty over the position the United States will take with respect to certain treaty and trade relationships with other countries. This uncertainty may impact (i) the ability or willingness of non-U.S. companies to transact business in the United States, including with our company, (ii) regulation and trade agreements affecting U.S. companies, (iii) global stock markets and (iv) general global economic conditions. All of these factors are outside of our control but may cause us to adjust our strategy in order to compete effectively in global markets and could adversely affect our business, financial condition, operating results and cash flows.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1" w:name="page52"/>
    <w:bookmarkEnd w:id="51"/>
    <w:p>
      <w:pPr>
        <w:ind w:right="480"/>
        <w:spacing w:after="0" w:line="277" w:lineRule="auto"/>
        <w:rPr>
          <w:sz w:val="20"/>
          <w:szCs w:val="20"/>
          <w:color w:val="auto"/>
        </w:rPr>
      </w:pPr>
      <w:r>
        <w:rPr>
          <w:rFonts w:ascii="Arial" w:cs="Arial" w:eastAsia="Arial" w:hAnsi="Arial"/>
          <w:sz w:val="18"/>
          <w:szCs w:val="18"/>
          <w:b w:val="1"/>
          <w:bCs w:val="1"/>
          <w:i w:val="1"/>
          <w:iCs w:val="1"/>
          <w:color w:val="auto"/>
        </w:rPr>
        <w:t>If Kodak is unable to successfully develop or commercialize new products or do so in a timely manner, its business, financial position and operating results may suffer.</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215"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customer needs;</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innovate and develop new technologies, services, and applications;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commercialize new technologies in a timely manner;</w:t>
      </w:r>
    </w:p>
    <w:p>
      <w:pPr>
        <w:spacing w:after="0" w:line="22"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manufacture and deliver its products in sufficient volumes and on time;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differentiate its offerings from its competitors’ offerings;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its products and services competitively;</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 its competitors’ development of new products, services or technological innovations;</w:t>
      </w:r>
    </w:p>
    <w:p>
      <w:pPr>
        <w:spacing w:after="0" w:line="21"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 successfully alongside its partners; and</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 product quality in its manufacturing processes.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result of these and other factors, products currently in development by Kodak (for example, UltraStream technology, new generations of Sonora offset plates, and small particle technology)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all of which could adversely affect its business as well as its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reputation of Kodak or its brand erodes significantly, it could have a material impact on its financial results.</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The competitive pressures it faces could harm Kodak’s revenue, gross margins, cash flow and market share.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208" w:lineRule="exact"/>
        <w:rPr>
          <w:sz w:val="20"/>
          <w:szCs w:val="20"/>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foresee the course of market developments more accurately than it does;</w:t>
      </w:r>
    </w:p>
    <w:p>
      <w:pPr>
        <w:spacing w:after="0" w:line="23"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superior products and provide superior services or offer a broader variety of products and services;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the ability to produce or supply similar products and services at a lower cost;</w:t>
      </w:r>
    </w:p>
    <w:p>
      <w:pPr>
        <w:spacing w:after="0" w:line="9" w:lineRule="exact"/>
        <w:rPr>
          <w:rFonts w:ascii="Arial" w:cs="Arial" w:eastAsia="Arial" w:hAnsi="Arial"/>
          <w:sz w:val="18"/>
          <w:szCs w:val="18"/>
          <w:color w:val="auto"/>
        </w:rPr>
      </w:pPr>
    </w:p>
    <w:p>
      <w:pPr>
        <w:ind w:left="800" w:right="3240" w:hanging="400"/>
        <w:spacing w:after="0" w:line="250"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better access to materials and supplies and the ability to acquire materials and supplies at a lower cost;</w:t>
      </w: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stronger relationships with its suppliers or customers;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adapt more quickly to new technologies or evolving customer requirements than it does; or</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access to capital markets or other financing sources on more favorable terms than it can obtain.</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loss of one or more of Kodak’s key personnel, or its failure to attract and retain other highly qualified personnel in the future, could harm its business.</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6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Kodak serves imaging needs for business markets, including graphic communications, packaging,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Kodak makes sizeable investments in new products and services that may not achieve expected returns.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197" w:lineRule="exact"/>
        <w:rPr>
          <w:sz w:val="20"/>
          <w:szCs w:val="20"/>
          <w:color w:val="auto"/>
        </w:rPr>
      </w:pPr>
    </w:p>
    <w:p>
      <w:pPr>
        <w:ind w:left="600" w:hanging="2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manufacturing methods appropriate to Kodak’s products;</w:t>
      </w:r>
    </w:p>
    <w:p>
      <w:pPr>
        <w:spacing w:after="0" w:line="23" w:lineRule="exact"/>
        <w:rPr>
          <w:rFonts w:ascii="Arial" w:cs="Arial" w:eastAsia="Arial" w:hAnsi="Arial"/>
          <w:sz w:val="18"/>
          <w:szCs w:val="18"/>
          <w:color w:val="auto"/>
        </w:rPr>
      </w:pPr>
    </w:p>
    <w:p>
      <w:pPr>
        <w:ind w:left="600" w:hanging="2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an adequate control environment;</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quickly respond to changes in customer demand for Kodak’s products;</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supplies and materials necessary for the manufacturing process; or</w:t>
      </w:r>
    </w:p>
    <w:p>
      <w:pPr>
        <w:spacing w:after="0" w:line="9" w:lineRule="exact"/>
        <w:rPr>
          <w:rFonts w:ascii="Arial" w:cs="Arial" w:eastAsia="Arial" w:hAnsi="Arial"/>
          <w:sz w:val="18"/>
          <w:szCs w:val="18"/>
          <w:color w:val="auto"/>
        </w:rPr>
      </w:pPr>
    </w:p>
    <w:p>
      <w:pPr>
        <w:ind w:left="600" w:hanging="295"/>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mitigate the impact of labor shortages and/or other disruptions.</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Suppliers may choose to unilaterally withhold products, components or services. In addition, Kodak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6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Any significant negative change in the payment terms that Kodak has with its suppliers could adversely affect its liquidity. There is a risk that Kodak’s key suppliers could respond to any actual or apparent decrease in or any concern with its financial results or liquidity by requiring or conditioning their sale of goods or services to Kodak on more stringent or more costly payment terms, such as by requiring standby letters of credit, earlier or advance payment of invoices, payment upon delivery, or shorter payment terms. Kodak’s need for additional liquidity could significantly increase and its supply could be materially disrupted if a significant portion of its key suppliers and vendors took one or more of the actions described above, which could have a material adverse effect on its sales, customer satisfaction, cash flows, liquidity and financial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Kodak’s future revenue and financial condition and increase its costs and expenses.</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4" w:name="page55"/>
    <w:bookmarkEnd w:id="54"/>
    <w:p>
      <w:pPr>
        <w:ind w:right="760"/>
        <w:spacing w:after="0" w:line="308" w:lineRule="auto"/>
        <w:rPr>
          <w:sz w:val="20"/>
          <w:szCs w:val="20"/>
          <w:color w:val="auto"/>
        </w:rPr>
      </w:pPr>
      <w:r>
        <w:rPr>
          <w:rFonts w:ascii="Arial" w:cs="Arial" w:eastAsia="Arial" w:hAnsi="Arial"/>
          <w:sz w:val="17"/>
          <w:szCs w:val="17"/>
          <w:b w:val="1"/>
          <w:bCs w:val="1"/>
          <w:i w:val="1"/>
          <w:iCs w:val="1"/>
          <w:color w:val="auto"/>
        </w:rPr>
        <w:t>Kodak could be adversely impacted by a security breach, through cyber-attack, cyber intrusion, insider threats or otherwise, or other significant disruption of its IT networks and related systems or of those it operates for certain of its customers.</w:t>
      </w:r>
    </w:p>
    <w:p>
      <w:pPr>
        <w:spacing w:after="0" w:line="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effectively manage Kodak’s global business, it depends on secure and reliable information technology systems with accurate data. These systems and their underlying infrastructure are provided by a combination of Kodak and third-parties, and if unavailable or unreliable, could disrupt Kodak’s operations, causing delays or cancellation of customer orders, impeding the manufacturing or delivery of products, delaying the reporting of financial results, or impacting other business processes critical to running its business.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Kodak’s IT systems contain critical information about its business, including intellectual property and confidential information of its customers, business partners, and employees. Cyber-attacks or defects in its systems could result in this proprietary information being disclosed or modified, which could cause significant damage to its business or its reputation. Kodak has system controls and security measures in place that are designed to protect its IT systems against intentional or unintentional disruptions of its operations or disclosure of confidential information, but it may not be able to implement solutions that result in stopping or detecting all of these threats to its internal information systems or those of its third-party providers. A breach of Kodak’s security measures could result in unauthorized access to and misuse of its information, corruption of data, or disruption of operations, any of which could have a material adverse impact on its business.</w:t>
      </w:r>
    </w:p>
    <w:p>
      <w:pPr>
        <w:spacing w:after="0" w:line="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Kodak also provides IT-based products and services to its customers, and operates services used by its customers and hosted by Kodak, both businesses and consumers, and a breach of its security or reliability measures, or those of its third-party service providers, could negatively impact its customers’ operations or data privacy.</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Attacks on IT systems continue to grow in frequency, complexity and sophistication, and Kodak is regularly targeted by unauthorized parties using malicious tactics, code and viruses. It has programs in place to prevent, detect and respond to data or cyber security incidents. However, because the techniques used to obtain unauthorized access, disable or degrade service, or sabotage systems change frequently, are increasingly more complex and sophisticated and may be difficult to detect for long periods of time, Kodak may be unable or fail to anticipate these techniques or implement adequate or timely preventive or responsive measures.</w:t>
      </w:r>
    </w:p>
    <w:p>
      <w:pPr>
        <w:spacing w:after="0" w:line="215"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Failure to comply with anti-corruption laws and regulations, anti-money laundering laws and regulations, economic and trade sanctions, and similar laws could have a materially adverse effect on Kodak’s reputation, results of operations or financial condition, or have other adverse consequences.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Regulators worldwide are exercising heightened scrutiny with respect to anti-corruption, economic and trade sanctions, and anti-money laundering laws and regulations. Such heightened scrutiny has resulted in more aggressive investigations and enforcement of such laws and more burdensome regulations, any of which could adversely impact Kodak’s business. Kodak has a global operating presence, including in numerous developing economies where companies and government officials are more likely to engage in business practices that are prohibited by domestic and foreign laws and regulations, including the United States Foreign Corrupt Practices Act and the U.K. Bribery Act. Such laws generally prohibit improper payments or offers of payments to foreign government officials and leaders of political parties, and in some cases, to other persons, for the purpose of obtaining or retaining business. Kodak is also subject to economic and trade sanctions programs, including those administered by the U.S. Treasury Department’s Office of Foreign Assets Control, which prohibit or restrict transactions or dealings with specified countries, their governments, and in certain circumstances, their nationals, and with individuals and entities that are specially designated, including narcotics traffickers and terrorists or terrorist organizations, among others. In addition, Kodak is subject to anti-money laundering laws and regulations.</w:t>
      </w:r>
    </w:p>
    <w:p>
      <w:pPr>
        <w:spacing w:after="0" w:line="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Kodak has implemented policies and procedures to monitor and address compliance with applicable anti-corruption, economic and trade sanctions and anti-money laundering laws and regulations, and it is continuously in the process of reviewing, upgrading and enhancing certain of its policies and procedures. However, there can be no assurance that its employees, consultants or agents will not take actions in violation of its policies for which it may be ultimately responsible, or that its policies and procedures will be adequate or will be determined to be adequate by regulators. Any violations of applicable anti-corruption, economic and trade sanctions or anti-money laundering laws or regulations could limit certain of Kodak’s business activities until they are satisfactorily remediated and could result in civil and criminal penalties, including fines, which could damage its reputation and have a materially adverse effect on its results of operation or financial condition.</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Failure to comply with privacy, data protection and cyber security laws and regulations could have a materially adverse effect on Kodak’s reputation, results of operations or financial condition.</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became effective on May 25, 2018 for all European Union (“EU”) member states. The GDPR includes operational requirements for companies receiving or processing personal data of EU residents that are partially different from those previously in place and includes significant penalties for non-compliance. This change,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jc w:val="both"/>
        <w:ind w:right="120"/>
        <w:spacing w:after="0" w:line="302" w:lineRule="auto"/>
        <w:rPr>
          <w:sz w:val="20"/>
          <w:szCs w:val="20"/>
          <w:color w:val="auto"/>
        </w:rPr>
      </w:pPr>
      <w:r>
        <w:rPr>
          <w:rFonts w:ascii="Arial" w:cs="Arial" w:eastAsia="Arial" w:hAnsi="Arial"/>
          <w:sz w:val="16"/>
          <w:szCs w:val="16"/>
          <w:color w:val="auto"/>
        </w:rPr>
        <w:t>This environment demands Kodak continuously improve its design and coordination of security controls and contractual arrangements across its businesses and 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1"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w:t>
      </w:r>
    </w:p>
    <w:p>
      <w:pPr>
        <w:ind w:right="40"/>
        <w:spacing w:after="0" w:line="255" w:lineRule="auto"/>
        <w:rPr>
          <w:sz w:val="20"/>
          <w:szCs w:val="20"/>
          <w:color w:val="auto"/>
        </w:rPr>
      </w:pPr>
      <w:r>
        <w:rPr>
          <w:rFonts w:ascii="Arial" w:cs="Arial" w:eastAsia="Arial" w:hAnsi="Arial"/>
          <w:sz w:val="18"/>
          <w:szCs w:val="18"/>
          <w:color w:val="auto"/>
        </w:rPr>
        <w:t>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these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1" w:lineRule="exact"/>
        <w:rPr>
          <w:sz w:val="20"/>
          <w:szCs w:val="20"/>
          <w:color w:val="auto"/>
        </w:rPr>
      </w:pPr>
    </w:p>
    <w:p>
      <w:pPr>
        <w:ind w:left="800" w:right="3640" w:hanging="400"/>
        <w:spacing w:after="0" w:line="250"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claims can be time consuming and costly to defend and may distract management’s attention and resources;</w:t>
      </w:r>
    </w:p>
    <w:p>
      <w:pPr>
        <w:ind w:left="800" w:right="3040" w:hanging="400"/>
        <w:spacing w:after="0" w:line="250"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1" w:lineRule="exact"/>
        <w:rPr>
          <w:rFonts w:ascii="Arial" w:cs="Arial" w:eastAsia="Arial" w:hAnsi="Arial"/>
          <w:sz w:val="18"/>
          <w:szCs w:val="18"/>
          <w:color w:val="auto"/>
        </w:rPr>
      </w:pPr>
    </w:p>
    <w:p>
      <w:pPr>
        <w:ind w:left="800" w:right="3200" w:hanging="400"/>
        <w:spacing w:after="0" w:line="250"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even if it has an agreement with a third party to indemnify it against such costs, the indemnifying party may be unable to uphold such party’s contractual obligations; and</w:t>
      </w:r>
    </w:p>
    <w:p>
      <w:pPr>
        <w:ind w:left="800" w:right="3040" w:hanging="400"/>
        <w:spacing w:after="0" w:line="255"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it cannot or does not license the infringed technology at all, license the technology on reasonable terms or substitute similar technology from another source, its revenue and earnings could be adversely impacted.</w:t>
      </w:r>
    </w:p>
    <w:p>
      <w:pPr>
        <w:spacing w:after="0" w:line="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6" w:name="page57"/>
    <w:bookmarkEnd w:id="56"/>
    <w:p>
      <w:pPr>
        <w:ind w:right="220"/>
        <w:spacing w:after="0" w:line="264" w:lineRule="auto"/>
        <w:rPr>
          <w:sz w:val="20"/>
          <w:szCs w:val="20"/>
          <w:color w:val="auto"/>
        </w:rPr>
      </w:pPr>
      <w:r>
        <w:rPr>
          <w:rFonts w:ascii="Arial" w:cs="Arial" w:eastAsia="Arial" w:hAnsi="Arial"/>
          <w:sz w:val="18"/>
          <w:szCs w:val="18"/>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Kodak may be required to recognize impairments in the value of its goodwill and/or other long-lived assets which could adversely affect its results of operations.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determined the fair value of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8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future results could be harmed if it is unsuccessful in its sales in emerging markets.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174" w:lineRule="exact"/>
        <w:rPr>
          <w:sz w:val="20"/>
          <w:szCs w:val="20"/>
          <w:color w:val="auto"/>
        </w:rPr>
      </w:pPr>
    </w:p>
    <w:p>
      <w:pPr>
        <w:ind w:left="740" w:hanging="36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 of multiple languages;</w:t>
      </w:r>
    </w:p>
    <w:p>
      <w:pPr>
        <w:spacing w:after="0" w:line="23" w:lineRule="exact"/>
        <w:rPr>
          <w:rFonts w:ascii="Arial" w:cs="Arial" w:eastAsia="Arial" w:hAnsi="Arial"/>
          <w:sz w:val="18"/>
          <w:szCs w:val="18"/>
          <w:color w:val="auto"/>
        </w:rPr>
      </w:pPr>
    </w:p>
    <w:p>
      <w:pPr>
        <w:ind w:left="740" w:right="3540" w:hanging="367"/>
        <w:spacing w:after="0" w:line="25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of sales and technical support personnel with the skills to design, manufacture, sell and supply products;</w:t>
      </w:r>
    </w:p>
    <w:p>
      <w:pPr>
        <w:ind w:left="740" w:right="3860" w:hanging="367"/>
        <w:spacing w:after="0" w:line="261"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governmental regulation of imports and exports, including obtaining required import or export approval for its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complexity of managing international operations;</w:t>
      </w:r>
    </w:p>
    <w:p>
      <w:pPr>
        <w:spacing w:after="0" w:line="23"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22" w:lineRule="exact"/>
        <w:rPr>
          <w:rFonts w:ascii="Arial" w:cs="Arial" w:eastAsia="Arial" w:hAnsi="Arial"/>
          <w:sz w:val="18"/>
          <w:szCs w:val="18"/>
          <w:color w:val="auto"/>
        </w:rPr>
      </w:pPr>
    </w:p>
    <w:p>
      <w:pPr>
        <w:ind w:left="740" w:right="3660" w:hanging="367"/>
        <w:spacing w:after="0" w:line="265"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commercial laws and business practices which may favor local competition and the imposition of tariffs on products or raw materials imported into or exported from the U.S.;</w:t>
      </w:r>
    </w:p>
    <w:p>
      <w:pPr>
        <w:ind w:left="740" w:right="3480" w:hanging="367"/>
        <w:spacing w:after="0" w:line="250"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multiple, potentially conflicting, and changing governmental laws, regulations and practices, including differing export, import, tax, anti-corruption, anti-dumping, economic sanction, labor, and employment laws;</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restrictions on the repatriation of cash;</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reductions in protection of intellectual property rights;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complications in logistics and distribution arrangements; and</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6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38"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4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Empire State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may have additional tax liabilities.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 For example, compliance with the Tax Cuts and Jobs Act (“2017 Tax Act”) may continue to require the exercise of significant judgment in accounting for its provisions. Many aspects of the 2017 Tax Act are unclear and may not be clarified for some time. As regulations and guidance evolve with respect to the 2017 Tax Act, and as Kodak gathers more information and performs more analysis, Kodak’s results may differ from previous estimates and may materially affect our financial position.</w:t>
      </w:r>
    </w:p>
    <w:p>
      <w:pPr>
        <w:spacing w:after="0" w:line="2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business, financial position, results of operations, cash flows and reputation may be negatively impacted by legal matters.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t>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2018 to December 31, 2018 on May 31, 2019.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Indebtedness and Access to Capital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the Company will be able to comply with the terms of its various credit facilities.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 breach of any of the financial or other covenants contained in the ABL Credit Agreement or the Convertible Notes could result in an event of default under these facilities. If any default or event of default occurs and the Company is not able to either cure it or obtain a waiver from the requisite lenders under the ABL Credit Agreement, the administrative agent under the ABL Credit Agreement may, and at the request of the requisite lenders for that facility must, declare all of the Company’s outstanding obligations under the ABL Credit Agreement, together with accrued interest and fees, to be immediately due and payable. In addition, the agent under the ABL Credit Agreement may, and at the request of the requisite lenders must, terminate the lenders’ commitments under that facility and cease making further loans. If any default or event of default occurs and the Company is not able to either cure it or obtain a waiver from the holders of the Convertible Notes, such holders may declare all of the Company’s outstanding obligations under the Convertible Notes, together with accrued interest and fees, to be immediately due and payable. If applicable, the administrative agent under the ABL Credit Agreement and the collateral agent for the Convertible Notes could institute foreclosure proceedings against the pledged assets. Any of these outcomes would likely have an adverse effect on the Company’s operations and its ability to satisfy its obligations as they come due.</w:t>
      </w:r>
    </w:p>
    <w:p>
      <w:pPr>
        <w:spacing w:after="0" w:line="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March 31, 2019 Kodak obtained a waiver from the agent and lenders under the ABL Credit Agreement with respect to any event of default under the reporting covenant in the ABL Credit Agreement that may be deemed to occur in relation to the going concern explanatory paragraph contained in the audit report on Kodak’s financial statements as of and for the year ended December 31, 2018. There can be no assurance that Kodak will be able to obtain such a waiver if a going concern explanatory paragraph is contained in the audit report with respect to Kodak’s annual financial statements for future years. In the absence of such a waiver, the agent or lenders under the ABL Credit Agreement may take the position that such explanatory paragraph constitutes a default under the reporting covenant in the ABL Credit Agreement. For more information on the reporting covenants under the Credit Agreements and the potential impact of the explanatory paragraph in the audit report refer to Item 2. “Management’s Discussion and Analysis of Financial Condition and Results of Operations—Liquidity and Capital Resources—Sources of Liquidity.”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funding and such capital may not be available to us and/or may be limited.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Because of Kodak’s current non-investment grade credit rating and financial condition, and/or general conditions in the financial and credit markets, its access to the capital markets is limited. Moreover, the urgency of a capital-raising transaction may require it to pursue additional capital at an inopportune time or unattractive cost. The Company has issued approximately $80 million and $85 million of letters of credit under the ABL Credit Agreement as of June 30, 2019 and December 31, 2018, respectively. The maturity date of the ABL Credit Agreement is May 26, 2021. Upon the earlier of the maturity date or the termination of the revolving credit commitments under the ABL Credit Agreement, the obligations thereunder will become due and the Company will need to provide alternate collateral in place of the letters of credit issued under the ABL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Kodak’s ability to obtain capital and the costs of such capital are dependent on numerous factors, including:</w:t>
      </w:r>
    </w:p>
    <w:p>
      <w:pPr>
        <w:spacing w:after="0" w:line="252" w:lineRule="exact"/>
        <w:rPr>
          <w:sz w:val="20"/>
          <w:szCs w:val="20"/>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covenants in the ABL Credit Agreement and Convertible Notes;</w:t>
      </w:r>
    </w:p>
    <w:p>
      <w:pPr>
        <w:spacing w:after="0" w:line="23" w:lineRule="exact"/>
        <w:rPr>
          <w:rFonts w:ascii="Arial" w:cs="Arial" w:eastAsia="Arial" w:hAnsi="Arial"/>
          <w:sz w:val="18"/>
          <w:szCs w:val="18"/>
          <w:color w:val="auto"/>
        </w:rPr>
      </w:pPr>
    </w:p>
    <w:p>
      <w:pPr>
        <w:ind w:left="800" w:right="3140" w:hanging="400"/>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obtaining a consent from the holders of Series A Preferred Stock for the issuance of additional preferred shares which rank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Series A Preferred Stock;</w:t>
      </w: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confidence in Kodak and the markets in which it operates;</w:t>
      </w:r>
    </w:p>
    <w:p>
      <w:pPr>
        <w:spacing w:after="0" w:line="9" w:lineRule="exact"/>
        <w:rPr>
          <w:rFonts w:ascii="Arial" w:cs="Arial" w:eastAsia="Arial" w:hAnsi="Arial"/>
          <w:sz w:val="18"/>
          <w:szCs w:val="18"/>
          <w:color w:val="auto"/>
        </w:rPr>
      </w:pPr>
    </w:p>
    <w:p>
      <w:pPr>
        <w:ind w:left="800" w:right="2960" w:hanging="400"/>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financial performance and projected financial performance and the financial performance and projected financial performance of its subsidiaries;</w:t>
      </w:r>
    </w:p>
    <w:p>
      <w:pPr>
        <w:ind w:left="800" w:right="2900" w:hanging="400"/>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levels of debt and redemption obligations, including the maturity of the Convertible Notes on November 1, 2021, unless extended in accordance with their terms, and the mandatory redemption of the Series A Preferred Stock on November 15, 2021;</w:t>
      </w:r>
    </w:p>
    <w:p>
      <w:pPr>
        <w:spacing w:after="0" w:line="1"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ability to generate positive cash flow;</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ability to consummate asset sales or monetization transactions;</w:t>
      </w:r>
    </w:p>
    <w:p>
      <w:pPr>
        <w:spacing w:after="0" w:line="21"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requirements for posting collateral under various commercial agreements;</w:t>
      </w:r>
    </w:p>
    <w:p>
      <w:pPr>
        <w:spacing w:after="0" w:line="23"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credit ratings;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left="800" w:hanging="40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its long-term business prospects; and</w:t>
      </w:r>
    </w:p>
    <w:p>
      <w:pPr>
        <w:spacing w:after="0" w:line="23" w:lineRule="exact"/>
        <w:rPr>
          <w:rFonts w:ascii="Arial" w:cs="Arial" w:eastAsia="Arial" w:hAnsi="Arial"/>
          <w:sz w:val="18"/>
          <w:szCs w:val="18"/>
          <w:color w:val="auto"/>
        </w:rPr>
      </w:pPr>
    </w:p>
    <w:p>
      <w:pPr>
        <w:ind w:left="800" w:hanging="40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Kodak may not be successful in obtaining additional capital for these or other reasons. An inability to access capital is likely to limit its ability to meet its operating needs and, as a result, may have a material adverse effect on its financial condition, results of operations and cash flows. In particular, Kodak does not have committed refinancing or the liquidity to meet the debt obligations under the Convertible Notes and ABL Credit Agreement if they were to become due in accordance with their current terms, and there are no assurances Kodak will be able to amend, extend, refinance or repay the loans under the Convertible Notes or, as necessary, its obligations under the ABL Credit Agreement before they become due. If Kodak is unable to amend, extend or refinance the Convertible Notes or ABL Credit Agreement before they become due, its ability to continue as a going concern would likely be impaired.</w:t>
      </w:r>
    </w:p>
    <w:p>
      <w:pPr>
        <w:spacing w:after="0" w:line="165" w:lineRule="exact"/>
        <w:rPr>
          <w:sz w:val="20"/>
          <w:szCs w:val="20"/>
          <w:color w:val="auto"/>
        </w:rPr>
      </w:pPr>
    </w:p>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corporate family credit rating is currently below investment grade and there are no assurances its credit ratings will improve, or they will not decline, in the future. In addition, the Company may not continue to maintain credit ratings from the recognized rating agencies. Its credit ratings and financial condition may affect the evaluation of its creditworthiness by trading counterparties and lenders, which could put it at a disadvantage to competitors with higher or investment grade ratings.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Kodak’s current non-investment grade credit rating and financial condition may limit its ability to obtain additional sources of liquidity, refinance its debt obligations, including any mandatory redemption of its Series A Preferred Stock, or access the capital markets at the lower borrowing costs which would presumably be available to competitors with a higher or investment grade rating or stronger financial condition. Should its ratings continue at their current levels, or should its ratings be further downgraded, it would expect these negative effects to continue and, in the case of a downgrade, become more pronounced. In particular, given the Company’s current credit ratings it would be required, if requested, to provide up to $13 million of additional letters of credit to the issuers of certain surety bonds to fully collateralize such bonds.</w:t>
      </w:r>
    </w:p>
    <w:p>
      <w:pPr>
        <w:spacing w:after="0" w:line="19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Availability under the Company’s ABL Credit Agreement is based on the amount of Eligible Receivables, Eligible Inventory, Eligible Machinery and Equipment and Eligible Cash less specified reserves as described in Note 8, “Debt and Finance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$80 million of outstanding letters of credit and the $18.75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and would not be available to support ongoing working capital and investment needs.</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Company’s substantial monetary obligations require a portion of its cash flow be used to fund other obligations rather than be invested in the business and could adversely affect its ability to fund its operations.</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indebtedness under the Convertible Notes and ABL Credit Agreement and its other obligations including the potential mandatory redemption of the Series A Preferred Stock could have important negative consequences to the Company and investors in its securities. These include the following:</w:t>
      </w:r>
    </w:p>
    <w:p>
      <w:pPr>
        <w:spacing w:after="0" w:line="151" w:lineRule="exact"/>
        <w:rPr>
          <w:sz w:val="20"/>
          <w:szCs w:val="20"/>
          <w:color w:val="auto"/>
        </w:rPr>
      </w:pPr>
    </w:p>
    <w:p>
      <w:pPr>
        <w:ind w:left="800" w:right="3000" w:hanging="400"/>
        <w:spacing w:after="0" w:line="25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may not be able to satisfy all of its obligations, including, but not limited to, its obligations under the Convertible Notes and the ABL Credit Agreement, which may cause a cross-default or cross-acceleration on other debt it may have incurred;</w:t>
      </w:r>
    </w:p>
    <w:p>
      <w:pPr>
        <w:jc w:val="both"/>
        <w:ind w:left="800" w:right="3680" w:hanging="400"/>
        <w:spacing w:after="0" w:line="25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could have difficulties obtaining necessary financing in the future for working capital, capital expenditures, debt service requirements, mandatory redemption of the Series A Preferred Stock, refinancing or other purposes;</w:t>
      </w:r>
    </w:p>
    <w:p>
      <w:pPr>
        <w:spacing w:after="0" w:line="1" w:lineRule="exact"/>
        <w:rPr>
          <w:rFonts w:ascii="Arial" w:cs="Arial" w:eastAsia="Arial" w:hAnsi="Arial"/>
          <w:sz w:val="18"/>
          <w:szCs w:val="18"/>
          <w:color w:val="auto"/>
        </w:rPr>
      </w:pPr>
    </w:p>
    <w:p>
      <w:pPr>
        <w:ind w:left="800" w:right="2960" w:hanging="400"/>
        <w:spacing w:after="0" w:line="25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spacing w:after="0" w:line="1" w:lineRule="exact"/>
        <w:rPr>
          <w:rFonts w:ascii="Arial" w:cs="Arial" w:eastAsia="Arial" w:hAnsi="Arial"/>
          <w:sz w:val="18"/>
          <w:szCs w:val="18"/>
          <w:color w:val="auto"/>
        </w:rPr>
      </w:pPr>
    </w:p>
    <w:p>
      <w:pPr>
        <w:ind w:left="800" w:hanging="400"/>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economic or industry conditions may have more of a negative impact on it.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spacing w:after="0" w:line="259" w:lineRule="auto"/>
        <w:rPr>
          <w:sz w:val="20"/>
          <w:szCs w:val="20"/>
          <w:color w:val="auto"/>
        </w:rPr>
      </w:pPr>
      <w:r>
        <w:rPr>
          <w:rFonts w:ascii="Arial" w:cs="Arial" w:eastAsia="Arial" w:hAnsi="Arial"/>
          <w:sz w:val="18"/>
          <w:szCs w:val="18"/>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conversion of the Convertible Notes or the Company’s Series A Preferred Stock into shares of the Company’s common stock may dilute the value for the current holders of the Company’s common stock.</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Convertible Notes are convertible into shares of the Company’s common stock at a conversion rate of 314.9785 shares of common stock per $1,000 principal amount of Convertible Notes, and 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Convertible Notes or Series A Preferred Stock, the Company’s existing shareholders will own a smaller percentage of its outstanding common stock. Based on the capitalization of the Company as of June 30, 2019, the conversion of all Convertible Notes would result in the issuance to holders thereof of approximately 42% of the outstanding common stock after giving effect to such conversion, the conversion of all shares of the Series A Preferred Stock would result in the issuance to holders thereof of approximately 21% of the outstanding common stock after giving effect to such conversion, and the conversion of all Convertible Notes and all shares of the Series A Preferred Stock would result in the issuance to holders thereof of approximately 50% of the outstanding common stock after giving effect to such conversion. Further, additional shares of common stock may be issuable pursuant to certain other features of the Convertible Notes and Series A Preferred Stock, with such issuances being further dilutive to existing holders of common stock.</w:t>
      </w:r>
    </w:p>
    <w:p>
      <w:pPr>
        <w:spacing w:after="0" w:line="6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Convertible Notes or shares of Series A Preferred Stock are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Convertible Notes or shares of Series A Preferred Stock will be a dilution to dividends and distributions.</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Holders of the Company’s common stock will not realize any dilution in their ownership, dividend or distribution rights solely as a result of the reservation of any shares of common stock for issuance upon conversion of the Convertible Notes or Series A Preferred Stock or for issuance of additional shares of common stock pursuant to certain other features of the Convertible Notes or Series A Preferred Stock, but will experience such dilution to the extent additional shares of common stock are issued in the future as described above.</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holders of the Company’s Series A Preferred Stock and Convertible Notes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These holders also hold all of the Convertible Notes. If the holders converted all of the Convertible Notes, the holders would hold approximately 56% of the voting power of the Company on an as-converted basis and such conversion may constitute a change in control of the Company.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w:t>
      </w:r>
    </w:p>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 As of July 1, 2019, the Company is in arrears for three dividend payments.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1" w:name="page62"/>
    <w:bookmarkEnd w:id="61"/>
    <w:p>
      <w:pPr>
        <w:ind w:right="40"/>
        <w:spacing w:after="0" w:line="277" w:lineRule="auto"/>
        <w:rPr>
          <w:sz w:val="20"/>
          <w:szCs w:val="20"/>
          <w:color w:val="auto"/>
        </w:rPr>
      </w:pPr>
      <w:r>
        <w:rPr>
          <w:rFonts w:ascii="Arial" w:cs="Arial" w:eastAsia="Arial" w:hAnsi="Arial"/>
          <w:sz w:val="18"/>
          <w:szCs w:val="18"/>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compliance with two Registration Rights Agreements to which the Company is a party, it has registered the resale of an aggregate of 20,723,050 shares of outstanding common stock, 2,000,000 shares of outstanding Series A Preferred Stock, and 11,494,200 shares of common stock, subject to anti-dilution adjustments, issuable upon the conversion of outstanding Series A Preferred Stock. The Company is also a party to a Registration Rights Agreement pursuant to which it is obligated under defined circumstances to register for resale the shares of common stock issuable upon conversion of the Convertible Notes.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resale of a significant portion of the Company’s securities registered for resale or certain accumulations or transfers of the Company’s securities could result in a change of control of the Company and the loss of favorable tax attributes.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registered the resale of securities representing approximately 59% of its outstanding shares of common stock assuming the issuance of all common stock issuable upon the conversion of the Series A Preferred Stock, and, if it is required to register the common stock issuable upon the conversion of the Convertible Notes, the Company will have registered the resale of securities representing approximately 74% of its outstanding shares of common stock assuming the issuance of all common stock issuable upon the conversion of the Series A Preferred Stock and Convertible Notes.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and Convertible Notes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14, “Income Taxes”. The interests of the holders of the securities registered for resale may not always coincide with the interests of the other holders of our common stock.</w:t>
      </w:r>
    </w:p>
    <w:p>
      <w:pPr>
        <w:spacing w:after="0" w:line="6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 a result of the issuance of the Convertible Notes, transactions in the Company’s securities during the applicable 3-year rolling test period are approaching the level that would constitute an ownership change for Section 382 purposes. Certain accumulations or transfers of the Company’s securities, particularly prior to November 15, 2019, could cause an ownership change to occur. To seek to prevent and deter such accumulations or transfers, the Company is in the process of implementing an amendment to its certificate of incorporation to restrict certain transfers of common stock and a tax asset protection plan. The terms of the Series A Preferred Stock are also expected to be amended to give the Company the right to consent to transfers of Series A Preferred Stock that could result in an ownership change. Although these protections are intended to reduce the likelihood of an ownership change, they are subject to inherent limitations and may not prevent or deter all accumulations or transfers of Company securities that could result in an ownership change. Furthermore, the protections will not become effective until at least 20 days after a definitive information statement is distributed and provide no protection with respect to accumulations or transfers that occur prior to such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stock price has been and may continue to be volatile.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market price of the Company’s common stock has fluctuated substantially and may continue to fluctuate significantly. Future announcements or disclosures concerning the Company, its strategic initiatives, its sales and profitability, and quarterly variations in actual or anticipated operating results or comparable sales, any failure to meet analysts’ expectations and sales of large blocks of its common stock, among other factors, could cause the market price of its common stock to fluctuate substantially.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Company’s common stock may be affected by the volatility of blockchain and cryptocurrency markets.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price of the Company’s common stock has been dramatically affected by the announcement of the license granted by Kodak to WENN Digital, Inc. (“WENN”) to use Kodak’s brand in connection with WENN’s KODAKOne blockchain-based image rights management platform and Kodak-branded cryptocurrency. Kodak may, in the future, have other involvement relating to blockchain technology or cryptocurrency, either directly or as a licensor. Kodak cannot predict whether, or the extent to which, the trading price of the Company’s common stock will continue to be affected by blockchain or cryptocurrency markets and any volatility in such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5520" w:hanging="458"/>
        <w:spacing w:after="0" w:line="519" w:lineRule="auto"/>
        <w:tabs>
          <w:tab w:leader="none" w:pos="47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w:t>
      </w:r>
      <w:r>
        <w:rPr>
          <w:rFonts w:ascii="Arial" w:cs="Arial" w:eastAsia="Arial" w:hAnsi="Arial"/>
          <w:sz w:val="18"/>
          <w:szCs w:val="18"/>
          <w:color w:val="auto"/>
        </w:rPr>
        <w:t>June 30, 2019</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520" w:right="4540" w:hanging="458"/>
        <w:spacing w:after="0" w:line="282" w:lineRule="auto"/>
        <w:tabs>
          <w:tab w:leader="none" w:pos="47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June 30, 2019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through 30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June 1 through 30</w:t>
            </w:r>
          </w:p>
        </w:tc>
        <w:tc>
          <w:tcPr>
            <w:tcW w:w="1060" w:type="dxa"/>
            <w:vAlign w:val="bottom"/>
          </w:tcPr>
          <w:p>
            <w:pPr>
              <w:jc w:val="right"/>
              <w:spacing w:after="0"/>
              <w:rPr>
                <w:sz w:val="20"/>
                <w:szCs w:val="20"/>
                <w:color w:val="auto"/>
              </w:rPr>
            </w:pPr>
            <w:r>
              <w:rPr>
                <w:rFonts w:ascii="Arial" w:cs="Arial" w:eastAsia="Arial" w:hAnsi="Arial"/>
                <w:sz w:val="18"/>
                <w:szCs w:val="18"/>
                <w:color w:val="auto"/>
              </w:rPr>
              <w:t>2,082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180" w:hanging="512"/>
        <w:spacing w:after="0" w:line="277" w:lineRule="auto"/>
        <w:tabs>
          <w:tab w:leader="none" w:pos="5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63" w:name="page64"/>
    <w:bookmarkEnd w:id="63"/>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25"/>
          </w:tcPr>
          <w:p>
            <w:pPr>
              <w:jc w:val="center"/>
              <w:ind w:right="4060"/>
              <w:spacing w:after="0"/>
              <w:rPr>
                <w:sz w:val="20"/>
                <w:szCs w:val="20"/>
                <w:color w:val="auto"/>
              </w:rPr>
            </w:pPr>
            <w:r>
              <w:rPr>
                <w:rFonts w:ascii="Arial" w:cs="Arial" w:eastAsia="Arial" w:hAnsi="Arial"/>
                <w:sz w:val="18"/>
                <w:szCs w:val="18"/>
                <w:b w:val="1"/>
                <w:bCs w:val="1"/>
                <w:color w:val="auto"/>
                <w:w w:val="91"/>
              </w:rPr>
              <w:t>Eastman Kodak Company</w:t>
            </w:r>
          </w:p>
        </w:tc>
      </w:tr>
      <w:tr>
        <w:trPr>
          <w:trHeight w:val="220"/>
        </w:trPr>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40" w:type="dxa"/>
            <w:vAlign w:val="bottom"/>
            <w:gridSpan w:val="25"/>
          </w:tcPr>
          <w:p>
            <w:pPr>
              <w:jc w:val="center"/>
              <w:ind w:right="4060"/>
              <w:spacing w:after="0"/>
              <w:rPr>
                <w:sz w:val="20"/>
                <w:szCs w:val="20"/>
                <w:color w:val="auto"/>
              </w:rPr>
            </w:pPr>
            <w:r>
              <w:rPr>
                <w:rFonts w:ascii="Arial" w:cs="Arial" w:eastAsia="Arial" w:hAnsi="Arial"/>
                <w:sz w:val="18"/>
                <w:szCs w:val="18"/>
                <w:b w:val="1"/>
                <w:bCs w:val="1"/>
                <w:color w:val="auto"/>
                <w:w w:val="91"/>
              </w:rPr>
              <w:t>Index to Exhibits</w:t>
            </w:r>
          </w:p>
        </w:tc>
      </w:tr>
      <w:tr>
        <w:trPr>
          <w:trHeight w:val="190"/>
        </w:trPr>
        <w:tc>
          <w:tcPr>
            <w:tcW w:w="1120" w:type="dxa"/>
            <w:vAlign w:val="bottom"/>
          </w:tcPr>
          <w:p>
            <w:pPr>
              <w:jc w:val="center"/>
              <w:ind w:right="210"/>
              <w:spacing w:after="0" w:line="190" w:lineRule="exact"/>
              <w:rPr>
                <w:sz w:val="20"/>
                <w:szCs w:val="20"/>
                <w:color w:val="auto"/>
              </w:rPr>
            </w:pPr>
            <w:r>
              <w:rPr>
                <w:rFonts w:ascii="Arial" w:cs="Arial" w:eastAsia="Arial" w:hAnsi="Arial"/>
                <w:sz w:val="18"/>
                <w:szCs w:val="18"/>
                <w:color w:val="auto"/>
                <w:w w:val="91"/>
              </w:rPr>
              <w:t>(3.1)</w:t>
            </w:r>
          </w:p>
        </w:tc>
        <w:tc>
          <w:tcPr>
            <w:tcW w:w="9980" w:type="dxa"/>
            <w:vAlign w:val="bottom"/>
            <w:tcBorders>
              <w:bottom w:val="single" w:sz="8" w:color="0000EE"/>
            </w:tcBorders>
            <w:gridSpan w:val="29"/>
          </w:tcPr>
          <w:p>
            <w:pPr>
              <w:spacing w:after="0" w:line="190"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Second Amended and Restated Certificate of Incorporation of Eastman Kodak Company (Incorporated by reference to Exhibit (4.1) of the</w:t>
              </w:r>
            </w:hyperlink>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Company’s Registration Statement on Form S-8 as filed on September 3, 2013).</w:t>
              </w:r>
            </w:hyperlink>
          </w:p>
        </w:tc>
      </w:tr>
      <w:tr>
        <w:trPr>
          <w:trHeight w:val="20"/>
        </w:trPr>
        <w:tc>
          <w:tcPr>
            <w:tcW w:w="1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(3.2)</w:t>
            </w:r>
          </w:p>
        </w:tc>
        <w:tc>
          <w:tcPr>
            <w:tcW w:w="9980" w:type="dxa"/>
            <w:vAlign w:val="bottom"/>
            <w:gridSpan w:val="29"/>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by reference to Exhibit (3.1) of the Company’s Current Report on Form 8-K as filed November 16, 2016).</w:t>
              </w:r>
            </w:hyperlink>
          </w:p>
        </w:tc>
        <w:tc>
          <w:tcPr>
            <w:tcW w:w="2160" w:type="dxa"/>
            <w:vAlign w:val="bottom"/>
            <w:tcBorders>
              <w:top w:val="single" w:sz="8" w:color="0000EE"/>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(3.3)</w:t>
            </w:r>
          </w:p>
        </w:tc>
        <w:tc>
          <w:tcPr>
            <w:tcW w:w="9980" w:type="dxa"/>
            <w:vAlign w:val="bottom"/>
            <w:gridSpan w:val="29"/>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Fourth Amended and Restated By-Laws of Eastman Kodak Company (Incorporated by reference to Exhibit (3.1) of the Company’s</w:t>
              </w:r>
            </w:hyperlink>
          </w:p>
        </w:tc>
      </w:tr>
      <w:tr>
        <w:trPr>
          <w:trHeight w:val="196"/>
        </w:trPr>
        <w:tc>
          <w:tcPr>
            <w:tcW w:w="11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Current Report on Form 8-K as filed on May 25, 2017).</w:t>
              </w:r>
            </w:hyperlink>
          </w:p>
        </w:tc>
        <w:tc>
          <w:tcPr>
            <w:tcW w:w="5440" w:type="dxa"/>
            <w:vAlign w:val="bottom"/>
            <w:tcBorders>
              <w:top w:val="single" w:sz="8" w:color="0000EE"/>
            </w:tcBorders>
            <w:gridSpan w:val="10"/>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(4.1)</w:t>
            </w:r>
          </w:p>
        </w:tc>
        <w:tc>
          <w:tcPr>
            <w:tcW w:w="9640" w:type="dxa"/>
            <w:vAlign w:val="bottom"/>
            <w:tcBorders>
              <w:bottom w:val="single" w:sz="8" w:color="0000EE"/>
            </w:tcBorders>
            <w:gridSpan w:val="23"/>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Secured Convertible Note (Incorporated by reference to Exhibit (4.1) of the Company’s Current Report on Form 8-K as filed</w:t>
              </w:r>
            </w:hyperlink>
          </w:p>
        </w:tc>
        <w:tc>
          <w:tcPr>
            <w:tcW w:w="34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May 24, 2019).</w:t>
              </w:r>
            </w:hyperlink>
          </w:p>
        </w:tc>
      </w:tr>
      <w:tr>
        <w:trPr>
          <w:trHeight w:val="20"/>
        </w:trPr>
        <w:tc>
          <w:tcPr>
            <w:tcW w:w="1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(4.2)</w:t>
            </w:r>
          </w:p>
        </w:tc>
        <w:tc>
          <w:tcPr>
            <w:tcW w:w="9980" w:type="dxa"/>
            <w:vAlign w:val="bottom"/>
            <w:gridSpan w:val="29"/>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Guarantee and Collateral Agreement, dated as of May 24, 2019, from grantors as referred to therein as Grantors to Wilmington Trust,</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National Association, as collateral agent, and Longleaf Partners Small-Cap Fund, C2W Partners Master Fund Limited and Deseret Mutual</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Pension Trust (Incorporated by reference to Exhibit (4.2) of the Company’s Current Report on Form 8-K as filed May 24, 2019).</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(4.3)</w:t>
            </w:r>
          </w:p>
        </w:tc>
        <w:tc>
          <w:tcPr>
            <w:tcW w:w="9980" w:type="dxa"/>
            <w:vAlign w:val="bottom"/>
            <w:gridSpan w:val="29"/>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Registration Rights Agreement, dated as of May 24, 2019, by and among Eastman Kodak Company, Longleaf Partners SmallCap Fund,</w:t>
              </w:r>
            </w:hyperlink>
          </w:p>
        </w:tc>
      </w:tr>
      <w:tr>
        <w:trPr>
          <w:trHeight w:val="196"/>
        </w:trPr>
        <w:tc>
          <w:tcPr>
            <w:tcW w:w="112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C2W Partners Master Fund Limited and Deseret Mutual Pension Trust (Incorporated by reference to Exhibit (4.3) of the Company’s</w:t>
              </w:r>
            </w:hyperlink>
          </w:p>
        </w:tc>
        <w:tc>
          <w:tcPr>
            <w:tcW w:w="240" w:type="dxa"/>
            <w:vAlign w:val="bottom"/>
            <w:tcBorders>
              <w:top w:val="single" w:sz="8" w:color="0000EE"/>
            </w:tcBorders>
            <w:gridSpan w:val="7"/>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Current Report on Form 8-K as filed May 24, 2019).</w:t>
              </w:r>
            </w:hyperlink>
          </w:p>
        </w:tc>
        <w:tc>
          <w:tcPr>
            <w:tcW w:w="6160" w:type="dxa"/>
            <w:vAlign w:val="bottom"/>
            <w:gridSpan w:val="23"/>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w:t>
            </w:r>
          </w:p>
        </w:tc>
        <w:tc>
          <w:tcPr>
            <w:tcW w:w="9980" w:type="dxa"/>
            <w:vAlign w:val="bottom"/>
            <w:gridSpan w:val="29"/>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Notes Purchase Agreement, dated as of May 20, 2019, by and among Eastman Kodak Company, Longleaf Partners Small-Cap Fund,</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C2W Partners Master Fund Limited and Deseret Mutual Pension Trust (Incorporated by reference to Exhibit (10.1) of the Company’s</w:t>
              </w:r>
            </w:hyperlink>
          </w:p>
        </w:tc>
        <w:tc>
          <w:tcPr>
            <w:tcW w:w="36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Current Report on Form 8-K as filed May 21, 2019)</w:t>
              </w:r>
            </w:hyperlink>
            <w:hyperlink r:id="rId101">
              <w:r>
                <w:rPr>
                  <w:rFonts w:ascii="Arial" w:cs="Arial" w:eastAsia="Arial" w:hAnsi="Arial"/>
                  <w:sz w:val="18"/>
                  <w:szCs w:val="18"/>
                  <w:color w:val="0000EE"/>
                  <w:w w:val="91"/>
                </w:rPr>
                <w:t>.</w:t>
              </w:r>
            </w:hyperlink>
          </w:p>
        </w:tc>
        <w:tc>
          <w:tcPr>
            <w:tcW w:w="6180" w:type="dxa"/>
            <w:vAlign w:val="bottom"/>
            <w:gridSpan w:val="24"/>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(10.2)</w:t>
            </w:r>
          </w:p>
        </w:tc>
        <w:tc>
          <w:tcPr>
            <w:tcW w:w="9660" w:type="dxa"/>
            <w:vAlign w:val="bottom"/>
            <w:tcBorders>
              <w:bottom w:val="single" w:sz="8" w:color="0000EE"/>
            </w:tcBorders>
            <w:gridSpan w:val="24"/>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Amendment No. 1 to Shareholder Agreement, dated as of May 20, 2019 by and among Eastman Kodak Company, Southeastern Asset</w:t>
              </w:r>
            </w:hyperlink>
          </w:p>
        </w:tc>
        <w:tc>
          <w:tcPr>
            <w:tcW w:w="32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Management, Inc., Longleaf Partners Small-Cap Fund, C2W Partners Master Fund Limited and Deseret Mutual Pension</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Trust (Incorporated by reference to Exhibit (10.2) of the Company’s Current Report on Form 8-K as filed May 21, 2019).</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(10.3)</w:t>
            </w:r>
          </w:p>
        </w:tc>
        <w:tc>
          <w:tcPr>
            <w:tcW w:w="9980" w:type="dxa"/>
            <w:vAlign w:val="bottom"/>
            <w:gridSpan w:val="29"/>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Amendment No. 2 to Amended and Restated Credit Agreement, dated as of May 24, 2019 by and among Company, the subsidiary</w:t>
              </w:r>
            </w:hyperlink>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2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Guarantors, the lenders party thereto and Bank of America, N.A., as administrative and collateral agent (Incorporated by reference to</w:t>
              </w:r>
            </w:hyperlink>
          </w:p>
        </w:tc>
      </w:tr>
      <w:tr>
        <w:trPr>
          <w:trHeight w:val="196"/>
        </w:trPr>
        <w:tc>
          <w:tcPr>
            <w:tcW w:w="11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Exhibit (10.1) of the Company’s Current Report on Form 8-K as filed May 24, 2019).</w:t>
              </w:r>
            </w:hyperlink>
          </w:p>
        </w:tc>
        <w:tc>
          <w:tcPr>
            <w:tcW w:w="3420" w:type="dxa"/>
            <w:vAlign w:val="bottom"/>
            <w:tcBorders>
              <w:top w:val="single" w:sz="8" w:color="0000EE"/>
            </w:tcBorders>
            <w:gridSpan w:val="10"/>
          </w:tcPr>
          <w:p>
            <w:pPr>
              <w:spacing w:after="0"/>
              <w:rPr>
                <w:sz w:val="17"/>
                <w:szCs w:val="17"/>
                <w:color w:val="auto"/>
              </w:rPr>
            </w:pPr>
          </w:p>
        </w:tc>
        <w:tc>
          <w:tcPr>
            <w:tcW w:w="380" w:type="dxa"/>
            <w:vAlign w:val="bottom"/>
            <w:gridSpan w:val="8"/>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(10.4)</w:t>
            </w:r>
          </w:p>
        </w:tc>
        <w:tc>
          <w:tcPr>
            <w:tcW w:w="9980" w:type="dxa"/>
            <w:vAlign w:val="bottom"/>
            <w:gridSpan w:val="29"/>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Form of Voting and Support Agreement (Incorporated by reference to Exhibit (10.2) of the Company’s Current Report on Form 8-K as</w:t>
              </w:r>
            </w:hyperlink>
          </w:p>
        </w:tc>
      </w:tr>
      <w:tr>
        <w:trPr>
          <w:trHeight w:val="196"/>
        </w:trPr>
        <w:tc>
          <w:tcPr>
            <w:tcW w:w="112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filed May 24, 2019).</w:t>
              </w:r>
            </w:hyperlink>
          </w:p>
        </w:tc>
        <w:tc>
          <w:tcPr>
            <w:tcW w:w="280" w:type="dxa"/>
            <w:vAlign w:val="bottom"/>
            <w:gridSpan w:val="4"/>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(31.1)</w:t>
            </w:r>
          </w:p>
        </w:tc>
        <w:tc>
          <w:tcPr>
            <w:tcW w:w="43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signed by James V. Continenza, filed herewith.</w:t>
              </w:r>
            </w:hyperlink>
          </w:p>
        </w:tc>
        <w:tc>
          <w:tcPr>
            <w:tcW w:w="5640" w:type="dxa"/>
            <w:vAlign w:val="bottom"/>
            <w:gridSpan w:val="20"/>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(31.2)</w:t>
            </w:r>
          </w:p>
        </w:tc>
        <w:tc>
          <w:tcPr>
            <w:tcW w:w="9980" w:type="dxa"/>
            <w:vAlign w:val="bottom"/>
            <w:gridSpan w:val="2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Certification signed by David E. Bullwinkle, filed herewith</w:t>
              </w:r>
            </w:hyperlink>
            <w:r>
              <w:rPr>
                <w:rFonts w:ascii="Arial" w:cs="Arial" w:eastAsia="Arial" w:hAnsi="Arial"/>
                <w:sz w:val="18"/>
                <w:szCs w:val="18"/>
                <w:u w:val="single" w:color="auto"/>
                <w:color w:val="000000"/>
              </w:rPr>
              <w:t>.</w:t>
            </w:r>
          </w:p>
        </w:tc>
      </w:tr>
      <w:tr>
        <w:trPr>
          <w:trHeight w:val="20"/>
        </w:trPr>
        <w:tc>
          <w:tcPr>
            <w:tcW w:w="11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(32.1)</w:t>
            </w:r>
          </w:p>
        </w:tc>
        <w:tc>
          <w:tcPr>
            <w:tcW w:w="9980" w:type="dxa"/>
            <w:vAlign w:val="bottom"/>
            <w:gridSpan w:val="29"/>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Certification Pursuant to 18 U.S.C. Section 1350, as Adopted Pursuant to Section 906 of the Sarbanes-Oxley Act of 2002, signed by</w:t>
              </w:r>
            </w:hyperlink>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James V. Continenza, filed herewith.</w:t>
              </w:r>
            </w:hyperlink>
          </w:p>
        </w:tc>
        <w:tc>
          <w:tcPr>
            <w:tcW w:w="460" w:type="dxa"/>
            <w:vAlign w:val="bottom"/>
            <w:gridSpan w:val="11"/>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32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(32.2)</w:t>
            </w:r>
          </w:p>
        </w:tc>
        <w:tc>
          <w:tcPr>
            <w:tcW w:w="9980" w:type="dxa"/>
            <w:vAlign w:val="bottom"/>
            <w:gridSpan w:val="29"/>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Certification Pursuant to 18 U.S.C. Section 1350, as Adopted Pursuant to Section 906 of the Sarbanes-Oxley Act of 2002 signed by David</w:t>
              </w:r>
            </w:hyperlink>
          </w:p>
        </w:tc>
      </w:tr>
      <w:tr>
        <w:trPr>
          <w:trHeight w:val="196"/>
        </w:trPr>
        <w:tc>
          <w:tcPr>
            <w:tcW w:w="1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E. Bullwinkle, filed herewith.</w:t>
              </w:r>
            </w:hyperlink>
          </w:p>
        </w:tc>
        <w:tc>
          <w:tcPr>
            <w:tcW w:w="7820" w:type="dxa"/>
            <w:vAlign w:val="bottom"/>
            <w:tcBorders>
              <w:top w:val="single" w:sz="8" w:color="0000EE"/>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(101.INS)</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0"/>
              </w:rPr>
              <w:t>(101.PRE)</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(101.SCH)</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(101.DEF)</w:t>
            </w:r>
          </w:p>
        </w:tc>
        <w:tc>
          <w:tcPr>
            <w:tcW w:w="9980" w:type="dxa"/>
            <w:vAlign w:val="bottom"/>
            <w:gridSpan w:val="29"/>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rPr>
          <w:sz w:val="20"/>
          <w:szCs w:val="20"/>
          <w:color w:val="auto"/>
        </w:rPr>
      </w:pPr>
      <w:r>
        <w:rPr>
          <w:rFonts w:ascii="Arial" w:cs="Arial" w:eastAsia="Arial" w:hAnsi="Arial"/>
          <w:sz w:val="18"/>
          <w:szCs w:val="18"/>
          <w:color w:val="auto"/>
        </w:rPr>
        <w:t>*  Management compensatory plan or arrangement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August 8, 2019</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380" w:right="440" w:firstLine="9"/>
        <w:spacing w:after="0" w:line="308" w:lineRule="auto"/>
        <w:tabs>
          <w:tab w:leader="none" w:pos="6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80" w:right="180" w:firstLine="9"/>
        <w:spacing w:after="0" w:line="277" w:lineRule="auto"/>
        <w:tabs>
          <w:tab w:leader="none" w:pos="61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0580"/>
          </w:cols>
          <w:pgMar w:left="620" w:top="121" w:right="6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2019 as filed with the Securities and Exchange Commission on the date hereof (the "Report"), I, James V. Continenza, Executive Chairman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V. Continenza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0840"/>
          </w:cols>
          <w:pgMar w:left="240" w:top="337" w:right="8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June 30, 2019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600" w:hanging="236"/>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2019</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lowerRoman"/>
      <w:start w:val="2"/>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lvl w:ilvl="1">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5" Type="http://schemas.openxmlformats.org/officeDocument/2006/relationships/image" Target="media/image87.png"/><Relationship Id="rId94" Type="http://schemas.openxmlformats.org/officeDocument/2006/relationships/hyperlink" Target="http://www.sec.gov/Archives/edgar/data/31235/000119312513354928/d591063dex41.htm" TargetMode="External"/><Relationship Id="rId95" Type="http://schemas.openxmlformats.org/officeDocument/2006/relationships/hyperlink" Target="http://www.sec.gov/Archives/edgar/data/31235/000156459016029358/kodk-ex31_26.htm" TargetMode="External"/><Relationship Id="rId96" Type="http://schemas.openxmlformats.org/officeDocument/2006/relationships/hyperlink" Target="http://www.sec.gov/Archives/edgar/data/31235/000156459017011692/kodk-ex31_6.htm" TargetMode="External"/><Relationship Id="rId97" Type="http://schemas.openxmlformats.org/officeDocument/2006/relationships/hyperlink" Target="http://www.sec.gov/Archives/edgar/data/31235/000119312519157203/d753287dex41.htm" TargetMode="External"/><Relationship Id="rId98" Type="http://schemas.openxmlformats.org/officeDocument/2006/relationships/hyperlink" Target="http://www.sec.gov/Archives/edgar/data/31235/000119312519157203/d753287dex42.htm" TargetMode="External"/><Relationship Id="rId99" Type="http://schemas.openxmlformats.org/officeDocument/2006/relationships/hyperlink" Target="http://www.sec.gov/Archives/edgar/data/31235/000119312519157203/d753287dex43.htm" TargetMode="External"/><Relationship Id="rId100" Type="http://schemas.openxmlformats.org/officeDocument/2006/relationships/hyperlink" Target="http://www.sec.gov/Archives/edgar/data/31235/000119312519152198/d752945dex101.htm" TargetMode="External"/><Relationship Id="rId101" Type="http://schemas.openxmlformats.org/officeDocument/2006/relationships/hyperlink" Target="http://www.sec.gov/Archives/edgar/data/31235/000156459019010423/kodk-ex1022_17.htm" TargetMode="External"/><Relationship Id="rId102" Type="http://schemas.openxmlformats.org/officeDocument/2006/relationships/hyperlink" Target="http://www.sec.gov/Archives/edgar/data/31235/000119312519152198/d752945dex102.htm" TargetMode="External"/><Relationship Id="rId103" Type="http://schemas.openxmlformats.org/officeDocument/2006/relationships/hyperlink" Target="http://www.sec.gov/Archives/edgar/data/31235/000119312519157203/d753287dex101.htm" TargetMode="External"/><Relationship Id="rId104" Type="http://schemas.openxmlformats.org/officeDocument/2006/relationships/hyperlink" Target="http://www.sec.gov/Archives/edgar/data/0000031235/000119312519157203/d75328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2019-12-28T07:20:54Z</dcterms:created>
  <dcterms:modified xsi:type="dcterms:W3CDTF">2019-12-28T07:20:54Z</dcterms:modified>
</cp:coreProperties>
</file>