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8700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70013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81"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CONTINENZA JAMES V</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440"/>
        <w:spacing w:after="0" w:line="321" w:lineRule="auto"/>
        <w:rPr>
          <w:sz w:val="20"/>
          <w:szCs w:val="20"/>
          <w:color w:val="auto"/>
        </w:rPr>
      </w:pPr>
      <w:r>
        <w:rPr>
          <w:rFonts w:ascii="Times New Roman" w:cs="Times New Roman" w:eastAsia="Times New Roman" w:hAnsi="Times New Roman"/>
          <w:sz w:val="17"/>
          <w:szCs w:val="17"/>
          <w:color w:val="0000FF"/>
        </w:rPr>
        <w:t>C/O EASTMAN KODAK COMPANY 343 STATE STREET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23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EASTMAN KODAK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KODK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08/14/2025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584"/>
        <w:spacing w:after="0"/>
        <w:rPr>
          <w:sz w:val="20"/>
          <w:szCs w:val="20"/>
          <w:color w:val="auto"/>
        </w:rPr>
      </w:pPr>
      <w:r>
        <w:rPr>
          <w:rFonts w:ascii="Times New Roman" w:cs="Times New Roman" w:eastAsia="Times New Roman" w:hAnsi="Times New Roman"/>
          <w:sz w:val="17"/>
          <w:szCs w:val="17"/>
          <w:color w:val="0000FF"/>
        </w:rPr>
        <w:t>Executive Chairman and CEO</w:t>
      </w:r>
    </w:p>
    <w:p>
      <w:pPr>
        <w:spacing w:after="0" w:line="405" w:lineRule="exact"/>
        <w:rPr>
          <w:sz w:val="24"/>
          <w:szCs w:val="24"/>
          <w:color w:val="auto"/>
        </w:rPr>
      </w:pPr>
    </w:p>
    <w:p>
      <w:pPr>
        <w:sectPr>
          <w:pgSz w:w="11900" w:h="16838" w:orient="portrait"/>
          <w:cols w:equalWidth="0" w:num="3">
            <w:col w:w="3180" w:space="720"/>
            <w:col w:w="3116" w:space="720"/>
            <w:col w:w="3344"/>
          </w:cols>
          <w:pgMar w:left="460" w:top="216" w:right="359" w:bottom="181"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ROCHESTER</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14650</w:t>
            </w:r>
          </w:p>
        </w:tc>
      </w:tr>
      <w:tr>
        <w:trPr>
          <w:trHeight w:val="147"/>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760" w:space="140"/>
            <w:col w:w="7180"/>
          </w:cols>
          <w:pgMar w:left="460" w:top="216" w:right="359" w:bottom="18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jc w:val="right"/>
              <w:ind w:right="245"/>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3"/>
                <w:szCs w:val="13"/>
                <w:color w:val="auto"/>
              </w:rPr>
            </w:pPr>
          </w:p>
        </w:tc>
        <w:tc>
          <w:tcPr>
            <w:tcW w:w="1920" w:type="dxa"/>
            <w:vAlign w:val="bottom"/>
            <w:gridSpan w:val="6"/>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6"/>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jc w:val="right"/>
              <w:ind w:right="245"/>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w w:val="96"/>
              </w:rPr>
              <w:t>Amount</w:t>
            </w:r>
          </w:p>
        </w:tc>
        <w:tc>
          <w:tcPr>
            <w:tcW w:w="820" w:type="dxa"/>
            <w:vAlign w:val="bottom"/>
            <w:gridSpan w:val="3"/>
          </w:tcPr>
          <w:p>
            <w:pPr>
              <w:ind w:left="38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$.01</w:t>
            </w: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08/14/2025</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right"/>
              <w:ind w:right="145"/>
              <w:spacing w:after="0"/>
              <w:rPr>
                <w:sz w:val="20"/>
                <w:szCs w:val="20"/>
                <w:color w:val="auto"/>
              </w:rPr>
            </w:pPr>
            <w:r>
              <w:rPr>
                <w:rFonts w:ascii="Times New Roman" w:cs="Times New Roman" w:eastAsia="Times New Roman" w:hAnsi="Times New Roman"/>
                <w:sz w:val="13"/>
                <w:szCs w:val="13"/>
                <w:color w:val="0000FF"/>
              </w:rPr>
              <w:t>P</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right"/>
              <w:ind w:right="297"/>
              <w:spacing w:after="0"/>
              <w:rPr>
                <w:sz w:val="20"/>
                <w:szCs w:val="20"/>
                <w:color w:val="auto"/>
              </w:rPr>
            </w:pPr>
            <w:r>
              <w:rPr>
                <w:rFonts w:ascii="Times New Roman" w:cs="Times New Roman" w:eastAsia="Times New Roman" w:hAnsi="Times New Roman"/>
                <w:sz w:val="17"/>
                <w:szCs w:val="17"/>
                <w:color w:val="0000FF"/>
              </w:rPr>
              <w:t>50,000</w:t>
            </w:r>
          </w:p>
        </w:tc>
        <w:tc>
          <w:tcPr>
            <w:tcW w:w="1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5.74</w:t>
            </w:r>
            <w:r>
              <w:rPr>
                <w:rFonts w:ascii="Times New Roman" w:cs="Times New Roman" w:eastAsia="Times New Roman" w:hAnsi="Times New Roman"/>
                <w:sz w:val="21"/>
                <w:szCs w:val="21"/>
                <w:color w:val="008000"/>
                <w:w w:val="89"/>
                <w:vertAlign w:val="superscript"/>
              </w:rPr>
              <w:t>(1)</w:t>
            </w: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1,902,011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5"/>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5"/>
          </w:tcPr>
          <w:p>
            <w:pPr>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1"/>
                <w:szCs w:val="11"/>
                <w:color w:val="auto"/>
              </w:rPr>
            </w:pPr>
          </w:p>
        </w:tc>
        <w:tc>
          <w:tcPr>
            <w:tcW w:w="1400" w:type="dxa"/>
            <w:vAlign w:val="bottom"/>
            <w:gridSpan w:val="5"/>
          </w:tcPr>
          <w:p>
            <w:pPr>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11"/>
                <w:szCs w:val="11"/>
                <w:color w:val="auto"/>
              </w:rPr>
            </w:pPr>
          </w:p>
        </w:tc>
        <w:tc>
          <w:tcPr>
            <w:tcW w:w="1400" w:type="dxa"/>
            <w:vAlign w:val="bottom"/>
            <w:gridSpan w:val="5"/>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Acquired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Disposed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(Instr. 3, 4</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4"/>
          </w:tcPr>
          <w:p>
            <w:pPr>
              <w:ind w:left="12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w w:val="92"/>
              </w:rPr>
              <w:t>Date</w:t>
            </w:r>
          </w:p>
        </w:tc>
        <w:tc>
          <w:tcPr>
            <w:tcW w:w="44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900" w:type="dxa"/>
            <w:vAlign w:val="bottom"/>
            <w:gridSpan w:val="4"/>
          </w:tcPr>
          <w:p>
            <w:pPr>
              <w:ind w:left="12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900" w:type="dxa"/>
            <w:vAlign w:val="bottom"/>
            <w:gridSpan w:val="4"/>
          </w:tcPr>
          <w:p>
            <w:pPr>
              <w:ind w:left="1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3"/>
                <w:szCs w:val="13"/>
                <w:color w:val="0000FF"/>
                <w:w w:val="99"/>
              </w:rPr>
              <w:t>Common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restart"/>
          </w:tcPr>
          <w:p>
            <w:pPr>
              <w:jc w:val="center"/>
              <w:spacing w:after="0" w:line="204" w:lineRule="exact"/>
              <w:rPr>
                <w:sz w:val="20"/>
                <w:szCs w:val="20"/>
                <w:color w:val="auto"/>
              </w:rPr>
            </w:pPr>
            <w:r>
              <w:rPr>
                <w:rFonts w:ascii="Arial" w:cs="Arial" w:eastAsia="Arial" w:hAnsi="Arial"/>
                <w:sz w:val="20"/>
                <w:szCs w:val="20"/>
                <w:color w:val="000000"/>
                <w:w w:val="97"/>
                <w:vertAlign w:val="subscript"/>
              </w:rPr>
              <w:t>$</w:t>
            </w:r>
            <w:r>
              <w:rPr>
                <w:rFonts w:ascii="Times New Roman" w:cs="Times New Roman" w:eastAsia="Times New Roman" w:hAnsi="Times New Roman"/>
                <w:sz w:val="23"/>
                <w:szCs w:val="23"/>
                <w:color w:val="0000FF"/>
                <w:w w:val="97"/>
                <w:vertAlign w:val="subscript"/>
              </w:rPr>
              <w:t>0</w:t>
            </w:r>
            <w:r>
              <w:rPr>
                <w:rFonts w:ascii="Times New Roman" w:cs="Times New Roman" w:eastAsia="Times New Roman" w:hAnsi="Times New Roman"/>
                <w:sz w:val="10"/>
                <w:szCs w:val="10"/>
                <w:color w:val="008000"/>
                <w:w w:val="97"/>
              </w:rPr>
              <w:t>(2)</w:t>
            </w: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vMerge w:val="restart"/>
          </w:tcPr>
          <w:p>
            <w:pPr>
              <w:jc w:val="right"/>
              <w:ind w:right="245"/>
              <w:spacing w:after="0"/>
              <w:rPr>
                <w:sz w:val="20"/>
                <w:szCs w:val="20"/>
                <w:color w:val="auto"/>
              </w:rPr>
            </w:pPr>
            <w:r>
              <w:rPr>
                <w:rFonts w:ascii="Times New Roman" w:cs="Times New Roman" w:eastAsia="Times New Roman" w:hAnsi="Times New Roman"/>
                <w:sz w:val="11"/>
                <w:szCs w:val="11"/>
                <w:color w:val="008000"/>
                <w:w w:val="93"/>
              </w:rPr>
              <w:t>(2)</w:t>
            </w:r>
          </w:p>
        </w:tc>
        <w:tc>
          <w:tcPr>
            <w:tcW w:w="280" w:type="dxa"/>
            <w:vAlign w:val="bottom"/>
          </w:tcPr>
          <w:p>
            <w:pPr>
              <w:spacing w:after="0"/>
              <w:rPr>
                <w:sz w:val="5"/>
                <w:szCs w:val="5"/>
                <w:color w:val="auto"/>
              </w:rPr>
            </w:pPr>
          </w:p>
        </w:tc>
        <w:tc>
          <w:tcPr>
            <w:tcW w:w="520" w:type="dxa"/>
            <w:vAlign w:val="bottom"/>
            <w:vMerge w:val="restart"/>
          </w:tcPr>
          <w:p>
            <w:pPr>
              <w:jc w:val="center"/>
              <w:ind w:right="262"/>
              <w:spacing w:after="0"/>
              <w:rPr>
                <w:sz w:val="20"/>
                <w:szCs w:val="20"/>
                <w:color w:val="auto"/>
              </w:rPr>
            </w:pPr>
            <w:r>
              <w:rPr>
                <w:rFonts w:ascii="Times New Roman" w:cs="Times New Roman" w:eastAsia="Times New Roman" w:hAnsi="Times New Roman"/>
                <w:sz w:val="11"/>
                <w:szCs w:val="11"/>
                <w:color w:val="008000"/>
                <w:w w:val="93"/>
              </w:rPr>
              <w:t>(2)</w:t>
            </w:r>
          </w:p>
        </w:tc>
        <w:tc>
          <w:tcPr>
            <w:tcW w:w="50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160" w:type="dxa"/>
            <w:vAlign w:val="bottom"/>
          </w:tcPr>
          <w:p>
            <w:pPr>
              <w:spacing w:after="0"/>
              <w:rPr>
                <w:sz w:val="5"/>
                <w:szCs w:val="5"/>
                <w:color w:val="auto"/>
              </w:rPr>
            </w:pPr>
          </w:p>
        </w:tc>
        <w:tc>
          <w:tcPr>
            <w:tcW w:w="68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w w:val="97"/>
              </w:rPr>
              <w:t>100,000</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100,000</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0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par value</w:t>
            </w:r>
          </w:p>
        </w:tc>
        <w:tc>
          <w:tcPr>
            <w:tcW w:w="1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restart"/>
          </w:tcPr>
          <w:p>
            <w:pPr>
              <w:jc w:val="center"/>
              <w:spacing w:after="0" w:line="204" w:lineRule="exact"/>
              <w:rPr>
                <w:sz w:val="20"/>
                <w:szCs w:val="20"/>
                <w:color w:val="auto"/>
              </w:rPr>
            </w:pPr>
            <w:r>
              <w:rPr>
                <w:rFonts w:ascii="Arial" w:cs="Arial" w:eastAsia="Arial" w:hAnsi="Arial"/>
                <w:sz w:val="20"/>
                <w:szCs w:val="20"/>
                <w:color w:val="000000"/>
                <w:w w:val="97"/>
                <w:vertAlign w:val="subscript"/>
              </w:rPr>
              <w:t>$</w:t>
            </w:r>
            <w:r>
              <w:rPr>
                <w:rFonts w:ascii="Times New Roman" w:cs="Times New Roman" w:eastAsia="Times New Roman" w:hAnsi="Times New Roman"/>
                <w:sz w:val="23"/>
                <w:szCs w:val="23"/>
                <w:color w:val="0000FF"/>
                <w:w w:val="97"/>
                <w:vertAlign w:val="subscript"/>
              </w:rPr>
              <w:t>0</w:t>
            </w:r>
            <w:r>
              <w:rPr>
                <w:rFonts w:ascii="Times New Roman" w:cs="Times New Roman" w:eastAsia="Times New Roman" w:hAnsi="Times New Roman"/>
                <w:sz w:val="10"/>
                <w:szCs w:val="10"/>
                <w:color w:val="008000"/>
                <w:w w:val="97"/>
              </w:rPr>
              <w:t>(3)</w:t>
            </w: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vMerge w:val="restart"/>
          </w:tcPr>
          <w:p>
            <w:pPr>
              <w:jc w:val="right"/>
              <w:ind w:right="245"/>
              <w:spacing w:after="0"/>
              <w:rPr>
                <w:sz w:val="20"/>
                <w:szCs w:val="20"/>
                <w:color w:val="auto"/>
              </w:rPr>
            </w:pPr>
            <w:r>
              <w:rPr>
                <w:rFonts w:ascii="Times New Roman" w:cs="Times New Roman" w:eastAsia="Times New Roman" w:hAnsi="Times New Roman"/>
                <w:sz w:val="11"/>
                <w:szCs w:val="11"/>
                <w:color w:val="008000"/>
                <w:w w:val="93"/>
              </w:rPr>
              <w:t>(3)</w:t>
            </w:r>
          </w:p>
        </w:tc>
        <w:tc>
          <w:tcPr>
            <w:tcW w:w="280" w:type="dxa"/>
            <w:vAlign w:val="bottom"/>
          </w:tcPr>
          <w:p>
            <w:pPr>
              <w:spacing w:after="0"/>
              <w:rPr>
                <w:sz w:val="5"/>
                <w:szCs w:val="5"/>
                <w:color w:val="auto"/>
              </w:rPr>
            </w:pPr>
          </w:p>
        </w:tc>
        <w:tc>
          <w:tcPr>
            <w:tcW w:w="520" w:type="dxa"/>
            <w:vAlign w:val="bottom"/>
            <w:vMerge w:val="restart"/>
          </w:tcPr>
          <w:p>
            <w:pPr>
              <w:jc w:val="center"/>
              <w:ind w:right="262"/>
              <w:spacing w:after="0"/>
              <w:rPr>
                <w:sz w:val="20"/>
                <w:szCs w:val="20"/>
                <w:color w:val="auto"/>
              </w:rPr>
            </w:pPr>
            <w:r>
              <w:rPr>
                <w:rFonts w:ascii="Times New Roman" w:cs="Times New Roman" w:eastAsia="Times New Roman" w:hAnsi="Times New Roman"/>
                <w:sz w:val="11"/>
                <w:szCs w:val="11"/>
                <w:color w:val="008000"/>
                <w:w w:val="93"/>
              </w:rPr>
              <w:t>(3)</w:t>
            </w:r>
          </w:p>
        </w:tc>
        <w:tc>
          <w:tcPr>
            <w:tcW w:w="50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160" w:type="dxa"/>
            <w:vAlign w:val="bottom"/>
          </w:tcPr>
          <w:p>
            <w:pPr>
              <w:spacing w:after="0"/>
              <w:rPr>
                <w:sz w:val="5"/>
                <w:szCs w:val="5"/>
                <w:color w:val="auto"/>
              </w:rPr>
            </w:pPr>
          </w:p>
        </w:tc>
        <w:tc>
          <w:tcPr>
            <w:tcW w:w="68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w w:val="97"/>
              </w:rPr>
              <w:t>172,414</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172,414</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0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par value</w:t>
            </w:r>
          </w:p>
        </w:tc>
        <w:tc>
          <w:tcPr>
            <w:tcW w:w="1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restart"/>
          </w:tcPr>
          <w:p>
            <w:pPr>
              <w:jc w:val="center"/>
              <w:spacing w:after="0" w:line="204" w:lineRule="exact"/>
              <w:rPr>
                <w:sz w:val="20"/>
                <w:szCs w:val="20"/>
                <w:color w:val="auto"/>
              </w:rPr>
            </w:pPr>
            <w:r>
              <w:rPr>
                <w:rFonts w:ascii="Arial" w:cs="Arial" w:eastAsia="Arial" w:hAnsi="Arial"/>
                <w:sz w:val="20"/>
                <w:szCs w:val="20"/>
                <w:color w:val="000000"/>
                <w:w w:val="97"/>
                <w:vertAlign w:val="subscript"/>
              </w:rPr>
              <w:t>$</w:t>
            </w:r>
            <w:r>
              <w:rPr>
                <w:rFonts w:ascii="Times New Roman" w:cs="Times New Roman" w:eastAsia="Times New Roman" w:hAnsi="Times New Roman"/>
                <w:sz w:val="23"/>
                <w:szCs w:val="23"/>
                <w:color w:val="0000FF"/>
                <w:w w:val="97"/>
                <w:vertAlign w:val="subscript"/>
              </w:rPr>
              <w:t>0</w:t>
            </w:r>
            <w:r>
              <w:rPr>
                <w:rFonts w:ascii="Times New Roman" w:cs="Times New Roman" w:eastAsia="Times New Roman" w:hAnsi="Times New Roman"/>
                <w:sz w:val="10"/>
                <w:szCs w:val="10"/>
                <w:color w:val="008000"/>
                <w:w w:val="97"/>
              </w:rPr>
              <w:t>(4)</w:t>
            </w: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vMerge w:val="restart"/>
          </w:tcPr>
          <w:p>
            <w:pPr>
              <w:jc w:val="right"/>
              <w:ind w:right="245"/>
              <w:spacing w:after="0"/>
              <w:rPr>
                <w:sz w:val="20"/>
                <w:szCs w:val="20"/>
                <w:color w:val="auto"/>
              </w:rPr>
            </w:pPr>
            <w:r>
              <w:rPr>
                <w:rFonts w:ascii="Times New Roman" w:cs="Times New Roman" w:eastAsia="Times New Roman" w:hAnsi="Times New Roman"/>
                <w:sz w:val="11"/>
                <w:szCs w:val="11"/>
                <w:color w:val="008000"/>
                <w:w w:val="93"/>
              </w:rPr>
              <w:t>(4)</w:t>
            </w:r>
          </w:p>
        </w:tc>
        <w:tc>
          <w:tcPr>
            <w:tcW w:w="280" w:type="dxa"/>
            <w:vAlign w:val="bottom"/>
          </w:tcPr>
          <w:p>
            <w:pPr>
              <w:spacing w:after="0"/>
              <w:rPr>
                <w:sz w:val="5"/>
                <w:szCs w:val="5"/>
                <w:color w:val="auto"/>
              </w:rPr>
            </w:pPr>
          </w:p>
        </w:tc>
        <w:tc>
          <w:tcPr>
            <w:tcW w:w="520" w:type="dxa"/>
            <w:vAlign w:val="bottom"/>
            <w:vMerge w:val="restart"/>
          </w:tcPr>
          <w:p>
            <w:pPr>
              <w:jc w:val="center"/>
              <w:ind w:right="262"/>
              <w:spacing w:after="0"/>
              <w:rPr>
                <w:sz w:val="20"/>
                <w:szCs w:val="20"/>
                <w:color w:val="auto"/>
              </w:rPr>
            </w:pPr>
            <w:r>
              <w:rPr>
                <w:rFonts w:ascii="Times New Roman" w:cs="Times New Roman" w:eastAsia="Times New Roman" w:hAnsi="Times New Roman"/>
                <w:sz w:val="11"/>
                <w:szCs w:val="11"/>
                <w:color w:val="008000"/>
                <w:w w:val="93"/>
              </w:rPr>
              <w:t>(4)</w:t>
            </w:r>
          </w:p>
        </w:tc>
        <w:tc>
          <w:tcPr>
            <w:tcW w:w="50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160" w:type="dxa"/>
            <w:vAlign w:val="bottom"/>
          </w:tcPr>
          <w:p>
            <w:pPr>
              <w:spacing w:after="0"/>
              <w:rPr>
                <w:sz w:val="5"/>
                <w:szCs w:val="5"/>
                <w:color w:val="auto"/>
              </w:rPr>
            </w:pPr>
          </w:p>
        </w:tc>
        <w:tc>
          <w:tcPr>
            <w:tcW w:w="68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w w:val="97"/>
              </w:rPr>
              <w:t>392,671</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392,671</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0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par value</w:t>
            </w:r>
          </w:p>
        </w:tc>
        <w:tc>
          <w:tcPr>
            <w:tcW w:w="1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Phantom</w:t>
            </w:r>
          </w:p>
        </w:tc>
        <w:tc>
          <w:tcPr>
            <w:tcW w:w="760" w:type="dxa"/>
            <w:vAlign w:val="bottom"/>
            <w:vMerge w:val="restart"/>
          </w:tcPr>
          <w:p>
            <w:pPr>
              <w:jc w:val="center"/>
              <w:spacing w:after="0" w:line="268" w:lineRule="exact"/>
              <w:rPr>
                <w:sz w:val="20"/>
                <w:szCs w:val="20"/>
                <w:color w:val="auto"/>
              </w:rPr>
            </w:pPr>
            <w:r>
              <w:rPr>
                <w:rFonts w:ascii="Arial" w:cs="Arial" w:eastAsia="Arial" w:hAnsi="Arial"/>
                <w:sz w:val="22"/>
                <w:szCs w:val="22"/>
                <w:color w:val="000000"/>
                <w:w w:val="88"/>
                <w:vertAlign w:val="subscript"/>
              </w:rPr>
              <w:t>$</w:t>
            </w:r>
            <w:r>
              <w:rPr>
                <w:rFonts w:ascii="Times New Roman" w:cs="Times New Roman" w:eastAsia="Times New Roman" w:hAnsi="Times New Roman"/>
                <w:sz w:val="25"/>
                <w:szCs w:val="25"/>
                <w:color w:val="0000FF"/>
                <w:w w:val="88"/>
                <w:vertAlign w:val="subscript"/>
              </w:rPr>
              <w:t>0</w:t>
            </w:r>
            <w:r>
              <w:rPr>
                <w:rFonts w:ascii="Times New Roman" w:cs="Times New Roman" w:eastAsia="Times New Roman" w:hAnsi="Times New Roman"/>
                <w:sz w:val="11"/>
                <w:szCs w:val="11"/>
                <w:color w:val="008000"/>
                <w:w w:val="88"/>
              </w:rPr>
              <w:t>(5)</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vMerge w:val="restart"/>
          </w:tcPr>
          <w:p>
            <w:pPr>
              <w:jc w:val="right"/>
              <w:ind w:right="245"/>
              <w:spacing w:after="0"/>
              <w:rPr>
                <w:sz w:val="20"/>
                <w:szCs w:val="20"/>
                <w:color w:val="auto"/>
              </w:rPr>
            </w:pPr>
            <w:r>
              <w:rPr>
                <w:rFonts w:ascii="Times New Roman" w:cs="Times New Roman" w:eastAsia="Times New Roman" w:hAnsi="Times New Roman"/>
                <w:sz w:val="11"/>
                <w:szCs w:val="11"/>
                <w:color w:val="008000"/>
                <w:w w:val="93"/>
              </w:rPr>
              <w:t>(5)</w:t>
            </w:r>
          </w:p>
        </w:tc>
        <w:tc>
          <w:tcPr>
            <w:tcW w:w="280" w:type="dxa"/>
            <w:vAlign w:val="bottom"/>
          </w:tcPr>
          <w:p>
            <w:pPr>
              <w:spacing w:after="0"/>
              <w:rPr>
                <w:sz w:val="12"/>
                <w:szCs w:val="12"/>
                <w:color w:val="auto"/>
              </w:rPr>
            </w:pPr>
          </w:p>
        </w:tc>
        <w:tc>
          <w:tcPr>
            <w:tcW w:w="520" w:type="dxa"/>
            <w:vAlign w:val="bottom"/>
            <w:vMerge w:val="restart"/>
          </w:tcPr>
          <w:p>
            <w:pPr>
              <w:jc w:val="center"/>
              <w:ind w:right="262"/>
              <w:spacing w:after="0"/>
              <w:rPr>
                <w:sz w:val="20"/>
                <w:szCs w:val="20"/>
                <w:color w:val="auto"/>
              </w:rPr>
            </w:pPr>
            <w:r>
              <w:rPr>
                <w:rFonts w:ascii="Times New Roman" w:cs="Times New Roman" w:eastAsia="Times New Roman" w:hAnsi="Times New Roman"/>
                <w:sz w:val="11"/>
                <w:szCs w:val="11"/>
                <w:color w:val="008000"/>
                <w:w w:val="93"/>
              </w:rPr>
              <w:t>(5)</w:t>
            </w:r>
          </w:p>
        </w:tc>
        <w:tc>
          <w:tcPr>
            <w:tcW w:w="50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160" w:type="dxa"/>
            <w:vAlign w:val="bottom"/>
          </w:tcPr>
          <w:p>
            <w:pPr>
              <w:spacing w:after="0"/>
              <w:rPr>
                <w:sz w:val="12"/>
                <w:szCs w:val="12"/>
                <w:color w:val="auto"/>
              </w:rPr>
            </w:pPr>
          </w:p>
        </w:tc>
        <w:tc>
          <w:tcPr>
            <w:tcW w:w="68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w w:val="97"/>
              </w:rPr>
              <w:t>241,589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241,589</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50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par value</w:t>
            </w:r>
          </w:p>
        </w:tc>
        <w:tc>
          <w:tcPr>
            <w:tcW w:w="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3.03</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vMerge w:val="restart"/>
          </w:tcPr>
          <w:p>
            <w:pPr>
              <w:jc w:val="right"/>
              <w:ind w:right="245"/>
              <w:spacing w:after="0"/>
              <w:rPr>
                <w:sz w:val="20"/>
                <w:szCs w:val="20"/>
                <w:color w:val="auto"/>
              </w:rPr>
            </w:pPr>
            <w:r>
              <w:rPr>
                <w:rFonts w:ascii="Times New Roman" w:cs="Times New Roman" w:eastAsia="Times New Roman" w:hAnsi="Times New Roman"/>
                <w:sz w:val="11"/>
                <w:szCs w:val="11"/>
                <w:color w:val="008000"/>
                <w:w w:val="93"/>
              </w:rPr>
              <w:t>(6)</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02/19/2026</w:t>
            </w:r>
          </w:p>
        </w:tc>
        <w:tc>
          <w:tcPr>
            <w:tcW w:w="50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160" w:type="dxa"/>
            <w:vAlign w:val="bottom"/>
          </w:tcPr>
          <w:p>
            <w:pPr>
              <w:spacing w:after="0"/>
              <w:rPr>
                <w:sz w:val="12"/>
                <w:szCs w:val="12"/>
                <w:color w:val="auto"/>
              </w:rPr>
            </w:pPr>
          </w:p>
        </w:tc>
        <w:tc>
          <w:tcPr>
            <w:tcW w:w="68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w w:val="97"/>
              </w:rPr>
              <w:t>981,707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981,707</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0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par value</w:t>
            </w:r>
          </w:p>
        </w:tc>
        <w:tc>
          <w:tcPr>
            <w:tcW w:w="1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4.53</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vMerge w:val="restart"/>
          </w:tcPr>
          <w:p>
            <w:pPr>
              <w:jc w:val="right"/>
              <w:ind w:right="245"/>
              <w:spacing w:after="0"/>
              <w:rPr>
                <w:sz w:val="20"/>
                <w:szCs w:val="20"/>
                <w:color w:val="auto"/>
              </w:rPr>
            </w:pPr>
            <w:r>
              <w:rPr>
                <w:rFonts w:ascii="Times New Roman" w:cs="Times New Roman" w:eastAsia="Times New Roman" w:hAnsi="Times New Roman"/>
                <w:sz w:val="11"/>
                <w:szCs w:val="11"/>
                <w:color w:val="008000"/>
                <w:w w:val="93"/>
              </w:rPr>
              <w:t>(6)</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02/19/2029</w:t>
            </w:r>
          </w:p>
        </w:tc>
        <w:tc>
          <w:tcPr>
            <w:tcW w:w="50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160" w:type="dxa"/>
            <w:vAlign w:val="bottom"/>
          </w:tcPr>
          <w:p>
            <w:pPr>
              <w:spacing w:after="0"/>
              <w:rPr>
                <w:sz w:val="12"/>
                <w:szCs w:val="12"/>
                <w:color w:val="auto"/>
              </w:rPr>
            </w:pPr>
          </w:p>
        </w:tc>
        <w:tc>
          <w:tcPr>
            <w:tcW w:w="68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w w:val="97"/>
              </w:rPr>
              <w:t>298,780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298,780</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0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par value</w:t>
            </w:r>
          </w:p>
        </w:tc>
        <w:tc>
          <w:tcPr>
            <w:tcW w:w="1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6.03</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vMerge w:val="restart"/>
          </w:tcPr>
          <w:p>
            <w:pPr>
              <w:jc w:val="right"/>
              <w:ind w:right="245"/>
              <w:spacing w:after="0"/>
              <w:rPr>
                <w:sz w:val="20"/>
                <w:szCs w:val="20"/>
                <w:color w:val="auto"/>
              </w:rPr>
            </w:pPr>
            <w:r>
              <w:rPr>
                <w:rFonts w:ascii="Times New Roman" w:cs="Times New Roman" w:eastAsia="Times New Roman" w:hAnsi="Times New Roman"/>
                <w:sz w:val="11"/>
                <w:szCs w:val="11"/>
                <w:color w:val="008000"/>
                <w:w w:val="93"/>
              </w:rPr>
              <w:t>(6)</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02/19/2029</w:t>
            </w:r>
          </w:p>
        </w:tc>
        <w:tc>
          <w:tcPr>
            <w:tcW w:w="50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160" w:type="dxa"/>
            <w:vAlign w:val="bottom"/>
          </w:tcPr>
          <w:p>
            <w:pPr>
              <w:spacing w:after="0"/>
              <w:rPr>
                <w:sz w:val="12"/>
                <w:szCs w:val="12"/>
                <w:color w:val="auto"/>
              </w:rPr>
            </w:pPr>
          </w:p>
        </w:tc>
        <w:tc>
          <w:tcPr>
            <w:tcW w:w="68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w w:val="97"/>
              </w:rPr>
              <w:t>298,780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298,780</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0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par value</w:t>
            </w:r>
          </w:p>
        </w:tc>
        <w:tc>
          <w:tcPr>
            <w:tcW w:w="1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9"/>
              </w:rPr>
              <w:t>$</w:t>
            </w:r>
            <w:r>
              <w:rPr>
                <w:rFonts w:ascii="Times New Roman" w:cs="Times New Roman" w:eastAsia="Times New Roman" w:hAnsi="Times New Roman"/>
                <w:sz w:val="12"/>
                <w:szCs w:val="12"/>
                <w:color w:val="0000FF"/>
                <w:w w:val="99"/>
              </w:rPr>
              <w:t>12</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vMerge w:val="restart"/>
          </w:tcPr>
          <w:p>
            <w:pPr>
              <w:jc w:val="right"/>
              <w:ind w:right="245"/>
              <w:spacing w:after="0"/>
              <w:rPr>
                <w:sz w:val="20"/>
                <w:szCs w:val="20"/>
                <w:color w:val="auto"/>
              </w:rPr>
            </w:pPr>
            <w:r>
              <w:rPr>
                <w:rFonts w:ascii="Times New Roman" w:cs="Times New Roman" w:eastAsia="Times New Roman" w:hAnsi="Times New Roman"/>
                <w:sz w:val="11"/>
                <w:szCs w:val="11"/>
                <w:color w:val="008000"/>
                <w:w w:val="93"/>
              </w:rPr>
              <w:t>(6)</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02/19/2029</w:t>
            </w:r>
          </w:p>
        </w:tc>
        <w:tc>
          <w:tcPr>
            <w:tcW w:w="50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160" w:type="dxa"/>
            <w:vAlign w:val="bottom"/>
          </w:tcPr>
          <w:p>
            <w:pPr>
              <w:spacing w:after="0"/>
              <w:rPr>
                <w:sz w:val="12"/>
                <w:szCs w:val="12"/>
                <w:color w:val="auto"/>
              </w:rPr>
            </w:pPr>
          </w:p>
        </w:tc>
        <w:tc>
          <w:tcPr>
            <w:tcW w:w="68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w w:val="97"/>
              </w:rPr>
              <w:t>170,733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170,733</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0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par value</w:t>
            </w:r>
          </w:p>
        </w:tc>
        <w:tc>
          <w:tcPr>
            <w:tcW w:w="1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3.03</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008000"/>
                <w:w w:val="93"/>
              </w:rPr>
              <w:t>(6)</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02/19/2026</w:t>
            </w:r>
          </w:p>
        </w:tc>
        <w:tc>
          <w:tcPr>
            <w:tcW w:w="50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1,150,000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1,150,000</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0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par value</w:t>
            </w:r>
          </w:p>
        </w:tc>
        <w:tc>
          <w:tcPr>
            <w:tcW w:w="8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-5498465</wp:posOffset>
            </wp:positionV>
            <wp:extent cx="29210" cy="5896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5896610"/>
                    </a:xfrm>
                    <a:prstGeom prst="rect">
                      <a:avLst/>
                    </a:prstGeom>
                    <a:noFill/>
                  </pic:spPr>
                </pic:pic>
              </a:graphicData>
            </a:graphic>
          </wp:anchor>
        </w:drawing>
      </w:r>
    </w:p>
    <w:p>
      <w:pPr>
        <w:sectPr>
          <w:pgSz w:w="11900" w:h="16838" w:orient="portrait"/>
          <w:cols w:equalWidth="0" w:num="1">
            <w:col w:w="11080"/>
          </w:cols>
          <w:pgMar w:left="460" w:top="216" w:right="359" w:bottom="181"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2873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7230" cy="2873375"/>
                    </a:xfrm>
                    <a:prstGeom prst="rect">
                      <a:avLst/>
                    </a:prstGeom>
                    <a:noFill/>
                  </pic:spPr>
                </pic:pic>
              </a:graphicData>
            </a:graphic>
          </wp:anchor>
        </w:drawing>
        <w:t>Table II - Derivative Securities Acquired, Disposed of, or Beneficially Owned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4.53</w:t>
            </w: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02/19/2029</w:t>
            </w: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350,000</w:t>
            </w:r>
          </w:p>
        </w:tc>
        <w:tc>
          <w:tcPr>
            <w:tcW w:w="680" w:type="dxa"/>
            <w:vAlign w:val="bottom"/>
          </w:tcPr>
          <w:p>
            <w:pPr>
              <w:spacing w:after="0"/>
              <w:rPr>
                <w:sz w:val="12"/>
                <w:szCs w:val="12"/>
                <w:color w:val="auto"/>
              </w:rPr>
            </w:pP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350,000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7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6.03</w:t>
            </w: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02/19/2029</w:t>
            </w: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350,000</w:t>
            </w:r>
          </w:p>
        </w:tc>
        <w:tc>
          <w:tcPr>
            <w:tcW w:w="680" w:type="dxa"/>
            <w:vAlign w:val="bottom"/>
          </w:tcPr>
          <w:p>
            <w:pPr>
              <w:spacing w:after="0"/>
              <w:rPr>
                <w:sz w:val="12"/>
                <w:szCs w:val="12"/>
                <w:color w:val="auto"/>
              </w:rPr>
            </w:pP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350,000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7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9"/>
              </w:rPr>
              <w:t>$</w:t>
            </w:r>
            <w:r>
              <w:rPr>
                <w:rFonts w:ascii="Times New Roman" w:cs="Times New Roman" w:eastAsia="Times New Roman" w:hAnsi="Times New Roman"/>
                <w:sz w:val="12"/>
                <w:szCs w:val="12"/>
                <w:color w:val="0000FF"/>
                <w:w w:val="99"/>
              </w:rPr>
              <w:t>12</w:t>
            </w: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02/19/2029</w:t>
            </w: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200,000</w:t>
            </w:r>
          </w:p>
        </w:tc>
        <w:tc>
          <w:tcPr>
            <w:tcW w:w="680" w:type="dxa"/>
            <w:vAlign w:val="bottom"/>
          </w:tcPr>
          <w:p>
            <w:pPr>
              <w:spacing w:after="0"/>
              <w:rPr>
                <w:sz w:val="12"/>
                <w:szCs w:val="12"/>
                <w:color w:val="auto"/>
              </w:rPr>
            </w:pP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200,000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7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6"/>
              </w:rPr>
              <w:t>$.01</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20" w:right="240"/>
        <w:spacing w:after="0" w:line="238"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at prices ranging from $5.565 to $5.92, inclusive. Mr. Continenza undertakes to provide Eastman Kodak Company (the "Company"), any security holder of the Company or the staff of the Securities and Exchange Commission, upon request, full information regarding the number of shares purchased at each separate price within the range set forth in this footnote.</w:t>
      </w:r>
    </w:p>
    <w:p>
      <w:pPr>
        <w:spacing w:after="0" w:line="27"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which convert into common stock on a one-for-one basis, will vest on 2/26/2026.</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which convert into common stock on a one-for-one basis, will vest in substantially equal installments on each of 11/29/2025, 11/29/2026 and 11/29/2027.</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which convert into common stock on a one-for-one basis, will vest in substantially equal installments on each of 11/29/2025 and 11/29/2026.</w:t>
      </w:r>
    </w:p>
    <w:p>
      <w:pPr>
        <w:spacing w:after="0" w:line="41" w:lineRule="exact"/>
        <w:rPr>
          <w:rFonts w:ascii="Times New Roman" w:cs="Times New Roman" w:eastAsia="Times New Roman" w:hAnsi="Times New Roman"/>
          <w:sz w:val="13"/>
          <w:szCs w:val="13"/>
          <w:color w:val="008000"/>
        </w:rPr>
      </w:pPr>
    </w:p>
    <w:p>
      <w:pPr>
        <w:ind w:left="20" w:right="400"/>
        <w:spacing w:after="0" w:line="251"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phantom stock represents a right to receive one share of common stock and becomes payable at the election of Mr. Continenza in the year following the year of his separation from service as a director in either a single lump sum payment or in a maximum of ten annual installments.</w:t>
      </w:r>
    </w:p>
    <w:p>
      <w:pPr>
        <w:spacing w:after="0" w:line="19"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 as of the date of this report.</w:t>
      </w:r>
    </w:p>
    <w:p>
      <w:pPr>
        <w:ind w:left="6580"/>
        <w:spacing w:after="0" w:line="183" w:lineRule="auto"/>
        <w:rPr>
          <w:sz w:val="20"/>
          <w:szCs w:val="20"/>
          <w:color w:val="auto"/>
        </w:rPr>
      </w:pPr>
      <w:r>
        <w:rPr>
          <w:rFonts w:ascii="Times New Roman" w:cs="Times New Roman" w:eastAsia="Times New Roman" w:hAnsi="Times New Roman"/>
          <w:sz w:val="17"/>
          <w:szCs w:val="17"/>
          <w:color w:val="0000FF"/>
        </w:rPr>
        <w:t xml:space="preserve">/s/ Roger W. Byrd, Attorney-in- </w:t>
      </w:r>
      <w:r>
        <w:rPr>
          <w:rFonts w:ascii="Times New Roman" w:cs="Times New Roman" w:eastAsia="Times New Roman" w:hAnsi="Times New Roman"/>
          <w:sz w:val="33"/>
          <w:szCs w:val="33"/>
          <w:color w:val="0000FF"/>
          <w:vertAlign w:val="subscript"/>
        </w:rPr>
        <w:t>08/14/2025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-26670</wp:posOffset>
            </wp:positionV>
            <wp:extent cx="13423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James V. Continenza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-21590</wp:posOffset>
            </wp:positionV>
            <wp:extent cx="1235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35710" cy="8255"/>
                    </a:xfrm>
                    <a:prstGeom prst="rect">
                      <a:avLst/>
                    </a:prstGeom>
                    <a:noFill/>
                  </pic:spPr>
                </pic:pic>
              </a:graphicData>
            </a:graphic>
          </wp:anchor>
        </w:drawing>
        <w:drawing>
          <wp:anchor simplePos="0" relativeHeight="251657728" behindDoc="1" locked="0" layoutInCell="0" allowOverlap="1">
            <wp:simplePos x="0" y="0"/>
            <wp:positionH relativeFrom="column">
              <wp:posOffset>5572760</wp:posOffset>
            </wp:positionH>
            <wp:positionV relativeFrom="paragraph">
              <wp:posOffset>-86360</wp:posOffset>
            </wp:positionV>
            <wp:extent cx="4800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660"/>
        <w:spacing w:after="0" w:line="332" w:lineRule="auto"/>
        <w:tabs>
          <w:tab w:leader="none" w:pos="15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97594" TargetMode="External"/><Relationship Id="rId14" Type="http://schemas.openxmlformats.org/officeDocument/2006/relationships/hyperlink" Target="http://www.sec.gov/cgi-bin/browse-edgar?action=getcompany&amp;CIK=0000031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2025-08-14T17:41:51Z</dcterms:created>
  <dcterms:modified xsi:type="dcterms:W3CDTF">2025-08-14T17:41:51Z</dcterms:modified>
</cp:coreProperties>
</file>