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Calibri" w:cs="Calibri" w:eastAsia="Calibri" w:hAnsi="Calibri"/>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 w:lineRule="exact"/>
        <w:rPr>
          <w:sz w:val="24"/>
          <w:szCs w:val="24"/>
          <w:color w:val="auto"/>
        </w:rPr>
      </w:pPr>
    </w:p>
    <w:p>
      <w:pPr>
        <w:jc w:val="center"/>
        <w:ind w:right="-59"/>
        <w:spacing w:after="0"/>
        <w:rPr>
          <w:sz w:val="20"/>
          <w:szCs w:val="20"/>
          <w:color w:val="auto"/>
        </w:rPr>
      </w:pPr>
      <w:r>
        <w:rPr>
          <w:rFonts w:ascii="Calibri" w:cs="Calibri" w:eastAsia="Calibri" w:hAnsi="Calibri"/>
          <w:sz w:val="25"/>
          <w:szCs w:val="25"/>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Calibri" w:cs="Calibri" w:eastAsia="Calibri" w:hAnsi="Calibri"/>
          <w:sz w:val="22"/>
          <w:szCs w:val="22"/>
          <w:b w:val="1"/>
          <w:bCs w:val="1"/>
          <w:color w:val="auto"/>
        </w:rPr>
        <w:t>Washington, D.C. 20549</w:t>
      </w:r>
    </w:p>
    <w:p>
      <w:pPr>
        <w:spacing w:after="0" w:line="74" w:lineRule="exact"/>
        <w:rPr>
          <w:sz w:val="24"/>
          <w:szCs w:val="24"/>
          <w:color w:val="auto"/>
        </w:rPr>
      </w:pPr>
    </w:p>
    <w:p>
      <w:pPr>
        <w:jc w:val="center"/>
        <w:ind w:right="-59"/>
        <w:spacing w:after="0"/>
        <w:rPr>
          <w:sz w:val="20"/>
          <w:szCs w:val="20"/>
          <w:color w:val="auto"/>
        </w:rPr>
      </w:pPr>
      <w:r>
        <w:rPr>
          <w:rFonts w:ascii="Calibri" w:cs="Calibri" w:eastAsia="Calibri" w:hAnsi="Calibri"/>
          <w:sz w:val="27"/>
          <w:szCs w:val="27"/>
          <w:b w:val="1"/>
          <w:bCs w:val="1"/>
          <w:color w:val="auto"/>
        </w:rPr>
        <w:t>FORM 10-Q</w:t>
      </w:r>
    </w:p>
    <w:p>
      <w:pPr>
        <w:spacing w:after="0" w:line="111" w:lineRule="exact"/>
        <w:rPr>
          <w:sz w:val="24"/>
          <w:szCs w:val="24"/>
          <w:color w:val="auto"/>
        </w:rPr>
      </w:pPr>
    </w:p>
    <w:p>
      <w:pPr>
        <w:ind w:left="840" w:hanging="832"/>
        <w:spacing w:after="0"/>
        <w:tabs>
          <w:tab w:leader="none" w:pos="840" w:val="left"/>
        </w:tabs>
        <w:numPr>
          <w:ilvl w:val="0"/>
          <w:numId w:val="1"/>
        </w:numPr>
        <w:rPr>
          <w:rFonts w:ascii="MS PGothic" w:cs="MS PGothic" w:eastAsia="MS PGothic" w:hAnsi="MS PGothic"/>
          <w:sz w:val="22"/>
          <w:szCs w:val="22"/>
          <w:color w:val="auto"/>
          <w:highlight w:val="black"/>
        </w:rPr>
      </w:pPr>
      <w:r>
        <w:rPr>
          <w:rFonts w:ascii="Calibri" w:cs="Calibri" w:eastAsia="Calibri" w:hAnsi="Calibri"/>
          <w:sz w:val="22"/>
          <w:szCs w:val="22"/>
          <w:b w:val="1"/>
          <w:bCs w:val="1"/>
          <w:color w:val="auto"/>
        </w:rPr>
        <w:t>Quarterly report pursuant to Secton 13 or 15(d) of the Securites Exchange Act of 1934</w:t>
      </w:r>
    </w:p>
    <w:p>
      <w:pPr>
        <w:spacing w:after="0" w:line="94" w:lineRule="exact"/>
        <w:rPr>
          <w:sz w:val="24"/>
          <w:szCs w:val="24"/>
          <w:color w:val="auto"/>
        </w:rPr>
      </w:pPr>
    </w:p>
    <w:p>
      <w:pPr>
        <w:ind w:left="1360"/>
        <w:spacing w:after="0"/>
        <w:tabs>
          <w:tab w:leader="none" w:pos="5700" w:val="left"/>
        </w:tabs>
        <w:rPr>
          <w:sz w:val="20"/>
          <w:szCs w:val="20"/>
          <w:color w:val="auto"/>
        </w:rPr>
      </w:pPr>
      <w:r>
        <w:rPr>
          <w:rFonts w:ascii="Calibri" w:cs="Calibri" w:eastAsia="Calibri" w:hAnsi="Calibri"/>
          <w:sz w:val="18"/>
          <w:szCs w:val="18"/>
          <w:b w:val="1"/>
          <w:bCs w:val="1"/>
          <w:color w:val="auto"/>
        </w:rPr>
        <w:t>For the quarterly period ended:</w:t>
      </w:r>
      <w:r>
        <w:rPr>
          <w:sz w:val="20"/>
          <w:szCs w:val="20"/>
          <w:color w:val="auto"/>
        </w:rPr>
        <w:tab/>
      </w:r>
      <w:r>
        <w:rPr>
          <w:rFonts w:ascii="Calibri" w:cs="Calibri" w:eastAsia="Calibri" w:hAnsi="Calibri"/>
          <w:sz w:val="17"/>
          <w:szCs w:val="17"/>
          <w:color w:val="auto"/>
        </w:rPr>
        <w:t>March 31, 2022</w:t>
      </w:r>
    </w:p>
    <w:p>
      <w:pPr>
        <w:spacing w:after="0" w:line="143" w:lineRule="exact"/>
        <w:rPr>
          <w:sz w:val="24"/>
          <w:szCs w:val="24"/>
          <w:color w:val="auto"/>
        </w:rPr>
      </w:pPr>
    </w:p>
    <w:p>
      <w:pPr>
        <w:ind w:left="4960"/>
        <w:spacing w:after="0"/>
        <w:rPr>
          <w:sz w:val="20"/>
          <w:szCs w:val="20"/>
          <w:color w:val="auto"/>
        </w:rPr>
      </w:pPr>
      <w:r>
        <w:rPr>
          <w:rFonts w:ascii="Calibri" w:cs="Calibri" w:eastAsia="Calibri" w:hAnsi="Calibri"/>
          <w:sz w:val="18"/>
          <w:szCs w:val="18"/>
          <w:b w:val="1"/>
          <w:bCs w:val="1"/>
          <w:color w:val="auto"/>
        </w:rPr>
        <w:t>or</w:t>
      </w:r>
    </w:p>
    <w:p>
      <w:pPr>
        <w:ind w:left="840" w:hanging="832"/>
        <w:spacing w:after="0" w:line="225" w:lineRule="auto"/>
        <w:tabs>
          <w:tab w:leader="none" w:pos="840" w:val="left"/>
        </w:tabs>
        <w:numPr>
          <w:ilvl w:val="0"/>
          <w:numId w:val="2"/>
        </w:numPr>
        <w:rPr>
          <w:rFonts w:ascii="MS PGothic" w:cs="MS PGothic" w:eastAsia="MS PGothic" w:hAnsi="MS PGothic"/>
          <w:sz w:val="22"/>
          <w:szCs w:val="22"/>
          <w:color w:val="auto"/>
          <w:highlight w:val="black"/>
        </w:rPr>
      </w:pPr>
      <w:r>
        <w:rPr>
          <w:rFonts w:ascii="Calibri" w:cs="Calibri" w:eastAsia="Calibri" w:hAnsi="Calibri"/>
          <w:sz w:val="22"/>
          <w:szCs w:val="22"/>
          <w:b w:val="1"/>
          <w:bCs w:val="1"/>
          <w:color w:val="auto"/>
        </w:rPr>
        <w:t>Transiton report pursuant to Secton 13 or 15(d) of the Securites Exchange Act of 1934</w:t>
      </w:r>
    </w:p>
    <w:p>
      <w:pPr>
        <w:spacing w:after="0" w:line="66" w:lineRule="exact"/>
        <w:rPr>
          <w:sz w:val="24"/>
          <w:szCs w:val="24"/>
          <w:color w:val="auto"/>
        </w:rPr>
      </w:pPr>
    </w:p>
    <w:tbl>
      <w:tblPr>
        <w:tblLayout w:type="fixed"/>
        <w:tblInd w:w="3980" w:type="dxa"/>
        <w:tblCellMar>
          <w:top w:w="0" w:type="dxa"/>
          <w:left w:w="0" w:type="dxa"/>
          <w:bottom w:w="0" w:type="dxa"/>
          <w:right w:w="0" w:type="dxa"/>
        </w:tblCellMar>
      </w:tblPr>
      <w:tr>
        <w:trPr>
          <w:trHeight w:val="220"/>
        </w:trPr>
        <w:tc>
          <w:tcPr>
            <w:tcW w:w="2660" w:type="dxa"/>
            <w:vAlign w:val="bottom"/>
            <w:gridSpan w:val="2"/>
          </w:tcPr>
          <w:p>
            <w:pPr>
              <w:spacing w:after="0"/>
              <w:rPr>
                <w:sz w:val="20"/>
                <w:szCs w:val="20"/>
                <w:color w:val="auto"/>
              </w:rPr>
            </w:pPr>
            <w:r>
              <w:rPr>
                <w:rFonts w:ascii="Calibri" w:cs="Calibri" w:eastAsia="Calibri" w:hAnsi="Calibri"/>
                <w:sz w:val="18"/>
                <w:szCs w:val="18"/>
                <w:b w:val="1"/>
                <w:bCs w:val="1"/>
                <w:color w:val="auto"/>
              </w:rPr>
              <w:t>For the transiton period from</w:t>
            </w:r>
          </w:p>
        </w:tc>
        <w:tc>
          <w:tcPr>
            <w:tcW w:w="620" w:type="dxa"/>
            <w:vAlign w:val="bottom"/>
            <w:gridSpan w:val="2"/>
          </w:tcPr>
          <w:p>
            <w:pPr>
              <w:spacing w:after="0"/>
              <w:rPr>
                <w:sz w:val="20"/>
                <w:szCs w:val="20"/>
                <w:color w:val="auto"/>
              </w:rPr>
            </w:pPr>
            <w:r>
              <w:rPr>
                <w:rFonts w:ascii="Calibri" w:cs="Calibri" w:eastAsia="Calibri" w:hAnsi="Calibri"/>
                <w:sz w:val="18"/>
                <w:szCs w:val="18"/>
                <w:b w:val="1"/>
                <w:bCs w:val="1"/>
                <w:color w:val="auto"/>
              </w:rPr>
              <w:t>to</w:t>
            </w:r>
          </w:p>
        </w:tc>
      </w:tr>
      <w:tr>
        <w:trPr>
          <w:trHeight w:val="20"/>
        </w:trPr>
        <w:tc>
          <w:tcPr>
            <w:tcW w:w="2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321"/>
        </w:trPr>
        <w:tc>
          <w:tcPr>
            <w:tcW w:w="2660" w:type="dxa"/>
            <w:vAlign w:val="bottom"/>
            <w:gridSpan w:val="2"/>
          </w:tcPr>
          <w:p>
            <w:pPr>
              <w:jc w:val="center"/>
              <w:ind w:left="550"/>
              <w:spacing w:after="0"/>
              <w:rPr>
                <w:sz w:val="20"/>
                <w:szCs w:val="20"/>
                <w:color w:val="auto"/>
              </w:rPr>
            </w:pPr>
            <w:r>
              <w:rPr>
                <w:rFonts w:ascii="Calibri" w:cs="Calibri" w:eastAsia="Calibri" w:hAnsi="Calibri"/>
                <w:sz w:val="18"/>
                <w:szCs w:val="18"/>
                <w:b w:val="1"/>
                <w:bCs w:val="1"/>
                <w:color w:val="auto"/>
                <w:w w:val="97"/>
              </w:rPr>
              <w:t>Commission File Number</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2180" w:type="dxa"/>
            <w:vAlign w:val="bottom"/>
          </w:tcPr>
          <w:p>
            <w:pPr>
              <w:jc w:val="right"/>
              <w:ind w:right="150"/>
              <w:spacing w:after="0" w:line="216" w:lineRule="exact"/>
              <w:rPr>
                <w:sz w:val="20"/>
                <w:szCs w:val="20"/>
                <w:color w:val="auto"/>
              </w:rPr>
            </w:pPr>
            <w:r>
              <w:rPr>
                <w:rFonts w:ascii="Calibri" w:cs="Calibri" w:eastAsia="Calibri" w:hAnsi="Calibri"/>
                <w:sz w:val="18"/>
                <w:szCs w:val="18"/>
                <w:b w:val="1"/>
                <w:bCs w:val="1"/>
                <w:color w:val="auto"/>
              </w:rPr>
              <w:t>1-00087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r>
    </w:tbl>
    <w:p>
      <w:pPr>
        <w:spacing w:after="0" w:line="232" w:lineRule="exact"/>
        <w:rPr>
          <w:sz w:val="24"/>
          <w:szCs w:val="24"/>
          <w:color w:val="auto"/>
        </w:rPr>
      </w:pPr>
    </w:p>
    <w:p>
      <w:pPr>
        <w:jc w:val="center"/>
        <w:ind w:right="-59"/>
        <w:spacing w:after="0"/>
        <w:rPr>
          <w:sz w:val="20"/>
          <w:szCs w:val="20"/>
          <w:color w:val="auto"/>
        </w:rPr>
      </w:pPr>
      <w:r>
        <w:rPr>
          <w:rFonts w:ascii="Calibri" w:cs="Calibri" w:eastAsia="Calibri" w:hAnsi="Calibri"/>
          <w:sz w:val="27"/>
          <w:szCs w:val="27"/>
          <w:b w:val="1"/>
          <w:bCs w:val="1"/>
          <w:color w:val="auto"/>
        </w:rPr>
        <w:t>EASTMAN KODAK COMPANY</w:t>
      </w:r>
    </w:p>
    <w:p>
      <w:pPr>
        <w:spacing w:after="0" w:line="1" w:lineRule="exact"/>
        <w:rPr>
          <w:sz w:val="24"/>
          <w:szCs w:val="24"/>
          <w:color w:val="auto"/>
        </w:rPr>
      </w:pPr>
    </w:p>
    <w:p>
      <w:pPr>
        <w:jc w:val="center"/>
        <w:ind w:right="-59"/>
        <w:spacing w:after="0"/>
        <w:rPr>
          <w:sz w:val="20"/>
          <w:szCs w:val="20"/>
          <w:color w:val="auto"/>
        </w:rPr>
      </w:pPr>
      <w:r>
        <w:rPr>
          <w:rFonts w:ascii="Calibri" w:cs="Calibri" w:eastAsia="Calibri" w:hAnsi="Calibri"/>
          <w:sz w:val="18"/>
          <w:szCs w:val="18"/>
          <w:color w:val="auto"/>
        </w:rPr>
        <w:t>(Exact name of registrant as specifed in its charter)</w:t>
      </w:r>
    </w:p>
    <w:p>
      <w:pPr>
        <w:spacing w:after="0" w:line="50"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4580" w:type="dxa"/>
            <w:vAlign w:val="bottom"/>
          </w:tcPr>
          <w:p>
            <w:pPr>
              <w:jc w:val="center"/>
              <w:ind w:right="1039"/>
              <w:spacing w:after="0"/>
              <w:rPr>
                <w:sz w:val="20"/>
                <w:szCs w:val="20"/>
                <w:color w:val="auto"/>
              </w:rPr>
            </w:pPr>
            <w:r>
              <w:rPr>
                <w:rFonts w:ascii="Calibri" w:cs="Calibri" w:eastAsia="Calibri" w:hAnsi="Calibri"/>
                <w:sz w:val="18"/>
                <w:szCs w:val="18"/>
                <w:b w:val="1"/>
                <w:bCs w:val="1"/>
                <w:color w:val="auto"/>
                <w:w w:val="97"/>
              </w:rPr>
              <w:t>NEW JERSEY</w:t>
            </w:r>
          </w:p>
        </w:tc>
        <w:tc>
          <w:tcPr>
            <w:tcW w:w="3000" w:type="dxa"/>
            <w:vAlign w:val="bottom"/>
          </w:tcPr>
          <w:p>
            <w:pPr>
              <w:jc w:val="right"/>
              <w:ind w:right="419"/>
              <w:spacing w:after="0"/>
              <w:rPr>
                <w:sz w:val="20"/>
                <w:szCs w:val="20"/>
                <w:color w:val="auto"/>
              </w:rPr>
            </w:pPr>
            <w:r>
              <w:rPr>
                <w:rFonts w:ascii="Calibri" w:cs="Calibri" w:eastAsia="Calibri" w:hAnsi="Calibri"/>
                <w:sz w:val="18"/>
                <w:szCs w:val="18"/>
                <w:b w:val="1"/>
                <w:bCs w:val="1"/>
                <w:color w:val="auto"/>
              </w:rPr>
              <w:t>16-0417150</w:t>
            </w:r>
          </w:p>
        </w:tc>
      </w:tr>
      <w:tr>
        <w:trPr>
          <w:trHeight w:val="206"/>
        </w:trPr>
        <w:tc>
          <w:tcPr>
            <w:tcW w:w="4580" w:type="dxa"/>
            <w:vAlign w:val="bottom"/>
          </w:tcPr>
          <w:p>
            <w:pPr>
              <w:jc w:val="center"/>
              <w:ind w:right="1039"/>
              <w:spacing w:after="0"/>
              <w:rPr>
                <w:sz w:val="20"/>
                <w:szCs w:val="20"/>
                <w:color w:val="auto"/>
              </w:rPr>
            </w:pPr>
            <w:r>
              <w:rPr>
                <w:rFonts w:ascii="Calibri" w:cs="Calibri" w:eastAsia="Calibri" w:hAnsi="Calibri"/>
                <w:sz w:val="14"/>
                <w:szCs w:val="14"/>
                <w:color w:val="auto"/>
              </w:rPr>
              <w:t>(State or other jurisdicton of incorporaton or organizaton)</w:t>
            </w:r>
          </w:p>
        </w:tc>
        <w:tc>
          <w:tcPr>
            <w:tcW w:w="3000" w:type="dxa"/>
            <w:vAlign w:val="bottom"/>
          </w:tcPr>
          <w:p>
            <w:pPr>
              <w:jc w:val="center"/>
              <w:ind w:left="1039"/>
              <w:spacing w:after="0"/>
              <w:rPr>
                <w:sz w:val="20"/>
                <w:szCs w:val="20"/>
                <w:color w:val="auto"/>
              </w:rPr>
            </w:pPr>
            <w:r>
              <w:rPr>
                <w:rFonts w:ascii="Calibri" w:cs="Calibri" w:eastAsia="Calibri" w:hAnsi="Calibri"/>
                <w:sz w:val="14"/>
                <w:szCs w:val="14"/>
                <w:color w:val="auto"/>
              </w:rPr>
              <w:t>(IRS Employer Identfcaton No.)</w:t>
            </w:r>
          </w:p>
        </w:tc>
      </w:tr>
      <w:tr>
        <w:trPr>
          <w:trHeight w:val="334"/>
        </w:trPr>
        <w:tc>
          <w:tcPr>
            <w:tcW w:w="4580" w:type="dxa"/>
            <w:vAlign w:val="bottom"/>
          </w:tcPr>
          <w:p>
            <w:pPr>
              <w:jc w:val="center"/>
              <w:ind w:right="1039"/>
              <w:spacing w:after="0"/>
              <w:rPr>
                <w:sz w:val="20"/>
                <w:szCs w:val="20"/>
                <w:color w:val="auto"/>
              </w:rPr>
            </w:pPr>
            <w:r>
              <w:rPr>
                <w:rFonts w:ascii="Calibri" w:cs="Calibri" w:eastAsia="Calibri" w:hAnsi="Calibri"/>
                <w:sz w:val="18"/>
                <w:szCs w:val="18"/>
                <w:b w:val="1"/>
                <w:bCs w:val="1"/>
                <w:color w:val="auto"/>
                <w:w w:val="95"/>
              </w:rPr>
              <w:t>343 STATE STREET, ROCHESTER, NEW YORK</w:t>
            </w:r>
          </w:p>
        </w:tc>
        <w:tc>
          <w:tcPr>
            <w:tcW w:w="3000" w:type="dxa"/>
            <w:vAlign w:val="bottom"/>
          </w:tcPr>
          <w:p>
            <w:pPr>
              <w:jc w:val="right"/>
              <w:ind w:right="639"/>
              <w:spacing w:after="0"/>
              <w:rPr>
                <w:sz w:val="20"/>
                <w:szCs w:val="20"/>
                <w:color w:val="auto"/>
              </w:rPr>
            </w:pPr>
            <w:r>
              <w:rPr>
                <w:rFonts w:ascii="Calibri" w:cs="Calibri" w:eastAsia="Calibri" w:hAnsi="Calibri"/>
                <w:sz w:val="18"/>
                <w:szCs w:val="18"/>
                <w:b w:val="1"/>
                <w:bCs w:val="1"/>
                <w:color w:val="auto"/>
              </w:rPr>
              <w:t>14650</w:t>
            </w:r>
          </w:p>
        </w:tc>
      </w:tr>
      <w:tr>
        <w:trPr>
          <w:trHeight w:val="206"/>
        </w:trPr>
        <w:tc>
          <w:tcPr>
            <w:tcW w:w="4580" w:type="dxa"/>
            <w:vAlign w:val="bottom"/>
          </w:tcPr>
          <w:p>
            <w:pPr>
              <w:jc w:val="center"/>
              <w:ind w:right="1019"/>
              <w:spacing w:after="0"/>
              <w:rPr>
                <w:sz w:val="20"/>
                <w:szCs w:val="20"/>
                <w:color w:val="auto"/>
              </w:rPr>
            </w:pPr>
            <w:r>
              <w:rPr>
                <w:rFonts w:ascii="Calibri" w:cs="Calibri" w:eastAsia="Calibri" w:hAnsi="Calibri"/>
                <w:sz w:val="14"/>
                <w:szCs w:val="14"/>
                <w:color w:val="auto"/>
              </w:rPr>
              <w:t>(Address of principal executve ofces)</w:t>
            </w:r>
          </w:p>
        </w:tc>
        <w:tc>
          <w:tcPr>
            <w:tcW w:w="3000" w:type="dxa"/>
            <w:vAlign w:val="bottom"/>
          </w:tcPr>
          <w:p>
            <w:pPr>
              <w:jc w:val="center"/>
              <w:ind w:left="1039"/>
              <w:spacing w:after="0"/>
              <w:rPr>
                <w:sz w:val="20"/>
                <w:szCs w:val="20"/>
                <w:color w:val="auto"/>
              </w:rPr>
            </w:pPr>
            <w:r>
              <w:rPr>
                <w:rFonts w:ascii="Calibri" w:cs="Calibri" w:eastAsia="Calibri" w:hAnsi="Calibri"/>
                <w:sz w:val="14"/>
                <w:szCs w:val="14"/>
                <w:color w:val="auto"/>
              </w:rPr>
              <w:t>(Zip Code)</w:t>
            </w:r>
          </w:p>
        </w:tc>
      </w:tr>
    </w:tbl>
    <w:p>
      <w:pPr>
        <w:jc w:val="center"/>
        <w:ind w:right="-59"/>
        <w:spacing w:after="0" w:line="232" w:lineRule="auto"/>
        <w:rPr>
          <w:sz w:val="20"/>
          <w:szCs w:val="20"/>
          <w:color w:val="auto"/>
        </w:rPr>
      </w:pPr>
      <w:r>
        <w:rPr>
          <w:rFonts w:ascii="Calibri" w:cs="Calibri" w:eastAsia="Calibri" w:hAnsi="Calibri"/>
          <w:sz w:val="18"/>
          <w:szCs w:val="18"/>
          <w:b w:val="1"/>
          <w:bCs w:val="1"/>
          <w:color w:val="auto"/>
        </w:rPr>
        <w:t>(585) 724-4000</w:t>
      </w:r>
    </w:p>
    <w:p>
      <w:pPr>
        <w:jc w:val="center"/>
        <w:ind w:right="-59"/>
        <w:spacing w:after="0" w:line="236" w:lineRule="auto"/>
        <w:rPr>
          <w:sz w:val="20"/>
          <w:szCs w:val="20"/>
          <w:color w:val="auto"/>
        </w:rPr>
      </w:pPr>
      <w:r>
        <w:rPr>
          <w:rFonts w:ascii="Calibri" w:cs="Calibri" w:eastAsia="Calibri" w:hAnsi="Calibri"/>
          <w:sz w:val="18"/>
          <w:szCs w:val="18"/>
          <w:color w:val="auto"/>
        </w:rPr>
        <w:t>(Registrant’s telephone number, including area code)</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140" w:type="dxa"/>
            <w:vAlign w:val="bottom"/>
            <w:gridSpan w:val="5"/>
          </w:tcPr>
          <w:p>
            <w:pPr>
              <w:ind w:left="220"/>
              <w:spacing w:after="0"/>
              <w:rPr>
                <w:sz w:val="20"/>
                <w:szCs w:val="20"/>
                <w:color w:val="auto"/>
              </w:rPr>
            </w:pPr>
            <w:r>
              <w:rPr>
                <w:rFonts w:ascii="Calibri" w:cs="Calibri" w:eastAsia="Calibri" w:hAnsi="Calibri"/>
                <w:sz w:val="18"/>
                <w:szCs w:val="18"/>
                <w:color w:val="auto"/>
              </w:rPr>
              <w:t>Securites registered pursuant to Secton 12(b) of the Act:</w:t>
            </w:r>
          </w:p>
        </w:tc>
      </w:tr>
      <w:tr>
        <w:trPr>
          <w:trHeight w:val="280"/>
        </w:trPr>
        <w:tc>
          <w:tcPr>
            <w:tcW w:w="126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Calibri" w:cs="Calibri" w:eastAsia="Calibri" w:hAnsi="Calibri"/>
                <w:sz w:val="18"/>
                <w:szCs w:val="18"/>
                <w:b w:val="1"/>
                <w:bCs w:val="1"/>
                <w:color w:val="auto"/>
              </w:rPr>
              <w:t>Title of each class Common</w:t>
            </w:r>
          </w:p>
        </w:tc>
        <w:tc>
          <w:tcPr>
            <w:tcW w:w="1520" w:type="dxa"/>
            <w:vAlign w:val="bottom"/>
          </w:tcPr>
          <w:p>
            <w:pPr>
              <w:spacing w:after="0"/>
              <w:rPr>
                <w:sz w:val="24"/>
                <w:szCs w:val="24"/>
                <w:color w:val="auto"/>
              </w:rPr>
            </w:pPr>
          </w:p>
        </w:tc>
        <w:tc>
          <w:tcPr>
            <w:tcW w:w="1860" w:type="dxa"/>
            <w:vAlign w:val="bottom"/>
            <w:gridSpan w:val="2"/>
          </w:tcPr>
          <w:p>
            <w:pPr>
              <w:jc w:val="center"/>
              <w:ind w:right="560"/>
              <w:spacing w:after="0"/>
              <w:rPr>
                <w:sz w:val="20"/>
                <w:szCs w:val="20"/>
                <w:color w:val="auto"/>
              </w:rPr>
            </w:pPr>
            <w:r>
              <w:rPr>
                <w:rFonts w:ascii="Calibri" w:cs="Calibri" w:eastAsia="Calibri" w:hAnsi="Calibri"/>
                <w:sz w:val="18"/>
                <w:szCs w:val="18"/>
                <w:b w:val="1"/>
                <w:bCs w:val="1"/>
                <w:color w:val="auto"/>
                <w:w w:val="96"/>
              </w:rPr>
              <w:t>Trading Symbol(s)</w:t>
            </w:r>
          </w:p>
        </w:tc>
        <w:tc>
          <w:tcPr>
            <w:tcW w:w="3760" w:type="dxa"/>
            <w:vAlign w:val="bottom"/>
            <w:gridSpan w:val="2"/>
          </w:tcPr>
          <w:p>
            <w:pPr>
              <w:jc w:val="center"/>
              <w:ind w:left="470"/>
              <w:spacing w:after="0"/>
              <w:rPr>
                <w:sz w:val="20"/>
                <w:szCs w:val="20"/>
                <w:color w:val="auto"/>
              </w:rPr>
            </w:pPr>
            <w:r>
              <w:rPr>
                <w:rFonts w:ascii="Calibri" w:cs="Calibri" w:eastAsia="Calibri" w:hAnsi="Calibri"/>
                <w:sz w:val="18"/>
                <w:szCs w:val="18"/>
                <w:b w:val="1"/>
                <w:bCs w:val="1"/>
                <w:color w:val="auto"/>
                <w:w w:val="96"/>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27"/>
        </w:trPr>
        <w:tc>
          <w:tcPr>
            <w:tcW w:w="3460" w:type="dxa"/>
            <w:vAlign w:val="bottom"/>
            <w:gridSpan w:val="3"/>
          </w:tcPr>
          <w:p>
            <w:pPr>
              <w:spacing w:after="0"/>
              <w:rPr>
                <w:sz w:val="20"/>
                <w:szCs w:val="20"/>
                <w:color w:val="auto"/>
              </w:rPr>
            </w:pPr>
            <w:r>
              <w:rPr>
                <w:rFonts w:ascii="Calibri" w:cs="Calibri" w:eastAsia="Calibri" w:hAnsi="Calibri"/>
                <w:sz w:val="18"/>
                <w:szCs w:val="18"/>
                <w:color w:val="auto"/>
              </w:rPr>
              <w:t>Common stock, par value $0.01 per share</w:t>
            </w:r>
          </w:p>
        </w:tc>
        <w:tc>
          <w:tcPr>
            <w:tcW w:w="1520" w:type="dxa"/>
            <w:vAlign w:val="bottom"/>
          </w:tcPr>
          <w:p>
            <w:pPr>
              <w:spacing w:after="0"/>
              <w:rPr>
                <w:sz w:val="19"/>
                <w:szCs w:val="19"/>
                <w:color w:val="auto"/>
              </w:rPr>
            </w:pPr>
          </w:p>
        </w:tc>
        <w:tc>
          <w:tcPr>
            <w:tcW w:w="1860" w:type="dxa"/>
            <w:vAlign w:val="bottom"/>
            <w:gridSpan w:val="2"/>
          </w:tcPr>
          <w:p>
            <w:pPr>
              <w:jc w:val="center"/>
              <w:ind w:right="540"/>
              <w:spacing w:after="0"/>
              <w:rPr>
                <w:sz w:val="20"/>
                <w:szCs w:val="20"/>
                <w:color w:val="auto"/>
              </w:rPr>
            </w:pPr>
            <w:r>
              <w:rPr>
                <w:rFonts w:ascii="Calibri" w:cs="Calibri" w:eastAsia="Calibri" w:hAnsi="Calibri"/>
                <w:sz w:val="18"/>
                <w:szCs w:val="18"/>
                <w:color w:val="auto"/>
                <w:w w:val="95"/>
              </w:rPr>
              <w:t>KODK</w:t>
            </w:r>
          </w:p>
        </w:tc>
        <w:tc>
          <w:tcPr>
            <w:tcW w:w="56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Calibri" w:cs="Calibri" w:eastAsia="Calibri" w:hAnsi="Calibri"/>
                <w:sz w:val="18"/>
                <w:szCs w:val="18"/>
                <w:color w:val="auto"/>
                <w:w w:val="96"/>
              </w:rPr>
              <w:t>New York Stock Exchange</w:t>
            </w:r>
          </w:p>
        </w:tc>
      </w:tr>
    </w:tbl>
    <w:p>
      <w:pPr>
        <w:spacing w:after="0" w:line="96" w:lineRule="exact"/>
        <w:rPr>
          <w:sz w:val="24"/>
          <w:szCs w:val="24"/>
          <w:color w:val="auto"/>
        </w:rPr>
      </w:pPr>
    </w:p>
    <w:p>
      <w:pPr>
        <w:spacing w:after="0" w:line="235" w:lineRule="auto"/>
        <w:rPr>
          <w:sz w:val="20"/>
          <w:szCs w:val="20"/>
          <w:color w:val="auto"/>
        </w:rPr>
      </w:pPr>
      <w:r>
        <w:rPr>
          <w:rFonts w:ascii="Calibri" w:cs="Calibri" w:eastAsia="Calibri" w:hAnsi="Calibri"/>
          <w:sz w:val="18"/>
          <w:szCs w:val="18"/>
          <w:color w:val="auto"/>
        </w:rPr>
        <w:t>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w:t>
      </w:r>
    </w:p>
    <w:p>
      <w:pPr>
        <w:spacing w:after="0" w:line="1" w:lineRule="exact"/>
        <w:rPr>
          <w:sz w:val="24"/>
          <w:szCs w:val="24"/>
          <w:color w:val="auto"/>
        </w:rPr>
      </w:pPr>
    </w:p>
    <w:p>
      <w:pPr>
        <w:spacing w:after="0" w:line="257" w:lineRule="exact"/>
        <w:rPr>
          <w:sz w:val="20"/>
          <w:szCs w:val="20"/>
          <w:color w:val="auto"/>
        </w:rPr>
      </w:pPr>
      <w:r>
        <w:rPr>
          <w:rFonts w:ascii="Calibri" w:cs="Calibri" w:eastAsia="Calibri" w:hAnsi="Calibri"/>
          <w:sz w:val="18"/>
          <w:szCs w:val="18"/>
          <w:color w:val="auto"/>
        </w:rPr>
        <w:t xml:space="preserve">requirements for the past 90 days. Yes </w:t>
      </w:r>
      <w:r>
        <w:rPr>
          <w:rFonts w:ascii="MS PGothic" w:cs="MS PGothic" w:eastAsia="MS PGothic" w:hAnsi="MS PGothic"/>
          <w:sz w:val="21"/>
          <w:szCs w:val="21"/>
          <w:color w:val="auto"/>
        </w:rPr>
        <w:t>☒</w:t>
      </w:r>
      <w:r>
        <w:rPr>
          <w:rFonts w:ascii="Calibri" w:cs="Calibri" w:eastAsia="Calibri" w:hAnsi="Calibri"/>
          <w:sz w:val="18"/>
          <w:szCs w:val="18"/>
          <w:color w:val="auto"/>
        </w:rPr>
        <w:t xml:space="preserve"> No </w:t>
      </w:r>
      <w:r>
        <w:rPr>
          <w:rFonts w:ascii="MS PGothic" w:cs="MS PGothic" w:eastAsia="MS PGothic" w:hAnsi="MS PGothic"/>
          <w:sz w:val="21"/>
          <w:szCs w:val="21"/>
          <w:color w:val="auto"/>
        </w:rPr>
        <w:t>☐</w:t>
      </w:r>
    </w:p>
    <w:p>
      <w:pPr>
        <w:spacing w:after="0" w:line="123" w:lineRule="exact"/>
        <w:rPr>
          <w:sz w:val="24"/>
          <w:szCs w:val="24"/>
          <w:color w:val="auto"/>
        </w:rPr>
      </w:pPr>
    </w:p>
    <w:p>
      <w:pPr>
        <w:ind w:right="240"/>
        <w:spacing w:after="0" w:line="249" w:lineRule="auto"/>
        <w:rPr>
          <w:sz w:val="20"/>
          <w:szCs w:val="20"/>
          <w:color w:val="auto"/>
        </w:rPr>
      </w:pPr>
      <w:r>
        <w:rPr>
          <w:rFonts w:ascii="Calibri" w:cs="Calibri" w:eastAsia="Calibri" w:hAnsi="Calibri"/>
          <w:sz w:val="17"/>
          <w:szCs w:val="17"/>
          <w:color w:val="auto"/>
        </w:rPr>
        <w:t>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w:t>
      </w:r>
    </w:p>
    <w:p>
      <w:pPr>
        <w:spacing w:after="0" w:line="257" w:lineRule="exact"/>
        <w:tabs>
          <w:tab w:leader="none" w:pos="1140" w:val="left"/>
        </w:tabs>
        <w:rPr>
          <w:sz w:val="20"/>
          <w:szCs w:val="20"/>
          <w:color w:val="auto"/>
        </w:rPr>
      </w:pPr>
      <w:r>
        <w:rPr>
          <w:rFonts w:ascii="Calibri" w:cs="Calibri" w:eastAsia="Calibri" w:hAnsi="Calibri"/>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Calibri" w:cs="Calibri" w:eastAsia="Calibri" w:hAnsi="Calibri"/>
          <w:sz w:val="17"/>
          <w:szCs w:val="17"/>
          <w:color w:val="auto"/>
        </w:rPr>
        <w:t xml:space="preserve">No </w:t>
      </w:r>
      <w:r>
        <w:rPr>
          <w:rFonts w:ascii="MS PGothic" w:cs="MS PGothic" w:eastAsia="MS PGothic" w:hAnsi="MS PGothic"/>
          <w:sz w:val="20"/>
          <w:szCs w:val="20"/>
          <w:color w:val="auto"/>
        </w:rPr>
        <w:t>☐</w:t>
      </w:r>
    </w:p>
    <w:p>
      <w:pPr>
        <w:spacing w:after="0" w:line="123" w:lineRule="exact"/>
        <w:rPr>
          <w:sz w:val="24"/>
          <w:szCs w:val="24"/>
          <w:color w:val="auto"/>
        </w:rPr>
      </w:pPr>
    </w:p>
    <w:p>
      <w:pPr>
        <w:ind w:right="20"/>
        <w:spacing w:after="0" w:line="235" w:lineRule="auto"/>
        <w:rPr>
          <w:sz w:val="20"/>
          <w:szCs w:val="20"/>
          <w:color w:val="auto"/>
        </w:rPr>
      </w:pPr>
      <w:r>
        <w:rPr>
          <w:rFonts w:ascii="Calibri" w:cs="Calibri" w:eastAsia="Calibri" w:hAnsi="Calibri"/>
          <w:sz w:val="18"/>
          <w:szCs w:val="18"/>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680" w:type="dxa"/>
            <w:vAlign w:val="bottom"/>
          </w:tcPr>
          <w:p>
            <w:pPr>
              <w:spacing w:after="0"/>
              <w:rPr>
                <w:sz w:val="20"/>
                <w:szCs w:val="20"/>
                <w:color w:val="auto"/>
              </w:rPr>
            </w:pPr>
            <w:r>
              <w:rPr>
                <w:rFonts w:ascii="Calibri" w:cs="Calibri" w:eastAsia="Calibri" w:hAnsi="Calibri"/>
                <w:sz w:val="18"/>
                <w:szCs w:val="18"/>
                <w:color w:val="auto"/>
              </w:rPr>
              <w:t>Large accelerated fler</w:t>
            </w:r>
          </w:p>
        </w:tc>
        <w:tc>
          <w:tcPr>
            <w:tcW w:w="3060" w:type="dxa"/>
            <w:vAlign w:val="bottom"/>
          </w:tcPr>
          <w:p>
            <w:pPr>
              <w:ind w:left="740"/>
              <w:spacing w:after="0" w:line="221" w:lineRule="exact"/>
              <w:rPr>
                <w:sz w:val="20"/>
                <w:szCs w:val="20"/>
                <w:color w:val="auto"/>
              </w:rPr>
            </w:pPr>
            <w:r>
              <w:rPr>
                <w:rFonts w:ascii="MS PGothic" w:cs="MS PGothic" w:eastAsia="MS PGothic" w:hAnsi="MS PGothic"/>
                <w:sz w:val="22"/>
                <w:szCs w:val="22"/>
                <w:color w:val="auto"/>
              </w:rPr>
              <w:t>☐</w:t>
            </w:r>
          </w:p>
        </w:tc>
        <w:tc>
          <w:tcPr>
            <w:tcW w:w="4220" w:type="dxa"/>
            <w:vAlign w:val="bottom"/>
          </w:tcPr>
          <w:p>
            <w:pPr>
              <w:ind w:left="2120"/>
              <w:spacing w:after="0"/>
              <w:rPr>
                <w:sz w:val="20"/>
                <w:szCs w:val="20"/>
                <w:color w:val="auto"/>
              </w:rPr>
            </w:pPr>
            <w:r>
              <w:rPr>
                <w:rFonts w:ascii="Calibri" w:cs="Calibri" w:eastAsia="Calibri" w:hAnsi="Calibri"/>
                <w:sz w:val="18"/>
                <w:szCs w:val="18"/>
                <w:color w:val="auto"/>
              </w:rPr>
              <w:t>Accelerated fler</w:t>
            </w:r>
          </w:p>
        </w:tc>
        <w:tc>
          <w:tcPr>
            <w:tcW w:w="3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57"/>
        </w:trPr>
        <w:tc>
          <w:tcPr>
            <w:tcW w:w="2680" w:type="dxa"/>
            <w:vAlign w:val="bottom"/>
          </w:tcPr>
          <w:p>
            <w:pPr>
              <w:spacing w:after="0"/>
              <w:rPr>
                <w:sz w:val="20"/>
                <w:szCs w:val="20"/>
                <w:color w:val="auto"/>
              </w:rPr>
            </w:pPr>
            <w:r>
              <w:rPr>
                <w:rFonts w:ascii="Calibri" w:cs="Calibri" w:eastAsia="Calibri" w:hAnsi="Calibri"/>
                <w:sz w:val="18"/>
                <w:szCs w:val="18"/>
                <w:color w:val="auto"/>
              </w:rPr>
              <w:t>Non-accelerated fler</w:t>
            </w:r>
          </w:p>
        </w:tc>
        <w:tc>
          <w:tcPr>
            <w:tcW w:w="3060" w:type="dxa"/>
            <w:vAlign w:val="bottom"/>
          </w:tcPr>
          <w:p>
            <w:pPr>
              <w:ind w:left="740"/>
              <w:spacing w:after="0" w:line="221" w:lineRule="exact"/>
              <w:rPr>
                <w:sz w:val="20"/>
                <w:szCs w:val="20"/>
                <w:color w:val="auto"/>
              </w:rPr>
            </w:pPr>
            <w:r>
              <w:rPr>
                <w:rFonts w:ascii="MS PGothic" w:cs="MS PGothic" w:eastAsia="MS PGothic" w:hAnsi="MS PGothic"/>
                <w:sz w:val="22"/>
                <w:szCs w:val="22"/>
                <w:color w:val="auto"/>
              </w:rPr>
              <w:t>☐</w:t>
            </w:r>
          </w:p>
        </w:tc>
        <w:tc>
          <w:tcPr>
            <w:tcW w:w="4220" w:type="dxa"/>
            <w:vAlign w:val="bottom"/>
          </w:tcPr>
          <w:p>
            <w:pPr>
              <w:ind w:left="2120"/>
              <w:spacing w:after="0"/>
              <w:rPr>
                <w:sz w:val="20"/>
                <w:szCs w:val="20"/>
                <w:color w:val="auto"/>
              </w:rPr>
            </w:pPr>
            <w:r>
              <w:rPr>
                <w:rFonts w:ascii="Calibri" w:cs="Calibri" w:eastAsia="Calibri" w:hAnsi="Calibri"/>
                <w:sz w:val="18"/>
                <w:szCs w:val="18"/>
                <w:color w:val="auto"/>
              </w:rPr>
              <w:t>Smaller reportng company</w:t>
            </w:r>
          </w:p>
        </w:tc>
        <w:tc>
          <w:tcPr>
            <w:tcW w:w="3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680" w:type="dxa"/>
            <w:vAlign w:val="bottom"/>
          </w:tcPr>
          <w:p>
            <w:pPr>
              <w:spacing w:after="0"/>
              <w:rPr>
                <w:sz w:val="20"/>
                <w:szCs w:val="20"/>
                <w:color w:val="auto"/>
              </w:rPr>
            </w:pPr>
            <w:r>
              <w:rPr>
                <w:rFonts w:ascii="Calibri" w:cs="Calibri" w:eastAsia="Calibri" w:hAnsi="Calibri"/>
                <w:sz w:val="18"/>
                <w:szCs w:val="18"/>
                <w:color w:val="auto"/>
              </w:rPr>
              <w:t>Emerging growth company</w:t>
            </w:r>
          </w:p>
        </w:tc>
        <w:tc>
          <w:tcPr>
            <w:tcW w:w="3060" w:type="dxa"/>
            <w:vAlign w:val="bottom"/>
          </w:tcPr>
          <w:p>
            <w:pPr>
              <w:ind w:left="740"/>
              <w:spacing w:after="0" w:line="221" w:lineRule="exact"/>
              <w:rPr>
                <w:sz w:val="20"/>
                <w:szCs w:val="20"/>
                <w:color w:val="auto"/>
              </w:rPr>
            </w:pPr>
            <w:r>
              <w:rPr>
                <w:rFonts w:ascii="MS PGothic" w:cs="MS PGothic" w:eastAsia="MS PGothic" w:hAnsi="MS PGothic"/>
                <w:sz w:val="22"/>
                <w:szCs w:val="22"/>
                <w:color w:val="auto"/>
              </w:rPr>
              <w:t>☐</w:t>
            </w:r>
          </w:p>
        </w:tc>
        <w:tc>
          <w:tcPr>
            <w:tcW w:w="42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38" w:lineRule="exact"/>
        <w:rPr>
          <w:sz w:val="24"/>
          <w:szCs w:val="24"/>
          <w:color w:val="auto"/>
        </w:rPr>
      </w:pPr>
    </w:p>
    <w:p>
      <w:pPr>
        <w:ind w:right="60"/>
        <w:spacing w:after="0" w:line="264"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21"/>
          <w:szCs w:val="21"/>
          <w:color w:val="auto"/>
        </w:rPr>
        <w:t>☐</w:t>
      </w:r>
    </w:p>
    <w:p>
      <w:pPr>
        <w:spacing w:after="0" w:line="41" w:lineRule="exact"/>
        <w:rPr>
          <w:sz w:val="24"/>
          <w:szCs w:val="24"/>
          <w:color w:val="auto"/>
        </w:rPr>
      </w:pPr>
    </w:p>
    <w:p>
      <w:pPr>
        <w:ind w:right="2200"/>
        <w:spacing w:after="0" w:line="303" w:lineRule="exact"/>
        <w:rPr>
          <w:sz w:val="20"/>
          <w:szCs w:val="20"/>
          <w:color w:val="auto"/>
        </w:rPr>
      </w:pPr>
      <w:r>
        <w:rPr>
          <w:rFonts w:ascii="Calibri" w:cs="Calibri" w:eastAsia="Calibri" w:hAnsi="Calibri"/>
          <w:sz w:val="18"/>
          <w:szCs w:val="18"/>
          <w:color w:val="auto"/>
        </w:rPr>
        <w:t xml:space="preserve">Indicate by check mark whether the registrant is a shell company (as defned in Rule 12b-2 of the Exchange Act). Yes </w:t>
      </w:r>
      <w:r>
        <w:rPr>
          <w:rFonts w:ascii="MS PGothic" w:cs="MS PGothic" w:eastAsia="MS PGothic" w:hAnsi="MS PGothic"/>
          <w:sz w:val="21"/>
          <w:szCs w:val="21"/>
          <w:color w:val="auto"/>
        </w:rPr>
        <w:t>☐</w:t>
      </w:r>
      <w:r>
        <w:rPr>
          <w:rFonts w:ascii="Calibri" w:cs="Calibri" w:eastAsia="Calibri" w:hAnsi="Calibri"/>
          <w:sz w:val="18"/>
          <w:szCs w:val="18"/>
          <w:color w:val="auto"/>
        </w:rPr>
        <w:t xml:space="preserve"> No </w:t>
      </w:r>
      <w:r>
        <w:rPr>
          <w:rFonts w:ascii="MS PGothic" w:cs="MS PGothic" w:eastAsia="MS PGothic" w:hAnsi="MS PGothic"/>
          <w:sz w:val="21"/>
          <w:szCs w:val="21"/>
          <w:color w:val="auto"/>
        </w:rPr>
        <w:t>☒</w:t>
      </w:r>
      <w:r>
        <w:rPr>
          <w:rFonts w:ascii="Calibri" w:cs="Calibri" w:eastAsia="Calibri" w:hAnsi="Calibri"/>
          <w:sz w:val="18"/>
          <w:szCs w:val="18"/>
          <w:color w:val="auto"/>
        </w:rPr>
        <w:t xml:space="preserve"> As of May 4, 2022, the registrant had 78,919,997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7" w:right="37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alibri" w:cs="Calibri" w:eastAsia="Calibri" w:hAnsi="Calibri"/>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alibri" w:cs="Calibri" w:eastAsia="Calibri" w:hAnsi="Calibri"/>
          <w:sz w:val="18"/>
          <w:szCs w:val="18"/>
          <w:color w:val="auto"/>
        </w:rPr>
        <w:t>Item 2.</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color w:val="auto"/>
        </w:rPr>
        <w:t>Item 3.</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color w:val="auto"/>
        </w:rPr>
        <w:t>Item 1.</w:t>
      </w:r>
    </w:p>
    <w:p>
      <w:pPr>
        <w:spacing w:after="0" w:line="28" w:lineRule="exact"/>
        <w:rPr>
          <w:sz w:val="20"/>
          <w:szCs w:val="20"/>
          <w:color w:val="auto"/>
        </w:rPr>
      </w:pPr>
    </w:p>
    <w:p>
      <w:pPr>
        <w:spacing w:after="0"/>
        <w:rPr>
          <w:sz w:val="20"/>
          <w:szCs w:val="20"/>
          <w:color w:val="auto"/>
        </w:rPr>
      </w:pPr>
      <w:r>
        <w:rPr>
          <w:rFonts w:ascii="Calibri" w:cs="Calibri" w:eastAsia="Calibri" w:hAnsi="Calibri"/>
          <w:sz w:val="17"/>
          <w:szCs w:val="17"/>
          <w:color w:val="auto"/>
        </w:rPr>
        <w:t>Item 1A.</w:t>
      </w:r>
    </w:p>
    <w:p>
      <w:pPr>
        <w:spacing w:after="0" w:line="31" w:lineRule="exact"/>
        <w:rPr>
          <w:sz w:val="20"/>
          <w:szCs w:val="20"/>
          <w:color w:val="auto"/>
        </w:rPr>
      </w:pPr>
    </w:p>
    <w:p>
      <w:pPr>
        <w:spacing w:after="0"/>
        <w:rPr>
          <w:sz w:val="20"/>
          <w:szCs w:val="20"/>
          <w:color w:val="auto"/>
        </w:rPr>
      </w:pPr>
      <w:r>
        <w:rPr>
          <w:rFonts w:ascii="Calibri" w:cs="Calibri" w:eastAsia="Calibri" w:hAnsi="Calibri"/>
          <w:sz w:val="18"/>
          <w:szCs w:val="18"/>
          <w:color w:val="auto"/>
        </w:rPr>
        <w:t>Item 2.</w:t>
      </w:r>
    </w:p>
    <w:p>
      <w:pPr>
        <w:spacing w:after="0" w:line="23" w:lineRule="exact"/>
        <w:rPr>
          <w:sz w:val="20"/>
          <w:szCs w:val="20"/>
          <w:color w:val="auto"/>
        </w:rPr>
      </w:pPr>
    </w:p>
    <w:p>
      <w:pPr>
        <w:spacing w:after="0"/>
        <w:rPr>
          <w:sz w:val="20"/>
          <w:szCs w:val="20"/>
          <w:color w:val="auto"/>
        </w:rPr>
      </w:pPr>
      <w:r>
        <w:rPr>
          <w:rFonts w:ascii="Calibri" w:cs="Calibri" w:eastAsia="Calibri" w:hAnsi="Calibri"/>
          <w:sz w:val="18"/>
          <w:szCs w:val="18"/>
          <w:color w:val="auto"/>
        </w:rPr>
        <w:t>Item 6.</w:t>
      </w:r>
    </w:p>
    <w:p>
      <w:pPr>
        <w:spacing w:after="0" w:line="20" w:lineRule="exact"/>
        <w:rPr>
          <w:sz w:val="20"/>
          <w:szCs w:val="20"/>
          <w:color w:val="auto"/>
        </w:rPr>
      </w:pPr>
      <w:r>
        <w:rPr>
          <w:sz w:val="20"/>
          <w:szCs w:val="20"/>
          <w:color w:val="auto"/>
        </w:rPr>
        <w:br w:type="column"/>
      </w:r>
    </w:p>
    <w:p>
      <w:pPr>
        <w:jc w:val="center"/>
        <w:ind w:right="1000"/>
        <w:spacing w:after="0"/>
        <w:rPr>
          <w:sz w:val="20"/>
          <w:szCs w:val="20"/>
          <w:color w:val="auto"/>
        </w:rPr>
      </w:pPr>
      <w:r>
        <w:rPr>
          <w:rFonts w:ascii="Calibri" w:cs="Calibri" w:eastAsia="Calibri" w:hAnsi="Calibri"/>
          <w:sz w:val="18"/>
          <w:szCs w:val="18"/>
          <w:b w:val="1"/>
          <w:bCs w:val="1"/>
          <w:color w:val="auto"/>
        </w:rPr>
        <w:t>EASTMAN KODAK COMPANY</w:t>
      </w:r>
    </w:p>
    <w:p>
      <w:pPr>
        <w:jc w:val="center"/>
        <w:ind w:right="1000"/>
        <w:spacing w:after="0" w:line="235" w:lineRule="auto"/>
        <w:rPr>
          <w:sz w:val="20"/>
          <w:szCs w:val="20"/>
          <w:color w:val="auto"/>
        </w:rPr>
      </w:pPr>
      <w:r>
        <w:rPr>
          <w:rFonts w:ascii="Calibri" w:cs="Calibri" w:eastAsia="Calibri" w:hAnsi="Calibri"/>
          <w:sz w:val="18"/>
          <w:szCs w:val="18"/>
          <w:b w:val="1"/>
          <w:bCs w:val="1"/>
          <w:color w:val="auto"/>
        </w:rPr>
        <w:t>Form 10-Q</w:t>
      </w:r>
    </w:p>
    <w:p>
      <w:pPr>
        <w:spacing w:after="0" w:line="213" w:lineRule="exact"/>
        <w:rPr>
          <w:sz w:val="20"/>
          <w:szCs w:val="20"/>
          <w:color w:val="auto"/>
        </w:rPr>
      </w:pPr>
    </w:p>
    <w:p>
      <w:pPr>
        <w:jc w:val="center"/>
        <w:ind w:right="1000"/>
        <w:spacing w:after="0"/>
        <w:rPr>
          <w:sz w:val="20"/>
          <w:szCs w:val="20"/>
          <w:color w:val="auto"/>
        </w:rPr>
      </w:pPr>
      <w:r>
        <w:rPr>
          <w:rFonts w:ascii="Calibri" w:cs="Calibri" w:eastAsia="Calibri" w:hAnsi="Calibri"/>
          <w:sz w:val="18"/>
          <w:szCs w:val="18"/>
          <w:b w:val="1"/>
          <w:bCs w:val="1"/>
          <w:color w:val="auto"/>
        </w:rPr>
        <w:t>March 31,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gridSpan w:val="7"/>
          </w:tcPr>
          <w:p>
            <w:pPr>
              <w:jc w:val="center"/>
              <w:ind w:right="2600"/>
              <w:spacing w:after="0"/>
              <w:rPr>
                <w:sz w:val="20"/>
                <w:szCs w:val="20"/>
                <w:color w:val="auto"/>
              </w:rPr>
            </w:pPr>
            <w:r>
              <w:rPr>
                <w:rFonts w:ascii="Calibri" w:cs="Calibri" w:eastAsia="Calibri" w:hAnsi="Calibri"/>
                <w:sz w:val="18"/>
                <w:szCs w:val="18"/>
                <w:b w:val="1"/>
                <w:bCs w:val="1"/>
                <w:color w:val="auto"/>
                <w:w w:val="95"/>
              </w:rPr>
              <w:t>Table of Contents</w:t>
            </w:r>
          </w:p>
        </w:tc>
        <w:tc>
          <w:tcPr>
            <w:tcW w:w="2040" w:type="dxa"/>
            <w:vAlign w:val="bottom"/>
          </w:tcPr>
          <w:p>
            <w:pPr>
              <w:spacing w:after="0"/>
              <w:rPr>
                <w:sz w:val="19"/>
                <w:szCs w:val="19"/>
                <w:color w:val="auto"/>
              </w:rPr>
            </w:pPr>
          </w:p>
        </w:tc>
      </w:tr>
      <w:tr>
        <w:trPr>
          <w:trHeight w:val="459"/>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40" w:type="dxa"/>
            <w:vAlign w:val="bottom"/>
          </w:tcPr>
          <w:p>
            <w:pPr>
              <w:ind w:left="1700"/>
              <w:spacing w:after="0"/>
              <w:rPr>
                <w:sz w:val="20"/>
                <w:szCs w:val="20"/>
                <w:color w:val="auto"/>
              </w:rPr>
            </w:pPr>
            <w:r>
              <w:rPr>
                <w:rFonts w:ascii="Calibri" w:cs="Calibri" w:eastAsia="Calibri" w:hAnsi="Calibri"/>
                <w:sz w:val="18"/>
                <w:szCs w:val="18"/>
                <w:b w:val="1"/>
                <w:bCs w:val="1"/>
                <w:color w:val="auto"/>
                <w:w w:val="88"/>
              </w:rPr>
              <w:t>Page</w:t>
            </w:r>
          </w:p>
        </w:tc>
      </w:tr>
      <w:tr>
        <w:trPr>
          <w:trHeight w:val="216"/>
        </w:trPr>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80" w:type="dxa"/>
            <w:vAlign w:val="bottom"/>
            <w:gridSpan w:val="9"/>
          </w:tcPr>
          <w:p>
            <w:pPr>
              <w:jc w:val="center"/>
              <w:ind w:right="2620"/>
              <w:spacing w:after="0" w:line="216" w:lineRule="exact"/>
              <w:rPr>
                <w:sz w:val="20"/>
                <w:szCs w:val="20"/>
                <w:color w:val="auto"/>
              </w:rPr>
            </w:pPr>
            <w:r>
              <w:rPr>
                <w:rFonts w:ascii="Calibri" w:cs="Calibri" w:eastAsia="Calibri" w:hAnsi="Calibri"/>
                <w:sz w:val="18"/>
                <w:szCs w:val="18"/>
                <w:b w:val="1"/>
                <w:bCs w:val="1"/>
                <w:color w:val="auto"/>
                <w:w w:val="98"/>
              </w:rPr>
              <w:t>Part I.—Financial Informaton</w:t>
            </w:r>
          </w:p>
        </w:tc>
        <w:tc>
          <w:tcPr>
            <w:tcW w:w="2040" w:type="dxa"/>
            <w:vAlign w:val="bottom"/>
          </w:tcPr>
          <w:p>
            <w:pPr>
              <w:spacing w:after="0"/>
              <w:rPr>
                <w:sz w:val="18"/>
                <w:szCs w:val="18"/>
                <w:color w:val="auto"/>
              </w:rPr>
            </w:pPr>
          </w:p>
        </w:tc>
      </w:tr>
      <w:tr>
        <w:trPr>
          <w:trHeight w:val="334"/>
        </w:trPr>
        <w:tc>
          <w:tcPr>
            <w:tcW w:w="1480" w:type="dxa"/>
            <w:vAlign w:val="bottom"/>
            <w:tcBorders>
              <w:bottom w:val="single" w:sz="8" w:color="0000EE"/>
            </w:tcBorders>
            <w:gridSpan w:val="6"/>
          </w:tcPr>
          <w:p>
            <w:pPr>
              <w:spacing w:after="0"/>
              <w:rPr>
                <w:sz w:val="20"/>
                <w:szCs w:val="20"/>
                <w:color w:val="auto"/>
              </w:rPr>
            </w:pPr>
            <w:r>
              <w:rPr>
                <w:rFonts w:ascii="Calibri" w:cs="Calibri" w:eastAsia="Calibri" w:hAnsi="Calibri"/>
                <w:sz w:val="18"/>
                <w:szCs w:val="18"/>
                <w:color w:val="0000EE"/>
                <w:w w:val="95"/>
              </w:rPr>
              <w:t>Financial Statements</w:t>
            </w:r>
          </w:p>
        </w:tc>
        <w:tc>
          <w:tcPr>
            <w:tcW w:w="6420" w:type="dxa"/>
            <w:vAlign w:val="bottom"/>
            <w:gridSpan w:val="12"/>
          </w:tcPr>
          <w:p>
            <w:pPr>
              <w:spacing w:after="0"/>
              <w:rPr>
                <w:sz w:val="24"/>
                <w:szCs w:val="24"/>
                <w:color w:val="auto"/>
              </w:rPr>
            </w:pP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rPr>
              <w:t>8</w:t>
            </w:r>
          </w:p>
        </w:tc>
      </w:tr>
      <w:tr>
        <w:trPr>
          <w:trHeight w:val="223"/>
        </w:trPr>
        <w:tc>
          <w:tcPr>
            <w:tcW w:w="3640" w:type="dxa"/>
            <w:vAlign w:val="bottom"/>
            <w:tcBorders>
              <w:bottom w:val="single" w:sz="8" w:color="0000EE"/>
            </w:tcBorders>
            <w:gridSpan w:val="11"/>
          </w:tcPr>
          <w:p>
            <w:pPr>
              <w:spacing w:after="0"/>
              <w:rPr>
                <w:sz w:val="20"/>
                <w:szCs w:val="20"/>
                <w:color w:val="auto"/>
              </w:rPr>
            </w:pPr>
            <w:r>
              <w:rPr>
                <w:rFonts w:ascii="Calibri" w:cs="Calibri" w:eastAsia="Calibri" w:hAnsi="Calibri"/>
                <w:sz w:val="18"/>
                <w:szCs w:val="18"/>
                <w:color w:val="0000EE"/>
                <w:w w:val="98"/>
              </w:rPr>
              <w:t>Consolidated Statement of Operatons (Unaudited)</w:t>
            </w:r>
          </w:p>
        </w:tc>
        <w:tc>
          <w:tcPr>
            <w:tcW w:w="4260" w:type="dxa"/>
            <w:vAlign w:val="bottom"/>
            <w:gridSpan w:val="7"/>
          </w:tcPr>
          <w:p>
            <w:pPr>
              <w:spacing w:after="0"/>
              <w:rPr>
                <w:sz w:val="19"/>
                <w:szCs w:val="19"/>
                <w:color w:val="auto"/>
              </w:rPr>
            </w:pP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rPr>
              <w:t>2</w:t>
            </w:r>
          </w:p>
        </w:tc>
      </w:tr>
      <w:tr>
        <w:trPr>
          <w:trHeight w:val="223"/>
        </w:trPr>
        <w:tc>
          <w:tcPr>
            <w:tcW w:w="7900" w:type="dxa"/>
            <w:vAlign w:val="bottom"/>
            <w:gridSpan w:val="18"/>
          </w:tcPr>
          <w:p>
            <w:pPr>
              <w:spacing w:after="0"/>
              <w:rPr>
                <w:sz w:val="20"/>
                <w:szCs w:val="20"/>
                <w:color w:val="auto"/>
              </w:rPr>
            </w:pPr>
            <w:r>
              <w:rPr>
                <w:rFonts w:ascii="Calibri" w:cs="Calibri" w:eastAsia="Calibri" w:hAnsi="Calibri"/>
                <w:sz w:val="18"/>
                <w:szCs w:val="18"/>
                <w:color w:val="0000EE"/>
              </w:rPr>
              <w:t>Consolidated Statement of Comprehensive Income (Unaudited)</w:t>
            </w: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rPr>
              <w:t>3</w:t>
            </w:r>
          </w:p>
        </w:tc>
      </w:tr>
      <w:tr>
        <w:trPr>
          <w:trHeight w:val="223"/>
        </w:trPr>
        <w:tc>
          <w:tcPr>
            <w:tcW w:w="4500" w:type="dxa"/>
            <w:vAlign w:val="bottom"/>
            <w:tcBorders>
              <w:top w:val="single" w:sz="8" w:color="0000EE"/>
            </w:tcBorders>
            <w:gridSpan w:val="16"/>
          </w:tcPr>
          <w:p>
            <w:pPr>
              <w:spacing w:after="0"/>
              <w:rPr>
                <w:sz w:val="20"/>
                <w:szCs w:val="20"/>
                <w:color w:val="auto"/>
              </w:rPr>
            </w:pPr>
            <w:r>
              <w:rPr>
                <w:rFonts w:ascii="Calibri" w:cs="Calibri" w:eastAsia="Calibri" w:hAnsi="Calibri"/>
                <w:sz w:val="18"/>
                <w:szCs w:val="18"/>
                <w:color w:val="0000EE"/>
              </w:rPr>
              <w:t>Consolidated Statement of Financial Positon (Unaudited)</w:t>
            </w:r>
          </w:p>
        </w:tc>
        <w:tc>
          <w:tcPr>
            <w:tcW w:w="3400" w:type="dxa"/>
            <w:vAlign w:val="bottom"/>
            <w:gridSpan w:val="2"/>
          </w:tcPr>
          <w:p>
            <w:pPr>
              <w:spacing w:after="0"/>
              <w:rPr>
                <w:sz w:val="19"/>
                <w:szCs w:val="19"/>
                <w:color w:val="auto"/>
              </w:rPr>
            </w:pP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rPr>
              <w:t>4</w:t>
            </w:r>
          </w:p>
        </w:tc>
      </w:tr>
      <w:tr>
        <w:trPr>
          <w:trHeight w:val="223"/>
        </w:trPr>
        <w:tc>
          <w:tcPr>
            <w:tcW w:w="3620" w:type="dxa"/>
            <w:vAlign w:val="bottom"/>
            <w:tcBorders>
              <w:top w:val="single" w:sz="8" w:color="0000EE"/>
              <w:bottom w:val="single" w:sz="8" w:color="0000EE"/>
            </w:tcBorders>
            <w:gridSpan w:val="10"/>
          </w:tcPr>
          <w:p>
            <w:pPr>
              <w:spacing w:after="0"/>
              <w:rPr>
                <w:sz w:val="20"/>
                <w:szCs w:val="20"/>
                <w:color w:val="auto"/>
              </w:rPr>
            </w:pPr>
            <w:r>
              <w:rPr>
                <w:rFonts w:ascii="Calibri" w:cs="Calibri" w:eastAsia="Calibri" w:hAnsi="Calibri"/>
                <w:sz w:val="18"/>
                <w:szCs w:val="18"/>
                <w:color w:val="0000EE"/>
                <w:w w:val="96"/>
              </w:rPr>
              <w:t>Consolidated Statement of Cash Flows (Unaudited)</w:t>
            </w:r>
          </w:p>
        </w:tc>
        <w:tc>
          <w:tcPr>
            <w:tcW w:w="440" w:type="dxa"/>
            <w:vAlign w:val="bottom"/>
            <w:tcBorders>
              <w:top w:val="single" w:sz="8" w:color="0000EE"/>
            </w:tcBorders>
            <w:gridSpan w:val="3"/>
          </w:tcPr>
          <w:p>
            <w:pPr>
              <w:spacing w:after="0"/>
              <w:rPr>
                <w:sz w:val="19"/>
                <w:szCs w:val="19"/>
                <w:color w:val="auto"/>
              </w:rPr>
            </w:pPr>
          </w:p>
        </w:tc>
        <w:tc>
          <w:tcPr>
            <w:tcW w:w="3840" w:type="dxa"/>
            <w:vAlign w:val="bottom"/>
            <w:gridSpan w:val="5"/>
          </w:tcPr>
          <w:p>
            <w:pPr>
              <w:spacing w:after="0"/>
              <w:rPr>
                <w:sz w:val="19"/>
                <w:szCs w:val="19"/>
                <w:color w:val="auto"/>
              </w:rPr>
            </w:pP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rPr>
              <w:t>5</w:t>
            </w:r>
          </w:p>
        </w:tc>
      </w:tr>
      <w:tr>
        <w:trPr>
          <w:trHeight w:val="223"/>
        </w:trPr>
        <w:tc>
          <w:tcPr>
            <w:tcW w:w="7900" w:type="dxa"/>
            <w:vAlign w:val="bottom"/>
            <w:gridSpan w:val="18"/>
          </w:tcPr>
          <w:p>
            <w:pPr>
              <w:spacing w:after="0"/>
              <w:rPr>
                <w:sz w:val="20"/>
                <w:szCs w:val="20"/>
                <w:color w:val="auto"/>
              </w:rPr>
            </w:pPr>
            <w:r>
              <w:rPr>
                <w:rFonts w:ascii="Calibri" w:cs="Calibri" w:eastAsia="Calibri" w:hAnsi="Calibri"/>
                <w:sz w:val="18"/>
                <w:szCs w:val="18"/>
                <w:color w:val="0000EE"/>
              </w:rPr>
              <w:t>Consolidated Statement of Equity (Defcit) (Unaudited)</w:t>
            </w: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rPr>
              <w:t>6</w:t>
            </w:r>
          </w:p>
        </w:tc>
      </w:tr>
      <w:tr>
        <w:trPr>
          <w:trHeight w:val="223"/>
        </w:trPr>
        <w:tc>
          <w:tcPr>
            <w:tcW w:w="3020" w:type="dxa"/>
            <w:vAlign w:val="bottom"/>
            <w:tcBorders>
              <w:top w:val="single" w:sz="8" w:color="0000EE"/>
              <w:bottom w:val="single" w:sz="8" w:color="0000EE"/>
            </w:tcBorders>
            <w:gridSpan w:val="9"/>
          </w:tcPr>
          <w:p>
            <w:pPr>
              <w:spacing w:after="0"/>
              <w:rPr>
                <w:sz w:val="20"/>
                <w:szCs w:val="20"/>
                <w:color w:val="auto"/>
              </w:rPr>
            </w:pPr>
            <w:r>
              <w:rPr>
                <w:rFonts w:ascii="Calibri" w:cs="Calibri" w:eastAsia="Calibri" w:hAnsi="Calibri"/>
                <w:sz w:val="18"/>
                <w:szCs w:val="18"/>
                <w:color w:val="0000EE"/>
                <w:w w:val="96"/>
              </w:rPr>
              <w:t>Notes to Financial Statements (Unaudited)</w:t>
            </w:r>
          </w:p>
        </w:tc>
        <w:tc>
          <w:tcPr>
            <w:tcW w:w="860" w:type="dxa"/>
            <w:vAlign w:val="bottom"/>
            <w:tcBorders>
              <w:top w:val="single" w:sz="8" w:color="0000EE"/>
            </w:tcBorders>
            <w:gridSpan w:val="3"/>
          </w:tcPr>
          <w:p>
            <w:pPr>
              <w:spacing w:after="0"/>
              <w:rPr>
                <w:sz w:val="19"/>
                <w:szCs w:val="19"/>
                <w:color w:val="auto"/>
              </w:rPr>
            </w:pPr>
          </w:p>
        </w:tc>
        <w:tc>
          <w:tcPr>
            <w:tcW w:w="4020" w:type="dxa"/>
            <w:vAlign w:val="bottom"/>
            <w:gridSpan w:val="6"/>
          </w:tcPr>
          <w:p>
            <w:pPr>
              <w:spacing w:after="0"/>
              <w:rPr>
                <w:sz w:val="19"/>
                <w:szCs w:val="19"/>
                <w:color w:val="auto"/>
              </w:rPr>
            </w:pP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rPr>
              <w:t>8</w:t>
            </w:r>
          </w:p>
        </w:tc>
      </w:tr>
      <w:tr>
        <w:trPr>
          <w:trHeight w:val="223"/>
        </w:trPr>
        <w:tc>
          <w:tcPr>
            <w:tcW w:w="7900" w:type="dxa"/>
            <w:vAlign w:val="bottom"/>
            <w:gridSpan w:val="18"/>
          </w:tcPr>
          <w:p>
            <w:pPr>
              <w:spacing w:after="0"/>
              <w:rPr>
                <w:sz w:val="20"/>
                <w:szCs w:val="20"/>
                <w:color w:val="auto"/>
              </w:rPr>
            </w:pPr>
            <w:r>
              <w:rPr>
                <w:rFonts w:ascii="Calibri" w:cs="Calibri" w:eastAsia="Calibri" w:hAnsi="Calibri"/>
                <w:sz w:val="18"/>
                <w:szCs w:val="18"/>
                <w:color w:val="0000EE"/>
              </w:rPr>
              <w:t>Management’s Discussion and Analysis of Financial Conditon and Results of Operatons</w:t>
            </w: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w w:val="98"/>
              </w:rPr>
              <w:t>26</w:t>
            </w:r>
          </w:p>
        </w:tc>
      </w:tr>
      <w:tr>
        <w:trPr>
          <w:trHeight w:val="223"/>
        </w:trPr>
        <w:tc>
          <w:tcPr>
            <w:tcW w:w="6220" w:type="dxa"/>
            <w:vAlign w:val="bottom"/>
            <w:tcBorders>
              <w:top w:val="single" w:sz="8" w:color="0000EE"/>
            </w:tcBorders>
            <w:gridSpan w:val="17"/>
          </w:tcPr>
          <w:p>
            <w:pPr>
              <w:spacing w:after="0"/>
              <w:rPr>
                <w:sz w:val="20"/>
                <w:szCs w:val="20"/>
                <w:color w:val="auto"/>
              </w:rPr>
            </w:pPr>
            <w:r>
              <w:rPr>
                <w:rFonts w:ascii="Calibri" w:cs="Calibri" w:eastAsia="Calibri" w:hAnsi="Calibri"/>
                <w:sz w:val="18"/>
                <w:szCs w:val="18"/>
                <w:color w:val="0000EE"/>
              </w:rPr>
              <w:t>Liquidity and Capital Resources</w:t>
            </w:r>
          </w:p>
        </w:tc>
        <w:tc>
          <w:tcPr>
            <w:tcW w:w="1680" w:type="dxa"/>
            <w:vAlign w:val="bottom"/>
          </w:tcPr>
          <w:p>
            <w:pPr>
              <w:spacing w:after="0"/>
              <w:rPr>
                <w:sz w:val="19"/>
                <w:szCs w:val="19"/>
                <w:color w:val="auto"/>
              </w:rPr>
            </w:pP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w w:val="98"/>
              </w:rPr>
              <w:t>33</w:t>
            </w:r>
          </w:p>
        </w:tc>
      </w:tr>
      <w:tr>
        <w:trPr>
          <w:trHeight w:val="20"/>
        </w:trPr>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7900" w:type="dxa"/>
            <w:vAlign w:val="bottom"/>
            <w:gridSpan w:val="18"/>
          </w:tcPr>
          <w:p>
            <w:pPr>
              <w:spacing w:after="0"/>
              <w:rPr>
                <w:sz w:val="20"/>
                <w:szCs w:val="20"/>
                <w:color w:val="auto"/>
              </w:rPr>
            </w:pPr>
            <w:r>
              <w:rPr>
                <w:rFonts w:ascii="Calibri" w:cs="Calibri" w:eastAsia="Calibri" w:hAnsi="Calibri"/>
                <w:sz w:val="18"/>
                <w:szCs w:val="18"/>
                <w:color w:val="0000EE"/>
              </w:rPr>
              <w:t>Quanttatve and Qualitatve Disclosures About Market Risk</w:t>
            </w: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w w:val="98"/>
              </w:rPr>
              <w:t>36</w:t>
            </w:r>
          </w:p>
        </w:tc>
      </w:tr>
      <w:tr>
        <w:trPr>
          <w:trHeight w:val="223"/>
        </w:trPr>
        <w:tc>
          <w:tcPr>
            <w:tcW w:w="4200" w:type="dxa"/>
            <w:vAlign w:val="bottom"/>
            <w:tcBorders>
              <w:top w:val="single" w:sz="8" w:color="0000EE"/>
            </w:tcBorders>
            <w:gridSpan w:val="14"/>
          </w:tcPr>
          <w:p>
            <w:pPr>
              <w:spacing w:after="0"/>
              <w:rPr>
                <w:sz w:val="20"/>
                <w:szCs w:val="20"/>
                <w:color w:val="auto"/>
              </w:rPr>
            </w:pPr>
            <w:r>
              <w:rPr>
                <w:rFonts w:ascii="Calibri" w:cs="Calibri" w:eastAsia="Calibri" w:hAnsi="Calibri"/>
                <w:sz w:val="18"/>
                <w:szCs w:val="18"/>
                <w:color w:val="0000EE"/>
              </w:rPr>
              <w:t>Controls and Procedures</w:t>
            </w:r>
          </w:p>
        </w:tc>
        <w:tc>
          <w:tcPr>
            <w:tcW w:w="3700" w:type="dxa"/>
            <w:vAlign w:val="bottom"/>
            <w:gridSpan w:val="4"/>
          </w:tcPr>
          <w:p>
            <w:pPr>
              <w:spacing w:after="0"/>
              <w:rPr>
                <w:sz w:val="19"/>
                <w:szCs w:val="19"/>
                <w:color w:val="auto"/>
              </w:rPr>
            </w:pP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w w:val="98"/>
              </w:rPr>
              <w:t>38</w:t>
            </w:r>
          </w:p>
        </w:tc>
      </w:tr>
      <w:tr>
        <w:trPr>
          <w:trHeight w:val="348"/>
        </w:trPr>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80" w:type="dxa"/>
            <w:vAlign w:val="bottom"/>
            <w:gridSpan w:val="9"/>
          </w:tcPr>
          <w:p>
            <w:pPr>
              <w:jc w:val="center"/>
              <w:ind w:right="2620"/>
              <w:spacing w:after="0"/>
              <w:rPr>
                <w:sz w:val="20"/>
                <w:szCs w:val="20"/>
                <w:color w:val="auto"/>
              </w:rPr>
            </w:pPr>
            <w:r>
              <w:rPr>
                <w:rFonts w:ascii="Calibri" w:cs="Calibri" w:eastAsia="Calibri" w:hAnsi="Calibri"/>
                <w:sz w:val="18"/>
                <w:szCs w:val="18"/>
                <w:b w:val="1"/>
                <w:bCs w:val="1"/>
                <w:color w:val="auto"/>
                <w:w w:val="99"/>
              </w:rPr>
              <w:t>Part II. —Other Informaton</w:t>
            </w:r>
          </w:p>
        </w:tc>
        <w:tc>
          <w:tcPr>
            <w:tcW w:w="2040" w:type="dxa"/>
            <w:vAlign w:val="bottom"/>
          </w:tcPr>
          <w:p>
            <w:pPr>
              <w:spacing w:after="0"/>
              <w:rPr>
                <w:sz w:val="24"/>
                <w:szCs w:val="24"/>
                <w:color w:val="auto"/>
              </w:rPr>
            </w:pPr>
          </w:p>
        </w:tc>
      </w:tr>
      <w:tr>
        <w:trPr>
          <w:trHeight w:val="483"/>
        </w:trPr>
        <w:tc>
          <w:tcPr>
            <w:tcW w:w="7900" w:type="dxa"/>
            <w:vAlign w:val="bottom"/>
            <w:gridSpan w:val="18"/>
          </w:tcPr>
          <w:p>
            <w:pPr>
              <w:spacing w:after="0"/>
              <w:rPr>
                <w:sz w:val="20"/>
                <w:szCs w:val="20"/>
                <w:color w:val="auto"/>
              </w:rPr>
            </w:pPr>
            <w:r>
              <w:rPr>
                <w:rFonts w:ascii="Calibri" w:cs="Calibri" w:eastAsia="Calibri" w:hAnsi="Calibri"/>
                <w:sz w:val="18"/>
                <w:szCs w:val="18"/>
                <w:color w:val="0000EE"/>
              </w:rPr>
              <w:t>Legal Proceedings</w:t>
            </w: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w w:val="98"/>
              </w:rPr>
              <w:t>38</w:t>
            </w:r>
          </w:p>
        </w:tc>
      </w:tr>
      <w:tr>
        <w:trPr>
          <w:trHeight w:val="223"/>
        </w:trPr>
        <w:tc>
          <w:tcPr>
            <w:tcW w:w="840" w:type="dxa"/>
            <w:vAlign w:val="bottom"/>
            <w:tcBorders>
              <w:top w:val="single" w:sz="8" w:color="0000EE"/>
              <w:bottom w:val="single" w:sz="8" w:color="0000EE"/>
            </w:tcBorders>
            <w:gridSpan w:val="3"/>
          </w:tcPr>
          <w:p>
            <w:pPr>
              <w:spacing w:after="0"/>
              <w:rPr>
                <w:sz w:val="20"/>
                <w:szCs w:val="20"/>
                <w:color w:val="auto"/>
              </w:rPr>
            </w:pPr>
            <w:r>
              <w:rPr>
                <w:rFonts w:ascii="Calibri" w:cs="Calibri" w:eastAsia="Calibri" w:hAnsi="Calibri"/>
                <w:sz w:val="18"/>
                <w:szCs w:val="18"/>
                <w:color w:val="0000EE"/>
                <w:w w:val="94"/>
              </w:rPr>
              <w:t>Risk Factors</w:t>
            </w:r>
          </w:p>
        </w:tc>
        <w:tc>
          <w:tcPr>
            <w:tcW w:w="420" w:type="dxa"/>
            <w:vAlign w:val="bottom"/>
            <w:tcBorders>
              <w:top w:val="single" w:sz="8" w:color="0000EE"/>
            </w:tcBorders>
            <w:gridSpan w:val="2"/>
          </w:tcPr>
          <w:p>
            <w:pPr>
              <w:spacing w:after="0"/>
              <w:rPr>
                <w:sz w:val="19"/>
                <w:szCs w:val="19"/>
                <w:color w:val="auto"/>
              </w:rPr>
            </w:pPr>
          </w:p>
        </w:tc>
        <w:tc>
          <w:tcPr>
            <w:tcW w:w="6640" w:type="dxa"/>
            <w:vAlign w:val="bottom"/>
            <w:gridSpan w:val="13"/>
          </w:tcPr>
          <w:p>
            <w:pPr>
              <w:spacing w:after="0"/>
              <w:rPr>
                <w:sz w:val="19"/>
                <w:szCs w:val="19"/>
                <w:color w:val="auto"/>
              </w:rPr>
            </w:pP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w w:val="98"/>
              </w:rPr>
              <w:t>39</w:t>
            </w:r>
          </w:p>
        </w:tc>
      </w:tr>
      <w:tr>
        <w:trPr>
          <w:trHeight w:val="223"/>
        </w:trPr>
        <w:tc>
          <w:tcPr>
            <w:tcW w:w="4220" w:type="dxa"/>
            <w:vAlign w:val="bottom"/>
            <w:tcBorders>
              <w:bottom w:val="single" w:sz="8" w:color="0000EE"/>
            </w:tcBorders>
            <w:gridSpan w:val="15"/>
          </w:tcPr>
          <w:p>
            <w:pPr>
              <w:spacing w:after="0"/>
              <w:rPr>
                <w:sz w:val="20"/>
                <w:szCs w:val="20"/>
                <w:color w:val="auto"/>
              </w:rPr>
            </w:pPr>
            <w:r>
              <w:rPr>
                <w:rFonts w:ascii="Calibri" w:cs="Calibri" w:eastAsia="Calibri" w:hAnsi="Calibri"/>
                <w:sz w:val="18"/>
                <w:szCs w:val="18"/>
                <w:color w:val="0000EE"/>
                <w:w w:val="97"/>
              </w:rPr>
              <w:t>Unregistered Sales of Equity Securites and Use of Proceeds</w:t>
            </w:r>
          </w:p>
        </w:tc>
        <w:tc>
          <w:tcPr>
            <w:tcW w:w="3680" w:type="dxa"/>
            <w:vAlign w:val="bottom"/>
            <w:gridSpan w:val="3"/>
          </w:tcPr>
          <w:p>
            <w:pPr>
              <w:spacing w:after="0"/>
              <w:rPr>
                <w:sz w:val="19"/>
                <w:szCs w:val="19"/>
                <w:color w:val="auto"/>
              </w:rPr>
            </w:pP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w w:val="98"/>
              </w:rPr>
              <w:t>39</w:t>
            </w:r>
          </w:p>
        </w:tc>
      </w:tr>
      <w:tr>
        <w:trPr>
          <w:trHeight w:val="223"/>
        </w:trPr>
        <w:tc>
          <w:tcPr>
            <w:tcW w:w="560" w:type="dxa"/>
            <w:vAlign w:val="bottom"/>
            <w:tcBorders>
              <w:bottom w:val="single" w:sz="8" w:color="0000EE"/>
            </w:tcBorders>
          </w:tcPr>
          <w:p>
            <w:pPr>
              <w:spacing w:after="0"/>
              <w:rPr>
                <w:sz w:val="20"/>
                <w:szCs w:val="20"/>
                <w:color w:val="auto"/>
              </w:rPr>
            </w:pPr>
            <w:r>
              <w:rPr>
                <w:rFonts w:ascii="Calibri" w:cs="Calibri" w:eastAsia="Calibri" w:hAnsi="Calibri"/>
                <w:sz w:val="18"/>
                <w:szCs w:val="18"/>
                <w:color w:val="0000EE"/>
                <w:w w:val="94"/>
              </w:rPr>
              <w:t>Exhibits</w:t>
            </w:r>
          </w:p>
        </w:tc>
        <w:tc>
          <w:tcPr>
            <w:tcW w:w="7340" w:type="dxa"/>
            <w:vAlign w:val="bottom"/>
            <w:gridSpan w:val="17"/>
          </w:tcPr>
          <w:p>
            <w:pPr>
              <w:spacing w:after="0"/>
              <w:rPr>
                <w:sz w:val="19"/>
                <w:szCs w:val="19"/>
                <w:color w:val="auto"/>
              </w:rPr>
            </w:pP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w w:val="98"/>
              </w:rPr>
              <w:t>40</w:t>
            </w:r>
          </w:p>
        </w:tc>
      </w:tr>
      <w:tr>
        <w:trPr>
          <w:trHeight w:val="223"/>
        </w:trPr>
        <w:tc>
          <w:tcPr>
            <w:tcW w:w="7900" w:type="dxa"/>
            <w:vAlign w:val="bottom"/>
            <w:gridSpan w:val="18"/>
          </w:tcPr>
          <w:p>
            <w:pPr>
              <w:spacing w:after="0"/>
              <w:rPr>
                <w:sz w:val="20"/>
                <w:szCs w:val="20"/>
                <w:color w:val="auto"/>
              </w:rPr>
            </w:pPr>
            <w:r>
              <w:rPr>
                <w:rFonts w:ascii="Calibri" w:cs="Calibri" w:eastAsia="Calibri" w:hAnsi="Calibri"/>
                <w:sz w:val="18"/>
                <w:szCs w:val="18"/>
                <w:color w:val="0000EE"/>
              </w:rPr>
              <w:t>Index to Exhibits</w:t>
            </w: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w w:val="98"/>
              </w:rPr>
              <w:t>40</w:t>
            </w:r>
          </w:p>
        </w:tc>
      </w:tr>
      <w:tr>
        <w:trPr>
          <w:trHeight w:val="223"/>
        </w:trPr>
        <w:tc>
          <w:tcPr>
            <w:tcW w:w="1160" w:type="dxa"/>
            <w:vAlign w:val="bottom"/>
            <w:tcBorders>
              <w:top w:val="single" w:sz="8" w:color="0000EE"/>
            </w:tcBorders>
            <w:gridSpan w:val="4"/>
          </w:tcPr>
          <w:p>
            <w:pPr>
              <w:spacing w:after="0"/>
              <w:rPr>
                <w:sz w:val="20"/>
                <w:szCs w:val="20"/>
                <w:color w:val="auto"/>
              </w:rPr>
            </w:pPr>
            <w:r>
              <w:rPr>
                <w:rFonts w:ascii="Calibri" w:cs="Calibri" w:eastAsia="Calibri" w:hAnsi="Calibri"/>
                <w:sz w:val="18"/>
                <w:szCs w:val="18"/>
                <w:color w:val="0000EE"/>
              </w:rPr>
              <w:t>Signatures</w:t>
            </w:r>
          </w:p>
        </w:tc>
        <w:tc>
          <w:tcPr>
            <w:tcW w:w="6740" w:type="dxa"/>
            <w:vAlign w:val="bottom"/>
            <w:gridSpan w:val="14"/>
          </w:tcPr>
          <w:p>
            <w:pPr>
              <w:spacing w:after="0"/>
              <w:rPr>
                <w:sz w:val="19"/>
                <w:szCs w:val="19"/>
                <w:color w:val="auto"/>
              </w:rPr>
            </w:pPr>
          </w:p>
        </w:tc>
        <w:tc>
          <w:tcPr>
            <w:tcW w:w="2040" w:type="dxa"/>
            <w:vAlign w:val="bottom"/>
          </w:tcPr>
          <w:p>
            <w:pPr>
              <w:jc w:val="center"/>
              <w:ind w:left="1730"/>
              <w:spacing w:after="0"/>
              <w:rPr>
                <w:sz w:val="20"/>
                <w:szCs w:val="20"/>
                <w:color w:val="auto"/>
              </w:rPr>
            </w:pPr>
            <w:r>
              <w:rPr>
                <w:rFonts w:ascii="Calibri" w:cs="Calibri" w:eastAsia="Calibri" w:hAnsi="Calibri"/>
                <w:sz w:val="18"/>
                <w:szCs w:val="18"/>
                <w:color w:val="auto"/>
                <w:w w:val="98"/>
              </w:rPr>
              <w:t>41</w:t>
            </w:r>
          </w:p>
        </w:tc>
      </w:tr>
      <w:tr>
        <w:trPr>
          <w:trHeight w:val="956"/>
        </w:trPr>
        <w:tc>
          <w:tcPr>
            <w:tcW w:w="740" w:type="dxa"/>
            <w:vAlign w:val="bottom"/>
            <w:tcBorders>
              <w:top w:val="single" w:sz="8" w:color="0000EE"/>
            </w:tcBorders>
            <w:gridSpan w:val="2"/>
          </w:tcPr>
          <w:p>
            <w:pPr>
              <w:spacing w:after="0"/>
              <w:rPr>
                <w:sz w:val="24"/>
                <w:szCs w:val="24"/>
                <w:color w:val="auto"/>
              </w:rPr>
            </w:pPr>
          </w:p>
        </w:tc>
        <w:tc>
          <w:tcPr>
            <w:tcW w:w="5480" w:type="dxa"/>
            <w:vAlign w:val="bottom"/>
            <w:gridSpan w:val="15"/>
          </w:tcPr>
          <w:p>
            <w:pPr>
              <w:jc w:val="right"/>
              <w:ind w:right="1660"/>
              <w:spacing w:after="0"/>
              <w:rPr>
                <w:sz w:val="20"/>
                <w:szCs w:val="20"/>
                <w:color w:val="auto"/>
              </w:rPr>
            </w:pPr>
            <w:r>
              <w:rPr>
                <w:rFonts w:ascii="Arial" w:cs="Arial" w:eastAsia="Arial" w:hAnsi="Arial"/>
                <w:sz w:val="18"/>
                <w:szCs w:val="18"/>
                <w:color w:val="auto"/>
              </w:rPr>
              <w:t>[1]</w:t>
            </w:r>
          </w:p>
        </w:tc>
        <w:tc>
          <w:tcPr>
            <w:tcW w:w="168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44450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20" w:space="540"/>
            <w:col w:w="9940"/>
          </w:cols>
          <w:pgMar w:left="320" w:top="342" w:right="479" w:bottom="1440" w:gutter="0" w:footer="0" w:header="0"/>
        </w:sectPr>
      </w:pPr>
    </w:p>
    <w:bookmarkStart w:id="2" w:name="page3"/>
    <w:bookmarkEnd w:id="2"/>
    <w:p>
      <w:pPr>
        <w:jc w:val="center"/>
        <w:ind w:right="-19"/>
        <w:spacing w:after="0"/>
        <w:rPr>
          <w:sz w:val="20"/>
          <w:szCs w:val="20"/>
          <w:color w:val="auto"/>
        </w:rPr>
      </w:pPr>
      <w:r>
        <w:rPr>
          <w:rFonts w:ascii="Calibri" w:cs="Calibri" w:eastAsia="Calibri" w:hAnsi="Calibri"/>
          <w:sz w:val="18"/>
          <w:szCs w:val="18"/>
          <w:b w:val="1"/>
          <w:bCs w:val="1"/>
          <w:color w:val="auto"/>
        </w:rPr>
        <w:t>Part I. FINANCIAL INFORMATION</w:t>
      </w:r>
    </w:p>
    <w:p>
      <w:pPr>
        <w:spacing w:after="0" w:line="235" w:lineRule="auto"/>
        <w:rPr>
          <w:sz w:val="20"/>
          <w:szCs w:val="20"/>
          <w:color w:val="auto"/>
        </w:rPr>
      </w:pPr>
      <w:r>
        <w:rPr>
          <w:rFonts w:ascii="Calibri" w:cs="Calibri" w:eastAsia="Calibri" w:hAnsi="Calibri"/>
          <w:sz w:val="18"/>
          <w:szCs w:val="18"/>
          <w:b w:val="1"/>
          <w:bCs w:val="1"/>
          <w:color w:val="auto"/>
        </w:rPr>
        <w:t>Item 1. Financial Statements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OPERATIONS (Unaudited)</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80" w:type="dxa"/>
            <w:vAlign w:val="bottom"/>
            <w:gridSpan w:val="3"/>
          </w:tcPr>
          <w:p>
            <w:pPr>
              <w:jc w:val="right"/>
              <w:ind w:right="61"/>
              <w:spacing w:after="0"/>
              <w:rPr>
                <w:sz w:val="20"/>
                <w:szCs w:val="20"/>
                <w:color w:val="auto"/>
              </w:rPr>
            </w:pPr>
            <w:r>
              <w:rPr>
                <w:rFonts w:ascii="Calibri" w:cs="Calibri" w:eastAsia="Calibri" w:hAnsi="Calibri"/>
                <w:sz w:val="18"/>
                <w:szCs w:val="18"/>
                <w:b w:val="1"/>
                <w:bCs w:val="1"/>
                <w:color w:val="auto"/>
              </w:rPr>
              <w:t>Three Months Ended</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80" w:type="dxa"/>
            <w:vAlign w:val="bottom"/>
            <w:gridSpan w:val="3"/>
          </w:tcPr>
          <w:p>
            <w:pPr>
              <w:jc w:val="right"/>
              <w:ind w:right="441"/>
              <w:spacing w:after="0"/>
              <w:rPr>
                <w:sz w:val="20"/>
                <w:szCs w:val="20"/>
                <w:color w:val="auto"/>
              </w:rPr>
            </w:pPr>
            <w:r>
              <w:rPr>
                <w:rFonts w:ascii="Calibri" w:cs="Calibri" w:eastAsia="Calibri" w:hAnsi="Calibri"/>
                <w:sz w:val="18"/>
                <w:szCs w:val="18"/>
                <w:b w:val="1"/>
                <w:bCs w:val="1"/>
                <w:color w:val="auto"/>
              </w:rPr>
              <w:t>March 31,</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
        </w:trPr>
        <w:tc>
          <w:tcPr>
            <w:tcW w:w="5200" w:type="dxa"/>
            <w:vAlign w:val="bottom"/>
          </w:tcPr>
          <w:p>
            <w:pPr>
              <w:spacing w:after="0"/>
              <w:rPr>
                <w:sz w:val="2"/>
                <w:szCs w:val="2"/>
                <w:color w:val="auto"/>
              </w:rPr>
            </w:pPr>
          </w:p>
        </w:tc>
        <w:tc>
          <w:tcPr>
            <w:tcW w:w="28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7"/>
        </w:trPr>
        <w:tc>
          <w:tcPr>
            <w:tcW w:w="5200" w:type="dxa"/>
            <w:vAlign w:val="bottom"/>
            <w:tcBorders>
              <w:bottom w:val="single" w:sz="8" w:color="CFF0FC"/>
            </w:tcBorders>
          </w:tcPr>
          <w:p>
            <w:pPr>
              <w:spacing w:after="0"/>
              <w:rPr>
                <w:sz w:val="18"/>
                <w:szCs w:val="18"/>
                <w:color w:val="auto"/>
              </w:rPr>
            </w:pPr>
          </w:p>
        </w:tc>
        <w:tc>
          <w:tcPr>
            <w:tcW w:w="1460" w:type="dxa"/>
            <w:vAlign w:val="bottom"/>
            <w:tcBorders>
              <w:bottom w:val="single" w:sz="8" w:color="CFF0FC"/>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2022</w:t>
            </w:r>
          </w:p>
        </w:tc>
        <w:tc>
          <w:tcPr>
            <w:tcW w:w="7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CFF0FC"/>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770"/>
              <w:spacing w:after="0" w:line="215" w:lineRule="exact"/>
              <w:rPr>
                <w:sz w:val="20"/>
                <w:szCs w:val="20"/>
                <w:color w:val="auto"/>
              </w:rPr>
            </w:pPr>
            <w:r>
              <w:rPr>
                <w:rFonts w:ascii="Calibri" w:cs="Calibri" w:eastAsia="Calibri" w:hAnsi="Calibri"/>
                <w:sz w:val="18"/>
                <w:szCs w:val="18"/>
                <w:b w:val="1"/>
                <w:bCs w:val="1"/>
                <w:color w:val="auto"/>
              </w:rPr>
              <w:t>2021</w:t>
            </w:r>
          </w:p>
        </w:tc>
        <w:tc>
          <w:tcPr>
            <w:tcW w:w="120" w:type="dxa"/>
            <w:vAlign w:val="bottom"/>
            <w:tcBorders>
              <w:bottom w:val="single" w:sz="8" w:color="CFF0FC"/>
            </w:tcBorders>
          </w:tcPr>
          <w:p>
            <w:pPr>
              <w:spacing w:after="0"/>
              <w:rPr>
                <w:sz w:val="18"/>
                <w:szCs w:val="18"/>
                <w:color w:val="auto"/>
              </w:rPr>
            </w:pPr>
          </w:p>
        </w:tc>
      </w:tr>
      <w:tr>
        <w:trPr>
          <w:trHeight w:val="209"/>
        </w:trPr>
        <w:tc>
          <w:tcPr>
            <w:tcW w:w="5200" w:type="dxa"/>
            <w:vAlign w:val="bottom"/>
            <w:tcBorders>
              <w:bottom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Revenues</w:t>
            </w:r>
          </w:p>
        </w:tc>
        <w:tc>
          <w:tcPr>
            <w:tcW w:w="14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r>
      <w:tr>
        <w:trPr>
          <w:trHeight w:val="222"/>
        </w:trPr>
        <w:tc>
          <w:tcPr>
            <w:tcW w:w="5200" w:type="dxa"/>
            <w:vAlign w:val="bottom"/>
          </w:tcPr>
          <w:p>
            <w:pPr>
              <w:ind w:left="500"/>
              <w:spacing w:after="0" w:line="215" w:lineRule="exact"/>
              <w:rPr>
                <w:sz w:val="20"/>
                <w:szCs w:val="20"/>
                <w:color w:val="auto"/>
              </w:rPr>
            </w:pPr>
            <w:r>
              <w:rPr>
                <w:rFonts w:ascii="Calibri" w:cs="Calibri" w:eastAsia="Calibri" w:hAnsi="Calibri"/>
                <w:sz w:val="18"/>
                <w:szCs w:val="18"/>
                <w:color w:val="auto"/>
              </w:rPr>
              <w:t>Sales</w:t>
            </w:r>
          </w:p>
        </w:tc>
        <w:tc>
          <w:tcPr>
            <w:tcW w:w="2800" w:type="dxa"/>
            <w:vAlign w:val="bottom"/>
            <w:gridSpan w:val="2"/>
          </w:tcPr>
          <w:p>
            <w:pPr>
              <w:jc w:val="right"/>
              <w:ind w:right="115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234</w:t>
            </w:r>
          </w:p>
        </w:tc>
        <w:tc>
          <w:tcPr>
            <w:tcW w:w="340" w:type="dxa"/>
            <w:vAlign w:val="bottom"/>
          </w:tcPr>
          <w:p>
            <w:pPr>
              <w:spacing w:after="0"/>
              <w:rPr>
                <w:sz w:val="19"/>
                <w:szCs w:val="19"/>
                <w:color w:val="auto"/>
              </w:rPr>
            </w:pPr>
          </w:p>
        </w:tc>
        <w:tc>
          <w:tcPr>
            <w:tcW w:w="720" w:type="dxa"/>
            <w:vAlign w:val="bottom"/>
          </w:tcPr>
          <w:p>
            <w:pPr>
              <w:jc w:val="right"/>
              <w:ind w:right="561"/>
              <w:spacing w:after="0"/>
              <w:rPr>
                <w:sz w:val="20"/>
                <w:szCs w:val="20"/>
                <w:color w:val="auto"/>
              </w:rPr>
            </w:pPr>
            <w:r>
              <w:rPr>
                <w:rFonts w:ascii="Calibri" w:cs="Calibri" w:eastAsia="Calibri" w:hAnsi="Calibri"/>
                <w:sz w:val="16"/>
                <w:szCs w:val="16"/>
                <w:color w:val="auto"/>
                <w:w w:val="73"/>
              </w:rPr>
              <w:t>$</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209</w:t>
            </w:r>
          </w:p>
        </w:tc>
        <w:tc>
          <w:tcPr>
            <w:tcW w:w="120" w:type="dxa"/>
            <w:vAlign w:val="bottom"/>
          </w:tcPr>
          <w:p>
            <w:pPr>
              <w:spacing w:after="0"/>
              <w:rPr>
                <w:sz w:val="19"/>
                <w:szCs w:val="19"/>
                <w:color w:val="auto"/>
              </w:rPr>
            </w:pPr>
          </w:p>
        </w:tc>
      </w:tr>
      <w:tr>
        <w:trPr>
          <w:trHeight w:val="237"/>
        </w:trPr>
        <w:tc>
          <w:tcPr>
            <w:tcW w:w="5200" w:type="dxa"/>
            <w:vAlign w:val="bottom"/>
            <w:shd w:val="clear" w:color="auto" w:fill="CFF0FC"/>
          </w:tcPr>
          <w:p>
            <w:pPr>
              <w:ind w:left="500"/>
              <w:spacing w:after="0"/>
              <w:rPr>
                <w:sz w:val="20"/>
                <w:szCs w:val="20"/>
                <w:color w:val="auto"/>
              </w:rPr>
            </w:pPr>
            <w:r>
              <w:rPr>
                <w:rFonts w:ascii="Calibri" w:cs="Calibri" w:eastAsia="Calibri" w:hAnsi="Calibri"/>
                <w:sz w:val="18"/>
                <w:szCs w:val="18"/>
                <w:color w:val="auto"/>
              </w:rPr>
              <w:t>Services</w:t>
            </w:r>
          </w:p>
        </w:tc>
        <w:tc>
          <w:tcPr>
            <w:tcW w:w="1460" w:type="dxa"/>
            <w:vAlign w:val="bottom"/>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56</w:t>
            </w:r>
          </w:p>
        </w:tc>
        <w:tc>
          <w:tcPr>
            <w:tcW w:w="34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56</w:t>
            </w:r>
          </w:p>
        </w:tc>
        <w:tc>
          <w:tcPr>
            <w:tcW w:w="120" w:type="dxa"/>
            <w:vAlign w:val="bottom"/>
            <w:shd w:val="clear" w:color="auto" w:fill="CFF0FC"/>
          </w:tcPr>
          <w:p>
            <w:pPr>
              <w:spacing w:after="0"/>
              <w:rPr>
                <w:sz w:val="20"/>
                <w:szCs w:val="20"/>
                <w:color w:val="auto"/>
              </w:rPr>
            </w:pPr>
          </w:p>
        </w:tc>
      </w:tr>
      <w:tr>
        <w:trPr>
          <w:trHeight w:val="217"/>
        </w:trPr>
        <w:tc>
          <w:tcPr>
            <w:tcW w:w="5200" w:type="dxa"/>
            <w:vAlign w:val="bottom"/>
            <w:tcBorders>
              <w:bottom w:val="single" w:sz="8" w:color="CFF0FC"/>
            </w:tcBorders>
          </w:tcPr>
          <w:p>
            <w:pPr>
              <w:spacing w:after="0" w:line="199" w:lineRule="exact"/>
              <w:rPr>
                <w:sz w:val="20"/>
                <w:szCs w:val="20"/>
                <w:color w:val="auto"/>
              </w:rPr>
            </w:pPr>
            <w:r>
              <w:rPr>
                <w:rFonts w:ascii="Calibri" w:cs="Calibri" w:eastAsia="Calibri" w:hAnsi="Calibri"/>
                <w:sz w:val="18"/>
                <w:szCs w:val="18"/>
                <w:color w:val="auto"/>
              </w:rPr>
              <w:t>Total revenues</w:t>
            </w:r>
          </w:p>
        </w:tc>
        <w:tc>
          <w:tcPr>
            <w:tcW w:w="146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290</w:t>
            </w:r>
          </w:p>
        </w:tc>
        <w:tc>
          <w:tcPr>
            <w:tcW w:w="34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265</w:t>
            </w:r>
          </w:p>
        </w:tc>
        <w:tc>
          <w:tcPr>
            <w:tcW w:w="120" w:type="dxa"/>
            <w:vAlign w:val="bottom"/>
            <w:tcBorders>
              <w:bottom w:val="single" w:sz="8" w:color="CFF0FC"/>
            </w:tcBorders>
          </w:tcPr>
          <w:p>
            <w:pPr>
              <w:spacing w:after="0"/>
              <w:rPr>
                <w:sz w:val="18"/>
                <w:szCs w:val="18"/>
                <w:color w:val="auto"/>
              </w:rPr>
            </w:pPr>
          </w:p>
        </w:tc>
      </w:tr>
      <w:tr>
        <w:trPr>
          <w:trHeight w:val="209"/>
        </w:trPr>
        <w:tc>
          <w:tcPr>
            <w:tcW w:w="5200" w:type="dxa"/>
            <w:vAlign w:val="bottom"/>
            <w:tcBorders>
              <w:bottom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Cost of revenues</w:t>
            </w:r>
          </w:p>
        </w:tc>
        <w:tc>
          <w:tcPr>
            <w:tcW w:w="14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r>
      <w:tr>
        <w:trPr>
          <w:trHeight w:val="222"/>
        </w:trPr>
        <w:tc>
          <w:tcPr>
            <w:tcW w:w="5200" w:type="dxa"/>
            <w:vAlign w:val="bottom"/>
          </w:tcPr>
          <w:p>
            <w:pPr>
              <w:ind w:left="500"/>
              <w:spacing w:after="0" w:line="215" w:lineRule="exact"/>
              <w:rPr>
                <w:sz w:val="20"/>
                <w:szCs w:val="20"/>
                <w:color w:val="auto"/>
              </w:rPr>
            </w:pPr>
            <w:r>
              <w:rPr>
                <w:rFonts w:ascii="Calibri" w:cs="Calibri" w:eastAsia="Calibri" w:hAnsi="Calibri"/>
                <w:sz w:val="18"/>
                <w:szCs w:val="18"/>
                <w:color w:val="auto"/>
              </w:rPr>
              <w:t>Sales</w:t>
            </w: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220</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185</w:t>
            </w:r>
          </w:p>
        </w:tc>
        <w:tc>
          <w:tcPr>
            <w:tcW w:w="120" w:type="dxa"/>
            <w:vAlign w:val="bottom"/>
          </w:tcPr>
          <w:p>
            <w:pPr>
              <w:spacing w:after="0"/>
              <w:rPr>
                <w:sz w:val="19"/>
                <w:szCs w:val="19"/>
                <w:color w:val="auto"/>
              </w:rPr>
            </w:pPr>
          </w:p>
        </w:tc>
      </w:tr>
      <w:tr>
        <w:trPr>
          <w:trHeight w:val="237"/>
        </w:trPr>
        <w:tc>
          <w:tcPr>
            <w:tcW w:w="5200" w:type="dxa"/>
            <w:vAlign w:val="bottom"/>
            <w:shd w:val="clear" w:color="auto" w:fill="CFF0FC"/>
          </w:tcPr>
          <w:p>
            <w:pPr>
              <w:ind w:left="500"/>
              <w:spacing w:after="0"/>
              <w:rPr>
                <w:sz w:val="20"/>
                <w:szCs w:val="20"/>
                <w:color w:val="auto"/>
              </w:rPr>
            </w:pPr>
            <w:r>
              <w:rPr>
                <w:rFonts w:ascii="Calibri" w:cs="Calibri" w:eastAsia="Calibri" w:hAnsi="Calibri"/>
                <w:sz w:val="18"/>
                <w:szCs w:val="18"/>
                <w:color w:val="auto"/>
              </w:rPr>
              <w:t>Services</w:t>
            </w:r>
          </w:p>
        </w:tc>
        <w:tc>
          <w:tcPr>
            <w:tcW w:w="1460" w:type="dxa"/>
            <w:vAlign w:val="bottom"/>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37</w:t>
            </w:r>
          </w:p>
        </w:tc>
        <w:tc>
          <w:tcPr>
            <w:tcW w:w="34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40</w:t>
            </w:r>
          </w:p>
        </w:tc>
        <w:tc>
          <w:tcPr>
            <w:tcW w:w="120" w:type="dxa"/>
            <w:vAlign w:val="bottom"/>
            <w:shd w:val="clear" w:color="auto" w:fill="CFF0FC"/>
          </w:tcPr>
          <w:p>
            <w:pPr>
              <w:spacing w:after="0"/>
              <w:rPr>
                <w:sz w:val="20"/>
                <w:szCs w:val="20"/>
                <w:color w:val="auto"/>
              </w:rPr>
            </w:pPr>
          </w:p>
        </w:tc>
      </w:tr>
      <w:tr>
        <w:trPr>
          <w:trHeight w:val="217"/>
        </w:trPr>
        <w:tc>
          <w:tcPr>
            <w:tcW w:w="5200" w:type="dxa"/>
            <w:vAlign w:val="bottom"/>
            <w:tcBorders>
              <w:bottom w:val="single" w:sz="8" w:color="CFF0FC"/>
            </w:tcBorders>
          </w:tcPr>
          <w:p>
            <w:pPr>
              <w:spacing w:after="0" w:line="199" w:lineRule="exact"/>
              <w:rPr>
                <w:sz w:val="20"/>
                <w:szCs w:val="20"/>
                <w:color w:val="auto"/>
              </w:rPr>
            </w:pPr>
            <w:r>
              <w:rPr>
                <w:rFonts w:ascii="Calibri" w:cs="Calibri" w:eastAsia="Calibri" w:hAnsi="Calibri"/>
                <w:sz w:val="18"/>
                <w:szCs w:val="18"/>
                <w:color w:val="auto"/>
              </w:rPr>
              <w:t>Total cost of revenues</w:t>
            </w:r>
          </w:p>
        </w:tc>
        <w:tc>
          <w:tcPr>
            <w:tcW w:w="146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257</w:t>
            </w:r>
          </w:p>
        </w:tc>
        <w:tc>
          <w:tcPr>
            <w:tcW w:w="34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225</w:t>
            </w:r>
          </w:p>
        </w:tc>
        <w:tc>
          <w:tcPr>
            <w:tcW w:w="120" w:type="dxa"/>
            <w:vAlign w:val="bottom"/>
            <w:tcBorders>
              <w:bottom w:val="single" w:sz="8" w:color="CFF0FC"/>
            </w:tcBorders>
          </w:tcPr>
          <w:p>
            <w:pPr>
              <w:spacing w:after="0"/>
              <w:rPr>
                <w:sz w:val="18"/>
                <w:szCs w:val="18"/>
                <w:color w:val="auto"/>
              </w:rPr>
            </w:pPr>
          </w:p>
        </w:tc>
      </w:tr>
      <w:tr>
        <w:trPr>
          <w:trHeight w:val="229"/>
        </w:trPr>
        <w:tc>
          <w:tcPr>
            <w:tcW w:w="5200" w:type="dxa"/>
            <w:vAlign w:val="bottom"/>
            <w:shd w:val="clear" w:color="auto" w:fill="CFF0FC"/>
          </w:tcPr>
          <w:p>
            <w:pPr>
              <w:ind w:left="260"/>
              <w:spacing w:after="0" w:line="206" w:lineRule="exact"/>
              <w:rPr>
                <w:sz w:val="20"/>
                <w:szCs w:val="20"/>
                <w:color w:val="auto"/>
              </w:rPr>
            </w:pPr>
            <w:r>
              <w:rPr>
                <w:rFonts w:ascii="Calibri" w:cs="Calibri" w:eastAsia="Calibri" w:hAnsi="Calibri"/>
                <w:sz w:val="18"/>
                <w:szCs w:val="18"/>
                <w:color w:val="auto"/>
              </w:rPr>
              <w:t>Gross proft</w:t>
            </w:r>
          </w:p>
        </w:tc>
        <w:tc>
          <w:tcPr>
            <w:tcW w:w="14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w:t>
            </w: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w:t>
            </w:r>
          </w:p>
        </w:tc>
        <w:tc>
          <w:tcPr>
            <w:tcW w:w="120" w:type="dxa"/>
            <w:vAlign w:val="bottom"/>
            <w:shd w:val="clear" w:color="auto" w:fill="CFF0FC"/>
          </w:tcPr>
          <w:p>
            <w:pPr>
              <w:spacing w:after="0"/>
              <w:rPr>
                <w:sz w:val="19"/>
                <w:szCs w:val="19"/>
                <w:color w:val="auto"/>
              </w:rPr>
            </w:pPr>
          </w:p>
        </w:tc>
      </w:tr>
      <w:tr>
        <w:trPr>
          <w:trHeight w:val="222"/>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43</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46</w:t>
            </w:r>
          </w:p>
        </w:tc>
        <w:tc>
          <w:tcPr>
            <w:tcW w:w="120" w:type="dxa"/>
            <w:vAlign w:val="bottom"/>
          </w:tcPr>
          <w:p>
            <w:pPr>
              <w:spacing w:after="0"/>
              <w:rPr>
                <w:sz w:val="19"/>
                <w:szCs w:val="19"/>
                <w:color w:val="auto"/>
              </w:rPr>
            </w:pPr>
          </w:p>
        </w:tc>
      </w:tr>
      <w:tr>
        <w:trPr>
          <w:trHeight w:val="237"/>
        </w:trPr>
        <w:tc>
          <w:tcPr>
            <w:tcW w:w="5200" w:type="dxa"/>
            <w:vAlign w:val="bottom"/>
            <w:shd w:val="clear" w:color="auto" w:fill="CFF0FC"/>
          </w:tcPr>
          <w:p>
            <w:pPr>
              <w:spacing w:after="0"/>
              <w:rPr>
                <w:sz w:val="20"/>
                <w:szCs w:val="20"/>
                <w:color w:val="auto"/>
              </w:rPr>
            </w:pPr>
            <w:r>
              <w:rPr>
                <w:rFonts w:ascii="Calibri" w:cs="Calibri" w:eastAsia="Calibri" w:hAnsi="Calibri"/>
                <w:sz w:val="18"/>
                <w:szCs w:val="18"/>
                <w:color w:val="auto"/>
              </w:rPr>
              <w:t>Research and development costs</w:t>
            </w:r>
          </w:p>
        </w:tc>
        <w:tc>
          <w:tcPr>
            <w:tcW w:w="14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9</w:t>
            </w:r>
          </w:p>
        </w:tc>
        <w:tc>
          <w:tcPr>
            <w:tcW w:w="3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8</w:t>
            </w:r>
          </w:p>
        </w:tc>
        <w:tc>
          <w:tcPr>
            <w:tcW w:w="120" w:type="dxa"/>
            <w:vAlign w:val="bottom"/>
            <w:shd w:val="clear" w:color="auto" w:fill="CFF0FC"/>
          </w:tcPr>
          <w:p>
            <w:pPr>
              <w:spacing w:after="0"/>
              <w:rPr>
                <w:sz w:val="20"/>
                <w:szCs w:val="20"/>
                <w:color w:val="auto"/>
              </w:rPr>
            </w:pPr>
          </w:p>
        </w:tc>
      </w:tr>
      <w:tr>
        <w:trPr>
          <w:trHeight w:val="222"/>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Restructuring costs and other</w:t>
            </w: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gridSpan w:val="2"/>
          </w:tcPr>
          <w:p>
            <w:pPr>
              <w:jc w:val="right"/>
              <w:ind w:right="36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9"/>
                <w:szCs w:val="19"/>
                <w:color w:val="auto"/>
              </w:rPr>
            </w:pPr>
          </w:p>
        </w:tc>
      </w:tr>
      <w:tr>
        <w:trPr>
          <w:trHeight w:val="237"/>
        </w:trPr>
        <w:tc>
          <w:tcPr>
            <w:tcW w:w="5200" w:type="dxa"/>
            <w:vAlign w:val="bottom"/>
            <w:shd w:val="clear" w:color="auto" w:fill="CFF0FC"/>
          </w:tcPr>
          <w:p>
            <w:pPr>
              <w:spacing w:after="0"/>
              <w:rPr>
                <w:sz w:val="20"/>
                <w:szCs w:val="20"/>
                <w:color w:val="auto"/>
              </w:rPr>
            </w:pPr>
            <w:r>
              <w:rPr>
                <w:rFonts w:ascii="Calibri" w:cs="Calibri" w:eastAsia="Calibri" w:hAnsi="Calibri"/>
                <w:sz w:val="18"/>
                <w:szCs w:val="18"/>
                <w:color w:val="auto"/>
              </w:rPr>
              <w:t>Other operatng income, net</w:t>
            </w:r>
          </w:p>
        </w:tc>
        <w:tc>
          <w:tcPr>
            <w:tcW w:w="14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60"/>
              <w:spacing w:after="0"/>
              <w:rPr>
                <w:sz w:val="20"/>
                <w:szCs w:val="20"/>
                <w:color w:val="auto"/>
              </w:rPr>
            </w:pPr>
            <w:r>
              <w:rPr>
                <w:rFonts w:ascii="Calibri" w:cs="Calibri" w:eastAsia="Calibri" w:hAnsi="Calibri"/>
                <w:sz w:val="18"/>
                <w:szCs w:val="18"/>
                <w:color w:val="auto"/>
              </w:rPr>
              <w:t>—</w:t>
            </w:r>
          </w:p>
        </w:tc>
        <w:tc>
          <w:tcPr>
            <w:tcW w:w="7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60"/>
              <w:spacing w:after="0"/>
              <w:rPr>
                <w:sz w:val="20"/>
                <w:szCs w:val="20"/>
                <w:color w:val="auto"/>
              </w:rPr>
            </w:pPr>
            <w:r>
              <w:rPr>
                <w:rFonts w:ascii="Calibri" w:cs="Calibri" w:eastAsia="Calibri" w:hAnsi="Calibri"/>
                <w:sz w:val="18"/>
                <w:szCs w:val="18"/>
                <w:color w:val="auto"/>
              </w:rPr>
              <w:t>(1)</w:t>
            </w:r>
          </w:p>
        </w:tc>
      </w:tr>
      <w:tr>
        <w:trPr>
          <w:trHeight w:val="199"/>
        </w:trPr>
        <w:tc>
          <w:tcPr>
            <w:tcW w:w="5200" w:type="dxa"/>
            <w:vAlign w:val="bottom"/>
          </w:tcPr>
          <w:p>
            <w:pPr>
              <w:spacing w:after="0" w:line="199" w:lineRule="exact"/>
              <w:rPr>
                <w:sz w:val="20"/>
                <w:szCs w:val="20"/>
                <w:color w:val="auto"/>
              </w:rPr>
            </w:pPr>
            <w:r>
              <w:rPr>
                <w:rFonts w:ascii="Calibri" w:cs="Calibri" w:eastAsia="Calibri" w:hAnsi="Calibri"/>
                <w:sz w:val="18"/>
                <w:szCs w:val="18"/>
                <w:color w:val="auto"/>
              </w:rPr>
              <w:t>Loss from operatons before interest expense,</w:t>
            </w:r>
          </w:p>
        </w:tc>
        <w:tc>
          <w:tcPr>
            <w:tcW w:w="146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200" w:type="dxa"/>
            <w:vAlign w:val="bottom"/>
          </w:tcPr>
          <w:p>
            <w:pPr>
              <w:ind w:left="120"/>
              <w:spacing w:after="0" w:line="216" w:lineRule="exact"/>
              <w:rPr>
                <w:sz w:val="20"/>
                <w:szCs w:val="20"/>
                <w:color w:val="auto"/>
              </w:rPr>
            </w:pPr>
            <w:r>
              <w:rPr>
                <w:rFonts w:ascii="Calibri" w:cs="Calibri" w:eastAsia="Calibri" w:hAnsi="Calibri"/>
                <w:sz w:val="18"/>
                <w:szCs w:val="18"/>
                <w:color w:val="auto"/>
              </w:rPr>
              <w:t>pension income excluding service cost component,</w:t>
            </w: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00" w:type="dxa"/>
            <w:vAlign w:val="bottom"/>
          </w:tcPr>
          <w:p>
            <w:pPr>
              <w:ind w:left="120"/>
              <w:spacing w:after="0" w:line="216" w:lineRule="exact"/>
              <w:rPr>
                <w:sz w:val="20"/>
                <w:szCs w:val="20"/>
                <w:color w:val="auto"/>
              </w:rPr>
            </w:pPr>
            <w:r>
              <w:rPr>
                <w:rFonts w:ascii="Calibri" w:cs="Calibri" w:eastAsia="Calibri" w:hAnsi="Calibri"/>
                <w:sz w:val="18"/>
                <w:szCs w:val="18"/>
                <w:color w:val="auto"/>
              </w:rPr>
              <w:t>other charges, net and income taxes</w:t>
            </w: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gridSpan w:val="2"/>
          </w:tcPr>
          <w:p>
            <w:pPr>
              <w:jc w:val="right"/>
              <w:ind w:right="280"/>
              <w:spacing w:after="0" w:line="216" w:lineRule="exact"/>
              <w:rPr>
                <w:sz w:val="20"/>
                <w:szCs w:val="20"/>
                <w:color w:val="auto"/>
              </w:rPr>
            </w:pPr>
            <w:r>
              <w:rPr>
                <w:rFonts w:ascii="Calibri" w:cs="Calibri" w:eastAsia="Calibri" w:hAnsi="Calibri"/>
                <w:sz w:val="18"/>
                <w:szCs w:val="18"/>
                <w:color w:val="auto"/>
              </w:rPr>
              <w:t>(19)</w:t>
            </w:r>
          </w:p>
        </w:tc>
        <w:tc>
          <w:tcPr>
            <w:tcW w:w="720" w:type="dxa"/>
            <w:vAlign w:val="bottom"/>
          </w:tcPr>
          <w:p>
            <w:pPr>
              <w:spacing w:after="0"/>
              <w:rPr>
                <w:sz w:val="18"/>
                <w:szCs w:val="18"/>
                <w:color w:val="auto"/>
              </w:rPr>
            </w:pPr>
          </w:p>
        </w:tc>
        <w:tc>
          <w:tcPr>
            <w:tcW w:w="1460" w:type="dxa"/>
            <w:vAlign w:val="bottom"/>
            <w:gridSpan w:val="2"/>
          </w:tcPr>
          <w:p>
            <w:pPr>
              <w:jc w:val="right"/>
              <w:ind w:right="60"/>
              <w:spacing w:after="0" w:line="216" w:lineRule="exact"/>
              <w:rPr>
                <w:sz w:val="20"/>
                <w:szCs w:val="20"/>
                <w:color w:val="auto"/>
              </w:rPr>
            </w:pPr>
            <w:r>
              <w:rPr>
                <w:rFonts w:ascii="Calibri" w:cs="Calibri" w:eastAsia="Calibri" w:hAnsi="Calibri"/>
                <w:sz w:val="18"/>
                <w:szCs w:val="18"/>
                <w:color w:val="auto"/>
              </w:rPr>
              <w:t>(14)</w:t>
            </w:r>
          </w:p>
        </w:tc>
      </w:tr>
      <w:tr>
        <w:trPr>
          <w:trHeight w:val="23"/>
        </w:trPr>
        <w:tc>
          <w:tcPr>
            <w:tcW w:w="5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520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Interest expense</w:t>
            </w:r>
          </w:p>
        </w:tc>
        <w:tc>
          <w:tcPr>
            <w:tcW w:w="14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w:t>
            </w: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shd w:val="clear" w:color="auto" w:fill="CFF0FC"/>
          </w:tcPr>
          <w:p>
            <w:pPr>
              <w:spacing w:after="0"/>
              <w:rPr>
                <w:sz w:val="19"/>
                <w:szCs w:val="19"/>
                <w:color w:val="auto"/>
              </w:rPr>
            </w:pPr>
          </w:p>
        </w:tc>
      </w:tr>
      <w:tr>
        <w:trPr>
          <w:trHeight w:val="222"/>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Pension income excluding service cost component</w:t>
            </w: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(30)</w:t>
            </w:r>
          </w:p>
        </w:tc>
        <w:tc>
          <w:tcPr>
            <w:tcW w:w="720" w:type="dxa"/>
            <w:vAlign w:val="bottom"/>
          </w:tcPr>
          <w:p>
            <w:pPr>
              <w:spacing w:after="0"/>
              <w:rPr>
                <w:sz w:val="19"/>
                <w:szCs w:val="19"/>
                <w:color w:val="auto"/>
              </w:rPr>
            </w:pPr>
          </w:p>
        </w:tc>
        <w:tc>
          <w:tcPr>
            <w:tcW w:w="14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(25)</w:t>
            </w:r>
          </w:p>
        </w:tc>
      </w:tr>
      <w:tr>
        <w:trPr>
          <w:trHeight w:val="237"/>
        </w:trPr>
        <w:tc>
          <w:tcPr>
            <w:tcW w:w="5200" w:type="dxa"/>
            <w:vAlign w:val="bottom"/>
            <w:shd w:val="clear" w:color="auto" w:fill="CFF0FC"/>
          </w:tcPr>
          <w:p>
            <w:pPr>
              <w:spacing w:after="0"/>
              <w:rPr>
                <w:sz w:val="20"/>
                <w:szCs w:val="20"/>
                <w:color w:val="auto"/>
              </w:rPr>
            </w:pPr>
            <w:r>
              <w:rPr>
                <w:rFonts w:ascii="Calibri" w:cs="Calibri" w:eastAsia="Calibri" w:hAnsi="Calibri"/>
                <w:sz w:val="18"/>
                <w:szCs w:val="18"/>
                <w:color w:val="auto"/>
              </w:rPr>
              <w:t>Other charges, net</w:t>
            </w:r>
          </w:p>
        </w:tc>
        <w:tc>
          <w:tcPr>
            <w:tcW w:w="1460" w:type="dxa"/>
            <w:vAlign w:val="bottom"/>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3</w:t>
            </w:r>
          </w:p>
        </w:tc>
        <w:tc>
          <w:tcPr>
            <w:tcW w:w="34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20"/>
                <w:szCs w:val="20"/>
                <w:color w:val="auto"/>
              </w:rPr>
            </w:pPr>
          </w:p>
        </w:tc>
      </w:tr>
      <w:tr>
        <w:trPr>
          <w:trHeight w:val="216"/>
        </w:trPr>
        <w:tc>
          <w:tcPr>
            <w:tcW w:w="5200" w:type="dxa"/>
            <w:vAlign w:val="bottom"/>
          </w:tcPr>
          <w:p>
            <w:pPr>
              <w:spacing w:after="0" w:line="199" w:lineRule="exact"/>
              <w:rPr>
                <w:sz w:val="20"/>
                <w:szCs w:val="20"/>
                <w:color w:val="auto"/>
              </w:rPr>
            </w:pPr>
            <w:r>
              <w:rPr>
                <w:rFonts w:ascii="Calibri" w:cs="Calibri" w:eastAsia="Calibri" w:hAnsi="Calibri"/>
                <w:sz w:val="18"/>
                <w:szCs w:val="18"/>
                <w:color w:val="auto"/>
              </w:rPr>
              <w:t>(Loss) earnings from operatons before income taxes</w:t>
            </w: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(1)</w:t>
            </w:r>
          </w:p>
        </w:tc>
        <w:tc>
          <w:tcPr>
            <w:tcW w:w="72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120" w:type="dxa"/>
            <w:vAlign w:val="bottom"/>
          </w:tcPr>
          <w:p>
            <w:pPr>
              <w:spacing w:after="0"/>
              <w:rPr>
                <w:sz w:val="18"/>
                <w:szCs w:val="18"/>
                <w:color w:val="auto"/>
              </w:rPr>
            </w:pPr>
          </w:p>
        </w:tc>
      </w:tr>
      <w:tr>
        <w:trPr>
          <w:trHeight w:val="237"/>
        </w:trPr>
        <w:tc>
          <w:tcPr>
            <w:tcW w:w="5200" w:type="dxa"/>
            <w:vAlign w:val="bottom"/>
            <w:shd w:val="clear" w:color="auto" w:fill="CFF0FC"/>
          </w:tcPr>
          <w:p>
            <w:pPr>
              <w:spacing w:after="0"/>
              <w:rPr>
                <w:sz w:val="20"/>
                <w:szCs w:val="20"/>
                <w:color w:val="auto"/>
              </w:rPr>
            </w:pPr>
            <w:r>
              <w:rPr>
                <w:rFonts w:ascii="Calibri" w:cs="Calibri" w:eastAsia="Calibri" w:hAnsi="Calibri"/>
                <w:sz w:val="18"/>
                <w:szCs w:val="18"/>
                <w:color w:val="auto"/>
              </w:rPr>
              <w:t>Provision for income taxes</w:t>
            </w:r>
          </w:p>
        </w:tc>
        <w:tc>
          <w:tcPr>
            <w:tcW w:w="1460" w:type="dxa"/>
            <w:vAlign w:val="bottom"/>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2</w:t>
            </w:r>
          </w:p>
        </w:tc>
        <w:tc>
          <w:tcPr>
            <w:tcW w:w="34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120" w:type="dxa"/>
            <w:vAlign w:val="bottom"/>
            <w:shd w:val="clear" w:color="auto" w:fill="CFF0FC"/>
          </w:tcPr>
          <w:p>
            <w:pPr>
              <w:spacing w:after="0"/>
              <w:rPr>
                <w:sz w:val="20"/>
                <w:szCs w:val="20"/>
                <w:color w:val="auto"/>
              </w:rPr>
            </w:pPr>
          </w:p>
        </w:tc>
      </w:tr>
      <w:tr>
        <w:trPr>
          <w:trHeight w:val="257"/>
        </w:trPr>
        <w:tc>
          <w:tcPr>
            <w:tcW w:w="5200" w:type="dxa"/>
            <w:vAlign w:val="bottom"/>
          </w:tcPr>
          <w:p>
            <w:pPr>
              <w:spacing w:after="0" w:line="199" w:lineRule="exact"/>
              <w:rPr>
                <w:sz w:val="20"/>
                <w:szCs w:val="20"/>
                <w:color w:val="auto"/>
              </w:rPr>
            </w:pPr>
            <w:r>
              <w:rPr>
                <w:rFonts w:ascii="Calibri" w:cs="Calibri" w:eastAsia="Calibri" w:hAnsi="Calibri"/>
                <w:sz w:val="18"/>
                <w:szCs w:val="18"/>
                <w:color w:val="auto"/>
              </w:rPr>
              <w:t>Net (loss) income</w:t>
            </w:r>
          </w:p>
        </w:tc>
        <w:tc>
          <w:tcPr>
            <w:tcW w:w="1460" w:type="dxa"/>
            <w:vAlign w:val="bottom"/>
          </w:tcPr>
          <w:p>
            <w:pPr>
              <w:spacing w:after="0"/>
              <w:rPr>
                <w:sz w:val="22"/>
                <w:szCs w:val="22"/>
                <w:color w:val="auto"/>
              </w:rPr>
            </w:pPr>
          </w:p>
        </w:tc>
        <w:tc>
          <w:tcPr>
            <w:tcW w:w="1340" w:type="dxa"/>
            <w:vAlign w:val="bottom"/>
          </w:tcPr>
          <w:p>
            <w:pPr>
              <w:jc w:val="right"/>
              <w:ind w:right="115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(3)</w:t>
            </w:r>
          </w:p>
        </w:tc>
        <w:tc>
          <w:tcPr>
            <w:tcW w:w="720" w:type="dxa"/>
            <w:vAlign w:val="bottom"/>
          </w:tcPr>
          <w:p>
            <w:pPr>
              <w:jc w:val="right"/>
              <w:ind w:right="561"/>
              <w:spacing w:after="0"/>
              <w:rPr>
                <w:sz w:val="20"/>
                <w:szCs w:val="20"/>
                <w:color w:val="auto"/>
              </w:rPr>
            </w:pPr>
            <w:r>
              <w:rPr>
                <w:rFonts w:ascii="Calibri" w:cs="Calibri" w:eastAsia="Calibri" w:hAnsi="Calibri"/>
                <w:sz w:val="16"/>
                <w:szCs w:val="16"/>
                <w:color w:val="auto"/>
                <w:w w:val="73"/>
              </w:rPr>
              <w:t>$</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20" w:type="dxa"/>
            <w:vAlign w:val="bottom"/>
          </w:tcPr>
          <w:p>
            <w:pPr>
              <w:spacing w:after="0"/>
              <w:rPr>
                <w:sz w:val="22"/>
                <w:szCs w:val="22"/>
                <w:color w:val="auto"/>
              </w:rPr>
            </w:pPr>
          </w:p>
        </w:tc>
      </w:tr>
      <w:tr>
        <w:trPr>
          <w:trHeight w:val="216"/>
        </w:trPr>
        <w:tc>
          <w:tcPr>
            <w:tcW w:w="520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7"/>
        </w:trPr>
        <w:tc>
          <w:tcPr>
            <w:tcW w:w="5200" w:type="dxa"/>
            <w:vAlign w:val="bottom"/>
          </w:tcPr>
          <w:p>
            <w:pPr>
              <w:spacing w:after="0" w:line="207" w:lineRule="exact"/>
              <w:rPr>
                <w:sz w:val="20"/>
                <w:szCs w:val="20"/>
                <w:color w:val="auto"/>
              </w:rPr>
            </w:pPr>
            <w:r>
              <w:rPr>
                <w:rFonts w:ascii="Calibri" w:cs="Calibri" w:eastAsia="Calibri" w:hAnsi="Calibri"/>
                <w:sz w:val="18"/>
                <w:szCs w:val="18"/>
                <w:color w:val="auto"/>
              </w:rPr>
              <w:t>Basic net (loss) income per share atributable to</w:t>
            </w: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5200" w:type="dxa"/>
            <w:vAlign w:val="bottom"/>
          </w:tcPr>
          <w:p>
            <w:pPr>
              <w:ind w:left="120"/>
              <w:spacing w:after="0" w:line="215" w:lineRule="exact"/>
              <w:rPr>
                <w:sz w:val="20"/>
                <w:szCs w:val="20"/>
                <w:color w:val="auto"/>
              </w:rPr>
            </w:pPr>
            <w:r>
              <w:rPr>
                <w:rFonts w:ascii="Calibri" w:cs="Calibri" w:eastAsia="Calibri" w:hAnsi="Calibri"/>
                <w:sz w:val="18"/>
                <w:szCs w:val="18"/>
                <w:color w:val="auto"/>
              </w:rPr>
              <w:t>Eastman Kodak Company common</w:t>
            </w: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00" w:type="dxa"/>
            <w:vAlign w:val="bottom"/>
          </w:tcPr>
          <w:p>
            <w:pPr>
              <w:ind w:left="120"/>
              <w:spacing w:after="0" w:line="216" w:lineRule="exact"/>
              <w:rPr>
                <w:sz w:val="20"/>
                <w:szCs w:val="20"/>
                <w:color w:val="auto"/>
              </w:rPr>
            </w:pPr>
            <w:r>
              <w:rPr>
                <w:rFonts w:ascii="Calibri" w:cs="Calibri" w:eastAsia="Calibri" w:hAnsi="Calibri"/>
                <w:sz w:val="18"/>
                <w:szCs w:val="18"/>
                <w:color w:val="auto"/>
              </w:rPr>
              <w:t>shareholders</w:t>
            </w:r>
          </w:p>
        </w:tc>
        <w:tc>
          <w:tcPr>
            <w:tcW w:w="2800" w:type="dxa"/>
            <w:vAlign w:val="bottom"/>
            <w:gridSpan w:val="2"/>
          </w:tcPr>
          <w:p>
            <w:pPr>
              <w:jc w:val="right"/>
              <w:ind w:right="1150"/>
              <w:spacing w:after="0" w:line="216" w:lineRule="exact"/>
              <w:rPr>
                <w:sz w:val="20"/>
                <w:szCs w:val="20"/>
                <w:color w:val="auto"/>
              </w:rPr>
            </w:pPr>
            <w:r>
              <w:rPr>
                <w:rFonts w:ascii="Calibri" w:cs="Calibri" w:eastAsia="Calibri" w:hAnsi="Calibri"/>
                <w:sz w:val="18"/>
                <w:szCs w:val="18"/>
                <w:color w:val="auto"/>
              </w:rPr>
              <w:t>$</w:t>
            </w:r>
          </w:p>
        </w:tc>
        <w:tc>
          <w:tcPr>
            <w:tcW w:w="1060" w:type="dxa"/>
            <w:vAlign w:val="bottom"/>
            <w:gridSpan w:val="2"/>
          </w:tcPr>
          <w:p>
            <w:pPr>
              <w:jc w:val="right"/>
              <w:ind w:right="280"/>
              <w:spacing w:after="0" w:line="216" w:lineRule="exact"/>
              <w:rPr>
                <w:sz w:val="20"/>
                <w:szCs w:val="20"/>
                <w:color w:val="auto"/>
              </w:rPr>
            </w:pPr>
            <w:r>
              <w:rPr>
                <w:rFonts w:ascii="Calibri" w:cs="Calibri" w:eastAsia="Calibri" w:hAnsi="Calibri"/>
                <w:sz w:val="18"/>
                <w:szCs w:val="18"/>
                <w:color w:val="auto"/>
              </w:rPr>
              <w:t>(0.08)</w:t>
            </w:r>
          </w:p>
        </w:tc>
        <w:tc>
          <w:tcPr>
            <w:tcW w:w="720" w:type="dxa"/>
            <w:vAlign w:val="bottom"/>
          </w:tcPr>
          <w:p>
            <w:pPr>
              <w:jc w:val="right"/>
              <w:ind w:right="561"/>
              <w:spacing w:after="0"/>
              <w:rPr>
                <w:sz w:val="20"/>
                <w:szCs w:val="20"/>
                <w:color w:val="auto"/>
              </w:rPr>
            </w:pPr>
            <w:r>
              <w:rPr>
                <w:rFonts w:ascii="Calibri" w:cs="Calibri" w:eastAsia="Calibri" w:hAnsi="Calibri"/>
                <w:sz w:val="16"/>
                <w:szCs w:val="16"/>
                <w:color w:val="auto"/>
                <w:w w:val="73"/>
              </w:rPr>
              <w:t>$</w:t>
            </w:r>
          </w:p>
        </w:tc>
        <w:tc>
          <w:tcPr>
            <w:tcW w:w="1340" w:type="dxa"/>
            <w:vAlign w:val="bottom"/>
          </w:tcPr>
          <w:p>
            <w:pPr>
              <w:jc w:val="right"/>
              <w:spacing w:after="0" w:line="216" w:lineRule="exact"/>
              <w:rPr>
                <w:sz w:val="20"/>
                <w:szCs w:val="20"/>
                <w:color w:val="auto"/>
              </w:rPr>
            </w:pPr>
            <w:r>
              <w:rPr>
                <w:rFonts w:ascii="Calibri" w:cs="Calibri" w:eastAsia="Calibri" w:hAnsi="Calibri"/>
                <w:sz w:val="18"/>
                <w:szCs w:val="18"/>
                <w:color w:val="auto"/>
              </w:rPr>
              <w:t>0.17</w:t>
            </w:r>
          </w:p>
        </w:tc>
        <w:tc>
          <w:tcPr>
            <w:tcW w:w="120" w:type="dxa"/>
            <w:vAlign w:val="bottom"/>
          </w:tcPr>
          <w:p>
            <w:pPr>
              <w:spacing w:after="0"/>
              <w:rPr>
                <w:sz w:val="18"/>
                <w:szCs w:val="18"/>
                <w:color w:val="auto"/>
              </w:rPr>
            </w:pPr>
          </w:p>
        </w:tc>
      </w:tr>
      <w:tr>
        <w:trPr>
          <w:trHeight w:val="63"/>
        </w:trPr>
        <w:tc>
          <w:tcPr>
            <w:tcW w:w="5200" w:type="dxa"/>
            <w:vAlign w:val="bottom"/>
            <w:tcBorders>
              <w:bottom w:val="single" w:sz="8" w:color="CFF0FC"/>
            </w:tcBorders>
          </w:tcPr>
          <w:p>
            <w:pPr>
              <w:spacing w:after="0"/>
              <w:rPr>
                <w:sz w:val="5"/>
                <w:szCs w:val="5"/>
                <w:color w:val="auto"/>
              </w:rPr>
            </w:pPr>
          </w:p>
        </w:tc>
        <w:tc>
          <w:tcPr>
            <w:tcW w:w="1460" w:type="dxa"/>
            <w:vAlign w:val="bottom"/>
            <w:tcBorders>
              <w:bottom w:val="single" w:sz="8" w:color="CFF0FC"/>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40" w:type="dxa"/>
            <w:vAlign w:val="bottom"/>
            <w:tcBorders>
              <w:bottom w:val="single" w:sz="8" w:color="CFF0FC"/>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r>
      <w:tr>
        <w:trPr>
          <w:trHeight w:val="187"/>
        </w:trPr>
        <w:tc>
          <w:tcPr>
            <w:tcW w:w="5200" w:type="dxa"/>
            <w:vAlign w:val="bottom"/>
            <w:shd w:val="clear" w:color="auto" w:fill="CFF0FC"/>
          </w:tcPr>
          <w:p>
            <w:pPr>
              <w:spacing w:after="0" w:line="186" w:lineRule="exact"/>
              <w:rPr>
                <w:sz w:val="20"/>
                <w:szCs w:val="20"/>
                <w:color w:val="auto"/>
              </w:rPr>
            </w:pPr>
            <w:r>
              <w:rPr>
                <w:rFonts w:ascii="Calibri" w:cs="Calibri" w:eastAsia="Calibri" w:hAnsi="Calibri"/>
                <w:sz w:val="18"/>
                <w:szCs w:val="18"/>
                <w:color w:val="auto"/>
              </w:rPr>
              <w:t>Diluted net (loss) income per share atributable</w:t>
            </w:r>
          </w:p>
        </w:tc>
        <w:tc>
          <w:tcPr>
            <w:tcW w:w="14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52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to Eastman Kodak Company common</w:t>
            </w:r>
          </w:p>
        </w:tc>
        <w:tc>
          <w:tcPr>
            <w:tcW w:w="14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4"/>
        </w:trPr>
        <w:tc>
          <w:tcPr>
            <w:tcW w:w="520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shareholders</w:t>
            </w:r>
          </w:p>
        </w:tc>
        <w:tc>
          <w:tcPr>
            <w:tcW w:w="2800" w:type="dxa"/>
            <w:vAlign w:val="bottom"/>
            <w:tcBorders>
              <w:bottom w:val="single" w:sz="8" w:color="CFF0FC"/>
            </w:tcBorders>
            <w:gridSpan w:val="2"/>
            <w:shd w:val="clear" w:color="auto" w:fill="CFF0FC"/>
          </w:tcPr>
          <w:p>
            <w:pPr>
              <w:jc w:val="right"/>
              <w:ind w:right="1150"/>
              <w:spacing w:after="0" w:line="216"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CFF0FC"/>
            </w:tcBorders>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(0.08)</w:t>
            </w:r>
          </w:p>
        </w:tc>
        <w:tc>
          <w:tcPr>
            <w:tcW w:w="720" w:type="dxa"/>
            <w:vAlign w:val="bottom"/>
            <w:tcBorders>
              <w:bottom w:val="single" w:sz="8" w:color="CFF0FC"/>
            </w:tcBorders>
            <w:shd w:val="clear" w:color="auto" w:fill="CFF0FC"/>
          </w:tcPr>
          <w:p>
            <w:pPr>
              <w:jc w:val="right"/>
              <w:ind w:right="561"/>
              <w:spacing w:after="0"/>
              <w:rPr>
                <w:sz w:val="20"/>
                <w:szCs w:val="20"/>
                <w:color w:val="auto"/>
              </w:rPr>
            </w:pPr>
            <w:r>
              <w:rPr>
                <w:rFonts w:ascii="Calibri" w:cs="Calibri" w:eastAsia="Calibri" w:hAnsi="Calibri"/>
                <w:sz w:val="16"/>
                <w:szCs w:val="16"/>
                <w:color w:val="auto"/>
                <w:w w:val="73"/>
              </w:rPr>
              <w:t>$</w:t>
            </w:r>
          </w:p>
        </w:tc>
        <w:tc>
          <w:tcPr>
            <w:tcW w:w="134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0.16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5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5200" w:type="dxa"/>
            <w:vAlign w:val="bottom"/>
            <w:shd w:val="clear" w:color="auto" w:fill="CFF0FC"/>
          </w:tcPr>
          <w:p>
            <w:pPr>
              <w:spacing w:after="0" w:line="207" w:lineRule="exact"/>
              <w:rPr>
                <w:sz w:val="20"/>
                <w:szCs w:val="20"/>
                <w:color w:val="auto"/>
              </w:rPr>
            </w:pPr>
            <w:r>
              <w:rPr>
                <w:rFonts w:ascii="Calibri" w:cs="Calibri" w:eastAsia="Calibri" w:hAnsi="Calibri"/>
                <w:sz w:val="18"/>
                <w:szCs w:val="18"/>
                <w:color w:val="auto"/>
              </w:rPr>
              <w:t>Number of common shares used in basic and</w:t>
            </w:r>
          </w:p>
        </w:tc>
        <w:tc>
          <w:tcPr>
            <w:tcW w:w="14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8"/>
        </w:trPr>
        <w:tc>
          <w:tcPr>
            <w:tcW w:w="52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diluted net (loss) income per share</w:t>
            </w:r>
          </w:p>
        </w:tc>
        <w:tc>
          <w:tcPr>
            <w:tcW w:w="14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r>
      <w:tr>
        <w:trPr>
          <w:trHeight w:val="222"/>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Basic</w:t>
            </w: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78.7</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77.8</w:t>
            </w:r>
          </w:p>
        </w:tc>
        <w:tc>
          <w:tcPr>
            <w:tcW w:w="120" w:type="dxa"/>
            <w:vAlign w:val="bottom"/>
          </w:tcPr>
          <w:p>
            <w:pPr>
              <w:spacing w:after="0"/>
              <w:rPr>
                <w:sz w:val="19"/>
                <w:szCs w:val="19"/>
                <w:color w:val="auto"/>
              </w:rPr>
            </w:pPr>
          </w:p>
        </w:tc>
      </w:tr>
      <w:tr>
        <w:trPr>
          <w:trHeight w:val="237"/>
        </w:trPr>
        <w:tc>
          <w:tcPr>
            <w:tcW w:w="5200" w:type="dxa"/>
            <w:vAlign w:val="bottom"/>
            <w:shd w:val="clear" w:color="auto" w:fill="CFF0FC"/>
          </w:tcPr>
          <w:p>
            <w:pPr>
              <w:spacing w:after="0"/>
              <w:rPr>
                <w:sz w:val="20"/>
                <w:szCs w:val="20"/>
                <w:color w:val="auto"/>
              </w:rPr>
            </w:pPr>
            <w:r>
              <w:rPr>
                <w:rFonts w:ascii="Calibri" w:cs="Calibri" w:eastAsia="Calibri" w:hAnsi="Calibri"/>
                <w:sz w:val="18"/>
                <w:szCs w:val="18"/>
                <w:color w:val="auto"/>
              </w:rPr>
              <w:t>Diluted</w:t>
            </w:r>
          </w:p>
        </w:tc>
        <w:tc>
          <w:tcPr>
            <w:tcW w:w="14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78.7</w:t>
            </w:r>
          </w:p>
        </w:tc>
        <w:tc>
          <w:tcPr>
            <w:tcW w:w="3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80.6</w:t>
            </w:r>
          </w:p>
        </w:tc>
        <w:tc>
          <w:tcPr>
            <w:tcW w:w="120" w:type="dxa"/>
            <w:vAlign w:val="bottom"/>
            <w:shd w:val="clear" w:color="auto" w:fill="CFF0FC"/>
          </w:tcPr>
          <w:p>
            <w:pPr>
              <w:spacing w:after="0"/>
              <w:rPr>
                <w:sz w:val="20"/>
                <w:szCs w:val="20"/>
                <w:color w:val="auto"/>
              </w:rPr>
            </w:pPr>
          </w:p>
        </w:tc>
      </w:tr>
    </w:tbl>
    <w:p>
      <w:pPr>
        <w:spacing w:after="0" w:line="256"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COMPREHENSIVE INCOME (Unaudited)</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Calibri" w:cs="Calibri" w:eastAsia="Calibri" w:hAnsi="Calibri"/>
                <w:sz w:val="18"/>
                <w:szCs w:val="18"/>
                <w:b w:val="1"/>
                <w:bCs w:val="1"/>
                <w:color w:val="auto"/>
                <w:w w:val="95"/>
              </w:rPr>
              <w:t>Three Months Ended</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40" w:type="dxa"/>
            <w:vAlign w:val="bottom"/>
            <w:gridSpan w:val="3"/>
          </w:tcPr>
          <w:p>
            <w:pPr>
              <w:jc w:val="right"/>
              <w:ind w:right="330"/>
              <w:spacing w:after="0"/>
              <w:rPr>
                <w:sz w:val="20"/>
                <w:szCs w:val="20"/>
                <w:color w:val="auto"/>
              </w:rPr>
            </w:pPr>
            <w:r>
              <w:rPr>
                <w:rFonts w:ascii="Calibri" w:cs="Calibri" w:eastAsia="Calibri" w:hAnsi="Calibri"/>
                <w:sz w:val="18"/>
                <w:szCs w:val="18"/>
                <w:b w:val="1"/>
                <w:bCs w:val="1"/>
                <w:color w:val="auto"/>
              </w:rPr>
              <w:t>March 31,</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
        </w:trPr>
        <w:tc>
          <w:tcPr>
            <w:tcW w:w="582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7"/>
        </w:trPr>
        <w:tc>
          <w:tcPr>
            <w:tcW w:w="5820" w:type="dxa"/>
            <w:vAlign w:val="bottom"/>
            <w:tcBorders>
              <w:bottom w:val="single" w:sz="8" w:color="CFF0FC"/>
            </w:tcBorders>
          </w:tcPr>
          <w:p>
            <w:pPr>
              <w:spacing w:after="0"/>
              <w:rPr>
                <w:sz w:val="18"/>
                <w:szCs w:val="18"/>
                <w:color w:val="auto"/>
              </w:rPr>
            </w:pPr>
          </w:p>
        </w:tc>
        <w:tc>
          <w:tcPr>
            <w:tcW w:w="176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2022</w:t>
            </w:r>
          </w:p>
        </w:tc>
        <w:tc>
          <w:tcPr>
            <w:tcW w:w="6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FF0FC"/>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50"/>
              <w:spacing w:after="0" w:line="215" w:lineRule="exact"/>
              <w:rPr>
                <w:sz w:val="20"/>
                <w:szCs w:val="20"/>
                <w:color w:val="auto"/>
              </w:rPr>
            </w:pPr>
            <w:r>
              <w:rPr>
                <w:rFonts w:ascii="Calibri" w:cs="Calibri" w:eastAsia="Calibri" w:hAnsi="Calibri"/>
                <w:sz w:val="18"/>
                <w:szCs w:val="18"/>
                <w:b w:val="1"/>
                <w:bCs w:val="1"/>
                <w:color w:val="auto"/>
                <w:w w:val="93"/>
              </w:rPr>
              <w:t>2021</w:t>
            </w:r>
          </w:p>
        </w:tc>
        <w:tc>
          <w:tcPr>
            <w:tcW w:w="120" w:type="dxa"/>
            <w:vAlign w:val="bottom"/>
            <w:tcBorders>
              <w:bottom w:val="single" w:sz="8" w:color="CFF0FC"/>
            </w:tcBorders>
          </w:tcPr>
          <w:p>
            <w:pPr>
              <w:spacing w:after="0"/>
              <w:rPr>
                <w:sz w:val="18"/>
                <w:szCs w:val="18"/>
                <w:color w:val="auto"/>
              </w:rPr>
            </w:pPr>
          </w:p>
        </w:tc>
      </w:tr>
      <w:tr>
        <w:trPr>
          <w:trHeight w:val="230"/>
        </w:trPr>
        <w:tc>
          <w:tcPr>
            <w:tcW w:w="582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NET (LOSS) INCOME</w:t>
            </w:r>
          </w:p>
        </w:tc>
        <w:tc>
          <w:tcPr>
            <w:tcW w:w="17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(3)</w:t>
            </w:r>
          </w:p>
        </w:tc>
        <w:tc>
          <w:tcPr>
            <w:tcW w:w="640" w:type="dxa"/>
            <w:vAlign w:val="bottom"/>
            <w:shd w:val="clear" w:color="auto" w:fill="CFF0FC"/>
          </w:tcPr>
          <w:p>
            <w:pPr>
              <w:jc w:val="right"/>
              <w:ind w:right="45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120" w:type="dxa"/>
            <w:vAlign w:val="bottom"/>
            <w:shd w:val="clear" w:color="auto" w:fill="CFF0FC"/>
          </w:tcPr>
          <w:p>
            <w:pPr>
              <w:spacing w:after="0"/>
              <w:rPr>
                <w:sz w:val="19"/>
                <w:szCs w:val="19"/>
                <w:color w:val="auto"/>
              </w:rPr>
            </w:pPr>
          </w:p>
        </w:tc>
      </w:tr>
      <w:tr>
        <w:trPr>
          <w:trHeight w:val="222"/>
        </w:trPr>
        <w:tc>
          <w:tcPr>
            <w:tcW w:w="5820" w:type="dxa"/>
            <w:vAlign w:val="bottom"/>
          </w:tcPr>
          <w:p>
            <w:pPr>
              <w:spacing w:after="0" w:line="215" w:lineRule="exact"/>
              <w:rPr>
                <w:sz w:val="20"/>
                <w:szCs w:val="20"/>
                <w:color w:val="auto"/>
              </w:rPr>
            </w:pPr>
            <w:r>
              <w:rPr>
                <w:rFonts w:ascii="Calibri" w:cs="Calibri" w:eastAsia="Calibri" w:hAnsi="Calibri"/>
                <w:sz w:val="18"/>
                <w:szCs w:val="18"/>
                <w:color w:val="auto"/>
              </w:rPr>
              <w:t>Other comprehensive income (loss), net of tax:</w:t>
            </w:r>
          </w:p>
        </w:tc>
        <w:tc>
          <w:tcPr>
            <w:tcW w:w="1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820" w:type="dxa"/>
            <w:vAlign w:val="bottom"/>
            <w:shd w:val="clear" w:color="auto" w:fill="CFF0FC"/>
          </w:tcPr>
          <w:p>
            <w:pPr>
              <w:spacing w:after="0"/>
              <w:rPr>
                <w:sz w:val="20"/>
                <w:szCs w:val="20"/>
                <w:color w:val="auto"/>
              </w:rPr>
            </w:pPr>
            <w:r>
              <w:rPr>
                <w:rFonts w:ascii="Calibri" w:cs="Calibri" w:eastAsia="Calibri" w:hAnsi="Calibri"/>
                <w:sz w:val="18"/>
                <w:szCs w:val="18"/>
                <w:color w:val="auto"/>
              </w:rPr>
              <w:t>Currency translaton adjustments</w:t>
            </w:r>
          </w:p>
        </w:tc>
        <w:tc>
          <w:tcPr>
            <w:tcW w:w="17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5</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8"/>
                <w:szCs w:val="18"/>
                <w:color w:val="auto"/>
              </w:rPr>
              <w:t>(1)</w:t>
            </w:r>
          </w:p>
        </w:tc>
      </w:tr>
      <w:tr>
        <w:trPr>
          <w:trHeight w:val="207"/>
        </w:trPr>
        <w:tc>
          <w:tcPr>
            <w:tcW w:w="5820" w:type="dxa"/>
            <w:vAlign w:val="bottom"/>
          </w:tcPr>
          <w:p>
            <w:pPr>
              <w:spacing w:after="0" w:line="207" w:lineRule="exact"/>
              <w:rPr>
                <w:sz w:val="20"/>
                <w:szCs w:val="20"/>
                <w:color w:val="auto"/>
              </w:rPr>
            </w:pPr>
            <w:r>
              <w:rPr>
                <w:rFonts w:ascii="Calibri" w:cs="Calibri" w:eastAsia="Calibri" w:hAnsi="Calibri"/>
                <w:sz w:val="18"/>
                <w:szCs w:val="18"/>
                <w:color w:val="auto"/>
              </w:rPr>
              <w:t>Pension and other postretrement beneft plan obligaton</w:t>
            </w:r>
          </w:p>
        </w:tc>
        <w:tc>
          <w:tcPr>
            <w:tcW w:w="1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5820" w:type="dxa"/>
            <w:vAlign w:val="bottom"/>
          </w:tcPr>
          <w:p>
            <w:pPr>
              <w:ind w:left="120"/>
              <w:spacing w:after="0" w:line="215" w:lineRule="exact"/>
              <w:rPr>
                <w:sz w:val="20"/>
                <w:szCs w:val="20"/>
                <w:color w:val="auto"/>
              </w:rPr>
            </w:pPr>
            <w:r>
              <w:rPr>
                <w:rFonts w:ascii="Calibri" w:cs="Calibri" w:eastAsia="Calibri" w:hAnsi="Calibri"/>
                <w:sz w:val="18"/>
                <w:szCs w:val="18"/>
                <w:color w:val="auto"/>
              </w:rPr>
              <w:t>actvity, net of tax</w:t>
            </w:r>
          </w:p>
        </w:tc>
        <w:tc>
          <w:tcPr>
            <w:tcW w:w="1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20" w:type="dxa"/>
            <w:vAlign w:val="bottom"/>
          </w:tcPr>
          <w:p>
            <w:pPr>
              <w:spacing w:after="0"/>
              <w:rPr>
                <w:sz w:val="18"/>
                <w:szCs w:val="18"/>
                <w:color w:val="auto"/>
              </w:rPr>
            </w:pPr>
          </w:p>
        </w:tc>
      </w:tr>
      <w:tr>
        <w:trPr>
          <w:trHeight w:val="23"/>
        </w:trPr>
        <w:tc>
          <w:tcPr>
            <w:tcW w:w="5820" w:type="dxa"/>
            <w:vAlign w:val="bottom"/>
            <w:tcBorders>
              <w:bottom w:val="single" w:sz="8" w:color="CFF0FC"/>
            </w:tcBorders>
          </w:tcPr>
          <w:p>
            <w:pPr>
              <w:spacing w:after="0"/>
              <w:rPr>
                <w:sz w:val="2"/>
                <w:szCs w:val="2"/>
                <w:color w:val="auto"/>
              </w:rPr>
            </w:pPr>
          </w:p>
        </w:tc>
        <w:tc>
          <w:tcPr>
            <w:tcW w:w="176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5820" w:type="dxa"/>
            <w:vAlign w:val="bottom"/>
            <w:shd w:val="clear" w:color="auto" w:fill="CFF0FC"/>
          </w:tcPr>
          <w:p>
            <w:pPr>
              <w:spacing w:after="0" w:line="199" w:lineRule="exact"/>
              <w:rPr>
                <w:sz w:val="20"/>
                <w:szCs w:val="20"/>
                <w:color w:val="auto"/>
              </w:rPr>
            </w:pPr>
            <w:r>
              <w:rPr>
                <w:rFonts w:ascii="Calibri" w:cs="Calibri" w:eastAsia="Calibri" w:hAnsi="Calibri"/>
                <w:sz w:val="18"/>
                <w:szCs w:val="18"/>
                <w:color w:val="auto"/>
              </w:rPr>
              <w:t>Other comprehensive income, net of tax</w:t>
            </w:r>
          </w:p>
        </w:tc>
        <w:tc>
          <w:tcPr>
            <w:tcW w:w="17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2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120" w:type="dxa"/>
            <w:vAlign w:val="bottom"/>
            <w:shd w:val="clear" w:color="auto" w:fill="CFF0FC"/>
          </w:tcPr>
          <w:p>
            <w:pPr>
              <w:spacing w:after="0"/>
              <w:rPr>
                <w:sz w:val="19"/>
                <w:szCs w:val="19"/>
                <w:color w:val="auto"/>
              </w:rPr>
            </w:pPr>
          </w:p>
        </w:tc>
      </w:tr>
      <w:tr>
        <w:trPr>
          <w:trHeight w:val="216"/>
        </w:trPr>
        <w:tc>
          <w:tcPr>
            <w:tcW w:w="5820" w:type="dxa"/>
            <w:vAlign w:val="bottom"/>
          </w:tcPr>
          <w:p>
            <w:pPr>
              <w:spacing w:after="0" w:line="199" w:lineRule="exact"/>
              <w:rPr>
                <w:sz w:val="20"/>
                <w:szCs w:val="20"/>
                <w:color w:val="auto"/>
              </w:rPr>
            </w:pPr>
            <w:r>
              <w:rPr>
                <w:rFonts w:ascii="Calibri" w:cs="Calibri" w:eastAsia="Calibri" w:hAnsi="Calibri"/>
                <w:sz w:val="18"/>
                <w:szCs w:val="18"/>
                <w:color w:val="auto"/>
              </w:rPr>
              <w:t>COMPREHENSIVE INCOME, NET OF TAX</w:t>
            </w:r>
          </w:p>
        </w:tc>
        <w:tc>
          <w:tcPr>
            <w:tcW w:w="1760" w:type="dxa"/>
            <w:vAlign w:val="bottom"/>
          </w:tcPr>
          <w:p>
            <w:pPr>
              <w:spacing w:after="0"/>
              <w:rPr>
                <w:sz w:val="18"/>
                <w:szCs w:val="18"/>
                <w:color w:val="auto"/>
              </w:rPr>
            </w:pPr>
          </w:p>
        </w:tc>
        <w:tc>
          <w:tcPr>
            <w:tcW w:w="1000" w:type="dxa"/>
            <w:vAlign w:val="bottom"/>
            <w:tcBorders>
              <w:bottom w:val="single" w:sz="8" w:color="auto"/>
            </w:tcBorders>
          </w:tcPr>
          <w:p>
            <w:pPr>
              <w:jc w:val="right"/>
              <w:ind w:right="810"/>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w:t>
            </w:r>
          </w:p>
        </w:tc>
        <w:tc>
          <w:tcPr>
            <w:tcW w:w="280" w:type="dxa"/>
            <w:vAlign w:val="bottom"/>
          </w:tcPr>
          <w:p>
            <w:pPr>
              <w:spacing w:after="0"/>
              <w:rPr>
                <w:sz w:val="18"/>
                <w:szCs w:val="18"/>
                <w:color w:val="auto"/>
              </w:rPr>
            </w:pPr>
          </w:p>
        </w:tc>
        <w:tc>
          <w:tcPr>
            <w:tcW w:w="640" w:type="dxa"/>
            <w:vAlign w:val="bottom"/>
            <w:tcBorders>
              <w:bottom w:val="single" w:sz="8" w:color="auto"/>
            </w:tcBorders>
          </w:tcPr>
          <w:p>
            <w:pPr>
              <w:jc w:val="right"/>
              <w:ind w:right="45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FINANCIAL POSITION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March 31,</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Calibri" w:cs="Calibri" w:eastAsia="Calibri" w:hAnsi="Calibri"/>
                <w:sz w:val="18"/>
                <w:szCs w:val="18"/>
                <w:b w:val="1"/>
                <w:bCs w:val="1"/>
                <w:color w:val="auto"/>
              </w:rPr>
              <w:t>December 31,</w:t>
            </w:r>
          </w:p>
        </w:tc>
      </w:tr>
      <w:tr>
        <w:trPr>
          <w:trHeight w:val="229"/>
        </w:trPr>
        <w:tc>
          <w:tcPr>
            <w:tcW w:w="7720" w:type="dxa"/>
            <w:vAlign w:val="bottom"/>
          </w:tcPr>
          <w:p>
            <w:pPr>
              <w:spacing w:after="0"/>
              <w:rPr>
                <w:sz w:val="20"/>
                <w:szCs w:val="20"/>
                <w:color w:val="auto"/>
              </w:rPr>
            </w:pPr>
            <w:r>
              <w:rPr>
                <w:rFonts w:ascii="Calibri" w:cs="Calibri" w:eastAsia="Calibri" w:hAnsi="Calibri"/>
                <w:sz w:val="16"/>
                <w:szCs w:val="16"/>
                <w:color w:val="auto"/>
              </w:rPr>
              <w:t>(in millions)</w:t>
            </w:r>
          </w:p>
        </w:tc>
        <w:tc>
          <w:tcPr>
            <w:tcW w:w="114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2022</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510"/>
              <w:spacing w:after="0"/>
              <w:rPr>
                <w:sz w:val="20"/>
                <w:szCs w:val="20"/>
                <w:color w:val="auto"/>
              </w:rPr>
            </w:pPr>
            <w:r>
              <w:rPr>
                <w:rFonts w:ascii="Calibri" w:cs="Calibri" w:eastAsia="Calibri" w:hAnsi="Calibri"/>
                <w:sz w:val="18"/>
                <w:szCs w:val="18"/>
                <w:b w:val="1"/>
                <w:bCs w:val="1"/>
                <w:color w:val="auto"/>
              </w:rPr>
              <w:t>2021</w:t>
            </w:r>
          </w:p>
        </w:tc>
        <w:tc>
          <w:tcPr>
            <w:tcW w:w="120" w:type="dxa"/>
            <w:vAlign w:val="bottom"/>
          </w:tcPr>
          <w:p>
            <w:pPr>
              <w:spacing w:after="0"/>
              <w:rPr>
                <w:sz w:val="19"/>
                <w:szCs w:val="19"/>
                <w:color w:val="auto"/>
              </w:rPr>
            </w:pPr>
          </w:p>
        </w:tc>
      </w:tr>
      <w:tr>
        <w:trPr>
          <w:trHeight w:val="23"/>
        </w:trPr>
        <w:tc>
          <w:tcPr>
            <w:tcW w:w="772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03"/>
        </w:trPr>
        <w:tc>
          <w:tcPr>
            <w:tcW w:w="7720" w:type="dxa"/>
            <w:vAlign w:val="bottom"/>
            <w:tcBorders>
              <w:bottom w:val="single" w:sz="8" w:color="CFF0FC"/>
            </w:tcBorders>
            <w:shd w:val="clear" w:color="auto" w:fill="CFF0FC"/>
          </w:tcPr>
          <w:p>
            <w:pPr>
              <w:spacing w:after="0" w:line="199" w:lineRule="exact"/>
              <w:rPr>
                <w:sz w:val="20"/>
                <w:szCs w:val="20"/>
                <w:color w:val="auto"/>
              </w:rPr>
            </w:pPr>
            <w:r>
              <w:rPr>
                <w:rFonts w:ascii="Calibri" w:cs="Calibri" w:eastAsia="Calibri" w:hAnsi="Calibri"/>
                <w:sz w:val="18"/>
                <w:szCs w:val="18"/>
                <w:b w:val="1"/>
                <w:bCs w:val="1"/>
                <w:color w:val="auto"/>
              </w:rPr>
              <w:t>ASSETS</w:t>
            </w:r>
          </w:p>
        </w:tc>
        <w:tc>
          <w:tcPr>
            <w:tcW w:w="1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r>
      <w:tr>
        <w:trPr>
          <w:trHeight w:val="222"/>
        </w:trPr>
        <w:tc>
          <w:tcPr>
            <w:tcW w:w="7720" w:type="dxa"/>
            <w:vAlign w:val="bottom"/>
          </w:tcPr>
          <w:p>
            <w:pPr>
              <w:spacing w:after="0" w:line="215" w:lineRule="exact"/>
              <w:rPr>
                <w:sz w:val="20"/>
                <w:szCs w:val="20"/>
                <w:color w:val="auto"/>
              </w:rPr>
            </w:pPr>
            <w:r>
              <w:rPr>
                <w:rFonts w:ascii="Calibri" w:cs="Calibri" w:eastAsia="Calibri" w:hAnsi="Calibri"/>
                <w:sz w:val="18"/>
                <w:szCs w:val="18"/>
                <w:color w:val="auto"/>
              </w:rPr>
              <w:t>Cash and cash equivalents</w:t>
            </w:r>
          </w:p>
        </w:tc>
        <w:tc>
          <w:tcPr>
            <w:tcW w:w="1140" w:type="dxa"/>
            <w:vAlign w:val="bottom"/>
          </w:tcPr>
          <w:p>
            <w:pPr>
              <w:jc w:val="right"/>
              <w:ind w:right="950"/>
              <w:spacing w:after="0" w:line="215" w:lineRule="exact"/>
              <w:rPr>
                <w:sz w:val="20"/>
                <w:szCs w:val="20"/>
                <w:color w:val="auto"/>
              </w:rPr>
            </w:pPr>
            <w:r>
              <w:rPr>
                <w:rFonts w:ascii="Calibri" w:cs="Calibri" w:eastAsia="Calibri" w:hAnsi="Calibri"/>
                <w:sz w:val="18"/>
                <w:szCs w:val="18"/>
                <w:color w:val="auto"/>
                <w:w w:val="87"/>
              </w:rPr>
              <w:t>$</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309</w:t>
            </w:r>
          </w:p>
        </w:tc>
        <w:tc>
          <w:tcPr>
            <w:tcW w:w="28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362</w:t>
            </w:r>
          </w:p>
        </w:tc>
        <w:tc>
          <w:tcPr>
            <w:tcW w:w="120" w:type="dxa"/>
            <w:vAlign w:val="bottom"/>
          </w:tcPr>
          <w:p>
            <w:pPr>
              <w:spacing w:after="0"/>
              <w:rPr>
                <w:sz w:val="19"/>
                <w:szCs w:val="19"/>
                <w:color w:val="auto"/>
              </w:rPr>
            </w:pPr>
          </w:p>
        </w:tc>
      </w:tr>
      <w:tr>
        <w:trPr>
          <w:trHeight w:val="237"/>
        </w:trPr>
        <w:tc>
          <w:tcPr>
            <w:tcW w:w="7720" w:type="dxa"/>
            <w:vAlign w:val="bottom"/>
            <w:shd w:val="clear" w:color="auto" w:fill="CFF0FC"/>
          </w:tcPr>
          <w:p>
            <w:pPr>
              <w:spacing w:after="0"/>
              <w:rPr>
                <w:sz w:val="20"/>
                <w:szCs w:val="20"/>
                <w:color w:val="auto"/>
              </w:rPr>
            </w:pPr>
            <w:r>
              <w:rPr>
                <w:rFonts w:ascii="Calibri" w:cs="Calibri" w:eastAsia="Calibri" w:hAnsi="Calibri"/>
                <w:sz w:val="18"/>
                <w:szCs w:val="18"/>
                <w:color w:val="auto"/>
              </w:rPr>
              <w:t>Trade receivables, net of allowances of $7 and $7, respectvely</w:t>
            </w:r>
          </w:p>
        </w:tc>
        <w:tc>
          <w:tcPr>
            <w:tcW w:w="11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182</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175</w:t>
            </w:r>
          </w:p>
        </w:tc>
        <w:tc>
          <w:tcPr>
            <w:tcW w:w="120" w:type="dxa"/>
            <w:vAlign w:val="bottom"/>
            <w:shd w:val="clear" w:color="auto" w:fill="CFF0FC"/>
          </w:tcPr>
          <w:p>
            <w:pPr>
              <w:spacing w:after="0"/>
              <w:rPr>
                <w:sz w:val="20"/>
                <w:szCs w:val="20"/>
                <w:color w:val="auto"/>
              </w:rPr>
            </w:pPr>
          </w:p>
        </w:tc>
      </w:tr>
      <w:tr>
        <w:trPr>
          <w:trHeight w:val="222"/>
        </w:trPr>
        <w:tc>
          <w:tcPr>
            <w:tcW w:w="7720" w:type="dxa"/>
            <w:vAlign w:val="bottom"/>
          </w:tcPr>
          <w:p>
            <w:pPr>
              <w:spacing w:after="0" w:line="215" w:lineRule="exact"/>
              <w:rPr>
                <w:sz w:val="20"/>
                <w:szCs w:val="20"/>
                <w:color w:val="auto"/>
              </w:rPr>
            </w:pPr>
            <w:r>
              <w:rPr>
                <w:rFonts w:ascii="Calibri" w:cs="Calibri" w:eastAsia="Calibri" w:hAnsi="Calibri"/>
                <w:sz w:val="18"/>
                <w:szCs w:val="18"/>
                <w:color w:val="auto"/>
              </w:rPr>
              <w:t>Inventories, net</w:t>
            </w:r>
          </w:p>
        </w:tc>
        <w:tc>
          <w:tcPr>
            <w:tcW w:w="1140" w:type="dxa"/>
            <w:vAlign w:val="bottom"/>
          </w:tcPr>
          <w:p>
            <w:pPr>
              <w:spacing w:after="0"/>
              <w:rPr>
                <w:sz w:val="19"/>
                <w:szCs w:val="19"/>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247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219</w:t>
            </w:r>
          </w:p>
        </w:tc>
        <w:tc>
          <w:tcPr>
            <w:tcW w:w="120" w:type="dxa"/>
            <w:vAlign w:val="bottom"/>
          </w:tcPr>
          <w:p>
            <w:pPr>
              <w:spacing w:after="0"/>
              <w:rPr>
                <w:sz w:val="19"/>
                <w:szCs w:val="19"/>
                <w:color w:val="auto"/>
              </w:rPr>
            </w:pPr>
          </w:p>
        </w:tc>
      </w:tr>
      <w:tr>
        <w:trPr>
          <w:trHeight w:val="237"/>
        </w:trPr>
        <w:tc>
          <w:tcPr>
            <w:tcW w:w="7720" w:type="dxa"/>
            <w:vAlign w:val="bottom"/>
            <w:shd w:val="clear" w:color="auto" w:fill="CFF0FC"/>
          </w:tcPr>
          <w:p>
            <w:pPr>
              <w:spacing w:after="0"/>
              <w:rPr>
                <w:sz w:val="20"/>
                <w:szCs w:val="20"/>
                <w:color w:val="auto"/>
              </w:rPr>
            </w:pPr>
            <w:r>
              <w:rPr>
                <w:rFonts w:ascii="Calibri" w:cs="Calibri" w:eastAsia="Calibri" w:hAnsi="Calibri"/>
                <w:sz w:val="18"/>
                <w:szCs w:val="18"/>
                <w:color w:val="auto"/>
              </w:rPr>
              <w:t>Other current assets</w:t>
            </w:r>
          </w:p>
        </w:tc>
        <w:tc>
          <w:tcPr>
            <w:tcW w:w="11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50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49</w:t>
            </w:r>
          </w:p>
        </w:tc>
        <w:tc>
          <w:tcPr>
            <w:tcW w:w="120" w:type="dxa"/>
            <w:vAlign w:val="bottom"/>
            <w:shd w:val="clear" w:color="auto" w:fill="CFF0FC"/>
          </w:tcPr>
          <w:p>
            <w:pPr>
              <w:spacing w:after="0"/>
              <w:rPr>
                <w:sz w:val="20"/>
                <w:szCs w:val="20"/>
                <w:color w:val="auto"/>
              </w:rPr>
            </w:pPr>
          </w:p>
        </w:tc>
      </w:tr>
      <w:tr>
        <w:trPr>
          <w:trHeight w:val="223"/>
        </w:trPr>
        <w:tc>
          <w:tcPr>
            <w:tcW w:w="7720" w:type="dxa"/>
            <w:vAlign w:val="bottom"/>
            <w:tcBorders>
              <w:bottom w:val="single" w:sz="8" w:color="CFF0FC"/>
            </w:tcBorders>
          </w:tcPr>
          <w:p>
            <w:pPr>
              <w:spacing w:after="0" w:line="215" w:lineRule="exact"/>
              <w:rPr>
                <w:sz w:val="20"/>
                <w:szCs w:val="20"/>
                <w:color w:val="auto"/>
              </w:rPr>
            </w:pPr>
            <w:r>
              <w:rPr>
                <w:rFonts w:ascii="Calibri" w:cs="Calibri" w:eastAsia="Calibri" w:hAnsi="Calibri"/>
                <w:sz w:val="18"/>
                <w:szCs w:val="18"/>
                <w:color w:val="auto"/>
              </w:rPr>
              <w:t>Current assets held for sale</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29"/>
        </w:trPr>
        <w:tc>
          <w:tcPr>
            <w:tcW w:w="7720" w:type="dxa"/>
            <w:vAlign w:val="bottom"/>
            <w:shd w:val="clear" w:color="auto" w:fill="CFF0FC"/>
          </w:tcPr>
          <w:p>
            <w:pPr>
              <w:ind w:left="500"/>
              <w:spacing w:after="0" w:line="206" w:lineRule="exact"/>
              <w:rPr>
                <w:sz w:val="20"/>
                <w:szCs w:val="20"/>
                <w:color w:val="auto"/>
              </w:rPr>
            </w:pPr>
            <w:r>
              <w:rPr>
                <w:rFonts w:ascii="Calibri" w:cs="Calibri" w:eastAsia="Calibri" w:hAnsi="Calibri"/>
                <w:sz w:val="18"/>
                <w:szCs w:val="18"/>
                <w:color w:val="auto"/>
              </w:rPr>
              <w:t>Total current assets</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790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807</w:t>
            </w:r>
          </w:p>
        </w:tc>
        <w:tc>
          <w:tcPr>
            <w:tcW w:w="120" w:type="dxa"/>
            <w:vAlign w:val="bottom"/>
            <w:shd w:val="clear" w:color="auto" w:fill="CFF0FC"/>
          </w:tcPr>
          <w:p>
            <w:pPr>
              <w:spacing w:after="0"/>
              <w:rPr>
                <w:sz w:val="19"/>
                <w:szCs w:val="19"/>
                <w:color w:val="auto"/>
              </w:rPr>
            </w:pPr>
          </w:p>
        </w:tc>
      </w:tr>
      <w:tr>
        <w:trPr>
          <w:trHeight w:val="207"/>
        </w:trPr>
        <w:tc>
          <w:tcPr>
            <w:tcW w:w="7720" w:type="dxa"/>
            <w:vAlign w:val="bottom"/>
          </w:tcPr>
          <w:p>
            <w:pPr>
              <w:spacing w:after="0" w:line="207" w:lineRule="exact"/>
              <w:rPr>
                <w:sz w:val="20"/>
                <w:szCs w:val="20"/>
                <w:color w:val="auto"/>
              </w:rPr>
            </w:pPr>
            <w:r>
              <w:rPr>
                <w:rFonts w:ascii="Calibri" w:cs="Calibri" w:eastAsia="Calibri" w:hAnsi="Calibri"/>
                <w:sz w:val="18"/>
                <w:szCs w:val="18"/>
                <w:color w:val="auto"/>
              </w:rPr>
              <w:t>Property, plant and equipment, net of accumulated depreciaton of $446 and</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720" w:type="dxa"/>
            <w:vAlign w:val="bottom"/>
          </w:tcPr>
          <w:p>
            <w:pPr>
              <w:ind w:left="120"/>
              <w:spacing w:after="0" w:line="215" w:lineRule="exact"/>
              <w:rPr>
                <w:sz w:val="20"/>
                <w:szCs w:val="20"/>
                <w:color w:val="auto"/>
              </w:rPr>
            </w:pPr>
            <w:r>
              <w:rPr>
                <w:rFonts w:ascii="Calibri" w:cs="Calibri" w:eastAsia="Calibri" w:hAnsi="Calibri"/>
                <w:sz w:val="18"/>
                <w:szCs w:val="18"/>
                <w:color w:val="auto"/>
              </w:rPr>
              <w:t>$441, respectvely</w:t>
            </w:r>
          </w:p>
        </w:tc>
        <w:tc>
          <w:tcPr>
            <w:tcW w:w="1140" w:type="dxa"/>
            <w:vAlign w:val="bottom"/>
          </w:tcPr>
          <w:p>
            <w:pPr>
              <w:spacing w:after="0"/>
              <w:rPr>
                <w:sz w:val="18"/>
                <w:szCs w:val="18"/>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147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140</w:t>
            </w:r>
          </w:p>
        </w:tc>
        <w:tc>
          <w:tcPr>
            <w:tcW w:w="120" w:type="dxa"/>
            <w:vAlign w:val="bottom"/>
          </w:tcPr>
          <w:p>
            <w:pPr>
              <w:spacing w:after="0"/>
              <w:rPr>
                <w:sz w:val="18"/>
                <w:szCs w:val="18"/>
                <w:color w:val="auto"/>
              </w:rPr>
            </w:pPr>
          </w:p>
        </w:tc>
      </w:tr>
      <w:tr>
        <w:trPr>
          <w:trHeight w:val="23"/>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772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Goodwill</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w:t>
            </w:r>
          </w:p>
        </w:tc>
        <w:tc>
          <w:tcPr>
            <w:tcW w:w="120" w:type="dxa"/>
            <w:vAlign w:val="bottom"/>
            <w:shd w:val="clear" w:color="auto" w:fill="CFF0FC"/>
          </w:tcPr>
          <w:p>
            <w:pPr>
              <w:spacing w:after="0"/>
              <w:rPr>
                <w:sz w:val="19"/>
                <w:szCs w:val="19"/>
                <w:color w:val="auto"/>
              </w:rPr>
            </w:pPr>
          </w:p>
        </w:tc>
      </w:tr>
      <w:tr>
        <w:trPr>
          <w:trHeight w:val="222"/>
        </w:trPr>
        <w:tc>
          <w:tcPr>
            <w:tcW w:w="7720" w:type="dxa"/>
            <w:vAlign w:val="bottom"/>
          </w:tcPr>
          <w:p>
            <w:pPr>
              <w:spacing w:after="0" w:line="215" w:lineRule="exact"/>
              <w:rPr>
                <w:sz w:val="20"/>
                <w:szCs w:val="20"/>
                <w:color w:val="auto"/>
              </w:rPr>
            </w:pPr>
            <w:r>
              <w:rPr>
                <w:rFonts w:ascii="Calibri" w:cs="Calibri" w:eastAsia="Calibri" w:hAnsi="Calibri"/>
                <w:sz w:val="18"/>
                <w:szCs w:val="18"/>
                <w:color w:val="auto"/>
              </w:rPr>
              <w:t>Intangible assets, net</w:t>
            </w:r>
          </w:p>
        </w:tc>
        <w:tc>
          <w:tcPr>
            <w:tcW w:w="1140" w:type="dxa"/>
            <w:vAlign w:val="bottom"/>
          </w:tcPr>
          <w:p>
            <w:pPr>
              <w:spacing w:after="0"/>
              <w:rPr>
                <w:sz w:val="19"/>
                <w:szCs w:val="19"/>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32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120" w:type="dxa"/>
            <w:vAlign w:val="bottom"/>
          </w:tcPr>
          <w:p>
            <w:pPr>
              <w:spacing w:after="0"/>
              <w:rPr>
                <w:sz w:val="19"/>
                <w:szCs w:val="19"/>
                <w:color w:val="auto"/>
              </w:rPr>
            </w:pPr>
          </w:p>
        </w:tc>
      </w:tr>
      <w:tr>
        <w:trPr>
          <w:trHeight w:val="237"/>
        </w:trPr>
        <w:tc>
          <w:tcPr>
            <w:tcW w:w="7720" w:type="dxa"/>
            <w:vAlign w:val="bottom"/>
            <w:shd w:val="clear" w:color="auto" w:fill="CFF0FC"/>
          </w:tcPr>
          <w:p>
            <w:pPr>
              <w:spacing w:after="0"/>
              <w:rPr>
                <w:sz w:val="20"/>
                <w:szCs w:val="20"/>
                <w:color w:val="auto"/>
              </w:rPr>
            </w:pPr>
            <w:r>
              <w:rPr>
                <w:rFonts w:ascii="Calibri" w:cs="Calibri" w:eastAsia="Calibri" w:hAnsi="Calibri"/>
                <w:sz w:val="18"/>
                <w:szCs w:val="18"/>
                <w:color w:val="auto"/>
              </w:rPr>
              <w:t>Operatng lease right-of-use assets</w:t>
            </w:r>
          </w:p>
        </w:tc>
        <w:tc>
          <w:tcPr>
            <w:tcW w:w="11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45</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47</w:t>
            </w:r>
          </w:p>
        </w:tc>
        <w:tc>
          <w:tcPr>
            <w:tcW w:w="120" w:type="dxa"/>
            <w:vAlign w:val="bottom"/>
            <w:shd w:val="clear" w:color="auto" w:fill="CFF0FC"/>
          </w:tcPr>
          <w:p>
            <w:pPr>
              <w:spacing w:after="0"/>
              <w:rPr>
                <w:sz w:val="20"/>
                <w:szCs w:val="20"/>
                <w:color w:val="auto"/>
              </w:rPr>
            </w:pPr>
          </w:p>
        </w:tc>
      </w:tr>
      <w:tr>
        <w:trPr>
          <w:trHeight w:val="222"/>
        </w:trPr>
        <w:tc>
          <w:tcPr>
            <w:tcW w:w="7720" w:type="dxa"/>
            <w:vAlign w:val="bottom"/>
          </w:tcPr>
          <w:p>
            <w:pPr>
              <w:spacing w:after="0" w:line="215" w:lineRule="exact"/>
              <w:rPr>
                <w:sz w:val="20"/>
                <w:szCs w:val="20"/>
                <w:color w:val="auto"/>
              </w:rPr>
            </w:pPr>
            <w:r>
              <w:rPr>
                <w:rFonts w:ascii="Calibri" w:cs="Calibri" w:eastAsia="Calibri" w:hAnsi="Calibri"/>
                <w:sz w:val="18"/>
                <w:szCs w:val="18"/>
                <w:color w:val="auto"/>
              </w:rPr>
              <w:t>Restricted cash</w:t>
            </w:r>
          </w:p>
        </w:tc>
        <w:tc>
          <w:tcPr>
            <w:tcW w:w="1140" w:type="dxa"/>
            <w:vAlign w:val="bottom"/>
          </w:tcPr>
          <w:p>
            <w:pPr>
              <w:spacing w:after="0"/>
              <w:rPr>
                <w:sz w:val="19"/>
                <w:szCs w:val="19"/>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58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120" w:type="dxa"/>
            <w:vAlign w:val="bottom"/>
          </w:tcPr>
          <w:p>
            <w:pPr>
              <w:spacing w:after="0"/>
              <w:rPr>
                <w:sz w:val="19"/>
                <w:szCs w:val="19"/>
                <w:color w:val="auto"/>
              </w:rPr>
            </w:pPr>
          </w:p>
        </w:tc>
      </w:tr>
      <w:tr>
        <w:trPr>
          <w:trHeight w:val="237"/>
        </w:trPr>
        <w:tc>
          <w:tcPr>
            <w:tcW w:w="7720" w:type="dxa"/>
            <w:vAlign w:val="bottom"/>
            <w:shd w:val="clear" w:color="auto" w:fill="CFF0FC"/>
          </w:tcPr>
          <w:p>
            <w:pPr>
              <w:spacing w:after="0"/>
              <w:rPr>
                <w:sz w:val="20"/>
                <w:szCs w:val="20"/>
                <w:color w:val="auto"/>
              </w:rPr>
            </w:pPr>
            <w:r>
              <w:rPr>
                <w:rFonts w:ascii="Calibri" w:cs="Calibri" w:eastAsia="Calibri" w:hAnsi="Calibri"/>
                <w:sz w:val="18"/>
                <w:szCs w:val="18"/>
                <w:color w:val="auto"/>
              </w:rPr>
              <w:t>Pension and other postretrement assets</w:t>
            </w:r>
          </w:p>
        </w:tc>
        <w:tc>
          <w:tcPr>
            <w:tcW w:w="11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w w:val="97"/>
              </w:rPr>
              <w:t>1,049</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1,022</w:t>
            </w:r>
          </w:p>
        </w:tc>
        <w:tc>
          <w:tcPr>
            <w:tcW w:w="120" w:type="dxa"/>
            <w:vAlign w:val="bottom"/>
            <w:shd w:val="clear" w:color="auto" w:fill="CFF0FC"/>
          </w:tcPr>
          <w:p>
            <w:pPr>
              <w:spacing w:after="0"/>
              <w:rPr>
                <w:sz w:val="20"/>
                <w:szCs w:val="20"/>
                <w:color w:val="auto"/>
              </w:rPr>
            </w:pPr>
          </w:p>
        </w:tc>
      </w:tr>
      <w:tr>
        <w:trPr>
          <w:trHeight w:val="223"/>
        </w:trPr>
        <w:tc>
          <w:tcPr>
            <w:tcW w:w="7720" w:type="dxa"/>
            <w:vAlign w:val="bottom"/>
            <w:tcBorders>
              <w:bottom w:val="single" w:sz="8" w:color="CFF0FC"/>
            </w:tcBorders>
          </w:tcPr>
          <w:p>
            <w:pPr>
              <w:spacing w:after="0" w:line="215" w:lineRule="exact"/>
              <w:rPr>
                <w:sz w:val="20"/>
                <w:szCs w:val="20"/>
                <w:color w:val="auto"/>
              </w:rPr>
            </w:pPr>
            <w:r>
              <w:rPr>
                <w:rFonts w:ascii="Calibri" w:cs="Calibri" w:eastAsia="Calibri" w:hAnsi="Calibri"/>
                <w:sz w:val="18"/>
                <w:szCs w:val="18"/>
                <w:color w:val="auto"/>
              </w:rPr>
              <w:t>Other long-term assets</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500"/>
              <w:spacing w:after="0" w:line="206" w:lineRule="exact"/>
              <w:rPr>
                <w:sz w:val="20"/>
                <w:szCs w:val="20"/>
                <w:color w:val="auto"/>
              </w:rPr>
            </w:pPr>
            <w:r>
              <w:rPr>
                <w:rFonts w:ascii="Calibri" w:cs="Calibri" w:eastAsia="Calibri" w:hAnsi="Calibri"/>
                <w:sz w:val="18"/>
                <w:szCs w:val="18"/>
                <w:b w:val="1"/>
                <w:bCs w:val="1"/>
                <w:color w:val="auto"/>
              </w:rPr>
              <w:t>TOTAL ASSETS</w:t>
            </w:r>
          </w:p>
        </w:tc>
        <w:tc>
          <w:tcPr>
            <w:tcW w:w="1140" w:type="dxa"/>
            <w:vAlign w:val="bottom"/>
            <w:tcBorders>
              <w:bottom w:val="single" w:sz="8" w:color="auto"/>
            </w:tcBorders>
            <w:shd w:val="clear" w:color="auto" w:fill="CFF0FC"/>
          </w:tcPr>
          <w:p>
            <w:pPr>
              <w:jc w:val="right"/>
              <w:ind w:right="950"/>
              <w:spacing w:after="0" w:line="215" w:lineRule="exact"/>
              <w:rPr>
                <w:sz w:val="20"/>
                <w:szCs w:val="20"/>
                <w:color w:val="auto"/>
              </w:rPr>
            </w:pPr>
            <w:r>
              <w:rPr>
                <w:rFonts w:ascii="Calibri" w:cs="Calibri" w:eastAsia="Calibri" w:hAnsi="Calibri"/>
                <w:sz w:val="18"/>
                <w:szCs w:val="18"/>
                <w:b w:val="1"/>
                <w:bCs w:val="1"/>
                <w:color w:val="auto"/>
                <w:w w:val="87"/>
              </w:rPr>
              <w:t>$</w:t>
            </w:r>
          </w:p>
        </w:tc>
        <w:tc>
          <w:tcPr>
            <w:tcW w:w="4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w w:val="97"/>
              </w:rPr>
              <w:t>2,187</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w w:val="87"/>
              </w:rPr>
              <w:t>$</w:t>
            </w:r>
          </w:p>
        </w:tc>
        <w:tc>
          <w:tcPr>
            <w:tcW w:w="13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2,171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7720" w:type="dxa"/>
            <w:vAlign w:val="bottom"/>
            <w:shd w:val="clear" w:color="auto" w:fill="CFF0FC"/>
          </w:tcPr>
          <w:p>
            <w:pPr>
              <w:spacing w:after="0" w:line="207" w:lineRule="exact"/>
              <w:rPr>
                <w:sz w:val="20"/>
                <w:szCs w:val="20"/>
                <w:color w:val="auto"/>
              </w:rPr>
            </w:pPr>
            <w:r>
              <w:rPr>
                <w:rFonts w:ascii="Calibri" w:cs="Calibri" w:eastAsia="Calibri" w:hAnsi="Calibri"/>
                <w:sz w:val="18"/>
                <w:szCs w:val="18"/>
                <w:b w:val="1"/>
                <w:bCs w:val="1"/>
                <w:color w:val="auto"/>
              </w:rPr>
              <w:t>LIABILITIES, REDEEMABLE CONVERTIBLE PREFERRED STOCK AND</w:t>
            </w: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8"/>
        </w:trPr>
        <w:tc>
          <w:tcPr>
            <w:tcW w:w="77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b w:val="1"/>
                <w:bCs w:val="1"/>
                <w:color w:val="auto"/>
              </w:rPr>
              <w:t>EQUITY</w:t>
            </w:r>
          </w:p>
        </w:tc>
        <w:tc>
          <w:tcPr>
            <w:tcW w:w="1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r>
      <w:tr>
        <w:trPr>
          <w:trHeight w:val="222"/>
        </w:trPr>
        <w:tc>
          <w:tcPr>
            <w:tcW w:w="7720" w:type="dxa"/>
            <w:vAlign w:val="bottom"/>
          </w:tcPr>
          <w:p>
            <w:pPr>
              <w:spacing w:after="0" w:line="215" w:lineRule="exact"/>
              <w:rPr>
                <w:sz w:val="20"/>
                <w:szCs w:val="20"/>
                <w:color w:val="auto"/>
              </w:rPr>
            </w:pPr>
            <w:r>
              <w:rPr>
                <w:rFonts w:ascii="Calibri" w:cs="Calibri" w:eastAsia="Calibri" w:hAnsi="Calibri"/>
                <w:sz w:val="18"/>
                <w:szCs w:val="18"/>
                <w:color w:val="auto"/>
              </w:rPr>
              <w:t>Accounts payable, trade</w:t>
            </w:r>
          </w:p>
        </w:tc>
        <w:tc>
          <w:tcPr>
            <w:tcW w:w="1140" w:type="dxa"/>
            <w:vAlign w:val="bottom"/>
          </w:tcPr>
          <w:p>
            <w:pPr>
              <w:jc w:val="right"/>
              <w:ind w:right="950"/>
              <w:spacing w:after="0" w:line="215" w:lineRule="exact"/>
              <w:rPr>
                <w:sz w:val="20"/>
                <w:szCs w:val="20"/>
                <w:color w:val="auto"/>
              </w:rPr>
            </w:pPr>
            <w:r>
              <w:rPr>
                <w:rFonts w:ascii="Calibri" w:cs="Calibri" w:eastAsia="Calibri" w:hAnsi="Calibri"/>
                <w:sz w:val="18"/>
                <w:szCs w:val="18"/>
                <w:color w:val="auto"/>
                <w:w w:val="87"/>
              </w:rPr>
              <w:t>$</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182</w:t>
            </w:r>
          </w:p>
        </w:tc>
        <w:tc>
          <w:tcPr>
            <w:tcW w:w="28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153</w:t>
            </w:r>
          </w:p>
        </w:tc>
        <w:tc>
          <w:tcPr>
            <w:tcW w:w="120" w:type="dxa"/>
            <w:vAlign w:val="bottom"/>
          </w:tcPr>
          <w:p>
            <w:pPr>
              <w:spacing w:after="0"/>
              <w:rPr>
                <w:sz w:val="19"/>
                <w:szCs w:val="19"/>
                <w:color w:val="auto"/>
              </w:rPr>
            </w:pPr>
          </w:p>
        </w:tc>
      </w:tr>
      <w:tr>
        <w:trPr>
          <w:trHeight w:val="237"/>
        </w:trPr>
        <w:tc>
          <w:tcPr>
            <w:tcW w:w="7720" w:type="dxa"/>
            <w:vAlign w:val="bottom"/>
            <w:shd w:val="clear" w:color="auto" w:fill="CFF0FC"/>
          </w:tcPr>
          <w:p>
            <w:pPr>
              <w:spacing w:after="0"/>
              <w:rPr>
                <w:sz w:val="20"/>
                <w:szCs w:val="20"/>
                <w:color w:val="auto"/>
              </w:rPr>
            </w:pPr>
            <w:r>
              <w:rPr>
                <w:rFonts w:ascii="Calibri" w:cs="Calibri" w:eastAsia="Calibri" w:hAnsi="Calibri"/>
                <w:sz w:val="18"/>
                <w:szCs w:val="18"/>
                <w:color w:val="auto"/>
              </w:rPr>
              <w:t>Short-term borrowings and current porton of long-term debt</w:t>
            </w:r>
          </w:p>
        </w:tc>
        <w:tc>
          <w:tcPr>
            <w:tcW w:w="11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120" w:type="dxa"/>
            <w:vAlign w:val="bottom"/>
            <w:shd w:val="clear" w:color="auto" w:fill="CFF0FC"/>
          </w:tcPr>
          <w:p>
            <w:pPr>
              <w:spacing w:after="0"/>
              <w:rPr>
                <w:sz w:val="20"/>
                <w:szCs w:val="20"/>
                <w:color w:val="auto"/>
              </w:rPr>
            </w:pPr>
          </w:p>
        </w:tc>
      </w:tr>
      <w:tr>
        <w:trPr>
          <w:trHeight w:val="222"/>
        </w:trPr>
        <w:tc>
          <w:tcPr>
            <w:tcW w:w="7720" w:type="dxa"/>
            <w:vAlign w:val="bottom"/>
          </w:tcPr>
          <w:p>
            <w:pPr>
              <w:spacing w:after="0" w:line="215" w:lineRule="exact"/>
              <w:rPr>
                <w:sz w:val="20"/>
                <w:szCs w:val="20"/>
                <w:color w:val="auto"/>
              </w:rPr>
            </w:pPr>
            <w:r>
              <w:rPr>
                <w:rFonts w:ascii="Calibri" w:cs="Calibri" w:eastAsia="Calibri" w:hAnsi="Calibri"/>
                <w:sz w:val="18"/>
                <w:szCs w:val="18"/>
                <w:color w:val="auto"/>
              </w:rPr>
              <w:t>Current porton of operatng leases</w:t>
            </w:r>
          </w:p>
        </w:tc>
        <w:tc>
          <w:tcPr>
            <w:tcW w:w="1140" w:type="dxa"/>
            <w:vAlign w:val="bottom"/>
          </w:tcPr>
          <w:p>
            <w:pPr>
              <w:spacing w:after="0"/>
              <w:rPr>
                <w:sz w:val="19"/>
                <w:szCs w:val="19"/>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120" w:type="dxa"/>
            <w:vAlign w:val="bottom"/>
          </w:tcPr>
          <w:p>
            <w:pPr>
              <w:spacing w:after="0"/>
              <w:rPr>
                <w:sz w:val="19"/>
                <w:szCs w:val="19"/>
                <w:color w:val="auto"/>
              </w:rPr>
            </w:pPr>
          </w:p>
        </w:tc>
      </w:tr>
      <w:tr>
        <w:trPr>
          <w:trHeight w:val="237"/>
        </w:trPr>
        <w:tc>
          <w:tcPr>
            <w:tcW w:w="7720" w:type="dxa"/>
            <w:vAlign w:val="bottom"/>
            <w:shd w:val="clear" w:color="auto" w:fill="CFF0FC"/>
          </w:tcPr>
          <w:p>
            <w:pPr>
              <w:spacing w:after="0"/>
              <w:rPr>
                <w:sz w:val="20"/>
                <w:szCs w:val="20"/>
                <w:color w:val="auto"/>
              </w:rPr>
            </w:pPr>
            <w:r>
              <w:rPr>
                <w:rFonts w:ascii="Calibri" w:cs="Calibri" w:eastAsia="Calibri" w:hAnsi="Calibri"/>
                <w:sz w:val="18"/>
                <w:szCs w:val="18"/>
                <w:color w:val="auto"/>
              </w:rPr>
              <w:t>Other current liabilites</w:t>
            </w:r>
          </w:p>
        </w:tc>
        <w:tc>
          <w:tcPr>
            <w:tcW w:w="114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139</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142</w:t>
            </w:r>
          </w:p>
        </w:tc>
        <w:tc>
          <w:tcPr>
            <w:tcW w:w="120" w:type="dxa"/>
            <w:vAlign w:val="bottom"/>
            <w:shd w:val="clear" w:color="auto" w:fill="CFF0FC"/>
          </w:tcPr>
          <w:p>
            <w:pPr>
              <w:spacing w:after="0"/>
              <w:rPr>
                <w:sz w:val="20"/>
                <w:szCs w:val="20"/>
                <w:color w:val="auto"/>
              </w:rPr>
            </w:pPr>
          </w:p>
        </w:tc>
      </w:tr>
      <w:tr>
        <w:trPr>
          <w:trHeight w:val="216"/>
        </w:trPr>
        <w:tc>
          <w:tcPr>
            <w:tcW w:w="7720" w:type="dxa"/>
            <w:vAlign w:val="bottom"/>
          </w:tcPr>
          <w:p>
            <w:pPr>
              <w:ind w:left="500"/>
              <w:spacing w:after="0" w:line="199" w:lineRule="exact"/>
              <w:rPr>
                <w:sz w:val="20"/>
                <w:szCs w:val="20"/>
                <w:color w:val="auto"/>
              </w:rPr>
            </w:pPr>
            <w:r>
              <w:rPr>
                <w:rFonts w:ascii="Calibri" w:cs="Calibri" w:eastAsia="Calibri" w:hAnsi="Calibri"/>
                <w:sz w:val="18"/>
                <w:szCs w:val="18"/>
                <w:color w:val="auto"/>
              </w:rPr>
              <w:t>Total current liabilites</w:t>
            </w:r>
          </w:p>
        </w:tc>
        <w:tc>
          <w:tcPr>
            <w:tcW w:w="1140" w:type="dxa"/>
            <w:vAlign w:val="bottom"/>
          </w:tcPr>
          <w:p>
            <w:pPr>
              <w:spacing w:after="0"/>
              <w:rPr>
                <w:sz w:val="18"/>
                <w:szCs w:val="18"/>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334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309</w:t>
            </w:r>
          </w:p>
        </w:tc>
        <w:tc>
          <w:tcPr>
            <w:tcW w:w="120" w:type="dxa"/>
            <w:vAlign w:val="bottom"/>
          </w:tcPr>
          <w:p>
            <w:pPr>
              <w:spacing w:after="0"/>
              <w:rPr>
                <w:sz w:val="18"/>
                <w:szCs w:val="18"/>
                <w:color w:val="auto"/>
              </w:rPr>
            </w:pPr>
          </w:p>
        </w:tc>
      </w:tr>
      <w:tr>
        <w:trPr>
          <w:trHeight w:val="237"/>
        </w:trPr>
        <w:tc>
          <w:tcPr>
            <w:tcW w:w="7720" w:type="dxa"/>
            <w:vAlign w:val="bottom"/>
            <w:shd w:val="clear" w:color="auto" w:fill="CFF0FC"/>
          </w:tcPr>
          <w:p>
            <w:pPr>
              <w:spacing w:after="0"/>
              <w:rPr>
                <w:sz w:val="20"/>
                <w:szCs w:val="20"/>
                <w:color w:val="auto"/>
              </w:rPr>
            </w:pPr>
            <w:r>
              <w:rPr>
                <w:rFonts w:ascii="Calibri" w:cs="Calibri" w:eastAsia="Calibri" w:hAnsi="Calibri"/>
                <w:sz w:val="18"/>
                <w:szCs w:val="18"/>
                <w:color w:val="auto"/>
              </w:rPr>
              <w:t>Long-term debt, net of current porton</w:t>
            </w:r>
          </w:p>
        </w:tc>
        <w:tc>
          <w:tcPr>
            <w:tcW w:w="11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256</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253</w:t>
            </w:r>
          </w:p>
        </w:tc>
        <w:tc>
          <w:tcPr>
            <w:tcW w:w="120" w:type="dxa"/>
            <w:vAlign w:val="bottom"/>
            <w:shd w:val="clear" w:color="auto" w:fill="CFF0FC"/>
          </w:tcPr>
          <w:p>
            <w:pPr>
              <w:spacing w:after="0"/>
              <w:rPr>
                <w:sz w:val="20"/>
                <w:szCs w:val="20"/>
                <w:color w:val="auto"/>
              </w:rPr>
            </w:pPr>
          </w:p>
        </w:tc>
      </w:tr>
      <w:tr>
        <w:trPr>
          <w:trHeight w:val="222"/>
        </w:trPr>
        <w:tc>
          <w:tcPr>
            <w:tcW w:w="7720" w:type="dxa"/>
            <w:vAlign w:val="bottom"/>
          </w:tcPr>
          <w:p>
            <w:pPr>
              <w:spacing w:after="0" w:line="215" w:lineRule="exact"/>
              <w:rPr>
                <w:sz w:val="20"/>
                <w:szCs w:val="20"/>
                <w:color w:val="auto"/>
              </w:rPr>
            </w:pPr>
            <w:r>
              <w:rPr>
                <w:rFonts w:ascii="Calibri" w:cs="Calibri" w:eastAsia="Calibri" w:hAnsi="Calibri"/>
                <w:sz w:val="18"/>
                <w:szCs w:val="18"/>
                <w:color w:val="auto"/>
              </w:rPr>
              <w:t>Pension and other postretrement liabilites</w:t>
            </w:r>
          </w:p>
        </w:tc>
        <w:tc>
          <w:tcPr>
            <w:tcW w:w="1140" w:type="dxa"/>
            <w:vAlign w:val="bottom"/>
          </w:tcPr>
          <w:p>
            <w:pPr>
              <w:spacing w:after="0"/>
              <w:rPr>
                <w:sz w:val="19"/>
                <w:szCs w:val="19"/>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375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382</w:t>
            </w:r>
          </w:p>
        </w:tc>
        <w:tc>
          <w:tcPr>
            <w:tcW w:w="120" w:type="dxa"/>
            <w:vAlign w:val="bottom"/>
          </w:tcPr>
          <w:p>
            <w:pPr>
              <w:spacing w:after="0"/>
              <w:rPr>
                <w:sz w:val="19"/>
                <w:szCs w:val="19"/>
                <w:color w:val="auto"/>
              </w:rPr>
            </w:pPr>
          </w:p>
        </w:tc>
      </w:tr>
      <w:tr>
        <w:trPr>
          <w:trHeight w:val="237"/>
        </w:trPr>
        <w:tc>
          <w:tcPr>
            <w:tcW w:w="7720" w:type="dxa"/>
            <w:vAlign w:val="bottom"/>
            <w:shd w:val="clear" w:color="auto" w:fill="CFF0FC"/>
          </w:tcPr>
          <w:p>
            <w:pPr>
              <w:spacing w:after="0"/>
              <w:rPr>
                <w:sz w:val="20"/>
                <w:szCs w:val="20"/>
                <w:color w:val="auto"/>
              </w:rPr>
            </w:pPr>
            <w:r>
              <w:rPr>
                <w:rFonts w:ascii="Calibri" w:cs="Calibri" w:eastAsia="Calibri" w:hAnsi="Calibri"/>
                <w:sz w:val="18"/>
                <w:szCs w:val="18"/>
                <w:color w:val="auto"/>
              </w:rPr>
              <w:t>Operatng leases, net of current porton</w:t>
            </w:r>
          </w:p>
        </w:tc>
        <w:tc>
          <w:tcPr>
            <w:tcW w:w="11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42</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45</w:t>
            </w:r>
          </w:p>
        </w:tc>
        <w:tc>
          <w:tcPr>
            <w:tcW w:w="120" w:type="dxa"/>
            <w:vAlign w:val="bottom"/>
            <w:shd w:val="clear" w:color="auto" w:fill="CFF0FC"/>
          </w:tcPr>
          <w:p>
            <w:pPr>
              <w:spacing w:after="0"/>
              <w:rPr>
                <w:sz w:val="20"/>
                <w:szCs w:val="20"/>
                <w:color w:val="auto"/>
              </w:rPr>
            </w:pPr>
          </w:p>
        </w:tc>
      </w:tr>
      <w:tr>
        <w:trPr>
          <w:trHeight w:val="223"/>
        </w:trPr>
        <w:tc>
          <w:tcPr>
            <w:tcW w:w="7720" w:type="dxa"/>
            <w:vAlign w:val="bottom"/>
            <w:tcBorders>
              <w:bottom w:val="single" w:sz="8" w:color="CFF0FC"/>
            </w:tcBorders>
          </w:tcPr>
          <w:p>
            <w:pPr>
              <w:spacing w:after="0" w:line="215" w:lineRule="exact"/>
              <w:rPr>
                <w:sz w:val="20"/>
                <w:szCs w:val="20"/>
                <w:color w:val="auto"/>
              </w:rPr>
            </w:pPr>
            <w:r>
              <w:rPr>
                <w:rFonts w:ascii="Calibri" w:cs="Calibri" w:eastAsia="Calibri" w:hAnsi="Calibri"/>
                <w:sz w:val="18"/>
                <w:szCs w:val="18"/>
                <w:color w:val="auto"/>
              </w:rPr>
              <w:t>Other long-term liabilites</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line="206" w:lineRule="exact"/>
              <w:rPr>
                <w:sz w:val="20"/>
                <w:szCs w:val="20"/>
                <w:color w:val="auto"/>
              </w:rPr>
            </w:pPr>
            <w:r>
              <w:rPr>
                <w:rFonts w:ascii="Calibri" w:cs="Calibri" w:eastAsia="Calibri" w:hAnsi="Calibri"/>
                <w:sz w:val="18"/>
                <w:szCs w:val="18"/>
                <w:color w:val="auto"/>
              </w:rPr>
              <w:t>Total liabilites</w:t>
            </w:r>
          </w:p>
        </w:tc>
        <w:tc>
          <w:tcPr>
            <w:tcW w:w="11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7"/>
              </w:rPr>
              <w:t>1,207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1,194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Commitments and Contngencies (Note 6)</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7"/>
        </w:trPr>
        <w:tc>
          <w:tcPr>
            <w:tcW w:w="7720" w:type="dxa"/>
            <w:vAlign w:val="bottom"/>
            <w:shd w:val="clear" w:color="auto" w:fill="CFF0FC"/>
          </w:tcPr>
          <w:p>
            <w:pPr>
              <w:spacing w:after="0" w:line="207" w:lineRule="exact"/>
              <w:rPr>
                <w:sz w:val="20"/>
                <w:szCs w:val="20"/>
                <w:color w:val="auto"/>
              </w:rPr>
            </w:pPr>
            <w:r>
              <w:rPr>
                <w:rFonts w:ascii="Calibri" w:cs="Calibri" w:eastAsia="Calibri" w:hAnsi="Calibri"/>
                <w:sz w:val="18"/>
                <w:szCs w:val="18"/>
                <w:color w:val="auto"/>
              </w:rPr>
              <w:t>Redeemable, convertble preferred stock, no par value, $100 per share</w:t>
            </w: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8"/>
        </w:trPr>
        <w:tc>
          <w:tcPr>
            <w:tcW w:w="77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liquidaton preference</w:t>
            </w:r>
          </w:p>
        </w:tc>
        <w:tc>
          <w:tcPr>
            <w:tcW w:w="1140" w:type="dxa"/>
            <w:vAlign w:val="bottom"/>
            <w:tcBorders>
              <w:bottom w:val="single" w:sz="8" w:color="CFF0FC"/>
            </w:tcBorders>
            <w:shd w:val="clear" w:color="auto" w:fill="CFF0FC"/>
          </w:tcPr>
          <w:p>
            <w:pPr>
              <w:jc w:val="right"/>
              <w:ind w:right="950"/>
              <w:spacing w:after="0" w:line="215" w:lineRule="exact"/>
              <w:rPr>
                <w:sz w:val="20"/>
                <w:szCs w:val="20"/>
                <w:color w:val="auto"/>
              </w:rPr>
            </w:pPr>
            <w:r>
              <w:rPr>
                <w:rFonts w:ascii="Calibri" w:cs="Calibri" w:eastAsia="Calibri" w:hAnsi="Calibri"/>
                <w:sz w:val="18"/>
                <w:szCs w:val="18"/>
                <w:color w:val="auto"/>
                <w:w w:val="87"/>
              </w:rPr>
              <w:t>$</w:t>
            </w: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30"/>
        </w:trPr>
        <w:tc>
          <w:tcPr>
            <w:tcW w:w="7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Equity</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2"/>
        </w:trPr>
        <w:tc>
          <w:tcPr>
            <w:tcW w:w="7720" w:type="dxa"/>
            <w:vAlign w:val="bottom"/>
          </w:tcPr>
          <w:p>
            <w:pPr>
              <w:spacing w:after="0" w:line="215" w:lineRule="exact"/>
              <w:rPr>
                <w:sz w:val="20"/>
                <w:szCs w:val="20"/>
                <w:color w:val="auto"/>
              </w:rPr>
            </w:pPr>
            <w:r>
              <w:rPr>
                <w:rFonts w:ascii="Calibri" w:cs="Calibri" w:eastAsia="Calibri" w:hAnsi="Calibri"/>
                <w:sz w:val="18"/>
                <w:szCs w:val="18"/>
                <w:color w:val="auto"/>
              </w:rPr>
              <w:t>Common stock, $0.01 par value</w:t>
            </w:r>
          </w:p>
        </w:tc>
        <w:tc>
          <w:tcPr>
            <w:tcW w:w="1140" w:type="dxa"/>
            <w:vAlign w:val="bottom"/>
          </w:tcPr>
          <w:p>
            <w:pPr>
              <w:spacing w:after="0"/>
              <w:rPr>
                <w:sz w:val="19"/>
                <w:szCs w:val="19"/>
                <w:color w:val="auto"/>
              </w:rPr>
            </w:pPr>
          </w:p>
        </w:tc>
        <w:tc>
          <w:tcPr>
            <w:tcW w:w="70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7720" w:type="dxa"/>
            <w:vAlign w:val="bottom"/>
            <w:shd w:val="clear" w:color="auto" w:fill="CFF0FC"/>
          </w:tcPr>
          <w:p>
            <w:pPr>
              <w:spacing w:after="0"/>
              <w:rPr>
                <w:sz w:val="20"/>
                <w:szCs w:val="20"/>
                <w:color w:val="auto"/>
              </w:rPr>
            </w:pPr>
            <w:r>
              <w:rPr>
                <w:rFonts w:ascii="Calibri" w:cs="Calibri" w:eastAsia="Calibri" w:hAnsi="Calibri"/>
                <w:sz w:val="18"/>
                <w:szCs w:val="18"/>
                <w:color w:val="auto"/>
              </w:rPr>
              <w:t>Additonal paid in capital</w:t>
            </w:r>
          </w:p>
        </w:tc>
        <w:tc>
          <w:tcPr>
            <w:tcW w:w="11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w w:val="97"/>
              </w:rPr>
              <w:t>1,165</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1,166</w:t>
            </w:r>
          </w:p>
        </w:tc>
        <w:tc>
          <w:tcPr>
            <w:tcW w:w="120" w:type="dxa"/>
            <w:vAlign w:val="bottom"/>
            <w:shd w:val="clear" w:color="auto" w:fill="CFF0FC"/>
          </w:tcPr>
          <w:p>
            <w:pPr>
              <w:spacing w:after="0"/>
              <w:rPr>
                <w:sz w:val="20"/>
                <w:szCs w:val="20"/>
                <w:color w:val="auto"/>
              </w:rPr>
            </w:pPr>
          </w:p>
        </w:tc>
      </w:tr>
      <w:tr>
        <w:trPr>
          <w:trHeight w:val="222"/>
        </w:trPr>
        <w:tc>
          <w:tcPr>
            <w:tcW w:w="7720" w:type="dxa"/>
            <w:vAlign w:val="bottom"/>
          </w:tcPr>
          <w:p>
            <w:pPr>
              <w:spacing w:after="0" w:line="215" w:lineRule="exact"/>
              <w:rPr>
                <w:sz w:val="20"/>
                <w:szCs w:val="20"/>
                <w:color w:val="auto"/>
              </w:rPr>
            </w:pPr>
            <w:r>
              <w:rPr>
                <w:rFonts w:ascii="Calibri" w:cs="Calibri" w:eastAsia="Calibri" w:hAnsi="Calibri"/>
                <w:sz w:val="18"/>
                <w:szCs w:val="18"/>
                <w:color w:val="auto"/>
              </w:rPr>
              <w:t>Treasury stock, at cost</w:t>
            </w:r>
          </w:p>
        </w:tc>
        <w:tc>
          <w:tcPr>
            <w:tcW w:w="1140" w:type="dxa"/>
            <w:vAlign w:val="bottom"/>
          </w:tcPr>
          <w:p>
            <w:pPr>
              <w:spacing w:after="0"/>
              <w:rPr>
                <w:sz w:val="19"/>
                <w:szCs w:val="19"/>
                <w:color w:val="auto"/>
              </w:rPr>
            </w:pPr>
          </w:p>
        </w:tc>
        <w:tc>
          <w:tcPr>
            <w:tcW w:w="7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(10)</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(10)</w:t>
            </w:r>
          </w:p>
        </w:tc>
      </w:tr>
      <w:tr>
        <w:trPr>
          <w:trHeight w:val="237"/>
        </w:trPr>
        <w:tc>
          <w:tcPr>
            <w:tcW w:w="7720" w:type="dxa"/>
            <w:vAlign w:val="bottom"/>
            <w:shd w:val="clear" w:color="auto" w:fill="CFF0FC"/>
          </w:tcPr>
          <w:p>
            <w:pPr>
              <w:spacing w:after="0"/>
              <w:rPr>
                <w:sz w:val="20"/>
                <w:szCs w:val="20"/>
                <w:color w:val="auto"/>
              </w:rPr>
            </w:pPr>
            <w:r>
              <w:rPr>
                <w:rFonts w:ascii="Calibri" w:cs="Calibri" w:eastAsia="Calibri" w:hAnsi="Calibri"/>
                <w:sz w:val="18"/>
                <w:szCs w:val="18"/>
                <w:color w:val="auto"/>
              </w:rPr>
              <w:t>Accumulated defcit</w:t>
            </w:r>
          </w:p>
        </w:tc>
        <w:tc>
          <w:tcPr>
            <w:tcW w:w="1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8"/>
                <w:szCs w:val="18"/>
                <w:color w:val="auto"/>
              </w:rPr>
              <w:t>(599)</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60"/>
              <w:spacing w:after="0"/>
              <w:rPr>
                <w:sz w:val="20"/>
                <w:szCs w:val="20"/>
                <w:color w:val="auto"/>
              </w:rPr>
            </w:pPr>
            <w:r>
              <w:rPr>
                <w:rFonts w:ascii="Calibri" w:cs="Calibri" w:eastAsia="Calibri" w:hAnsi="Calibri"/>
                <w:sz w:val="18"/>
                <w:szCs w:val="18"/>
                <w:color w:val="auto"/>
              </w:rPr>
              <w:t>(596)</w:t>
            </w:r>
          </w:p>
        </w:tc>
      </w:tr>
      <w:tr>
        <w:trPr>
          <w:trHeight w:val="223"/>
        </w:trPr>
        <w:tc>
          <w:tcPr>
            <w:tcW w:w="7720" w:type="dxa"/>
            <w:vAlign w:val="bottom"/>
            <w:tcBorders>
              <w:bottom w:val="single" w:sz="8" w:color="CFF0FC"/>
            </w:tcBorders>
          </w:tcPr>
          <w:p>
            <w:pPr>
              <w:spacing w:after="0" w:line="215" w:lineRule="exact"/>
              <w:rPr>
                <w:sz w:val="20"/>
                <w:szCs w:val="20"/>
                <w:color w:val="auto"/>
              </w:rPr>
            </w:pPr>
            <w:r>
              <w:rPr>
                <w:rFonts w:ascii="Calibri" w:cs="Calibri" w:eastAsia="Calibri" w:hAnsi="Calibri"/>
                <w:sz w:val="18"/>
                <w:szCs w:val="18"/>
                <w:color w:val="auto"/>
              </w:rPr>
              <w:t>Accumulated other comprehensive income</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221</w:t>
            </w:r>
          </w:p>
        </w:tc>
        <w:tc>
          <w:tcPr>
            <w:tcW w:w="120" w:type="dxa"/>
            <w:vAlign w:val="bottom"/>
            <w:tcBorders>
              <w:bottom w:val="single" w:sz="8" w:color="CFF0FC"/>
            </w:tcBorders>
          </w:tcPr>
          <w:p>
            <w:pPr>
              <w:spacing w:after="0"/>
              <w:rPr>
                <w:sz w:val="19"/>
                <w:szCs w:val="19"/>
                <w:color w:val="auto"/>
              </w:rPr>
            </w:pPr>
          </w:p>
        </w:tc>
      </w:tr>
      <w:tr>
        <w:trPr>
          <w:trHeight w:val="229"/>
        </w:trPr>
        <w:tc>
          <w:tcPr>
            <w:tcW w:w="772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Total shareholders’ equity</w:t>
            </w:r>
          </w:p>
        </w:tc>
        <w:tc>
          <w:tcPr>
            <w:tcW w:w="11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782</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781</w:t>
            </w:r>
          </w:p>
        </w:tc>
        <w:tc>
          <w:tcPr>
            <w:tcW w:w="120" w:type="dxa"/>
            <w:vAlign w:val="bottom"/>
            <w:shd w:val="clear" w:color="auto" w:fill="CFF0FC"/>
          </w:tcPr>
          <w:p>
            <w:pPr>
              <w:spacing w:after="0"/>
              <w:rPr>
                <w:sz w:val="19"/>
                <w:szCs w:val="19"/>
                <w:color w:val="auto"/>
              </w:rPr>
            </w:pPr>
          </w:p>
        </w:tc>
      </w:tr>
      <w:tr>
        <w:trPr>
          <w:trHeight w:val="200"/>
        </w:trPr>
        <w:tc>
          <w:tcPr>
            <w:tcW w:w="7720" w:type="dxa"/>
            <w:vAlign w:val="bottom"/>
          </w:tcPr>
          <w:p>
            <w:pPr>
              <w:spacing w:after="0" w:line="199" w:lineRule="exact"/>
              <w:rPr>
                <w:sz w:val="20"/>
                <w:szCs w:val="20"/>
                <w:color w:val="auto"/>
              </w:rPr>
            </w:pPr>
            <w:r>
              <w:rPr>
                <w:rFonts w:ascii="Calibri" w:cs="Calibri" w:eastAsia="Calibri" w:hAnsi="Calibri"/>
                <w:sz w:val="18"/>
                <w:szCs w:val="18"/>
                <w:b w:val="1"/>
                <w:bCs w:val="1"/>
                <w:color w:val="auto"/>
              </w:rPr>
              <w:t>TOTAL LIABILITIES, REDEEMABLE CONVERTIBLE PREFERRED STOCK</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20" w:type="dxa"/>
            <w:vAlign w:val="bottom"/>
          </w:tcPr>
          <w:p>
            <w:pPr>
              <w:ind w:left="120"/>
              <w:spacing w:after="0" w:line="216" w:lineRule="exact"/>
              <w:rPr>
                <w:sz w:val="20"/>
                <w:szCs w:val="20"/>
                <w:color w:val="auto"/>
              </w:rPr>
            </w:pPr>
            <w:r>
              <w:rPr>
                <w:rFonts w:ascii="Calibri" w:cs="Calibri" w:eastAsia="Calibri" w:hAnsi="Calibri"/>
                <w:sz w:val="18"/>
                <w:szCs w:val="18"/>
                <w:b w:val="1"/>
                <w:bCs w:val="1"/>
                <w:color w:val="auto"/>
              </w:rPr>
              <w:t>AND EQUITY</w:t>
            </w:r>
          </w:p>
        </w:tc>
        <w:tc>
          <w:tcPr>
            <w:tcW w:w="1140" w:type="dxa"/>
            <w:vAlign w:val="bottom"/>
          </w:tcPr>
          <w:p>
            <w:pPr>
              <w:jc w:val="right"/>
              <w:ind w:right="950"/>
              <w:spacing w:after="0" w:line="216" w:lineRule="exact"/>
              <w:rPr>
                <w:sz w:val="20"/>
                <w:szCs w:val="20"/>
                <w:color w:val="auto"/>
              </w:rPr>
            </w:pPr>
            <w:r>
              <w:rPr>
                <w:rFonts w:ascii="Calibri" w:cs="Calibri" w:eastAsia="Calibri" w:hAnsi="Calibri"/>
                <w:sz w:val="18"/>
                <w:szCs w:val="18"/>
                <w:b w:val="1"/>
                <w:bCs w:val="1"/>
                <w:color w:val="auto"/>
                <w:w w:val="87"/>
              </w:rPr>
              <w:t>$</w:t>
            </w:r>
          </w:p>
        </w:tc>
        <w:tc>
          <w:tcPr>
            <w:tcW w:w="42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w w:val="97"/>
              </w:rPr>
              <w:t>2,187</w:t>
            </w:r>
          </w:p>
        </w:tc>
        <w:tc>
          <w:tcPr>
            <w:tcW w:w="280" w:type="dxa"/>
            <w:vAlign w:val="bottom"/>
          </w:tcPr>
          <w:p>
            <w:pPr>
              <w:spacing w:after="0"/>
              <w:rPr>
                <w:sz w:val="18"/>
                <w:szCs w:val="18"/>
                <w:color w:val="auto"/>
              </w:rPr>
            </w:pPr>
          </w:p>
        </w:tc>
        <w:tc>
          <w:tcPr>
            <w:tcW w:w="18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w w:val="87"/>
              </w:rPr>
              <w:t>$</w:t>
            </w:r>
          </w:p>
        </w:tc>
        <w:tc>
          <w:tcPr>
            <w:tcW w:w="138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2,171</w:t>
            </w:r>
          </w:p>
        </w:tc>
        <w:tc>
          <w:tcPr>
            <w:tcW w:w="120" w:type="dxa"/>
            <w:vAlign w:val="bottom"/>
          </w:tcPr>
          <w:p>
            <w:pPr>
              <w:spacing w:after="0"/>
              <w:rPr>
                <w:sz w:val="18"/>
                <w:szCs w:val="18"/>
                <w:color w:val="auto"/>
              </w:rPr>
            </w:pPr>
          </w:p>
        </w:tc>
      </w:tr>
      <w:tr>
        <w:trPr>
          <w:trHeight w:val="23"/>
        </w:trPr>
        <w:tc>
          <w:tcPr>
            <w:tcW w:w="7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7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CASH FLOWS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Three Months Ended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gridSpan w:val="3"/>
          </w:tcPr>
          <w:p>
            <w:pPr>
              <w:jc w:val="right"/>
              <w:ind w:right="341"/>
              <w:spacing w:after="0"/>
              <w:rPr>
                <w:sz w:val="20"/>
                <w:szCs w:val="20"/>
                <w:color w:val="auto"/>
              </w:rPr>
            </w:pPr>
            <w:r>
              <w:rPr>
                <w:rFonts w:ascii="Calibri" w:cs="Calibri" w:eastAsia="Calibri" w:hAnsi="Calibri"/>
                <w:sz w:val="18"/>
                <w:szCs w:val="18"/>
                <w:b w:val="1"/>
                <w:bCs w:val="1"/>
                <w:color w:val="auto"/>
              </w:rPr>
              <w:t>March 31,</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80" w:type="dxa"/>
            <w:vAlign w:val="bottom"/>
            <w:tcBorders>
              <w:bottom w:val="single" w:sz="8" w:color="CFF0FC"/>
            </w:tcBorders>
          </w:tcPr>
          <w:p>
            <w:pPr>
              <w:spacing w:after="0"/>
              <w:rPr>
                <w:sz w:val="20"/>
                <w:szCs w:val="20"/>
                <w:color w:val="auto"/>
              </w:rPr>
            </w:pPr>
            <w:r>
              <w:rPr>
                <w:rFonts w:ascii="Calibri" w:cs="Calibri" w:eastAsia="Calibri" w:hAnsi="Calibri"/>
                <w:sz w:val="16"/>
                <w:szCs w:val="16"/>
                <w:color w:val="auto"/>
              </w:rPr>
              <w:t>(in millions)</w:t>
            </w:r>
          </w:p>
        </w:tc>
        <w:tc>
          <w:tcPr>
            <w:tcW w:w="10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1"/>
              <w:spacing w:after="0" w:line="215" w:lineRule="exact"/>
              <w:rPr>
                <w:sz w:val="20"/>
                <w:szCs w:val="20"/>
                <w:color w:val="auto"/>
              </w:rPr>
            </w:pPr>
            <w:r>
              <w:rPr>
                <w:rFonts w:ascii="Calibri" w:cs="Calibri" w:eastAsia="Calibri" w:hAnsi="Calibri"/>
                <w:sz w:val="18"/>
                <w:szCs w:val="18"/>
                <w:b w:val="1"/>
                <w:bCs w:val="1"/>
                <w:color w:val="auto"/>
              </w:rPr>
              <w:t>2022</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0"/>
              <w:spacing w:after="0" w:line="215" w:lineRule="exact"/>
              <w:rPr>
                <w:sz w:val="20"/>
                <w:szCs w:val="20"/>
                <w:color w:val="auto"/>
              </w:rPr>
            </w:pPr>
            <w:r>
              <w:rPr>
                <w:rFonts w:ascii="Calibri" w:cs="Calibri" w:eastAsia="Calibri" w:hAnsi="Calibri"/>
                <w:sz w:val="18"/>
                <w:szCs w:val="18"/>
                <w:b w:val="1"/>
                <w:bCs w:val="1"/>
                <w:color w:val="auto"/>
                <w:w w:val="93"/>
              </w:rPr>
              <w:t>2021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Cash fows from operatng actvites:</w:t>
            </w:r>
          </w:p>
        </w:tc>
        <w:tc>
          <w:tcPr>
            <w:tcW w:w="10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tcPr>
          <w:p>
            <w:pPr>
              <w:spacing w:after="0" w:line="215" w:lineRule="exact"/>
              <w:rPr>
                <w:sz w:val="20"/>
                <w:szCs w:val="20"/>
                <w:color w:val="auto"/>
              </w:rPr>
            </w:pPr>
            <w:r>
              <w:rPr>
                <w:rFonts w:ascii="Calibri" w:cs="Calibri" w:eastAsia="Calibri" w:hAnsi="Calibri"/>
                <w:sz w:val="18"/>
                <w:szCs w:val="18"/>
                <w:color w:val="auto"/>
              </w:rPr>
              <w:t>Net (loss) income</w:t>
            </w:r>
          </w:p>
        </w:tc>
        <w:tc>
          <w:tcPr>
            <w:tcW w:w="138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6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(3)</w:t>
            </w:r>
          </w:p>
        </w:tc>
        <w:tc>
          <w:tcPr>
            <w:tcW w:w="640" w:type="dxa"/>
            <w:vAlign w:val="bottom"/>
          </w:tcPr>
          <w:p>
            <w:pPr>
              <w:jc w:val="right"/>
              <w:ind w:right="481"/>
              <w:spacing w:after="0"/>
              <w:rPr>
                <w:sz w:val="20"/>
                <w:szCs w:val="20"/>
                <w:color w:val="auto"/>
              </w:rPr>
            </w:pPr>
            <w:r>
              <w:rPr>
                <w:rFonts w:ascii="Calibri" w:cs="Calibri" w:eastAsia="Calibri" w:hAnsi="Calibri"/>
                <w:sz w:val="16"/>
                <w:szCs w:val="16"/>
                <w:color w:val="auto"/>
                <w:w w:val="73"/>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spacing w:after="0"/>
              <w:rPr>
                <w:sz w:val="20"/>
                <w:szCs w:val="20"/>
                <w:color w:val="auto"/>
              </w:rPr>
            </w:pPr>
            <w:r>
              <w:rPr>
                <w:rFonts w:ascii="Calibri" w:cs="Calibri" w:eastAsia="Calibri" w:hAnsi="Calibri"/>
                <w:sz w:val="18"/>
                <w:szCs w:val="18"/>
                <w:color w:val="auto"/>
              </w:rPr>
              <w:t>Adjustments to reconcile to net cash used in operatng actvites:</w:t>
            </w:r>
          </w:p>
        </w:tc>
        <w:tc>
          <w:tcPr>
            <w:tcW w:w="10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480" w:type="dxa"/>
            <w:vAlign w:val="bottom"/>
          </w:tcPr>
          <w:p>
            <w:pPr>
              <w:ind w:left="260"/>
              <w:spacing w:after="0" w:line="215" w:lineRule="exact"/>
              <w:rPr>
                <w:sz w:val="20"/>
                <w:szCs w:val="20"/>
                <w:color w:val="auto"/>
              </w:rPr>
            </w:pPr>
            <w:r>
              <w:rPr>
                <w:rFonts w:ascii="Calibri" w:cs="Calibri" w:eastAsia="Calibri" w:hAnsi="Calibri"/>
                <w:sz w:val="18"/>
                <w:szCs w:val="18"/>
                <w:color w:val="auto"/>
              </w:rPr>
              <w:t>Depreciaton and amortzaton</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260"/>
              <w:spacing w:after="0"/>
              <w:rPr>
                <w:sz w:val="20"/>
                <w:szCs w:val="20"/>
                <w:color w:val="auto"/>
              </w:rPr>
            </w:pPr>
            <w:r>
              <w:rPr>
                <w:rFonts w:ascii="Calibri" w:cs="Calibri" w:eastAsia="Calibri" w:hAnsi="Calibri"/>
                <w:sz w:val="18"/>
                <w:szCs w:val="18"/>
                <w:color w:val="auto"/>
              </w:rPr>
              <w:t>Pension income</w:t>
            </w:r>
          </w:p>
        </w:tc>
        <w:tc>
          <w:tcPr>
            <w:tcW w:w="10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(26)</w:t>
            </w:r>
          </w:p>
        </w:tc>
        <w:tc>
          <w:tcPr>
            <w:tcW w:w="6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8"/>
                <w:szCs w:val="18"/>
                <w:color w:val="auto"/>
              </w:rPr>
              <w:t>(21)</w:t>
            </w:r>
          </w:p>
        </w:tc>
        <w:tc>
          <w:tcPr>
            <w:tcW w:w="0" w:type="dxa"/>
            <w:vAlign w:val="bottom"/>
          </w:tcPr>
          <w:p>
            <w:pPr>
              <w:spacing w:after="0"/>
              <w:rPr>
                <w:sz w:val="1"/>
                <w:szCs w:val="1"/>
                <w:color w:val="auto"/>
              </w:rPr>
            </w:pPr>
          </w:p>
        </w:tc>
      </w:tr>
      <w:tr>
        <w:trPr>
          <w:trHeight w:val="207"/>
        </w:trPr>
        <w:tc>
          <w:tcPr>
            <w:tcW w:w="6480" w:type="dxa"/>
            <w:vAlign w:val="bottom"/>
          </w:tcPr>
          <w:p>
            <w:pPr>
              <w:ind w:left="260"/>
              <w:spacing w:after="0" w:line="207" w:lineRule="exact"/>
              <w:rPr>
                <w:sz w:val="20"/>
                <w:szCs w:val="20"/>
                <w:color w:val="auto"/>
              </w:rPr>
            </w:pPr>
            <w:r>
              <w:rPr>
                <w:rFonts w:ascii="Calibri" w:cs="Calibri" w:eastAsia="Calibri" w:hAnsi="Calibri"/>
                <w:sz w:val="18"/>
                <w:szCs w:val="18"/>
                <w:color w:val="auto"/>
              </w:rPr>
              <w:t>Change in fair value of the Preferred Stock and Convertble Notes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80" w:type="dxa"/>
            <w:vAlign w:val="bottom"/>
          </w:tcPr>
          <w:p>
            <w:pPr>
              <w:ind w:left="380"/>
              <w:spacing w:after="0" w:line="215" w:lineRule="exact"/>
              <w:rPr>
                <w:sz w:val="20"/>
                <w:szCs w:val="20"/>
                <w:color w:val="auto"/>
              </w:rPr>
            </w:pPr>
            <w:r>
              <w:rPr>
                <w:rFonts w:ascii="Calibri" w:cs="Calibri" w:eastAsia="Calibri" w:hAnsi="Calibri"/>
                <w:sz w:val="18"/>
                <w:szCs w:val="18"/>
                <w:color w:val="auto"/>
              </w:rPr>
              <w:t>embedded derivatves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480" w:type="dxa"/>
            <w:vAlign w:val="bottom"/>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Non-cash changes in workers' compensaton reserves</w:t>
            </w: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line="205" w:lineRule="exact"/>
              <w:rPr>
                <w:sz w:val="20"/>
                <w:szCs w:val="20"/>
                <w:color w:val="auto"/>
              </w:rPr>
            </w:pPr>
            <w:r>
              <w:rPr>
                <w:rFonts w:ascii="Calibri" w:cs="Calibri" w:eastAsia="Calibri" w:hAnsi="Calibri"/>
                <w:sz w:val="17"/>
                <w:szCs w:val="17"/>
                <w:color w:val="auto"/>
              </w:rPr>
              <w:t>(4)</w:t>
            </w: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22"/>
        </w:trPr>
        <w:tc>
          <w:tcPr>
            <w:tcW w:w="6480" w:type="dxa"/>
            <w:vAlign w:val="bottom"/>
          </w:tcPr>
          <w:p>
            <w:pPr>
              <w:ind w:left="260"/>
              <w:spacing w:after="0" w:line="215" w:lineRule="exact"/>
              <w:rPr>
                <w:sz w:val="20"/>
                <w:szCs w:val="20"/>
                <w:color w:val="auto"/>
              </w:rPr>
            </w:pPr>
            <w:r>
              <w:rPr>
                <w:rFonts w:ascii="Calibri" w:cs="Calibri" w:eastAsia="Calibri" w:hAnsi="Calibri"/>
                <w:sz w:val="18"/>
                <w:szCs w:val="18"/>
                <w:color w:val="auto"/>
              </w:rPr>
              <w:t>Stock based compensaton</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260"/>
              <w:spacing w:after="0"/>
              <w:rPr>
                <w:sz w:val="20"/>
                <w:szCs w:val="20"/>
                <w:color w:val="auto"/>
              </w:rPr>
            </w:pPr>
            <w:r>
              <w:rPr>
                <w:rFonts w:ascii="Calibri" w:cs="Calibri" w:eastAsia="Calibri" w:hAnsi="Calibri"/>
                <w:sz w:val="18"/>
                <w:szCs w:val="18"/>
                <w:color w:val="auto"/>
              </w:rPr>
              <w:t>(Increase) decrease in trade receivables</w:t>
            </w:r>
          </w:p>
        </w:tc>
        <w:tc>
          <w:tcPr>
            <w:tcW w:w="10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(9)</w:t>
            </w:r>
          </w:p>
        </w:tc>
        <w:tc>
          <w:tcPr>
            <w:tcW w:w="6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480" w:type="dxa"/>
            <w:vAlign w:val="bottom"/>
          </w:tcPr>
          <w:p>
            <w:pPr>
              <w:ind w:left="260"/>
              <w:spacing w:after="0" w:line="215" w:lineRule="exact"/>
              <w:rPr>
                <w:sz w:val="20"/>
                <w:szCs w:val="20"/>
                <w:color w:val="auto"/>
              </w:rPr>
            </w:pPr>
            <w:r>
              <w:rPr>
                <w:rFonts w:ascii="Calibri" w:cs="Calibri" w:eastAsia="Calibri" w:hAnsi="Calibri"/>
                <w:sz w:val="18"/>
                <w:szCs w:val="18"/>
                <w:color w:val="auto"/>
              </w:rPr>
              <w:t>Increase in inventories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(32)</w:t>
            </w:r>
          </w:p>
        </w:tc>
        <w:tc>
          <w:tcPr>
            <w:tcW w:w="640" w:type="dxa"/>
            <w:vAlign w:val="bottom"/>
          </w:tcPr>
          <w:p>
            <w:pPr>
              <w:spacing w:after="0"/>
              <w:rPr>
                <w:sz w:val="19"/>
                <w:szCs w:val="19"/>
                <w:color w:val="auto"/>
              </w:rPr>
            </w:pPr>
          </w:p>
        </w:tc>
        <w:tc>
          <w:tcPr>
            <w:tcW w:w="11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(22)</w:t>
            </w: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260"/>
              <w:spacing w:after="0"/>
              <w:rPr>
                <w:sz w:val="20"/>
                <w:szCs w:val="20"/>
                <w:color w:val="auto"/>
              </w:rPr>
            </w:pPr>
            <w:r>
              <w:rPr>
                <w:rFonts w:ascii="Calibri" w:cs="Calibri" w:eastAsia="Calibri" w:hAnsi="Calibri"/>
                <w:sz w:val="18"/>
                <w:szCs w:val="18"/>
                <w:color w:val="auto"/>
              </w:rPr>
              <w:t>Increase in trade payables</w:t>
            </w:r>
          </w:p>
        </w:tc>
        <w:tc>
          <w:tcPr>
            <w:tcW w:w="10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31</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480" w:type="dxa"/>
            <w:vAlign w:val="bottom"/>
          </w:tcPr>
          <w:p>
            <w:pPr>
              <w:ind w:left="260"/>
              <w:spacing w:after="0" w:line="215" w:lineRule="exact"/>
              <w:rPr>
                <w:sz w:val="20"/>
                <w:szCs w:val="20"/>
                <w:color w:val="auto"/>
              </w:rPr>
            </w:pPr>
            <w:r>
              <w:rPr>
                <w:rFonts w:ascii="Calibri" w:cs="Calibri" w:eastAsia="Calibri" w:hAnsi="Calibri"/>
                <w:sz w:val="18"/>
                <w:szCs w:val="18"/>
                <w:color w:val="auto"/>
              </w:rPr>
              <w:t>Decrease in liabilites excluding borrowings and trade payables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(13)</w:t>
            </w:r>
          </w:p>
        </w:tc>
        <w:tc>
          <w:tcPr>
            <w:tcW w:w="640" w:type="dxa"/>
            <w:vAlign w:val="bottom"/>
          </w:tcPr>
          <w:p>
            <w:pPr>
              <w:spacing w:after="0"/>
              <w:rPr>
                <w:sz w:val="19"/>
                <w:szCs w:val="19"/>
                <w:color w:val="auto"/>
              </w:rPr>
            </w:pPr>
          </w:p>
        </w:tc>
        <w:tc>
          <w:tcPr>
            <w:tcW w:w="11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(22)</w:t>
            </w: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260"/>
              <w:spacing w:after="0"/>
              <w:rPr>
                <w:sz w:val="20"/>
                <w:szCs w:val="20"/>
                <w:color w:val="auto"/>
              </w:rPr>
            </w:pPr>
            <w:r>
              <w:rPr>
                <w:rFonts w:ascii="Calibri" w:cs="Calibri" w:eastAsia="Calibri" w:hAnsi="Calibri"/>
                <w:sz w:val="18"/>
                <w:szCs w:val="18"/>
                <w:color w:val="auto"/>
              </w:rPr>
              <w:t>Other items, net</w:t>
            </w:r>
          </w:p>
        </w:tc>
        <w:tc>
          <w:tcPr>
            <w:tcW w:w="10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17"/>
        </w:trPr>
        <w:tc>
          <w:tcPr>
            <w:tcW w:w="6480" w:type="dxa"/>
            <w:vAlign w:val="bottom"/>
            <w:tcBorders>
              <w:bottom w:val="single" w:sz="8" w:color="CFF0FC"/>
            </w:tcBorders>
          </w:tcPr>
          <w:p>
            <w:pPr>
              <w:ind w:left="500"/>
              <w:spacing w:after="0" w:line="199" w:lineRule="exact"/>
              <w:rPr>
                <w:sz w:val="20"/>
                <w:szCs w:val="20"/>
                <w:color w:val="auto"/>
              </w:rPr>
            </w:pPr>
            <w:r>
              <w:rPr>
                <w:rFonts w:ascii="Calibri" w:cs="Calibri" w:eastAsia="Calibri" w:hAnsi="Calibri"/>
                <w:sz w:val="18"/>
                <w:szCs w:val="18"/>
                <w:color w:val="auto"/>
              </w:rPr>
              <w:t>Total adjustments</w:t>
            </w:r>
          </w:p>
        </w:tc>
        <w:tc>
          <w:tcPr>
            <w:tcW w:w="102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w:t>
            </w:r>
          </w:p>
        </w:tc>
        <w:tc>
          <w:tcPr>
            <w:tcW w:w="300" w:type="dxa"/>
            <w:vAlign w:val="bottom"/>
            <w:tcBorders>
              <w:bottom w:val="single" w:sz="8" w:color="CFF0FC"/>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500"/>
              <w:spacing w:after="0" w:line="206" w:lineRule="exact"/>
              <w:rPr>
                <w:sz w:val="20"/>
                <w:szCs w:val="20"/>
                <w:color w:val="auto"/>
              </w:rPr>
            </w:pPr>
            <w:r>
              <w:rPr>
                <w:rFonts w:ascii="Calibri" w:cs="Calibri" w:eastAsia="Calibri" w:hAnsi="Calibri"/>
                <w:sz w:val="18"/>
                <w:szCs w:val="18"/>
                <w:color w:val="auto"/>
              </w:rPr>
              <w:t>Net cash used in operatng actvites</w:t>
            </w:r>
          </w:p>
        </w:tc>
        <w:tc>
          <w:tcPr>
            <w:tcW w:w="10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480" w:type="dxa"/>
            <w:vAlign w:val="bottom"/>
          </w:tcPr>
          <w:p>
            <w:pPr>
              <w:spacing w:after="0" w:line="199" w:lineRule="exact"/>
              <w:rPr>
                <w:sz w:val="20"/>
                <w:szCs w:val="20"/>
                <w:color w:val="auto"/>
              </w:rPr>
            </w:pPr>
            <w:r>
              <w:rPr>
                <w:rFonts w:ascii="Calibri" w:cs="Calibri" w:eastAsia="Calibri" w:hAnsi="Calibri"/>
                <w:sz w:val="18"/>
                <w:szCs w:val="18"/>
                <w:color w:val="auto"/>
              </w:rPr>
              <w:t>Cash fows from investng actvites:</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80" w:type="dxa"/>
            <w:vAlign w:val="bottom"/>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Additons to propertes</w:t>
            </w: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(5)</w:t>
            </w: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500"/>
              <w:spacing w:after="0"/>
              <w:rPr>
                <w:sz w:val="20"/>
                <w:szCs w:val="20"/>
                <w:color w:val="auto"/>
              </w:rPr>
            </w:pPr>
            <w:r>
              <w:rPr>
                <w:rFonts w:ascii="Calibri" w:cs="Calibri" w:eastAsia="Calibri" w:hAnsi="Calibri"/>
                <w:sz w:val="18"/>
                <w:szCs w:val="18"/>
                <w:color w:val="auto"/>
              </w:rPr>
              <w:t>Net cash used in investng actvites</w:t>
            </w:r>
          </w:p>
        </w:tc>
        <w:tc>
          <w:tcPr>
            <w:tcW w:w="1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(5)</w:t>
            </w:r>
          </w:p>
        </w:tc>
        <w:tc>
          <w:tcPr>
            <w:tcW w:w="640" w:type="dxa"/>
            <w:vAlign w:val="bottom"/>
          </w:tcPr>
          <w:p>
            <w:pPr>
              <w:spacing w:after="0"/>
              <w:rPr>
                <w:sz w:val="18"/>
                <w:szCs w:val="18"/>
                <w:color w:val="auto"/>
              </w:rPr>
            </w:pPr>
          </w:p>
        </w:tc>
        <w:tc>
          <w:tcPr>
            <w:tcW w:w="11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09"/>
        </w:trPr>
        <w:tc>
          <w:tcPr>
            <w:tcW w:w="6480" w:type="dxa"/>
            <w:vAlign w:val="bottom"/>
            <w:tcBorders>
              <w:top w:val="single" w:sz="8" w:color="CFF0FC"/>
              <w:bottom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Cash fows from fnancing actvites:</w:t>
            </w:r>
          </w:p>
        </w:tc>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tcPr>
          <w:p>
            <w:pPr>
              <w:ind w:left="260"/>
              <w:spacing w:after="0" w:line="215" w:lineRule="exact"/>
              <w:rPr>
                <w:sz w:val="20"/>
                <w:szCs w:val="20"/>
                <w:color w:val="auto"/>
              </w:rPr>
            </w:pPr>
            <w:r>
              <w:rPr>
                <w:rFonts w:ascii="Calibri" w:cs="Calibri" w:eastAsia="Calibri" w:hAnsi="Calibri"/>
                <w:sz w:val="18"/>
                <w:szCs w:val="18"/>
                <w:color w:val="auto"/>
              </w:rPr>
              <w:t>Net proceeds from Term Loan Credit Agreement</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line="205" w:lineRule="exact"/>
              <w:rPr>
                <w:sz w:val="20"/>
                <w:szCs w:val="20"/>
                <w:color w:val="auto"/>
              </w:rPr>
            </w:pPr>
            <w:r>
              <w:rPr>
                <w:rFonts w:ascii="Calibri" w:cs="Calibri" w:eastAsia="Calibri" w:hAnsi="Calibri"/>
                <w:sz w:val="17"/>
                <w:szCs w:val="17"/>
                <w:color w:val="auto"/>
              </w:rPr>
              <w:t>—</w:t>
            </w:r>
          </w:p>
        </w:tc>
        <w:tc>
          <w:tcPr>
            <w:tcW w:w="64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260"/>
              <w:spacing w:after="0"/>
              <w:rPr>
                <w:sz w:val="20"/>
                <w:szCs w:val="20"/>
                <w:color w:val="auto"/>
              </w:rPr>
            </w:pPr>
            <w:r>
              <w:rPr>
                <w:rFonts w:ascii="Calibri" w:cs="Calibri" w:eastAsia="Calibri" w:hAnsi="Calibri"/>
                <w:sz w:val="18"/>
                <w:szCs w:val="18"/>
                <w:color w:val="auto"/>
              </w:rPr>
              <w:t>Net proceeds from Convertble Notes</w:t>
            </w:r>
          </w:p>
        </w:tc>
        <w:tc>
          <w:tcPr>
            <w:tcW w:w="10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20"/>
              <w:spacing w:after="0"/>
              <w:rPr>
                <w:sz w:val="20"/>
                <w:szCs w:val="20"/>
                <w:color w:val="auto"/>
              </w:rPr>
            </w:pPr>
            <w:r>
              <w:rPr>
                <w:rFonts w:ascii="Calibri" w:cs="Calibri" w:eastAsia="Calibri" w:hAnsi="Calibri"/>
                <w:sz w:val="17"/>
                <w:szCs w:val="17"/>
                <w:color w:val="auto"/>
              </w:rPr>
              <w:t>—</w:t>
            </w:r>
          </w:p>
        </w:tc>
        <w:tc>
          <w:tcPr>
            <w:tcW w:w="6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480" w:type="dxa"/>
            <w:vAlign w:val="bottom"/>
          </w:tcPr>
          <w:p>
            <w:pPr>
              <w:ind w:left="260"/>
              <w:spacing w:after="0" w:line="215" w:lineRule="exact"/>
              <w:rPr>
                <w:sz w:val="20"/>
                <w:szCs w:val="20"/>
                <w:color w:val="auto"/>
              </w:rPr>
            </w:pPr>
            <w:r>
              <w:rPr>
                <w:rFonts w:ascii="Calibri" w:cs="Calibri" w:eastAsia="Calibri" w:hAnsi="Calibri"/>
                <w:sz w:val="18"/>
                <w:szCs w:val="18"/>
                <w:color w:val="auto"/>
              </w:rPr>
              <w:t>Net proceeds from Series C Preferred Stock</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line="205" w:lineRule="exact"/>
              <w:rPr>
                <w:sz w:val="20"/>
                <w:szCs w:val="20"/>
                <w:color w:val="auto"/>
              </w:rPr>
            </w:pPr>
            <w:r>
              <w:rPr>
                <w:rFonts w:ascii="Calibri" w:cs="Calibri" w:eastAsia="Calibri" w:hAnsi="Calibri"/>
                <w:sz w:val="17"/>
                <w:szCs w:val="17"/>
                <w:color w:val="auto"/>
              </w:rPr>
              <w:t>—</w:t>
            </w:r>
          </w:p>
        </w:tc>
        <w:tc>
          <w:tcPr>
            <w:tcW w:w="64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260"/>
              <w:spacing w:after="0"/>
              <w:rPr>
                <w:sz w:val="20"/>
                <w:szCs w:val="20"/>
                <w:color w:val="auto"/>
              </w:rPr>
            </w:pPr>
            <w:r>
              <w:rPr>
                <w:rFonts w:ascii="Calibri" w:cs="Calibri" w:eastAsia="Calibri" w:hAnsi="Calibri"/>
                <w:sz w:val="18"/>
                <w:szCs w:val="18"/>
                <w:color w:val="auto"/>
              </w:rPr>
              <w:t>Proceeds from sale of common stock</w:t>
            </w:r>
          </w:p>
        </w:tc>
        <w:tc>
          <w:tcPr>
            <w:tcW w:w="10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20"/>
              <w:spacing w:after="0"/>
              <w:rPr>
                <w:sz w:val="20"/>
                <w:szCs w:val="20"/>
                <w:color w:val="auto"/>
              </w:rPr>
            </w:pPr>
            <w:r>
              <w:rPr>
                <w:rFonts w:ascii="Calibri" w:cs="Calibri" w:eastAsia="Calibri" w:hAnsi="Calibri"/>
                <w:sz w:val="17"/>
                <w:szCs w:val="17"/>
                <w:color w:val="auto"/>
              </w:rPr>
              <w:t>—</w:t>
            </w:r>
          </w:p>
        </w:tc>
        <w:tc>
          <w:tcPr>
            <w:tcW w:w="6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480" w:type="dxa"/>
            <w:vAlign w:val="bottom"/>
          </w:tcPr>
          <w:p>
            <w:pPr>
              <w:ind w:left="260"/>
              <w:spacing w:after="0" w:line="215" w:lineRule="exact"/>
              <w:rPr>
                <w:sz w:val="20"/>
                <w:szCs w:val="20"/>
                <w:color w:val="auto"/>
              </w:rPr>
            </w:pPr>
            <w:r>
              <w:rPr>
                <w:rFonts w:ascii="Calibri" w:cs="Calibri" w:eastAsia="Calibri" w:hAnsi="Calibri"/>
                <w:sz w:val="18"/>
                <w:szCs w:val="18"/>
                <w:color w:val="auto"/>
              </w:rPr>
              <w:t>Repurchase of Series A Preferred Stock</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line="205" w:lineRule="exact"/>
              <w:rPr>
                <w:sz w:val="20"/>
                <w:szCs w:val="20"/>
                <w:color w:val="auto"/>
              </w:rPr>
            </w:pPr>
            <w:r>
              <w:rPr>
                <w:rFonts w:ascii="Calibri" w:cs="Calibri" w:eastAsia="Calibri" w:hAnsi="Calibri"/>
                <w:sz w:val="17"/>
                <w:szCs w:val="17"/>
                <w:color w:val="auto"/>
              </w:rPr>
              <w:t>—</w:t>
            </w:r>
          </w:p>
        </w:tc>
        <w:tc>
          <w:tcPr>
            <w:tcW w:w="640" w:type="dxa"/>
            <w:vAlign w:val="bottom"/>
          </w:tcPr>
          <w:p>
            <w:pPr>
              <w:spacing w:after="0"/>
              <w:rPr>
                <w:sz w:val="19"/>
                <w:szCs w:val="19"/>
                <w:color w:val="auto"/>
              </w:rPr>
            </w:pPr>
          </w:p>
        </w:tc>
        <w:tc>
          <w:tcPr>
            <w:tcW w:w="11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(100)</w:t>
            </w: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260"/>
              <w:spacing w:after="0"/>
              <w:rPr>
                <w:sz w:val="20"/>
                <w:szCs w:val="20"/>
                <w:color w:val="auto"/>
              </w:rPr>
            </w:pPr>
            <w:r>
              <w:rPr>
                <w:rFonts w:ascii="Calibri" w:cs="Calibri" w:eastAsia="Calibri" w:hAnsi="Calibri"/>
                <w:sz w:val="18"/>
                <w:szCs w:val="18"/>
                <w:color w:val="auto"/>
              </w:rPr>
              <w:t>Debt issuance costs</w:t>
            </w:r>
          </w:p>
        </w:tc>
        <w:tc>
          <w:tcPr>
            <w:tcW w:w="10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20"/>
              <w:spacing w:after="0"/>
              <w:rPr>
                <w:sz w:val="20"/>
                <w:szCs w:val="20"/>
                <w:color w:val="auto"/>
              </w:rPr>
            </w:pPr>
            <w:r>
              <w:rPr>
                <w:rFonts w:ascii="Calibri" w:cs="Calibri" w:eastAsia="Calibri" w:hAnsi="Calibri"/>
                <w:sz w:val="17"/>
                <w:szCs w:val="17"/>
                <w:color w:val="auto"/>
              </w:rPr>
              <w:t>—</w:t>
            </w:r>
          </w:p>
        </w:tc>
        <w:tc>
          <w:tcPr>
            <w:tcW w:w="6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22"/>
        </w:trPr>
        <w:tc>
          <w:tcPr>
            <w:tcW w:w="6480" w:type="dxa"/>
            <w:vAlign w:val="bottom"/>
          </w:tcPr>
          <w:p>
            <w:pPr>
              <w:ind w:left="260"/>
              <w:spacing w:after="0" w:line="215" w:lineRule="exact"/>
              <w:rPr>
                <w:sz w:val="20"/>
                <w:szCs w:val="20"/>
                <w:color w:val="auto"/>
              </w:rPr>
            </w:pPr>
            <w:r>
              <w:rPr>
                <w:rFonts w:ascii="Calibri" w:cs="Calibri" w:eastAsia="Calibri" w:hAnsi="Calibri"/>
                <w:sz w:val="18"/>
                <w:szCs w:val="18"/>
                <w:color w:val="auto"/>
              </w:rPr>
              <w:t>Preferred stock cash dividend payments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Pr>
          <w:p>
            <w:pPr>
              <w:spacing w:after="0"/>
              <w:rPr>
                <w:sz w:val="19"/>
                <w:szCs w:val="19"/>
                <w:color w:val="auto"/>
              </w:rPr>
            </w:pPr>
          </w:p>
        </w:tc>
        <w:tc>
          <w:tcPr>
            <w:tcW w:w="11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260"/>
              <w:spacing w:after="0"/>
              <w:rPr>
                <w:sz w:val="20"/>
                <w:szCs w:val="20"/>
                <w:color w:val="auto"/>
              </w:rPr>
            </w:pPr>
            <w:r>
              <w:rPr>
                <w:rFonts w:ascii="Calibri" w:cs="Calibri" w:eastAsia="Calibri" w:hAnsi="Calibri"/>
                <w:sz w:val="18"/>
                <w:szCs w:val="18"/>
                <w:color w:val="auto"/>
              </w:rPr>
              <w:t>Treasury stock purchases</w:t>
            </w:r>
          </w:p>
        </w:tc>
        <w:tc>
          <w:tcPr>
            <w:tcW w:w="10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Calibri" w:cs="Calibri" w:eastAsia="Calibri" w:hAnsi="Calibri"/>
                <w:sz w:val="17"/>
                <w:szCs w:val="17"/>
                <w:color w:val="auto"/>
              </w:rPr>
              <w:t>—</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7"/>
                <w:szCs w:val="17"/>
                <w:color w:val="auto"/>
              </w:rPr>
              <w:t>(1)</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500"/>
              <w:spacing w:after="0"/>
              <w:rPr>
                <w:sz w:val="20"/>
                <w:szCs w:val="20"/>
                <w:color w:val="auto"/>
              </w:rPr>
            </w:pPr>
            <w:r>
              <w:rPr>
                <w:rFonts w:ascii="Calibri" w:cs="Calibri" w:eastAsia="Calibri" w:hAnsi="Calibri"/>
                <w:sz w:val="18"/>
                <w:szCs w:val="18"/>
                <w:color w:val="auto"/>
              </w:rPr>
              <w:t>Net cash (used in) provided by fnancing actvites</w:t>
            </w:r>
          </w:p>
        </w:tc>
        <w:tc>
          <w:tcPr>
            <w:tcW w:w="1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shd w:val="clear" w:color="auto" w:fill="CFF0FC"/>
          </w:tcPr>
          <w:p>
            <w:pPr>
              <w:spacing w:after="0"/>
              <w:rPr>
                <w:sz w:val="20"/>
                <w:szCs w:val="20"/>
                <w:color w:val="auto"/>
              </w:rPr>
            </w:pPr>
            <w:r>
              <w:rPr>
                <w:rFonts w:ascii="Calibri" w:cs="Calibri" w:eastAsia="Calibri" w:hAnsi="Calibri"/>
                <w:sz w:val="18"/>
                <w:szCs w:val="18"/>
                <w:color w:val="auto"/>
              </w:rPr>
              <w:t>Efect of exchange rate changes on cash, cash equivalents and restricted cash</w:t>
            </w:r>
          </w:p>
        </w:tc>
        <w:tc>
          <w:tcPr>
            <w:tcW w:w="10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8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w:t>
            </w:r>
          </w:p>
        </w:tc>
        <w:tc>
          <w:tcPr>
            <w:tcW w:w="300" w:type="dxa"/>
            <w:vAlign w:val="bottom"/>
            <w:vMerge w:val="continue"/>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16"/>
        </w:trPr>
        <w:tc>
          <w:tcPr>
            <w:tcW w:w="6480" w:type="dxa"/>
            <w:vAlign w:val="bottom"/>
          </w:tcPr>
          <w:p>
            <w:pPr>
              <w:spacing w:after="0" w:line="199" w:lineRule="exact"/>
              <w:rPr>
                <w:sz w:val="20"/>
                <w:szCs w:val="20"/>
                <w:color w:val="auto"/>
              </w:rPr>
            </w:pPr>
            <w:r>
              <w:rPr>
                <w:rFonts w:ascii="Calibri" w:cs="Calibri" w:eastAsia="Calibri" w:hAnsi="Calibri"/>
                <w:sz w:val="18"/>
                <w:szCs w:val="18"/>
                <w:color w:val="auto"/>
              </w:rPr>
              <w:t>Net (decrease) increase in cash, cash equivalents and restricted cash</w:t>
            </w:r>
          </w:p>
        </w:tc>
        <w:tc>
          <w:tcPr>
            <w:tcW w:w="10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(49)</w:t>
            </w: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spacing w:after="0"/>
              <w:rPr>
                <w:sz w:val="20"/>
                <w:szCs w:val="20"/>
                <w:color w:val="auto"/>
              </w:rPr>
            </w:pPr>
            <w:r>
              <w:rPr>
                <w:rFonts w:ascii="Calibri" w:cs="Calibri" w:eastAsia="Calibri" w:hAnsi="Calibri"/>
                <w:sz w:val="18"/>
                <w:szCs w:val="18"/>
                <w:color w:val="auto"/>
              </w:rPr>
              <w:t>Cash, cash equivalents and restricted cash, beginning of period</w:t>
            </w:r>
          </w:p>
        </w:tc>
        <w:tc>
          <w:tcPr>
            <w:tcW w:w="102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423</w:t>
            </w:r>
          </w:p>
        </w:tc>
        <w:tc>
          <w:tcPr>
            <w:tcW w:w="300" w:type="dxa"/>
            <w:vAlign w:val="bottom"/>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256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480" w:type="dxa"/>
            <w:vAlign w:val="bottom"/>
          </w:tcPr>
          <w:p>
            <w:pPr>
              <w:spacing w:after="0" w:line="199" w:lineRule="exact"/>
              <w:rPr>
                <w:sz w:val="20"/>
                <w:szCs w:val="20"/>
                <w:color w:val="auto"/>
              </w:rPr>
            </w:pPr>
            <w:r>
              <w:rPr>
                <w:rFonts w:ascii="Calibri" w:cs="Calibri" w:eastAsia="Calibri" w:hAnsi="Calibri"/>
                <w:sz w:val="18"/>
                <w:szCs w:val="18"/>
                <w:color w:val="auto"/>
              </w:rPr>
              <w:t>Cash, cash equivalents and restricted cash, end of period</w:t>
            </w:r>
          </w:p>
        </w:tc>
        <w:tc>
          <w:tcPr>
            <w:tcW w:w="10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374</w:t>
            </w:r>
          </w:p>
        </w:tc>
        <w:tc>
          <w:tcPr>
            <w:tcW w:w="300" w:type="dxa"/>
            <w:vAlign w:val="bottom"/>
          </w:tcPr>
          <w:p>
            <w:pPr>
              <w:spacing w:after="0"/>
              <w:rPr>
                <w:sz w:val="18"/>
                <w:szCs w:val="18"/>
                <w:color w:val="auto"/>
              </w:rPr>
            </w:pPr>
          </w:p>
        </w:tc>
        <w:tc>
          <w:tcPr>
            <w:tcW w:w="640" w:type="dxa"/>
            <w:vAlign w:val="bottom"/>
            <w:tcBorders>
              <w:bottom w:val="single" w:sz="8" w:color="auto"/>
            </w:tcBorders>
          </w:tcPr>
          <w:p>
            <w:pPr>
              <w:jc w:val="right"/>
              <w:ind w:right="481"/>
              <w:spacing w:after="0"/>
              <w:rPr>
                <w:sz w:val="20"/>
                <w:szCs w:val="20"/>
                <w:color w:val="auto"/>
              </w:rPr>
            </w:pPr>
            <w:r>
              <w:rPr>
                <w:rFonts w:ascii="Calibri" w:cs="Calibri" w:eastAsia="Calibri" w:hAnsi="Calibri"/>
                <w:sz w:val="16"/>
                <w:szCs w:val="16"/>
                <w:color w:val="auto"/>
                <w:w w:val="73"/>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EQUITY (DEFICIT) (Unaudited)</w:t>
      </w:r>
    </w:p>
    <w:p>
      <w:pPr>
        <w:spacing w:after="0" w:line="119" w:lineRule="exact"/>
        <w:rPr>
          <w:sz w:val="20"/>
          <w:szCs w:val="20"/>
          <w:color w:val="auto"/>
        </w:rPr>
      </w:pPr>
    </w:p>
    <w:p>
      <w:pPr>
        <w:spacing w:after="0"/>
        <w:rPr>
          <w:sz w:val="20"/>
          <w:szCs w:val="20"/>
          <w:color w:val="auto"/>
        </w:rPr>
      </w:pPr>
      <w:r>
        <w:rPr>
          <w:rFonts w:ascii="Calibri" w:cs="Calibri" w:eastAsia="Calibri" w:hAnsi="Calibri"/>
          <w:sz w:val="18"/>
          <w:szCs w:val="18"/>
          <w:color w:val="auto"/>
        </w:rPr>
        <w:t>(in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gridSpan w:val="8"/>
          </w:tcPr>
          <w:p>
            <w:pPr>
              <w:jc w:val="center"/>
              <w:ind w:right="100"/>
              <w:spacing w:after="0"/>
              <w:rPr>
                <w:sz w:val="20"/>
                <w:szCs w:val="20"/>
                <w:color w:val="auto"/>
              </w:rPr>
            </w:pPr>
            <w:r>
              <w:rPr>
                <w:rFonts w:ascii="Calibri" w:cs="Calibri" w:eastAsia="Calibri" w:hAnsi="Calibri"/>
                <w:sz w:val="17"/>
                <w:szCs w:val="17"/>
                <w:b w:val="1"/>
                <w:bCs w:val="1"/>
                <w:color w:val="auto"/>
              </w:rPr>
              <w:t>Three-Month Period Ending March 31, 2022</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6"/>
        </w:trPr>
        <w:tc>
          <w:tcPr>
            <w:tcW w:w="3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gridSpan w:val="11"/>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4"/>
        </w:trPr>
        <w:tc>
          <w:tcPr>
            <w:tcW w:w="3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11"/>
          </w:tcPr>
          <w:p>
            <w:pPr>
              <w:ind w:left="200"/>
              <w:spacing w:after="0" w:line="204" w:lineRule="exact"/>
              <w:rPr>
                <w:sz w:val="20"/>
                <w:szCs w:val="20"/>
                <w:color w:val="auto"/>
              </w:rPr>
            </w:pPr>
            <w:r>
              <w:rPr>
                <w:rFonts w:ascii="Calibri" w:cs="Calibri" w:eastAsia="Calibri" w:hAnsi="Calibri"/>
                <w:sz w:val="17"/>
                <w:szCs w:val="17"/>
                <w:b w:val="1"/>
                <w:bCs w:val="1"/>
                <w:color w:val="auto"/>
              </w:rPr>
              <w:t>Eastman Kodak Company Common Shareholders</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6"/>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Calibri" w:cs="Calibri" w:eastAsia="Calibri" w:hAnsi="Calibri"/>
                <w:sz w:val="13"/>
                <w:szCs w:val="13"/>
                <w:b w:val="1"/>
                <w:bCs w:val="1"/>
                <w:color w:val="auto"/>
              </w:rPr>
              <w:t>Accumulated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Calibri" w:cs="Calibri" w:eastAsia="Calibri" w:hAnsi="Calibri"/>
                <w:sz w:val="13"/>
                <w:szCs w:val="13"/>
                <w:b w:val="1"/>
                <w:bCs w:val="1"/>
                <w:color w:val="auto"/>
              </w:rPr>
              <w:t>Additonal</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Calibri" w:cs="Calibri" w:eastAsia="Calibri" w:hAnsi="Calibri"/>
                <w:sz w:val="13"/>
                <w:szCs w:val="13"/>
                <w:b w:val="1"/>
                <w:bCs w:val="1"/>
                <w:color w:val="auto"/>
              </w:rPr>
              <w:t>Other</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Calibri" w:cs="Calibri" w:eastAsia="Calibri" w:hAnsi="Calibri"/>
                <w:sz w:val="13"/>
                <w:szCs w:val="13"/>
                <w:b w:val="1"/>
                <w:bCs w:val="1"/>
                <w:color w:val="auto"/>
              </w:rPr>
              <w:t>Redeemable</w:t>
            </w:r>
          </w:p>
        </w:tc>
      </w:tr>
      <w:tr>
        <w:trPr>
          <w:trHeight w:val="175"/>
        </w:trPr>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Calibri" w:cs="Calibri" w:eastAsia="Calibri" w:hAnsi="Calibri"/>
                <w:sz w:val="13"/>
                <w:szCs w:val="13"/>
                <w:b w:val="1"/>
                <w:bCs w:val="1"/>
                <w:color w:val="auto"/>
              </w:rPr>
              <w:t>Common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Calibri" w:cs="Calibri" w:eastAsia="Calibri" w:hAnsi="Calibri"/>
                <w:sz w:val="13"/>
                <w:szCs w:val="13"/>
                <w:b w:val="1"/>
                <w:bCs w:val="1"/>
                <w:color w:val="auto"/>
              </w:rPr>
              <w:t>Paid in</w:t>
            </w:r>
          </w:p>
        </w:tc>
        <w:tc>
          <w:tcPr>
            <w:tcW w:w="8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Calibri" w:cs="Calibri" w:eastAsia="Calibri" w:hAnsi="Calibri"/>
                <w:sz w:val="13"/>
                <w:szCs w:val="13"/>
                <w:b w:val="1"/>
                <w:bCs w:val="1"/>
                <w:color w:val="auto"/>
              </w:rPr>
              <w:t>Accumulated</w:t>
            </w:r>
          </w:p>
        </w:tc>
        <w:tc>
          <w:tcPr>
            <w:tcW w:w="1180" w:type="dxa"/>
            <w:vAlign w:val="bottom"/>
            <w:gridSpan w:val="3"/>
          </w:tcPr>
          <w:p>
            <w:pPr>
              <w:jc w:val="center"/>
              <w:ind w:right="220"/>
              <w:spacing w:after="0"/>
              <w:rPr>
                <w:sz w:val="20"/>
                <w:szCs w:val="20"/>
                <w:color w:val="auto"/>
              </w:rPr>
            </w:pPr>
            <w:r>
              <w:rPr>
                <w:rFonts w:ascii="Calibri" w:cs="Calibri" w:eastAsia="Calibri" w:hAnsi="Calibri"/>
                <w:sz w:val="13"/>
                <w:szCs w:val="13"/>
                <w:b w:val="1"/>
                <w:bCs w:val="1"/>
                <w:color w:val="auto"/>
              </w:rPr>
              <w:t>Comprehensive</w:t>
            </w:r>
          </w:p>
        </w:tc>
        <w:tc>
          <w:tcPr>
            <w:tcW w:w="12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Calibri" w:cs="Calibri" w:eastAsia="Calibri" w:hAnsi="Calibri"/>
                <w:sz w:val="13"/>
                <w:szCs w:val="13"/>
                <w:b w:val="1"/>
                <w:bCs w:val="1"/>
                <w:color w:val="auto"/>
              </w:rPr>
              <w:t>Treasury</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Calibri" w:cs="Calibri" w:eastAsia="Calibri" w:hAnsi="Calibri"/>
                <w:sz w:val="13"/>
                <w:szCs w:val="13"/>
                <w:b w:val="1"/>
                <w:bCs w:val="1"/>
                <w:color w:val="auto"/>
              </w:rPr>
              <w:t>Convertble</w:t>
            </w:r>
          </w:p>
        </w:tc>
      </w:tr>
      <w:tr>
        <w:trPr>
          <w:trHeight w:val="176"/>
        </w:trPr>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Calibri" w:cs="Calibri" w:eastAsia="Calibri" w:hAnsi="Calibri"/>
                <w:sz w:val="13"/>
                <w:szCs w:val="13"/>
                <w:b w:val="1"/>
                <w:bCs w:val="1"/>
                <w:color w:val="auto"/>
              </w:rPr>
              <w:t>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Calibri" w:cs="Calibri" w:eastAsia="Calibri" w:hAnsi="Calibri"/>
                <w:sz w:val="13"/>
                <w:szCs w:val="13"/>
                <w:b w:val="1"/>
                <w:bCs w:val="1"/>
                <w:color w:val="auto"/>
              </w:rPr>
              <w:t>Capital</w:t>
            </w:r>
          </w:p>
        </w:tc>
        <w:tc>
          <w:tcPr>
            <w:tcW w:w="8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Calibri" w:cs="Calibri" w:eastAsia="Calibri" w:hAnsi="Calibri"/>
                <w:sz w:val="13"/>
                <w:szCs w:val="13"/>
                <w:b w:val="1"/>
                <w:bCs w:val="1"/>
                <w:color w:val="auto"/>
              </w:rPr>
              <w:t>Defcit</w:t>
            </w: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Calibri" w:cs="Calibri" w:eastAsia="Calibri" w:hAnsi="Calibri"/>
                <w:sz w:val="13"/>
                <w:szCs w:val="13"/>
                <w:b w:val="1"/>
                <w:bCs w:val="1"/>
                <w:color w:val="auto"/>
                <w:w w:val="99"/>
              </w:rPr>
              <w:t>Income</w:t>
            </w:r>
          </w:p>
        </w:tc>
        <w:tc>
          <w:tcPr>
            <w:tcW w:w="1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Calibri" w:cs="Calibri" w:eastAsia="Calibri" w:hAnsi="Calibri"/>
                <w:sz w:val="13"/>
                <w:szCs w:val="13"/>
                <w:b w:val="1"/>
                <w:bCs w:val="1"/>
                <w:color w:val="auto"/>
              </w:rPr>
              <w:t>Stock</w:t>
            </w:r>
          </w:p>
        </w:tc>
        <w:tc>
          <w:tcPr>
            <w:tcW w:w="140" w:type="dxa"/>
            <w:vAlign w:val="bottom"/>
          </w:tcPr>
          <w:p>
            <w:pPr>
              <w:spacing w:after="0"/>
              <w:rPr>
                <w:sz w:val="15"/>
                <w:szCs w:val="15"/>
                <w:color w:val="auto"/>
              </w:rPr>
            </w:pPr>
          </w:p>
        </w:tc>
        <w:tc>
          <w:tcPr>
            <w:tcW w:w="720" w:type="dxa"/>
            <w:vAlign w:val="bottom"/>
            <w:gridSpan w:val="2"/>
          </w:tcPr>
          <w:p>
            <w:pPr>
              <w:jc w:val="right"/>
              <w:ind w:right="380"/>
              <w:spacing w:after="0"/>
              <w:rPr>
                <w:sz w:val="20"/>
                <w:szCs w:val="20"/>
                <w:color w:val="auto"/>
              </w:rPr>
            </w:pPr>
            <w:r>
              <w:rPr>
                <w:rFonts w:ascii="Calibri" w:cs="Calibri" w:eastAsia="Calibri" w:hAnsi="Calibri"/>
                <w:sz w:val="13"/>
                <w:szCs w:val="13"/>
                <w:b w:val="1"/>
                <w:bCs w:val="1"/>
                <w:color w:val="auto"/>
              </w:rPr>
              <w:t>Total</w:t>
            </w:r>
          </w:p>
        </w:tc>
        <w:tc>
          <w:tcPr>
            <w:tcW w:w="80" w:type="dxa"/>
            <w:vAlign w:val="bottom"/>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Calibri" w:cs="Calibri" w:eastAsia="Calibri" w:hAnsi="Calibri"/>
                <w:sz w:val="13"/>
                <w:szCs w:val="13"/>
                <w:b w:val="1"/>
                <w:bCs w:val="1"/>
                <w:color w:val="auto"/>
              </w:rPr>
              <w:t>Preferred Stock</w:t>
            </w:r>
          </w:p>
        </w:tc>
      </w:tr>
      <w:tr>
        <w:trPr>
          <w:trHeight w:val="22"/>
        </w:trPr>
        <w:tc>
          <w:tcPr>
            <w:tcW w:w="38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210"/>
        </w:trPr>
        <w:tc>
          <w:tcPr>
            <w:tcW w:w="3880" w:type="dxa"/>
            <w:vAlign w:val="bottom"/>
            <w:shd w:val="clear" w:color="auto" w:fill="CFF0FC"/>
          </w:tcPr>
          <w:p>
            <w:pPr>
              <w:spacing w:after="0" w:line="185" w:lineRule="exact"/>
              <w:rPr>
                <w:sz w:val="20"/>
                <w:szCs w:val="20"/>
                <w:color w:val="auto"/>
              </w:rPr>
            </w:pPr>
            <w:r>
              <w:rPr>
                <w:rFonts w:ascii="Calibri" w:cs="Calibri" w:eastAsia="Calibri" w:hAnsi="Calibri"/>
                <w:sz w:val="17"/>
                <w:szCs w:val="17"/>
                <w:color w:val="auto"/>
              </w:rPr>
              <w:t>Equity (defcit) as of December 31, 2021</w:t>
            </w:r>
          </w:p>
        </w:tc>
        <w:tc>
          <w:tcPr>
            <w:tcW w:w="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640" w:type="dxa"/>
            <w:vAlign w:val="bottom"/>
            <w:shd w:val="clear" w:color="auto" w:fill="CFF0FC"/>
          </w:tcPr>
          <w:p>
            <w:pPr>
              <w:ind w:left="460"/>
              <w:spacing w:after="0" w:line="205" w:lineRule="exact"/>
              <w:rPr>
                <w:sz w:val="20"/>
                <w:szCs w:val="20"/>
                <w:color w:val="auto"/>
              </w:rPr>
            </w:pPr>
            <w:r>
              <w:rPr>
                <w:rFonts w:ascii="Calibri" w:cs="Calibri" w:eastAsia="Calibri" w:hAnsi="Calibri"/>
                <w:sz w:val="17"/>
                <w:szCs w:val="17"/>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68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1,166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88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(596)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88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221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66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58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781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88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196</w:t>
            </w:r>
          </w:p>
        </w:tc>
        <w:tc>
          <w:tcPr>
            <w:tcW w:w="120" w:type="dxa"/>
            <w:vAlign w:val="bottom"/>
            <w:shd w:val="clear" w:color="auto" w:fill="CFF0FC"/>
          </w:tcPr>
          <w:p>
            <w:pPr>
              <w:spacing w:after="0"/>
              <w:rPr>
                <w:sz w:val="18"/>
                <w:szCs w:val="18"/>
                <w:color w:val="auto"/>
              </w:rPr>
            </w:pPr>
          </w:p>
        </w:tc>
      </w:tr>
      <w:tr>
        <w:trPr>
          <w:trHeight w:val="210"/>
        </w:trPr>
        <w:tc>
          <w:tcPr>
            <w:tcW w:w="3880" w:type="dxa"/>
            <w:vAlign w:val="bottom"/>
          </w:tcPr>
          <w:p>
            <w:pPr>
              <w:spacing w:after="0" w:line="205" w:lineRule="exact"/>
              <w:rPr>
                <w:sz w:val="20"/>
                <w:szCs w:val="20"/>
                <w:color w:val="auto"/>
              </w:rPr>
            </w:pPr>
            <w:r>
              <w:rPr>
                <w:rFonts w:ascii="Calibri" w:cs="Calibri" w:eastAsia="Calibri" w:hAnsi="Calibri"/>
                <w:sz w:val="17"/>
                <w:szCs w:val="17"/>
                <w:color w:val="auto"/>
              </w:rPr>
              <w:t>Net loss</w:t>
            </w:r>
          </w:p>
        </w:tc>
        <w:tc>
          <w:tcPr>
            <w:tcW w:w="100" w:type="dxa"/>
            <w:vAlign w:val="bottom"/>
          </w:tcPr>
          <w:p>
            <w:pPr>
              <w:spacing w:after="0"/>
              <w:rPr>
                <w:sz w:val="18"/>
                <w:szCs w:val="18"/>
                <w:color w:val="auto"/>
              </w:rPr>
            </w:pPr>
          </w:p>
        </w:tc>
        <w:tc>
          <w:tcPr>
            <w:tcW w:w="640" w:type="dxa"/>
            <w:vAlign w:val="bottom"/>
          </w:tcPr>
          <w:p>
            <w:pPr>
              <w:ind w:left="460"/>
              <w:spacing w:after="0" w:line="205" w:lineRule="exact"/>
              <w:rPr>
                <w:sz w:val="20"/>
                <w:szCs w:val="20"/>
                <w:color w:val="auto"/>
              </w:rPr>
            </w:pPr>
            <w:r>
              <w:rPr>
                <w:rFonts w:ascii="Calibri" w:cs="Calibri" w:eastAsia="Calibri" w:hAnsi="Calibri"/>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(3)</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line="205" w:lineRule="exact"/>
              <w:rPr>
                <w:sz w:val="20"/>
                <w:szCs w:val="20"/>
                <w:color w:val="auto"/>
              </w:rPr>
            </w:pPr>
            <w:r>
              <w:rPr>
                <w:rFonts w:ascii="Calibri" w:cs="Calibri" w:eastAsia="Calibri" w:hAnsi="Calibri"/>
                <w:sz w:val="17"/>
                <w:szCs w:val="17"/>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line="205" w:lineRule="exact"/>
              <w:rPr>
                <w:sz w:val="20"/>
                <w:szCs w:val="20"/>
                <w:color w:val="auto"/>
              </w:rPr>
            </w:pPr>
            <w:r>
              <w:rPr>
                <w:rFonts w:ascii="Calibri" w:cs="Calibri" w:eastAsia="Calibri" w:hAnsi="Calibri"/>
                <w:sz w:val="17"/>
                <w:szCs w:val="17"/>
                <w:color w:val="auto"/>
              </w:rPr>
              <w:t>—</w:t>
            </w:r>
          </w:p>
        </w:tc>
      </w:tr>
      <w:tr>
        <w:trPr>
          <w:trHeight w:val="222"/>
        </w:trPr>
        <w:tc>
          <w:tcPr>
            <w:tcW w:w="3880" w:type="dxa"/>
            <w:vAlign w:val="bottom"/>
            <w:shd w:val="clear" w:color="auto" w:fill="CFF0FC"/>
          </w:tcPr>
          <w:p>
            <w:pPr>
              <w:spacing w:after="0"/>
              <w:rPr>
                <w:sz w:val="20"/>
                <w:szCs w:val="20"/>
                <w:color w:val="auto"/>
              </w:rPr>
            </w:pPr>
            <w:r>
              <w:rPr>
                <w:rFonts w:ascii="Calibri" w:cs="Calibri" w:eastAsia="Calibri" w:hAnsi="Calibri"/>
                <w:sz w:val="17"/>
                <w:szCs w:val="17"/>
                <w:color w:val="auto"/>
              </w:rPr>
              <w:t>Other comprehensive income (net of tax):</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0"/>
        </w:trPr>
        <w:tc>
          <w:tcPr>
            <w:tcW w:w="3880" w:type="dxa"/>
            <w:vAlign w:val="bottom"/>
          </w:tcPr>
          <w:p>
            <w:pPr>
              <w:ind w:left="140"/>
              <w:spacing w:after="0" w:line="205" w:lineRule="exact"/>
              <w:rPr>
                <w:sz w:val="20"/>
                <w:szCs w:val="20"/>
                <w:color w:val="auto"/>
              </w:rPr>
            </w:pPr>
            <w:r>
              <w:rPr>
                <w:rFonts w:ascii="Calibri" w:cs="Calibri" w:eastAsia="Calibri" w:hAnsi="Calibri"/>
                <w:sz w:val="17"/>
                <w:szCs w:val="17"/>
                <w:color w:val="auto"/>
              </w:rPr>
              <w:t>Currency translaton adjustments</w:t>
            </w:r>
          </w:p>
        </w:tc>
        <w:tc>
          <w:tcPr>
            <w:tcW w:w="100" w:type="dxa"/>
            <w:vAlign w:val="bottom"/>
          </w:tcPr>
          <w:p>
            <w:pPr>
              <w:spacing w:after="0"/>
              <w:rPr>
                <w:sz w:val="18"/>
                <w:szCs w:val="18"/>
                <w:color w:val="auto"/>
              </w:rPr>
            </w:pPr>
          </w:p>
        </w:tc>
        <w:tc>
          <w:tcPr>
            <w:tcW w:w="640" w:type="dxa"/>
            <w:vAlign w:val="bottom"/>
          </w:tcPr>
          <w:p>
            <w:pPr>
              <w:ind w:left="460"/>
              <w:spacing w:after="0" w:line="205" w:lineRule="exact"/>
              <w:rPr>
                <w:sz w:val="20"/>
                <w:szCs w:val="20"/>
                <w:color w:val="auto"/>
              </w:rPr>
            </w:pPr>
            <w:r>
              <w:rPr>
                <w:rFonts w:ascii="Calibri" w:cs="Calibri" w:eastAsia="Calibri" w:hAnsi="Calibri"/>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Pr>
          <w:p>
            <w:pPr>
              <w:spacing w:after="0"/>
              <w:rPr>
                <w:sz w:val="18"/>
                <w:szCs w:val="18"/>
                <w:color w:val="auto"/>
              </w:rPr>
            </w:pPr>
          </w:p>
        </w:tc>
        <w:tc>
          <w:tcPr>
            <w:tcW w:w="880" w:type="dxa"/>
            <w:vAlign w:val="bottom"/>
          </w:tcPr>
          <w:p>
            <w:pPr>
              <w:jc w:val="right"/>
              <w:spacing w:after="0" w:line="205" w:lineRule="exact"/>
              <w:rPr>
                <w:sz w:val="20"/>
                <w:szCs w:val="20"/>
                <w:color w:val="auto"/>
              </w:rPr>
            </w:pPr>
            <w:r>
              <w:rPr>
                <w:rFonts w:ascii="Calibri" w:cs="Calibri" w:eastAsia="Calibri" w:hAnsi="Calibri"/>
                <w:sz w:val="17"/>
                <w:szCs w:val="17"/>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40" w:type="dxa"/>
            <w:vAlign w:val="bottom"/>
          </w:tcPr>
          <w:p>
            <w:pPr>
              <w:spacing w:after="0"/>
              <w:rPr>
                <w:sz w:val="18"/>
                <w:szCs w:val="18"/>
                <w:color w:val="auto"/>
              </w:rPr>
            </w:pPr>
          </w:p>
        </w:tc>
        <w:tc>
          <w:tcPr>
            <w:tcW w:w="580" w:type="dxa"/>
            <w:vAlign w:val="bottom"/>
          </w:tcPr>
          <w:p>
            <w:pPr>
              <w:jc w:val="right"/>
              <w:spacing w:after="0" w:line="205" w:lineRule="exact"/>
              <w:rPr>
                <w:sz w:val="20"/>
                <w:szCs w:val="20"/>
                <w:color w:val="auto"/>
              </w:rPr>
            </w:pPr>
            <w:r>
              <w:rPr>
                <w:rFonts w:ascii="Calibri" w:cs="Calibri" w:eastAsia="Calibri" w:hAnsi="Calibri"/>
                <w:sz w:val="17"/>
                <w:szCs w:val="17"/>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line="205" w:lineRule="exact"/>
              <w:rPr>
                <w:sz w:val="20"/>
                <w:szCs w:val="20"/>
                <w:color w:val="auto"/>
              </w:rPr>
            </w:pPr>
            <w:r>
              <w:rPr>
                <w:rFonts w:ascii="Calibri" w:cs="Calibri" w:eastAsia="Calibri" w:hAnsi="Calibri"/>
                <w:sz w:val="17"/>
                <w:szCs w:val="17"/>
                <w:color w:val="auto"/>
              </w:rPr>
              <w:t>—</w:t>
            </w:r>
          </w:p>
        </w:tc>
      </w:tr>
      <w:tr>
        <w:trPr>
          <w:trHeight w:val="222"/>
        </w:trPr>
        <w:tc>
          <w:tcPr>
            <w:tcW w:w="3880" w:type="dxa"/>
            <w:vAlign w:val="bottom"/>
            <w:shd w:val="clear" w:color="auto" w:fill="CFF0FC"/>
          </w:tcPr>
          <w:p>
            <w:pPr>
              <w:spacing w:after="0"/>
              <w:rPr>
                <w:sz w:val="20"/>
                <w:szCs w:val="20"/>
                <w:color w:val="auto"/>
              </w:rPr>
            </w:pPr>
            <w:r>
              <w:rPr>
                <w:rFonts w:ascii="Calibri" w:cs="Calibri" w:eastAsia="Calibri" w:hAnsi="Calibri"/>
                <w:sz w:val="17"/>
                <w:szCs w:val="17"/>
                <w:color w:val="auto"/>
              </w:rPr>
              <w:t>Preferred stock cash dividends</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Calibri" w:cs="Calibri" w:eastAsia="Calibri" w:hAnsi="Calibri"/>
                <w:sz w:val="17"/>
                <w:szCs w:val="17"/>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7"/>
                <w:szCs w:val="17"/>
                <w:color w:val="auto"/>
              </w:rPr>
              <w:t>(1)</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7"/>
                <w:szCs w:val="17"/>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7"/>
                <w:szCs w:val="17"/>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7"/>
                <w:szCs w:val="17"/>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Calibri" w:cs="Calibri" w:eastAsia="Calibri" w:hAnsi="Calibri"/>
                <w:sz w:val="17"/>
                <w:szCs w:val="17"/>
                <w:color w:val="auto"/>
              </w:rPr>
              <w:t>(1)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7"/>
                <w:szCs w:val="17"/>
                <w:color w:val="auto"/>
              </w:rPr>
              <w:t>—</w:t>
            </w:r>
          </w:p>
        </w:tc>
      </w:tr>
      <w:tr>
        <w:trPr>
          <w:trHeight w:val="210"/>
        </w:trPr>
        <w:tc>
          <w:tcPr>
            <w:tcW w:w="3880" w:type="dxa"/>
            <w:vAlign w:val="bottom"/>
          </w:tcPr>
          <w:p>
            <w:pPr>
              <w:spacing w:after="0" w:line="205" w:lineRule="exact"/>
              <w:rPr>
                <w:sz w:val="20"/>
                <w:szCs w:val="20"/>
                <w:color w:val="auto"/>
              </w:rPr>
            </w:pPr>
            <w:r>
              <w:rPr>
                <w:rFonts w:ascii="Calibri" w:cs="Calibri" w:eastAsia="Calibri" w:hAnsi="Calibri"/>
                <w:sz w:val="17"/>
                <w:szCs w:val="17"/>
                <w:color w:val="auto"/>
              </w:rPr>
              <w:t>Preferred stock in-kind dividends</w:t>
            </w:r>
          </w:p>
        </w:tc>
        <w:tc>
          <w:tcPr>
            <w:tcW w:w="100" w:type="dxa"/>
            <w:vAlign w:val="bottom"/>
          </w:tcPr>
          <w:p>
            <w:pPr>
              <w:spacing w:after="0"/>
              <w:rPr>
                <w:sz w:val="18"/>
                <w:szCs w:val="18"/>
                <w:color w:val="auto"/>
              </w:rPr>
            </w:pPr>
          </w:p>
        </w:tc>
        <w:tc>
          <w:tcPr>
            <w:tcW w:w="640" w:type="dxa"/>
            <w:vAlign w:val="bottom"/>
          </w:tcPr>
          <w:p>
            <w:pPr>
              <w:ind w:left="460"/>
              <w:spacing w:after="0" w:line="205" w:lineRule="exact"/>
              <w:rPr>
                <w:sz w:val="20"/>
                <w:szCs w:val="20"/>
                <w:color w:val="auto"/>
              </w:rPr>
            </w:pPr>
            <w:r>
              <w:rPr>
                <w:rFonts w:ascii="Calibri" w:cs="Calibri" w:eastAsia="Calibri" w:hAnsi="Calibri"/>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line="205" w:lineRule="exact"/>
              <w:rPr>
                <w:sz w:val="20"/>
                <w:szCs w:val="20"/>
                <w:color w:val="auto"/>
              </w:rPr>
            </w:pPr>
            <w:r>
              <w:rPr>
                <w:rFonts w:ascii="Calibri" w:cs="Calibri" w:eastAsia="Calibri" w:hAnsi="Calibri"/>
                <w:sz w:val="17"/>
                <w:szCs w:val="17"/>
                <w:color w:val="auto"/>
              </w:rPr>
              <w:t>(1)</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line="205" w:lineRule="exact"/>
              <w:rPr>
                <w:sz w:val="20"/>
                <w:szCs w:val="20"/>
                <w:color w:val="auto"/>
              </w:rPr>
            </w:pPr>
            <w:r>
              <w:rPr>
                <w:rFonts w:ascii="Calibri" w:cs="Calibri" w:eastAsia="Calibri" w:hAnsi="Calibri"/>
                <w:sz w:val="17"/>
                <w:szCs w:val="17"/>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Pr>
          <w:p>
            <w:pPr>
              <w:spacing w:after="0"/>
              <w:rPr>
                <w:sz w:val="18"/>
                <w:szCs w:val="18"/>
                <w:color w:val="auto"/>
              </w:rPr>
            </w:pPr>
          </w:p>
        </w:tc>
      </w:tr>
      <w:tr>
        <w:trPr>
          <w:trHeight w:val="222"/>
        </w:trPr>
        <w:tc>
          <w:tcPr>
            <w:tcW w:w="3880" w:type="dxa"/>
            <w:vAlign w:val="bottom"/>
            <w:shd w:val="clear" w:color="auto" w:fill="CFF0FC"/>
          </w:tcPr>
          <w:p>
            <w:pPr>
              <w:spacing w:after="0"/>
              <w:rPr>
                <w:sz w:val="20"/>
                <w:szCs w:val="20"/>
                <w:color w:val="auto"/>
              </w:rPr>
            </w:pPr>
            <w:r>
              <w:rPr>
                <w:rFonts w:ascii="Calibri" w:cs="Calibri" w:eastAsia="Calibri" w:hAnsi="Calibri"/>
                <w:sz w:val="17"/>
                <w:szCs w:val="17"/>
                <w:color w:val="auto"/>
              </w:rPr>
              <w:t>Preferred stock deemed dividends</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Calibri" w:cs="Calibri" w:eastAsia="Calibri" w:hAnsi="Calibri"/>
                <w:sz w:val="17"/>
                <w:szCs w:val="17"/>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7"/>
                <w:szCs w:val="17"/>
                <w:color w:val="auto"/>
              </w:rPr>
              <w:t>(1)</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7"/>
                <w:szCs w:val="17"/>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7"/>
                <w:szCs w:val="17"/>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7"/>
                <w:szCs w:val="17"/>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Calibri" w:cs="Calibri" w:eastAsia="Calibri" w:hAnsi="Calibri"/>
                <w:sz w:val="17"/>
                <w:szCs w:val="17"/>
                <w:color w:val="auto"/>
              </w:rPr>
              <w:t>(1)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7"/>
                <w:szCs w:val="17"/>
                <w:color w:val="auto"/>
              </w:rPr>
              <w:t>1</w:t>
            </w:r>
          </w:p>
        </w:tc>
        <w:tc>
          <w:tcPr>
            <w:tcW w:w="120" w:type="dxa"/>
            <w:vAlign w:val="bottom"/>
            <w:shd w:val="clear" w:color="auto" w:fill="CFF0FC"/>
          </w:tcPr>
          <w:p>
            <w:pPr>
              <w:spacing w:after="0"/>
              <w:rPr>
                <w:sz w:val="19"/>
                <w:szCs w:val="19"/>
                <w:color w:val="auto"/>
              </w:rPr>
            </w:pPr>
          </w:p>
        </w:tc>
      </w:tr>
      <w:tr>
        <w:trPr>
          <w:trHeight w:val="210"/>
        </w:trPr>
        <w:tc>
          <w:tcPr>
            <w:tcW w:w="3880" w:type="dxa"/>
            <w:vAlign w:val="bottom"/>
          </w:tcPr>
          <w:p>
            <w:pPr>
              <w:spacing w:after="0" w:line="205" w:lineRule="exact"/>
              <w:rPr>
                <w:sz w:val="20"/>
                <w:szCs w:val="20"/>
                <w:color w:val="auto"/>
              </w:rPr>
            </w:pPr>
            <w:r>
              <w:rPr>
                <w:rFonts w:ascii="Calibri" w:cs="Calibri" w:eastAsia="Calibri" w:hAnsi="Calibri"/>
                <w:sz w:val="17"/>
                <w:szCs w:val="17"/>
                <w:color w:val="auto"/>
              </w:rPr>
              <w:t>Stock-based compensaton</w:t>
            </w:r>
          </w:p>
        </w:tc>
        <w:tc>
          <w:tcPr>
            <w:tcW w:w="100" w:type="dxa"/>
            <w:vAlign w:val="bottom"/>
          </w:tcPr>
          <w:p>
            <w:pPr>
              <w:spacing w:after="0"/>
              <w:rPr>
                <w:sz w:val="18"/>
                <w:szCs w:val="18"/>
                <w:color w:val="auto"/>
              </w:rPr>
            </w:pPr>
          </w:p>
        </w:tc>
        <w:tc>
          <w:tcPr>
            <w:tcW w:w="640" w:type="dxa"/>
            <w:vAlign w:val="bottom"/>
          </w:tcPr>
          <w:p>
            <w:pPr>
              <w:ind w:left="460"/>
              <w:spacing w:after="0" w:line="205" w:lineRule="exact"/>
              <w:rPr>
                <w:sz w:val="20"/>
                <w:szCs w:val="20"/>
                <w:color w:val="auto"/>
              </w:rPr>
            </w:pPr>
            <w:r>
              <w:rPr>
                <w:rFonts w:ascii="Calibri" w:cs="Calibri" w:eastAsia="Calibri" w:hAnsi="Calibri"/>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line="205" w:lineRule="exact"/>
              <w:rPr>
                <w:sz w:val="20"/>
                <w:szCs w:val="20"/>
                <w:color w:val="auto"/>
              </w:rPr>
            </w:pPr>
            <w:r>
              <w:rPr>
                <w:rFonts w:ascii="Calibri" w:cs="Calibri" w:eastAsia="Calibri" w:hAnsi="Calibri"/>
                <w:sz w:val="17"/>
                <w:szCs w:val="17"/>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40" w:type="dxa"/>
            <w:vAlign w:val="bottom"/>
          </w:tcPr>
          <w:p>
            <w:pPr>
              <w:spacing w:after="0"/>
              <w:rPr>
                <w:sz w:val="18"/>
                <w:szCs w:val="18"/>
                <w:color w:val="auto"/>
              </w:rPr>
            </w:pPr>
          </w:p>
        </w:tc>
        <w:tc>
          <w:tcPr>
            <w:tcW w:w="580" w:type="dxa"/>
            <w:vAlign w:val="bottom"/>
          </w:tcPr>
          <w:p>
            <w:pPr>
              <w:jc w:val="right"/>
              <w:spacing w:after="0" w:line="205" w:lineRule="exact"/>
              <w:rPr>
                <w:sz w:val="20"/>
                <w:szCs w:val="20"/>
                <w:color w:val="auto"/>
              </w:rPr>
            </w:pPr>
            <w:r>
              <w:rPr>
                <w:rFonts w:ascii="Calibri" w:cs="Calibri" w:eastAsia="Calibri" w:hAnsi="Calibri"/>
                <w:sz w:val="17"/>
                <w:szCs w:val="17"/>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line="205" w:lineRule="exact"/>
              <w:rPr>
                <w:sz w:val="20"/>
                <w:szCs w:val="20"/>
                <w:color w:val="auto"/>
              </w:rPr>
            </w:pPr>
            <w:r>
              <w:rPr>
                <w:rFonts w:ascii="Calibri" w:cs="Calibri" w:eastAsia="Calibri" w:hAnsi="Calibri"/>
                <w:sz w:val="17"/>
                <w:szCs w:val="17"/>
                <w:color w:val="auto"/>
              </w:rPr>
              <w:t>—</w:t>
            </w:r>
          </w:p>
        </w:tc>
      </w:tr>
      <w:tr>
        <w:trPr>
          <w:trHeight w:val="209"/>
        </w:trPr>
        <w:tc>
          <w:tcPr>
            <w:tcW w:w="3880" w:type="dxa"/>
            <w:vAlign w:val="bottom"/>
            <w:tcBorders>
              <w:top w:val="single" w:sz="8" w:color="CFF0FC"/>
              <w:bottom w:val="single" w:sz="8" w:color="CFF0FC"/>
            </w:tcBorders>
            <w:shd w:val="clear" w:color="auto" w:fill="CFF0FC"/>
          </w:tcPr>
          <w:p>
            <w:pPr>
              <w:spacing w:after="0" w:line="190" w:lineRule="exact"/>
              <w:rPr>
                <w:sz w:val="20"/>
                <w:szCs w:val="20"/>
                <w:color w:val="auto"/>
              </w:rPr>
            </w:pPr>
            <w:r>
              <w:rPr>
                <w:rFonts w:ascii="Calibri" w:cs="Calibri" w:eastAsia="Calibri" w:hAnsi="Calibri"/>
                <w:sz w:val="17"/>
                <w:szCs w:val="17"/>
                <w:color w:val="auto"/>
              </w:rPr>
              <w:t>Equity (defcit) as of March 31, 2022</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640" w:type="dxa"/>
            <w:vAlign w:val="bottom"/>
            <w:tcBorders>
              <w:top w:val="single" w:sz="8" w:color="auto"/>
              <w:bottom w:val="single" w:sz="8" w:color="auto"/>
            </w:tcBorders>
            <w:shd w:val="clear" w:color="auto" w:fill="CFF0FC"/>
          </w:tcPr>
          <w:p>
            <w:pPr>
              <w:ind w:left="460"/>
              <w:spacing w:after="0" w:line="205" w:lineRule="exact"/>
              <w:rPr>
                <w:sz w:val="20"/>
                <w:szCs w:val="20"/>
                <w:color w:val="auto"/>
              </w:rPr>
            </w:pPr>
            <w:r>
              <w:rPr>
                <w:rFonts w:ascii="Calibri" w:cs="Calibri" w:eastAsia="Calibri" w:hAnsi="Calibri"/>
                <w:sz w:val="17"/>
                <w:szCs w:val="17"/>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68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1,165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88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(599)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88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226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66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58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782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880" w:type="dxa"/>
            <w:vAlign w:val="bottom"/>
            <w:tcBorders>
              <w:top w:val="single" w:sz="8" w:color="auto"/>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198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EQUITY (DEFICIT) (Unaudited) (cont’d)</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60" w:type="dxa"/>
            <w:vAlign w:val="bottom"/>
            <w:gridSpan w:val="13"/>
          </w:tcPr>
          <w:p>
            <w:pPr>
              <w:ind w:left="60"/>
              <w:spacing w:after="0"/>
              <w:rPr>
                <w:sz w:val="20"/>
                <w:szCs w:val="20"/>
                <w:color w:val="auto"/>
              </w:rPr>
            </w:pPr>
            <w:r>
              <w:rPr>
                <w:rFonts w:ascii="Calibri" w:cs="Calibri" w:eastAsia="Calibri" w:hAnsi="Calibri"/>
                <w:sz w:val="18"/>
                <w:szCs w:val="18"/>
                <w:b w:val="1"/>
                <w:bCs w:val="1"/>
                <w:color w:val="auto"/>
              </w:rPr>
              <w:t>Three-Month Period Ending March 31, 2021</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40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1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4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13"/>
          </w:tcPr>
          <w:p>
            <w:pPr>
              <w:jc w:val="right"/>
              <w:ind w:right="320"/>
              <w:spacing w:after="0" w:line="215" w:lineRule="exact"/>
              <w:rPr>
                <w:sz w:val="20"/>
                <w:szCs w:val="20"/>
                <w:color w:val="auto"/>
              </w:rPr>
            </w:pPr>
            <w:r>
              <w:rPr>
                <w:rFonts w:ascii="Calibri" w:cs="Calibri" w:eastAsia="Calibri" w:hAnsi="Calibri"/>
                <w:sz w:val="18"/>
                <w:szCs w:val="18"/>
                <w:b w:val="1"/>
                <w:bCs w:val="1"/>
                <w:color w:val="auto"/>
                <w:w w:val="97"/>
              </w:rPr>
              <w:t>Eastman Kodak Company Common Shareholders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0"/>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Calibri" w:cs="Calibri" w:eastAsia="Calibri" w:hAnsi="Calibri"/>
                <w:sz w:val="14"/>
                <w:szCs w:val="14"/>
                <w:b w:val="1"/>
                <w:bCs w:val="1"/>
                <w:color w:val="auto"/>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tcPr>
          <w:p>
            <w:pPr>
              <w:jc w:val="right"/>
              <w:ind w:right="220"/>
              <w:spacing w:after="0"/>
              <w:rPr>
                <w:sz w:val="20"/>
                <w:szCs w:val="20"/>
                <w:color w:val="auto"/>
              </w:rPr>
            </w:pPr>
            <w:r>
              <w:rPr>
                <w:rFonts w:ascii="Calibri" w:cs="Calibri" w:eastAsia="Calibri" w:hAnsi="Calibri"/>
                <w:sz w:val="14"/>
                <w:szCs w:val="14"/>
                <w:b w:val="1"/>
                <w:bCs w:val="1"/>
                <w:color w:val="auto"/>
              </w:rPr>
              <w:t>Additonal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Calibri" w:cs="Calibri" w:eastAsia="Calibri" w:hAnsi="Calibri"/>
                <w:sz w:val="14"/>
                <w:szCs w:val="14"/>
                <w:b w:val="1"/>
                <w:bCs w:val="1"/>
                <w:color w:val="auto"/>
              </w:rPr>
              <w:t>Other</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Redeemable</w:t>
            </w:r>
          </w:p>
        </w:tc>
      </w:tr>
      <w:tr>
        <w:trPr>
          <w:trHeight w:val="175"/>
        </w:trPr>
        <w:tc>
          <w:tcPr>
            <w:tcW w:w="4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Calibri" w:cs="Calibri" w:eastAsia="Calibri" w:hAnsi="Calibri"/>
                <w:sz w:val="14"/>
                <w:szCs w:val="14"/>
                <w:b w:val="1"/>
                <w:bCs w:val="1"/>
                <w:color w:val="auto"/>
              </w:rPr>
              <w:t>Common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Calibri" w:cs="Calibri" w:eastAsia="Calibri" w:hAnsi="Calibri"/>
                <w:sz w:val="14"/>
                <w:szCs w:val="14"/>
                <w:b w:val="1"/>
                <w:bCs w:val="1"/>
                <w:color w:val="auto"/>
              </w:rPr>
              <w:t>Paid in</w:t>
            </w:r>
          </w:p>
        </w:tc>
        <w:tc>
          <w:tcPr>
            <w:tcW w:w="980" w:type="dxa"/>
            <w:vAlign w:val="bottom"/>
            <w:gridSpan w:val="4"/>
          </w:tcPr>
          <w:p>
            <w:pPr>
              <w:ind w:left="60"/>
              <w:spacing w:after="0"/>
              <w:rPr>
                <w:sz w:val="20"/>
                <w:szCs w:val="20"/>
                <w:color w:val="auto"/>
              </w:rPr>
            </w:pPr>
            <w:r>
              <w:rPr>
                <w:rFonts w:ascii="Calibri" w:cs="Calibri" w:eastAsia="Calibri" w:hAnsi="Calibri"/>
                <w:sz w:val="14"/>
                <w:szCs w:val="14"/>
                <w:b w:val="1"/>
                <w:bCs w:val="1"/>
                <w:color w:val="auto"/>
              </w:rPr>
              <w:t>Accumulated</w:t>
            </w:r>
          </w:p>
        </w:tc>
        <w:tc>
          <w:tcPr>
            <w:tcW w:w="1240" w:type="dxa"/>
            <w:vAlign w:val="bottom"/>
            <w:gridSpan w:val="4"/>
          </w:tcPr>
          <w:p>
            <w:pPr>
              <w:jc w:val="center"/>
              <w:ind w:right="140"/>
              <w:spacing w:after="0"/>
              <w:rPr>
                <w:sz w:val="20"/>
                <w:szCs w:val="20"/>
                <w:color w:val="auto"/>
              </w:rPr>
            </w:pPr>
            <w:r>
              <w:rPr>
                <w:rFonts w:ascii="Calibri" w:cs="Calibri" w:eastAsia="Calibri" w:hAnsi="Calibri"/>
                <w:sz w:val="14"/>
                <w:szCs w:val="14"/>
                <w:b w:val="1"/>
                <w:bCs w:val="1"/>
                <w:color w:val="auto"/>
              </w:rPr>
              <w:t>Comprehensive</w:t>
            </w:r>
          </w:p>
        </w:tc>
        <w:tc>
          <w:tcPr>
            <w:tcW w:w="1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Calibri" w:cs="Calibri" w:eastAsia="Calibri" w:hAnsi="Calibri"/>
                <w:sz w:val="14"/>
                <w:szCs w:val="14"/>
                <w:b w:val="1"/>
                <w:bCs w:val="1"/>
                <w:color w:val="auto"/>
                <w:w w:val="98"/>
              </w:rPr>
              <w:t>Treasury</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Convertble</w:t>
            </w:r>
          </w:p>
        </w:tc>
      </w:tr>
      <w:tr>
        <w:trPr>
          <w:trHeight w:val="189"/>
        </w:trPr>
        <w:tc>
          <w:tcPr>
            <w:tcW w:w="4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ind w:left="120"/>
              <w:spacing w:after="0"/>
              <w:rPr>
                <w:sz w:val="20"/>
                <w:szCs w:val="20"/>
                <w:color w:val="auto"/>
              </w:rPr>
            </w:pPr>
            <w:r>
              <w:rPr>
                <w:rFonts w:ascii="Calibri" w:cs="Calibri" w:eastAsia="Calibri" w:hAnsi="Calibri"/>
                <w:sz w:val="14"/>
                <w:szCs w:val="14"/>
                <w:b w:val="1"/>
                <w:bCs w:val="1"/>
                <w:color w:val="auto"/>
              </w:rPr>
              <w:t>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Calibri" w:cs="Calibri" w:eastAsia="Calibri" w:hAnsi="Calibri"/>
                <w:sz w:val="14"/>
                <w:szCs w:val="14"/>
                <w:b w:val="1"/>
                <w:bCs w:val="1"/>
                <w:color w:val="auto"/>
              </w:rPr>
              <w:t>Capital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Calibri" w:cs="Calibri" w:eastAsia="Calibri" w:hAnsi="Calibri"/>
                <w:sz w:val="14"/>
                <w:szCs w:val="14"/>
                <w:b w:val="1"/>
                <w:bCs w:val="1"/>
                <w:color w:val="auto"/>
              </w:rPr>
              <w:t>Defcit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ind w:right="420"/>
              <w:spacing w:after="0"/>
              <w:rPr>
                <w:sz w:val="20"/>
                <w:szCs w:val="20"/>
                <w:color w:val="auto"/>
              </w:rPr>
            </w:pPr>
            <w:r>
              <w:rPr>
                <w:rFonts w:ascii="Calibri" w:cs="Calibri" w:eastAsia="Calibri" w:hAnsi="Calibri"/>
                <w:sz w:val="14"/>
                <w:szCs w:val="14"/>
                <w:b w:val="1"/>
                <w:bCs w:val="1"/>
                <w:color w:val="auto"/>
              </w:rPr>
              <w:t>Loss</w:t>
            </w:r>
          </w:p>
        </w:tc>
        <w:tc>
          <w:tcPr>
            <w:tcW w:w="100" w:type="dxa"/>
            <w:vAlign w:val="bottom"/>
          </w:tcPr>
          <w:p>
            <w:pPr>
              <w:spacing w:after="0"/>
              <w:rPr>
                <w:sz w:val="16"/>
                <w:szCs w:val="16"/>
                <w:color w:val="auto"/>
              </w:rPr>
            </w:pPr>
          </w:p>
        </w:tc>
        <w:tc>
          <w:tcPr>
            <w:tcW w:w="800" w:type="dxa"/>
            <w:vAlign w:val="bottom"/>
            <w:gridSpan w:val="2"/>
          </w:tcPr>
          <w:p>
            <w:pPr>
              <w:jc w:val="right"/>
              <w:ind w:right="360"/>
              <w:spacing w:after="0"/>
              <w:rPr>
                <w:sz w:val="20"/>
                <w:szCs w:val="20"/>
                <w:color w:val="auto"/>
              </w:rPr>
            </w:pPr>
            <w:r>
              <w:rPr>
                <w:rFonts w:ascii="Calibri" w:cs="Calibri" w:eastAsia="Calibri" w:hAnsi="Calibri"/>
                <w:sz w:val="14"/>
                <w:szCs w:val="14"/>
                <w:b w:val="1"/>
                <w:bCs w:val="1"/>
                <w:color w:val="auto"/>
              </w:rPr>
              <w:t>Stock</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460"/>
              <w:spacing w:after="0"/>
              <w:rPr>
                <w:sz w:val="20"/>
                <w:szCs w:val="20"/>
                <w:color w:val="auto"/>
              </w:rPr>
            </w:pPr>
            <w:r>
              <w:rPr>
                <w:rFonts w:ascii="Calibri" w:cs="Calibri" w:eastAsia="Calibri" w:hAnsi="Calibri"/>
                <w:sz w:val="14"/>
                <w:szCs w:val="14"/>
                <w:b w:val="1"/>
                <w:bCs w:val="1"/>
                <w:color w:val="auto"/>
              </w:rPr>
              <w:t>Total</w:t>
            </w:r>
          </w:p>
        </w:tc>
        <w:tc>
          <w:tcPr>
            <w:tcW w:w="1140" w:type="dxa"/>
            <w:vAlign w:val="bottom"/>
            <w:gridSpan w:val="3"/>
          </w:tcPr>
          <w:p>
            <w:pPr>
              <w:jc w:val="center"/>
              <w:ind w:right="100"/>
              <w:spacing w:after="0"/>
              <w:rPr>
                <w:sz w:val="20"/>
                <w:szCs w:val="20"/>
                <w:color w:val="auto"/>
              </w:rPr>
            </w:pPr>
            <w:r>
              <w:rPr>
                <w:rFonts w:ascii="Calibri" w:cs="Calibri" w:eastAsia="Calibri" w:hAnsi="Calibri"/>
                <w:sz w:val="14"/>
                <w:szCs w:val="14"/>
                <w:b w:val="1"/>
                <w:bCs w:val="1"/>
                <w:color w:val="auto"/>
              </w:rPr>
              <w:t>Preferred Stock</w:t>
            </w:r>
          </w:p>
        </w:tc>
      </w:tr>
      <w:tr>
        <w:trPr>
          <w:trHeight w:val="216"/>
        </w:trPr>
        <w:tc>
          <w:tcPr>
            <w:tcW w:w="4040" w:type="dxa"/>
            <w:vAlign w:val="bottom"/>
            <w:tcBorders>
              <w:top w:val="single" w:sz="8" w:color="CFF0FC"/>
            </w:tcBorders>
            <w:shd w:val="clear" w:color="auto" w:fill="CFF0FC"/>
          </w:tcPr>
          <w:p>
            <w:pPr>
              <w:spacing w:after="0" w:line="191" w:lineRule="exact"/>
              <w:rPr>
                <w:sz w:val="20"/>
                <w:szCs w:val="20"/>
                <w:color w:val="auto"/>
              </w:rPr>
            </w:pPr>
            <w:r>
              <w:rPr>
                <w:rFonts w:ascii="Calibri" w:cs="Calibri" w:eastAsia="Calibri" w:hAnsi="Calibri"/>
                <w:sz w:val="17"/>
                <w:szCs w:val="17"/>
                <w:color w:val="auto"/>
              </w:rPr>
              <w:t>Equity (defcit) as of December 31, 2020</w:t>
            </w:r>
          </w:p>
        </w:tc>
        <w:tc>
          <w:tcPr>
            <w:tcW w:w="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680" w:type="dxa"/>
            <w:vAlign w:val="bottom"/>
            <w:tcBorders>
              <w:top w:val="single" w:sz="8" w:color="auto"/>
            </w:tcBorders>
            <w:shd w:val="clear" w:color="auto" w:fill="CFF0FC"/>
          </w:tcPr>
          <w:p>
            <w:pPr>
              <w:ind w:left="500"/>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640" w:type="dxa"/>
            <w:vAlign w:val="bottom"/>
            <w:tcBorders>
              <w:top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1,152</w:t>
            </w: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line="205" w:lineRule="exact"/>
              <w:rPr>
                <w:sz w:val="20"/>
                <w:szCs w:val="20"/>
                <w:color w:val="auto"/>
              </w:rPr>
            </w:pPr>
            <w:r>
              <w:rPr>
                <w:rFonts w:ascii="Calibri" w:cs="Calibri" w:eastAsia="Calibri" w:hAnsi="Calibri"/>
                <w:sz w:val="17"/>
                <w:szCs w:val="17"/>
                <w:color w:val="auto"/>
              </w:rPr>
              <w:t>$</w:t>
            </w:r>
          </w:p>
        </w:tc>
        <w:tc>
          <w:tcPr>
            <w:tcW w:w="660" w:type="dxa"/>
            <w:vAlign w:val="bottom"/>
            <w:tcBorders>
              <w:top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(620)</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21"/>
              <w:spacing w:after="0" w:line="205" w:lineRule="exact"/>
              <w:rPr>
                <w:sz w:val="20"/>
                <w:szCs w:val="20"/>
                <w:color w:val="auto"/>
              </w:rPr>
            </w:pPr>
            <w:r>
              <w:rPr>
                <w:rFonts w:ascii="Calibri" w:cs="Calibri" w:eastAsia="Calibri" w:hAnsi="Calibri"/>
                <w:sz w:val="17"/>
                <w:szCs w:val="17"/>
                <w:color w:val="auto"/>
                <w:w w:val="92"/>
              </w:rPr>
              <w:t>$</w:t>
            </w:r>
          </w:p>
        </w:tc>
        <w:tc>
          <w:tcPr>
            <w:tcW w:w="740" w:type="dxa"/>
            <w:vAlign w:val="bottom"/>
            <w:tcBorders>
              <w:top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(446)</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660" w:type="dxa"/>
            <w:vAlign w:val="bottom"/>
            <w:tcBorders>
              <w:top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600" w:type="dxa"/>
            <w:vAlign w:val="bottom"/>
            <w:tcBorders>
              <w:top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77</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Borders>
              <w:top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191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4040" w:type="dxa"/>
            <w:vAlign w:val="bottom"/>
          </w:tcPr>
          <w:p>
            <w:pPr>
              <w:spacing w:after="0" w:line="205" w:lineRule="exact"/>
              <w:rPr>
                <w:sz w:val="20"/>
                <w:szCs w:val="20"/>
                <w:color w:val="auto"/>
              </w:rPr>
            </w:pPr>
            <w:r>
              <w:rPr>
                <w:rFonts w:ascii="Calibri" w:cs="Calibri" w:eastAsia="Calibri" w:hAnsi="Calibri"/>
                <w:sz w:val="17"/>
                <w:szCs w:val="17"/>
                <w:color w:val="auto"/>
              </w:rPr>
              <w:t>Net income</w:t>
            </w:r>
          </w:p>
        </w:tc>
        <w:tc>
          <w:tcPr>
            <w:tcW w:w="80" w:type="dxa"/>
            <w:vAlign w:val="bottom"/>
          </w:tcPr>
          <w:p>
            <w:pPr>
              <w:spacing w:after="0"/>
              <w:rPr>
                <w:sz w:val="18"/>
                <w:szCs w:val="18"/>
                <w:color w:val="auto"/>
              </w:rPr>
            </w:pPr>
          </w:p>
        </w:tc>
        <w:tc>
          <w:tcPr>
            <w:tcW w:w="680" w:type="dxa"/>
            <w:vAlign w:val="bottom"/>
          </w:tcPr>
          <w:p>
            <w:pPr>
              <w:ind w:left="500"/>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line="205" w:lineRule="exact"/>
              <w:rPr>
                <w:sz w:val="20"/>
                <w:szCs w:val="20"/>
                <w:color w:val="auto"/>
              </w:rPr>
            </w:pPr>
            <w:r>
              <w:rPr>
                <w:rFonts w:ascii="Calibri" w:cs="Calibri" w:eastAsia="Calibri" w:hAnsi="Calibri"/>
                <w:sz w:val="17"/>
                <w:szCs w:val="17"/>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line="205" w:lineRule="exact"/>
              <w:rPr>
                <w:sz w:val="20"/>
                <w:szCs w:val="20"/>
                <w:color w:val="auto"/>
              </w:rPr>
            </w:pPr>
            <w:r>
              <w:rPr>
                <w:rFonts w:ascii="Calibri" w:cs="Calibri" w:eastAsia="Calibri" w:hAnsi="Calibri"/>
                <w:sz w:val="17"/>
                <w:szCs w:val="17"/>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line="205" w:lineRule="exact"/>
              <w:rPr>
                <w:sz w:val="20"/>
                <w:szCs w:val="20"/>
                <w:color w:val="auto"/>
              </w:rPr>
            </w:pPr>
            <w:r>
              <w:rPr>
                <w:rFonts w:ascii="Calibri" w:cs="Calibri" w:eastAsia="Calibri" w:hAnsi="Calibri"/>
                <w:sz w:val="17"/>
                <w:szCs w:val="17"/>
                <w:color w:val="auto"/>
              </w:rPr>
              <w:t>—</w:t>
            </w:r>
          </w:p>
        </w:tc>
      </w:tr>
      <w:tr>
        <w:trPr>
          <w:trHeight w:val="195"/>
        </w:trPr>
        <w:tc>
          <w:tcPr>
            <w:tcW w:w="4040" w:type="dxa"/>
            <w:vAlign w:val="bottom"/>
            <w:shd w:val="clear" w:color="auto" w:fill="CFF0FC"/>
          </w:tcPr>
          <w:p>
            <w:pPr>
              <w:spacing w:after="0" w:line="195" w:lineRule="exact"/>
              <w:rPr>
                <w:sz w:val="20"/>
                <w:szCs w:val="20"/>
                <w:color w:val="auto"/>
              </w:rPr>
            </w:pPr>
            <w:r>
              <w:rPr>
                <w:rFonts w:ascii="Calibri" w:cs="Calibri" w:eastAsia="Calibri" w:hAnsi="Calibri"/>
                <w:sz w:val="17"/>
                <w:szCs w:val="17"/>
                <w:color w:val="auto"/>
              </w:rPr>
              <w:t>Other comprehensive income (loss)</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0"/>
        </w:trPr>
        <w:tc>
          <w:tcPr>
            <w:tcW w:w="4040" w:type="dxa"/>
            <w:vAlign w:val="bottom"/>
            <w:tcBorders>
              <w:bottom w:val="single" w:sz="8" w:color="CFF0FC"/>
            </w:tcBorders>
            <w:shd w:val="clear" w:color="auto" w:fill="CFF0FC"/>
          </w:tcPr>
          <w:p>
            <w:pPr>
              <w:ind w:left="120"/>
              <w:spacing w:after="0" w:line="205" w:lineRule="exact"/>
              <w:rPr>
                <w:sz w:val="20"/>
                <w:szCs w:val="20"/>
                <w:color w:val="auto"/>
              </w:rPr>
            </w:pPr>
            <w:r>
              <w:rPr>
                <w:rFonts w:ascii="Calibri" w:cs="Calibri" w:eastAsia="Calibri" w:hAnsi="Calibri"/>
                <w:sz w:val="17"/>
                <w:szCs w:val="17"/>
                <w:color w:val="auto"/>
              </w:rPr>
              <w:t>(net of tax):</w:t>
            </w: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40" w:type="dxa"/>
            <w:vAlign w:val="bottom"/>
          </w:tcPr>
          <w:p>
            <w:pPr>
              <w:ind w:left="140"/>
              <w:spacing w:after="0" w:line="205" w:lineRule="exact"/>
              <w:rPr>
                <w:sz w:val="20"/>
                <w:szCs w:val="20"/>
                <w:color w:val="auto"/>
              </w:rPr>
            </w:pPr>
            <w:r>
              <w:rPr>
                <w:rFonts w:ascii="Calibri" w:cs="Calibri" w:eastAsia="Calibri" w:hAnsi="Calibri"/>
                <w:sz w:val="17"/>
                <w:szCs w:val="17"/>
                <w:color w:val="auto"/>
              </w:rPr>
              <w:t>Currency translaton adjustments</w:t>
            </w:r>
          </w:p>
        </w:tc>
        <w:tc>
          <w:tcPr>
            <w:tcW w:w="80" w:type="dxa"/>
            <w:vAlign w:val="bottom"/>
          </w:tcPr>
          <w:p>
            <w:pPr>
              <w:spacing w:after="0"/>
              <w:rPr>
                <w:sz w:val="18"/>
                <w:szCs w:val="18"/>
                <w:color w:val="auto"/>
              </w:rPr>
            </w:pPr>
          </w:p>
        </w:tc>
        <w:tc>
          <w:tcPr>
            <w:tcW w:w="680" w:type="dxa"/>
            <w:vAlign w:val="bottom"/>
          </w:tcPr>
          <w:p>
            <w:pPr>
              <w:ind w:left="500"/>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(1)</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line="205" w:lineRule="exact"/>
              <w:rPr>
                <w:sz w:val="20"/>
                <w:szCs w:val="20"/>
                <w:color w:val="auto"/>
              </w:rPr>
            </w:pPr>
            <w:r>
              <w:rPr>
                <w:rFonts w:ascii="Calibri" w:cs="Calibri" w:eastAsia="Calibri" w:hAnsi="Calibri"/>
                <w:sz w:val="17"/>
                <w:szCs w:val="17"/>
                <w:color w:val="auto"/>
              </w:rPr>
              <w:t>—</w:t>
            </w:r>
          </w:p>
        </w:tc>
      </w:tr>
      <w:tr>
        <w:trPr>
          <w:trHeight w:val="195"/>
        </w:trPr>
        <w:tc>
          <w:tcPr>
            <w:tcW w:w="4040" w:type="dxa"/>
            <w:vAlign w:val="bottom"/>
            <w:shd w:val="clear" w:color="auto" w:fill="CFF0FC"/>
          </w:tcPr>
          <w:p>
            <w:pPr>
              <w:ind w:left="140"/>
              <w:spacing w:after="0" w:line="195" w:lineRule="exact"/>
              <w:rPr>
                <w:sz w:val="20"/>
                <w:szCs w:val="20"/>
                <w:color w:val="auto"/>
              </w:rPr>
            </w:pPr>
            <w:r>
              <w:rPr>
                <w:rFonts w:ascii="Calibri" w:cs="Calibri" w:eastAsia="Calibri" w:hAnsi="Calibri"/>
                <w:sz w:val="17"/>
                <w:szCs w:val="17"/>
                <w:color w:val="auto"/>
              </w:rPr>
              <w:t>Pension and other postretrement</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0"/>
        </w:trPr>
        <w:tc>
          <w:tcPr>
            <w:tcW w:w="4040" w:type="dxa"/>
            <w:vAlign w:val="bottom"/>
            <w:tcBorders>
              <w:bottom w:val="single" w:sz="8" w:color="CFF0FC"/>
            </w:tcBorders>
            <w:shd w:val="clear" w:color="auto" w:fill="CFF0FC"/>
          </w:tcPr>
          <w:p>
            <w:pPr>
              <w:ind w:left="260"/>
              <w:spacing w:after="0" w:line="205" w:lineRule="exact"/>
              <w:rPr>
                <w:sz w:val="20"/>
                <w:szCs w:val="20"/>
                <w:color w:val="auto"/>
              </w:rPr>
            </w:pPr>
            <w:r>
              <w:rPr>
                <w:rFonts w:ascii="Calibri" w:cs="Calibri" w:eastAsia="Calibri" w:hAnsi="Calibri"/>
                <w:sz w:val="17"/>
                <w:szCs w:val="17"/>
                <w:color w:val="auto"/>
              </w:rPr>
              <w:t>liability adjustments</w:t>
            </w: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ind w:left="500"/>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gridSpan w:val="2"/>
            <w:shd w:val="clear" w:color="auto" w:fill="CFF0FC"/>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gridSpan w:val="2"/>
            <w:shd w:val="clear" w:color="auto" w:fill="CFF0FC"/>
          </w:tcPr>
          <w:p>
            <w:pPr>
              <w:jc w:val="right"/>
              <w:ind w:right="14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120"/>
              <w:spacing w:after="0" w:line="205" w:lineRule="exact"/>
              <w:rPr>
                <w:sz w:val="20"/>
                <w:szCs w:val="20"/>
                <w:color w:val="auto"/>
              </w:rPr>
            </w:pPr>
            <w:r>
              <w:rPr>
                <w:rFonts w:ascii="Calibri" w:cs="Calibri" w:eastAsia="Calibri" w:hAnsi="Calibri"/>
                <w:sz w:val="17"/>
                <w:szCs w:val="17"/>
                <w:color w:val="auto"/>
              </w:rPr>
              <w:t>—</w:t>
            </w:r>
          </w:p>
        </w:tc>
      </w:tr>
      <w:tr>
        <w:trPr>
          <w:trHeight w:val="210"/>
        </w:trPr>
        <w:tc>
          <w:tcPr>
            <w:tcW w:w="4040" w:type="dxa"/>
            <w:vAlign w:val="bottom"/>
          </w:tcPr>
          <w:p>
            <w:pPr>
              <w:spacing w:after="0" w:line="205" w:lineRule="exact"/>
              <w:rPr>
                <w:sz w:val="20"/>
                <w:szCs w:val="20"/>
                <w:color w:val="auto"/>
              </w:rPr>
            </w:pPr>
            <w:r>
              <w:rPr>
                <w:rFonts w:ascii="Calibri" w:cs="Calibri" w:eastAsia="Calibri" w:hAnsi="Calibri"/>
                <w:sz w:val="17"/>
                <w:szCs w:val="17"/>
                <w:color w:val="auto"/>
              </w:rPr>
              <w:t>Repurchase of Series A preferred stock</w:t>
            </w:r>
          </w:p>
        </w:tc>
        <w:tc>
          <w:tcPr>
            <w:tcW w:w="80" w:type="dxa"/>
            <w:vAlign w:val="bottom"/>
          </w:tcPr>
          <w:p>
            <w:pPr>
              <w:spacing w:after="0"/>
              <w:rPr>
                <w:sz w:val="18"/>
                <w:szCs w:val="18"/>
                <w:color w:val="auto"/>
              </w:rPr>
            </w:pPr>
          </w:p>
        </w:tc>
        <w:tc>
          <w:tcPr>
            <w:tcW w:w="680" w:type="dxa"/>
            <w:vAlign w:val="bottom"/>
          </w:tcPr>
          <w:p>
            <w:pPr>
              <w:ind w:left="500"/>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line="205" w:lineRule="exact"/>
              <w:rPr>
                <w:sz w:val="20"/>
                <w:szCs w:val="20"/>
                <w:color w:val="auto"/>
              </w:rPr>
            </w:pPr>
            <w:r>
              <w:rPr>
                <w:rFonts w:ascii="Calibri" w:cs="Calibri" w:eastAsia="Calibri" w:hAnsi="Calibri"/>
                <w:sz w:val="17"/>
                <w:szCs w:val="17"/>
                <w:color w:val="auto"/>
              </w:rPr>
              <w:t>(100)</w:t>
            </w:r>
          </w:p>
        </w:tc>
      </w:tr>
      <w:tr>
        <w:trPr>
          <w:trHeight w:val="222"/>
        </w:trPr>
        <w:tc>
          <w:tcPr>
            <w:tcW w:w="4040" w:type="dxa"/>
            <w:vAlign w:val="bottom"/>
            <w:shd w:val="clear" w:color="auto" w:fill="CFF0FC"/>
          </w:tcPr>
          <w:p>
            <w:pPr>
              <w:spacing w:after="0"/>
              <w:rPr>
                <w:sz w:val="20"/>
                <w:szCs w:val="20"/>
                <w:color w:val="auto"/>
              </w:rPr>
            </w:pPr>
            <w:r>
              <w:rPr>
                <w:rFonts w:ascii="Calibri" w:cs="Calibri" w:eastAsia="Calibri" w:hAnsi="Calibri"/>
                <w:sz w:val="17"/>
                <w:szCs w:val="17"/>
                <w:color w:val="auto"/>
              </w:rPr>
              <w:t>Exchange of Series A preferred stock</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Calibri" w:cs="Calibri" w:eastAsia="Calibri" w:hAnsi="Calibri"/>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7"/>
                <w:szCs w:val="17"/>
                <w:color w:val="auto"/>
              </w:rPr>
              <w:t>92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7"/>
                <w:szCs w:val="17"/>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7"/>
                <w:szCs w:val="17"/>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Calibri" w:cs="Calibri" w:eastAsia="Calibri" w:hAnsi="Calibri"/>
                <w:sz w:val="17"/>
                <w:szCs w:val="17"/>
                <w:color w:val="auto"/>
              </w:rPr>
              <w:t>92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7"/>
                <w:szCs w:val="17"/>
                <w:color w:val="auto"/>
              </w:rPr>
              <w:t>(92)</w:t>
            </w:r>
          </w:p>
        </w:tc>
      </w:tr>
      <w:tr>
        <w:trPr>
          <w:trHeight w:val="189"/>
        </w:trPr>
        <w:tc>
          <w:tcPr>
            <w:tcW w:w="4040" w:type="dxa"/>
            <w:vAlign w:val="bottom"/>
          </w:tcPr>
          <w:p>
            <w:pPr>
              <w:spacing w:after="0" w:line="189" w:lineRule="exact"/>
              <w:rPr>
                <w:sz w:val="20"/>
                <w:szCs w:val="20"/>
                <w:color w:val="auto"/>
              </w:rPr>
            </w:pPr>
            <w:r>
              <w:rPr>
                <w:rFonts w:ascii="Calibri" w:cs="Calibri" w:eastAsia="Calibri" w:hAnsi="Calibri"/>
                <w:sz w:val="17"/>
                <w:szCs w:val="17"/>
                <w:color w:val="auto"/>
              </w:rPr>
              <w:t>Expiraton of Series A preferred stock</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4040" w:type="dxa"/>
            <w:vAlign w:val="bottom"/>
          </w:tcPr>
          <w:p>
            <w:pPr>
              <w:ind w:left="120"/>
              <w:spacing w:after="0" w:line="205" w:lineRule="exact"/>
              <w:rPr>
                <w:sz w:val="20"/>
                <w:szCs w:val="20"/>
                <w:color w:val="auto"/>
              </w:rPr>
            </w:pPr>
            <w:r>
              <w:rPr>
                <w:rFonts w:ascii="Calibri" w:cs="Calibri" w:eastAsia="Calibri" w:hAnsi="Calibri"/>
                <w:sz w:val="17"/>
                <w:szCs w:val="17"/>
                <w:color w:val="auto"/>
              </w:rPr>
              <w:t>embedded derivatve</w:t>
            </w:r>
          </w:p>
        </w:tc>
        <w:tc>
          <w:tcPr>
            <w:tcW w:w="80" w:type="dxa"/>
            <w:vAlign w:val="bottom"/>
          </w:tcPr>
          <w:p>
            <w:pPr>
              <w:spacing w:after="0"/>
              <w:rPr>
                <w:sz w:val="17"/>
                <w:szCs w:val="17"/>
                <w:color w:val="auto"/>
              </w:rPr>
            </w:pPr>
          </w:p>
        </w:tc>
        <w:tc>
          <w:tcPr>
            <w:tcW w:w="680" w:type="dxa"/>
            <w:vAlign w:val="bottom"/>
          </w:tcPr>
          <w:p>
            <w:pPr>
              <w:ind w:left="500"/>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5" w:lineRule="exact"/>
              <w:rPr>
                <w:sz w:val="20"/>
                <w:szCs w:val="20"/>
                <w:color w:val="auto"/>
              </w:rPr>
            </w:pPr>
            <w:r>
              <w:rPr>
                <w:rFonts w:ascii="Calibri" w:cs="Calibri" w:eastAsia="Calibri" w:hAnsi="Calibri"/>
                <w:sz w:val="17"/>
                <w:szCs w:val="17"/>
                <w:color w:val="auto"/>
              </w:rPr>
              <w:t>11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5" w:lineRule="exact"/>
              <w:rPr>
                <w:sz w:val="20"/>
                <w:szCs w:val="20"/>
                <w:color w:val="auto"/>
              </w:rPr>
            </w:pPr>
            <w:r>
              <w:rPr>
                <w:rFonts w:ascii="Calibri" w:cs="Calibri" w:eastAsia="Calibri" w:hAnsi="Calibri"/>
                <w:sz w:val="17"/>
                <w:szCs w:val="17"/>
                <w:color w:val="auto"/>
              </w:rPr>
              <w:t>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5" w:lineRule="exact"/>
              <w:rPr>
                <w:sz w:val="20"/>
                <w:szCs w:val="20"/>
                <w:color w:val="auto"/>
              </w:rPr>
            </w:pPr>
            <w:r>
              <w:rPr>
                <w:rFonts w:ascii="Calibri" w:cs="Calibri" w:eastAsia="Calibri" w:hAnsi="Calibri"/>
                <w:sz w:val="17"/>
                <w:szCs w:val="17"/>
                <w:color w:val="auto"/>
              </w:rPr>
              <w:t>—</w:t>
            </w:r>
          </w:p>
        </w:tc>
      </w:tr>
      <w:tr>
        <w:trPr>
          <w:trHeight w:val="26"/>
        </w:trPr>
        <w:tc>
          <w:tcPr>
            <w:tcW w:w="4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4040" w:type="dxa"/>
            <w:vAlign w:val="bottom"/>
            <w:shd w:val="clear" w:color="auto" w:fill="CFF0FC"/>
          </w:tcPr>
          <w:p>
            <w:pPr>
              <w:spacing w:after="0" w:line="189" w:lineRule="exact"/>
              <w:rPr>
                <w:sz w:val="20"/>
                <w:szCs w:val="20"/>
                <w:color w:val="auto"/>
              </w:rPr>
            </w:pPr>
            <w:r>
              <w:rPr>
                <w:rFonts w:ascii="Calibri" w:cs="Calibri" w:eastAsia="Calibri" w:hAnsi="Calibri"/>
                <w:sz w:val="17"/>
                <w:szCs w:val="17"/>
                <w:color w:val="auto"/>
              </w:rPr>
              <w:t>Issuance of convertble, redeemable</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0"/>
        </w:trPr>
        <w:tc>
          <w:tcPr>
            <w:tcW w:w="4040" w:type="dxa"/>
            <w:vAlign w:val="bottom"/>
            <w:tcBorders>
              <w:bottom w:val="single" w:sz="8" w:color="CFF0FC"/>
            </w:tcBorders>
            <w:shd w:val="clear" w:color="auto" w:fill="CFF0FC"/>
          </w:tcPr>
          <w:p>
            <w:pPr>
              <w:ind w:left="120"/>
              <w:spacing w:after="0" w:line="205" w:lineRule="exact"/>
              <w:rPr>
                <w:sz w:val="20"/>
                <w:szCs w:val="20"/>
                <w:color w:val="auto"/>
              </w:rPr>
            </w:pPr>
            <w:r>
              <w:rPr>
                <w:rFonts w:ascii="Calibri" w:cs="Calibri" w:eastAsia="Calibri" w:hAnsi="Calibri"/>
                <w:sz w:val="17"/>
                <w:szCs w:val="17"/>
                <w:color w:val="auto"/>
              </w:rPr>
              <w:t>Series B preferred stock, net</w:t>
            </w: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gridSpan w:val="2"/>
            <w:shd w:val="clear" w:color="auto" w:fill="CFF0FC"/>
          </w:tcPr>
          <w:p>
            <w:pPr>
              <w:jc w:val="right"/>
              <w:ind w:right="80"/>
              <w:spacing w:after="0" w:line="205" w:lineRule="exact"/>
              <w:rPr>
                <w:sz w:val="20"/>
                <w:szCs w:val="20"/>
                <w:color w:val="auto"/>
              </w:rPr>
            </w:pPr>
            <w:r>
              <w:rPr>
                <w:rFonts w:ascii="Calibri" w:cs="Calibri" w:eastAsia="Calibri" w:hAnsi="Calibri"/>
                <w:sz w:val="17"/>
                <w:szCs w:val="17"/>
                <w:color w:val="auto"/>
              </w:rPr>
              <w:t>(95)</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2"/>
            <w:shd w:val="clear" w:color="auto" w:fill="CFF0FC"/>
          </w:tcPr>
          <w:p>
            <w:pPr>
              <w:jc w:val="right"/>
              <w:ind w:right="160"/>
              <w:spacing w:after="0" w:line="205" w:lineRule="exact"/>
              <w:rPr>
                <w:sz w:val="20"/>
                <w:szCs w:val="20"/>
                <w:color w:val="auto"/>
              </w:rPr>
            </w:pPr>
            <w:r>
              <w:rPr>
                <w:rFonts w:ascii="Calibri" w:cs="Calibri" w:eastAsia="Calibri" w:hAnsi="Calibri"/>
                <w:sz w:val="17"/>
                <w:szCs w:val="17"/>
                <w:color w:val="auto"/>
              </w:rPr>
              <w:t>(95)</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40" w:type="dxa"/>
            <w:vAlign w:val="bottom"/>
          </w:tcPr>
          <w:p>
            <w:pPr>
              <w:spacing w:after="0" w:line="205" w:lineRule="exact"/>
              <w:rPr>
                <w:sz w:val="20"/>
                <w:szCs w:val="20"/>
                <w:color w:val="auto"/>
              </w:rPr>
            </w:pPr>
            <w:r>
              <w:rPr>
                <w:rFonts w:ascii="Calibri" w:cs="Calibri" w:eastAsia="Calibri" w:hAnsi="Calibri"/>
                <w:sz w:val="17"/>
                <w:szCs w:val="17"/>
                <w:color w:val="auto"/>
              </w:rPr>
              <w:t>Issuance of common stock</w:t>
            </w:r>
          </w:p>
        </w:tc>
        <w:tc>
          <w:tcPr>
            <w:tcW w:w="80" w:type="dxa"/>
            <w:vAlign w:val="bottom"/>
          </w:tcPr>
          <w:p>
            <w:pPr>
              <w:spacing w:after="0"/>
              <w:rPr>
                <w:sz w:val="18"/>
                <w:szCs w:val="18"/>
                <w:color w:val="auto"/>
              </w:rPr>
            </w:pPr>
          </w:p>
        </w:tc>
        <w:tc>
          <w:tcPr>
            <w:tcW w:w="680" w:type="dxa"/>
            <w:vAlign w:val="bottom"/>
          </w:tcPr>
          <w:p>
            <w:pPr>
              <w:ind w:left="500"/>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line="205" w:lineRule="exact"/>
              <w:rPr>
                <w:sz w:val="20"/>
                <w:szCs w:val="20"/>
                <w:color w:val="auto"/>
              </w:rPr>
            </w:pPr>
            <w:r>
              <w:rPr>
                <w:rFonts w:ascii="Calibri" w:cs="Calibri" w:eastAsia="Calibri" w:hAnsi="Calibri"/>
                <w:sz w:val="17"/>
                <w:szCs w:val="17"/>
                <w:color w:val="auto"/>
              </w:rPr>
              <w:t>10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line="205" w:lineRule="exact"/>
              <w:rPr>
                <w:sz w:val="20"/>
                <w:szCs w:val="20"/>
                <w:color w:val="auto"/>
              </w:rPr>
            </w:pPr>
            <w:r>
              <w:rPr>
                <w:rFonts w:ascii="Calibri" w:cs="Calibri" w:eastAsia="Calibri" w:hAnsi="Calibri"/>
                <w:sz w:val="17"/>
                <w:szCs w:val="17"/>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line="205" w:lineRule="exact"/>
              <w:rPr>
                <w:sz w:val="20"/>
                <w:szCs w:val="20"/>
                <w:color w:val="auto"/>
              </w:rPr>
            </w:pPr>
            <w:r>
              <w:rPr>
                <w:rFonts w:ascii="Calibri" w:cs="Calibri" w:eastAsia="Calibri" w:hAnsi="Calibri"/>
                <w:sz w:val="17"/>
                <w:szCs w:val="17"/>
                <w:color w:val="auto"/>
              </w:rPr>
              <w:t>—</w:t>
            </w:r>
          </w:p>
        </w:tc>
      </w:tr>
      <w:tr>
        <w:trPr>
          <w:trHeight w:val="195"/>
        </w:trPr>
        <w:tc>
          <w:tcPr>
            <w:tcW w:w="4040" w:type="dxa"/>
            <w:vAlign w:val="bottom"/>
            <w:shd w:val="clear" w:color="auto" w:fill="CFF0FC"/>
          </w:tcPr>
          <w:p>
            <w:pPr>
              <w:spacing w:after="0" w:line="195" w:lineRule="exact"/>
              <w:rPr>
                <w:sz w:val="20"/>
                <w:szCs w:val="20"/>
                <w:color w:val="auto"/>
              </w:rPr>
            </w:pPr>
            <w:r>
              <w:rPr>
                <w:rFonts w:ascii="Calibri" w:cs="Calibri" w:eastAsia="Calibri" w:hAnsi="Calibri"/>
                <w:sz w:val="17"/>
                <w:szCs w:val="17"/>
                <w:color w:val="auto"/>
              </w:rPr>
              <w:t>Issuance of convertble, redeemable</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0"/>
        </w:trPr>
        <w:tc>
          <w:tcPr>
            <w:tcW w:w="4040" w:type="dxa"/>
            <w:vAlign w:val="bottom"/>
            <w:tcBorders>
              <w:bottom w:val="single" w:sz="8" w:color="CFF0FC"/>
            </w:tcBorders>
            <w:shd w:val="clear" w:color="auto" w:fill="CFF0FC"/>
          </w:tcPr>
          <w:p>
            <w:pPr>
              <w:ind w:left="120"/>
              <w:spacing w:after="0" w:line="205" w:lineRule="exact"/>
              <w:rPr>
                <w:sz w:val="20"/>
                <w:szCs w:val="20"/>
                <w:color w:val="auto"/>
              </w:rPr>
            </w:pPr>
            <w:r>
              <w:rPr>
                <w:rFonts w:ascii="Calibri" w:cs="Calibri" w:eastAsia="Calibri" w:hAnsi="Calibri"/>
                <w:sz w:val="17"/>
                <w:szCs w:val="17"/>
                <w:color w:val="auto"/>
              </w:rPr>
              <w:t>Series C preferred stock, net</w:t>
            </w: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ind w:left="500"/>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gridSpan w:val="2"/>
            <w:shd w:val="clear" w:color="auto" w:fill="CFF0FC"/>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gridSpan w:val="2"/>
            <w:shd w:val="clear" w:color="auto" w:fill="CFF0FC"/>
          </w:tcPr>
          <w:p>
            <w:pPr>
              <w:jc w:val="right"/>
              <w:ind w:right="14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2"/>
            <w:shd w:val="clear" w:color="auto" w:fill="CFF0FC"/>
          </w:tcPr>
          <w:p>
            <w:pPr>
              <w:jc w:val="right"/>
              <w:ind w:right="220"/>
              <w:spacing w:after="0" w:line="205" w:lineRule="exact"/>
              <w:rPr>
                <w:sz w:val="20"/>
                <w:szCs w:val="20"/>
                <w:color w:val="auto"/>
              </w:rPr>
            </w:pPr>
            <w:r>
              <w:rPr>
                <w:rFonts w:ascii="Calibri" w:cs="Calibri" w:eastAsia="Calibri" w:hAnsi="Calibri"/>
                <w:sz w:val="17"/>
                <w:szCs w:val="17"/>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40" w:type="dxa"/>
            <w:vAlign w:val="bottom"/>
          </w:tcPr>
          <w:p>
            <w:pPr>
              <w:spacing w:after="0" w:line="205" w:lineRule="exact"/>
              <w:rPr>
                <w:sz w:val="20"/>
                <w:szCs w:val="20"/>
                <w:color w:val="auto"/>
              </w:rPr>
            </w:pPr>
            <w:r>
              <w:rPr>
                <w:rFonts w:ascii="Calibri" w:cs="Calibri" w:eastAsia="Calibri" w:hAnsi="Calibri"/>
                <w:sz w:val="17"/>
                <w:szCs w:val="17"/>
                <w:color w:val="auto"/>
              </w:rPr>
              <w:t>Preferred stock cash dividends</w:t>
            </w:r>
          </w:p>
        </w:tc>
        <w:tc>
          <w:tcPr>
            <w:tcW w:w="80" w:type="dxa"/>
            <w:vAlign w:val="bottom"/>
          </w:tcPr>
          <w:p>
            <w:pPr>
              <w:spacing w:after="0"/>
              <w:rPr>
                <w:sz w:val="18"/>
                <w:szCs w:val="18"/>
                <w:color w:val="auto"/>
              </w:rPr>
            </w:pPr>
          </w:p>
        </w:tc>
        <w:tc>
          <w:tcPr>
            <w:tcW w:w="680" w:type="dxa"/>
            <w:vAlign w:val="bottom"/>
          </w:tcPr>
          <w:p>
            <w:pPr>
              <w:ind w:left="500"/>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line="205" w:lineRule="exact"/>
              <w:rPr>
                <w:sz w:val="20"/>
                <w:szCs w:val="20"/>
                <w:color w:val="auto"/>
              </w:rPr>
            </w:pPr>
            <w:r>
              <w:rPr>
                <w:rFonts w:ascii="Calibri" w:cs="Calibri" w:eastAsia="Calibri" w:hAnsi="Calibri"/>
                <w:sz w:val="17"/>
                <w:szCs w:val="17"/>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line="205" w:lineRule="exact"/>
              <w:rPr>
                <w:sz w:val="20"/>
                <w:szCs w:val="20"/>
                <w:color w:val="auto"/>
              </w:rPr>
            </w:pPr>
            <w:r>
              <w:rPr>
                <w:rFonts w:ascii="Calibri" w:cs="Calibri" w:eastAsia="Calibri" w:hAnsi="Calibri"/>
                <w:sz w:val="17"/>
                <w:szCs w:val="17"/>
                <w:color w:val="auto"/>
              </w:rPr>
              <w:t>—</w:t>
            </w:r>
          </w:p>
        </w:tc>
      </w:tr>
      <w:tr>
        <w:trPr>
          <w:trHeight w:val="222"/>
        </w:trPr>
        <w:tc>
          <w:tcPr>
            <w:tcW w:w="4040" w:type="dxa"/>
            <w:vAlign w:val="bottom"/>
            <w:shd w:val="clear" w:color="auto" w:fill="CFF0FC"/>
          </w:tcPr>
          <w:p>
            <w:pPr>
              <w:spacing w:after="0"/>
              <w:rPr>
                <w:sz w:val="20"/>
                <w:szCs w:val="20"/>
                <w:color w:val="auto"/>
              </w:rPr>
            </w:pPr>
            <w:r>
              <w:rPr>
                <w:rFonts w:ascii="Calibri" w:cs="Calibri" w:eastAsia="Calibri" w:hAnsi="Calibri"/>
                <w:sz w:val="17"/>
                <w:szCs w:val="17"/>
                <w:color w:val="auto"/>
              </w:rPr>
              <w:t>Preferred stock deemed dividends</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Calibri" w:cs="Calibri" w:eastAsia="Calibri" w:hAnsi="Calibri"/>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Calibri" w:cs="Calibri" w:eastAsia="Calibri" w:hAnsi="Calibri"/>
                <w:sz w:val="17"/>
                <w:szCs w:val="17"/>
                <w:color w:val="auto"/>
              </w:rPr>
              <w:t>(2)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7"/>
                <w:szCs w:val="17"/>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7"/>
                <w:szCs w:val="17"/>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7"/>
                <w:szCs w:val="17"/>
                <w:color w:val="auto"/>
              </w:rPr>
              <w:t>(2)</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Calibri" w:cs="Calibri" w:eastAsia="Calibri" w:hAnsi="Calibri"/>
                <w:sz w:val="17"/>
                <w:szCs w:val="17"/>
                <w:color w:val="auto"/>
              </w:rPr>
              <w:t>2</w:t>
            </w:r>
          </w:p>
        </w:tc>
        <w:tc>
          <w:tcPr>
            <w:tcW w:w="100" w:type="dxa"/>
            <w:vAlign w:val="bottom"/>
            <w:shd w:val="clear" w:color="auto" w:fill="CFF0FC"/>
          </w:tcPr>
          <w:p>
            <w:pPr>
              <w:spacing w:after="0"/>
              <w:rPr>
                <w:sz w:val="19"/>
                <w:szCs w:val="19"/>
                <w:color w:val="auto"/>
              </w:rPr>
            </w:pPr>
          </w:p>
        </w:tc>
      </w:tr>
      <w:tr>
        <w:trPr>
          <w:trHeight w:val="189"/>
        </w:trPr>
        <w:tc>
          <w:tcPr>
            <w:tcW w:w="4040" w:type="dxa"/>
            <w:vAlign w:val="bottom"/>
          </w:tcPr>
          <w:p>
            <w:pPr>
              <w:spacing w:after="0" w:line="189" w:lineRule="exact"/>
              <w:rPr>
                <w:sz w:val="20"/>
                <w:szCs w:val="20"/>
                <w:color w:val="auto"/>
              </w:rPr>
            </w:pPr>
            <w:r>
              <w:rPr>
                <w:rFonts w:ascii="Calibri" w:cs="Calibri" w:eastAsia="Calibri" w:hAnsi="Calibri"/>
                <w:sz w:val="17"/>
                <w:szCs w:val="17"/>
                <w:color w:val="auto"/>
              </w:rPr>
              <w:t>Series C Preferred stock in-kind</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4040" w:type="dxa"/>
            <w:vAlign w:val="bottom"/>
          </w:tcPr>
          <w:p>
            <w:pPr>
              <w:ind w:left="120"/>
              <w:spacing w:after="0" w:line="205" w:lineRule="exact"/>
              <w:rPr>
                <w:sz w:val="20"/>
                <w:szCs w:val="20"/>
                <w:color w:val="auto"/>
              </w:rPr>
            </w:pPr>
            <w:r>
              <w:rPr>
                <w:rFonts w:ascii="Calibri" w:cs="Calibri" w:eastAsia="Calibri" w:hAnsi="Calibri"/>
                <w:sz w:val="17"/>
                <w:szCs w:val="17"/>
                <w:color w:val="auto"/>
              </w:rPr>
              <w:t>dividends</w:t>
            </w:r>
          </w:p>
        </w:tc>
        <w:tc>
          <w:tcPr>
            <w:tcW w:w="80" w:type="dxa"/>
            <w:vAlign w:val="bottom"/>
          </w:tcPr>
          <w:p>
            <w:pPr>
              <w:spacing w:after="0"/>
              <w:rPr>
                <w:sz w:val="17"/>
                <w:szCs w:val="17"/>
                <w:color w:val="auto"/>
              </w:rPr>
            </w:pPr>
          </w:p>
        </w:tc>
        <w:tc>
          <w:tcPr>
            <w:tcW w:w="680" w:type="dxa"/>
            <w:vAlign w:val="bottom"/>
          </w:tcPr>
          <w:p>
            <w:pPr>
              <w:ind w:left="500"/>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5" w:lineRule="exact"/>
              <w:rPr>
                <w:sz w:val="20"/>
                <w:szCs w:val="20"/>
                <w:color w:val="auto"/>
              </w:rPr>
            </w:pPr>
            <w:r>
              <w:rPr>
                <w:rFonts w:ascii="Calibri" w:cs="Calibri" w:eastAsia="Calibri" w:hAnsi="Calibri"/>
                <w:sz w:val="17"/>
                <w:szCs w:val="17"/>
                <w:color w:val="auto"/>
              </w:rPr>
              <w:t>(1)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00" w:type="dxa"/>
            <w:vAlign w:val="bottom"/>
          </w:tcPr>
          <w:p>
            <w:pPr>
              <w:spacing w:after="0"/>
              <w:rPr>
                <w:sz w:val="17"/>
                <w:szCs w:val="17"/>
                <w:color w:val="auto"/>
              </w:rPr>
            </w:pPr>
          </w:p>
        </w:tc>
      </w:tr>
      <w:tr>
        <w:trPr>
          <w:trHeight w:val="25"/>
        </w:trPr>
        <w:tc>
          <w:tcPr>
            <w:tcW w:w="4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FF0FC"/>
          </w:tcPr>
          <w:p>
            <w:pPr>
              <w:spacing w:after="0" w:line="216" w:lineRule="exact"/>
              <w:rPr>
                <w:sz w:val="20"/>
                <w:szCs w:val="20"/>
                <w:color w:val="auto"/>
              </w:rPr>
            </w:pPr>
            <w:r>
              <w:rPr>
                <w:rFonts w:ascii="Calibri" w:cs="Calibri" w:eastAsia="Calibri" w:hAnsi="Calibri"/>
                <w:sz w:val="14"/>
                <w:szCs w:val="14"/>
                <w:color w:val="auto"/>
              </w:rPr>
              <w:t xml:space="preserve">Purchase of treasury stock </w:t>
            </w:r>
            <w:r>
              <w:rPr>
                <w:rFonts w:ascii="Calibri" w:cs="Calibri" w:eastAsia="Calibri" w:hAnsi="Calibri"/>
                <w:sz w:val="23"/>
                <w:szCs w:val="23"/>
                <w:color w:val="auto"/>
                <w:vertAlign w:val="superscript"/>
              </w:rPr>
              <w:t>(1)</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ind w:left="500"/>
              <w:spacing w:after="0" w:line="205" w:lineRule="exact"/>
              <w:rPr>
                <w:sz w:val="20"/>
                <w:szCs w:val="20"/>
                <w:color w:val="auto"/>
              </w:rPr>
            </w:pPr>
            <w:r>
              <w:rPr>
                <w:rFonts w:ascii="Calibri" w:cs="Calibri" w:eastAsia="Calibri" w:hAnsi="Calibri"/>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line="205" w:lineRule="exact"/>
              <w:rPr>
                <w:sz w:val="20"/>
                <w:szCs w:val="20"/>
                <w:color w:val="auto"/>
              </w:rPr>
            </w:pPr>
            <w:r>
              <w:rPr>
                <w:rFonts w:ascii="Calibri" w:cs="Calibri" w:eastAsia="Calibri" w:hAnsi="Calibri"/>
                <w:sz w:val="17"/>
                <w:szCs w:val="17"/>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line="205" w:lineRule="exact"/>
              <w:rPr>
                <w:sz w:val="20"/>
                <w:szCs w:val="20"/>
                <w:color w:val="auto"/>
              </w:rPr>
            </w:pPr>
            <w:r>
              <w:rPr>
                <w:rFonts w:ascii="Calibri" w:cs="Calibri" w:eastAsia="Calibri" w:hAnsi="Calibri"/>
                <w:sz w:val="17"/>
                <w:szCs w:val="17"/>
                <w:color w:val="auto"/>
              </w:rPr>
              <w:t>(1)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line="205" w:lineRule="exact"/>
              <w:rPr>
                <w:sz w:val="20"/>
                <w:szCs w:val="20"/>
                <w:color w:val="auto"/>
              </w:rPr>
            </w:pPr>
            <w:r>
              <w:rPr>
                <w:rFonts w:ascii="Calibri" w:cs="Calibri" w:eastAsia="Calibri" w:hAnsi="Calibri"/>
                <w:sz w:val="17"/>
                <w:szCs w:val="17"/>
                <w:color w:val="auto"/>
              </w:rPr>
              <w:t>(1)</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line="205" w:lineRule="exact"/>
              <w:rPr>
                <w:sz w:val="20"/>
                <w:szCs w:val="20"/>
                <w:color w:val="auto"/>
              </w:rPr>
            </w:pPr>
            <w:r>
              <w:rPr>
                <w:rFonts w:ascii="Calibri" w:cs="Calibri" w:eastAsia="Calibri" w:hAnsi="Calibri"/>
                <w:sz w:val="17"/>
                <w:szCs w:val="17"/>
                <w:color w:val="auto"/>
              </w:rPr>
              <w:t>—</w:t>
            </w:r>
          </w:p>
        </w:tc>
      </w:tr>
      <w:tr>
        <w:trPr>
          <w:trHeight w:val="210"/>
        </w:trPr>
        <w:tc>
          <w:tcPr>
            <w:tcW w:w="4040" w:type="dxa"/>
            <w:vAlign w:val="bottom"/>
          </w:tcPr>
          <w:p>
            <w:pPr>
              <w:spacing w:after="0" w:line="205" w:lineRule="exact"/>
              <w:rPr>
                <w:sz w:val="20"/>
                <w:szCs w:val="20"/>
                <w:color w:val="auto"/>
              </w:rPr>
            </w:pPr>
            <w:r>
              <w:rPr>
                <w:rFonts w:ascii="Calibri" w:cs="Calibri" w:eastAsia="Calibri" w:hAnsi="Calibri"/>
                <w:sz w:val="17"/>
                <w:szCs w:val="17"/>
                <w:color w:val="auto"/>
              </w:rPr>
              <w:t>Stock-based compensaton</w:t>
            </w:r>
          </w:p>
        </w:tc>
        <w:tc>
          <w:tcPr>
            <w:tcW w:w="80" w:type="dxa"/>
            <w:vAlign w:val="bottom"/>
          </w:tcPr>
          <w:p>
            <w:pPr>
              <w:spacing w:after="0"/>
              <w:rPr>
                <w:sz w:val="18"/>
                <w:szCs w:val="18"/>
                <w:color w:val="auto"/>
              </w:rPr>
            </w:pPr>
          </w:p>
        </w:tc>
        <w:tc>
          <w:tcPr>
            <w:tcW w:w="680" w:type="dxa"/>
            <w:vAlign w:val="bottom"/>
          </w:tcPr>
          <w:p>
            <w:pPr>
              <w:ind w:left="500"/>
              <w:spacing w:after="0" w:line="205" w:lineRule="exact"/>
              <w:rPr>
                <w:sz w:val="20"/>
                <w:szCs w:val="20"/>
                <w:color w:val="auto"/>
              </w:rPr>
            </w:pPr>
            <w:r>
              <w:rPr>
                <w:rFonts w:ascii="Calibri" w:cs="Calibri" w:eastAsia="Calibri" w:hAnsi="Calibri"/>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line="205" w:lineRule="exact"/>
              <w:rPr>
                <w:sz w:val="20"/>
                <w:szCs w:val="20"/>
                <w:color w:val="auto"/>
              </w:rPr>
            </w:pPr>
            <w:r>
              <w:rPr>
                <w:rFonts w:ascii="Calibri" w:cs="Calibri" w:eastAsia="Calibri" w:hAnsi="Calibri"/>
                <w:sz w:val="17"/>
                <w:szCs w:val="17"/>
                <w:color w:val="auto"/>
              </w:rPr>
              <w:t>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line="205" w:lineRule="exact"/>
              <w:rPr>
                <w:sz w:val="20"/>
                <w:szCs w:val="20"/>
                <w:color w:val="auto"/>
              </w:rPr>
            </w:pPr>
            <w:r>
              <w:rPr>
                <w:rFonts w:ascii="Calibri" w:cs="Calibri" w:eastAsia="Calibri" w:hAnsi="Calibri"/>
                <w:sz w:val="17"/>
                <w:szCs w:val="17"/>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line="205" w:lineRule="exact"/>
              <w:rPr>
                <w:sz w:val="20"/>
                <w:szCs w:val="20"/>
                <w:color w:val="auto"/>
              </w:rPr>
            </w:pPr>
            <w:r>
              <w:rPr>
                <w:rFonts w:ascii="Calibri" w:cs="Calibri" w:eastAsia="Calibri" w:hAnsi="Calibri"/>
                <w:sz w:val="17"/>
                <w:szCs w:val="17"/>
                <w:color w:val="auto"/>
              </w:rPr>
              <w:t>—</w:t>
            </w:r>
          </w:p>
        </w:tc>
      </w:tr>
      <w:tr>
        <w:trPr>
          <w:trHeight w:val="188"/>
        </w:trPr>
        <w:tc>
          <w:tcPr>
            <w:tcW w:w="4040" w:type="dxa"/>
            <w:vAlign w:val="bottom"/>
            <w:tcBorders>
              <w:top w:val="single" w:sz="8" w:color="CFF0FC"/>
            </w:tcBorders>
            <w:shd w:val="clear" w:color="auto" w:fill="CFF0FC"/>
          </w:tcPr>
          <w:p>
            <w:pPr>
              <w:spacing w:after="0" w:line="188" w:lineRule="exact"/>
              <w:rPr>
                <w:sz w:val="20"/>
                <w:szCs w:val="20"/>
                <w:color w:val="auto"/>
              </w:rPr>
            </w:pPr>
            <w:r>
              <w:rPr>
                <w:rFonts w:ascii="Calibri" w:cs="Calibri" w:eastAsia="Calibri" w:hAnsi="Calibri"/>
                <w:sz w:val="17"/>
                <w:szCs w:val="17"/>
                <w:color w:val="auto"/>
              </w:rPr>
              <w:t>Equity (defcit) as of March 31,</w:t>
            </w:r>
          </w:p>
        </w:tc>
        <w:tc>
          <w:tcPr>
            <w:tcW w:w="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35"/>
        </w:trPr>
        <w:tc>
          <w:tcPr>
            <w:tcW w:w="4040" w:type="dxa"/>
            <w:vAlign w:val="bottom"/>
            <w:tcBorders>
              <w:bottom w:val="single" w:sz="8" w:color="CFF0FC"/>
            </w:tcBorders>
            <w:shd w:val="clear" w:color="auto" w:fill="CFF0FC"/>
          </w:tcPr>
          <w:p>
            <w:pPr>
              <w:ind w:left="120"/>
              <w:spacing w:after="0" w:line="205" w:lineRule="exact"/>
              <w:rPr>
                <w:sz w:val="20"/>
                <w:szCs w:val="20"/>
                <w:color w:val="auto"/>
              </w:rPr>
            </w:pPr>
            <w:r>
              <w:rPr>
                <w:rFonts w:ascii="Calibri" w:cs="Calibri" w:eastAsia="Calibri" w:hAnsi="Calibri"/>
                <w:sz w:val="17"/>
                <w:szCs w:val="17"/>
                <w:color w:val="auto"/>
              </w:rPr>
              <w:t>2021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680" w:type="dxa"/>
            <w:vAlign w:val="bottom"/>
            <w:tcBorders>
              <w:bottom w:val="single" w:sz="8" w:color="CFF0FC"/>
            </w:tcBorders>
            <w:shd w:val="clear" w:color="auto" w:fill="CFF0FC"/>
          </w:tcPr>
          <w:p>
            <w:pPr>
              <w:ind w:left="50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FF0FC"/>
            </w:tcBorders>
            <w:gridSpan w:val="2"/>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w:t>
            </w:r>
          </w:p>
        </w:tc>
        <w:tc>
          <w:tcPr>
            <w:tcW w:w="6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1,169</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gridSpan w:val="2"/>
            <w:shd w:val="clear" w:color="auto" w:fill="CFF0FC"/>
          </w:tcPr>
          <w:p>
            <w:pPr>
              <w:ind w:left="60"/>
              <w:spacing w:after="0" w:line="205" w:lineRule="exact"/>
              <w:rPr>
                <w:sz w:val="20"/>
                <w:szCs w:val="20"/>
                <w:color w:val="auto"/>
              </w:rPr>
            </w:pPr>
            <w:r>
              <w:rPr>
                <w:rFonts w:ascii="Calibri" w:cs="Calibri" w:eastAsia="Calibri" w:hAnsi="Calibri"/>
                <w:sz w:val="17"/>
                <w:szCs w:val="17"/>
                <w:color w:val="auto"/>
              </w:rPr>
              <w:t>$</w:t>
            </w:r>
          </w:p>
        </w:tc>
        <w:tc>
          <w:tcPr>
            <w:tcW w:w="780" w:type="dxa"/>
            <w:vAlign w:val="bottom"/>
            <w:tcBorders>
              <w:bottom w:val="single" w:sz="8" w:color="CFF0FC"/>
            </w:tcBorders>
            <w:gridSpan w:val="2"/>
            <w:shd w:val="clear" w:color="auto" w:fill="CFF0FC"/>
          </w:tcPr>
          <w:p>
            <w:pPr>
              <w:jc w:val="right"/>
              <w:ind w:right="80"/>
              <w:spacing w:after="0" w:line="205" w:lineRule="exact"/>
              <w:rPr>
                <w:sz w:val="20"/>
                <w:szCs w:val="20"/>
                <w:color w:val="auto"/>
              </w:rPr>
            </w:pPr>
            <w:r>
              <w:rPr>
                <w:rFonts w:ascii="Calibri" w:cs="Calibri" w:eastAsia="Calibri" w:hAnsi="Calibri"/>
                <w:sz w:val="17"/>
                <w:szCs w:val="17"/>
                <w:color w:val="auto"/>
              </w:rPr>
              <w:t>(614)</w:t>
            </w:r>
          </w:p>
        </w:tc>
        <w:tc>
          <w:tcPr>
            <w:tcW w:w="280" w:type="dxa"/>
            <w:vAlign w:val="bottom"/>
            <w:tcBorders>
              <w:bottom w:val="single" w:sz="8" w:color="CFF0FC"/>
            </w:tcBorders>
            <w:gridSpan w:val="2"/>
            <w:shd w:val="clear" w:color="auto" w:fill="CFF0FC"/>
          </w:tcPr>
          <w:p>
            <w:pPr>
              <w:jc w:val="right"/>
              <w:ind w:right="21"/>
              <w:spacing w:after="0" w:line="205" w:lineRule="exact"/>
              <w:rPr>
                <w:sz w:val="20"/>
                <w:szCs w:val="20"/>
                <w:color w:val="auto"/>
              </w:rPr>
            </w:pPr>
            <w:r>
              <w:rPr>
                <w:rFonts w:ascii="Calibri" w:cs="Calibri" w:eastAsia="Calibri" w:hAnsi="Calibri"/>
                <w:sz w:val="17"/>
                <w:szCs w:val="17"/>
                <w:color w:val="auto"/>
              </w:rPr>
              <w:t>$</w:t>
            </w:r>
          </w:p>
        </w:tc>
        <w:tc>
          <w:tcPr>
            <w:tcW w:w="960" w:type="dxa"/>
            <w:vAlign w:val="bottom"/>
            <w:tcBorders>
              <w:bottom w:val="single" w:sz="8" w:color="CFF0FC"/>
            </w:tcBorders>
            <w:gridSpan w:val="2"/>
            <w:shd w:val="clear" w:color="auto" w:fill="CFF0FC"/>
          </w:tcPr>
          <w:p>
            <w:pPr>
              <w:jc w:val="right"/>
              <w:ind w:right="160"/>
              <w:spacing w:after="0" w:line="205" w:lineRule="exact"/>
              <w:rPr>
                <w:sz w:val="20"/>
                <w:szCs w:val="20"/>
                <w:color w:val="auto"/>
              </w:rPr>
            </w:pPr>
            <w:r>
              <w:rPr>
                <w:rFonts w:ascii="Calibri" w:cs="Calibri" w:eastAsia="Calibri" w:hAnsi="Calibri"/>
                <w:sz w:val="17"/>
                <w:szCs w:val="17"/>
                <w:color w:val="auto"/>
              </w:rPr>
              <w:t>(441)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800" w:type="dxa"/>
            <w:vAlign w:val="bottom"/>
            <w:tcBorders>
              <w:bottom w:val="single" w:sz="8" w:color="CFF0FC"/>
            </w:tcBorders>
            <w:gridSpan w:val="2"/>
            <w:shd w:val="clear" w:color="auto" w:fill="CFF0FC"/>
          </w:tcPr>
          <w:p>
            <w:pPr>
              <w:jc w:val="right"/>
              <w:ind w:right="80"/>
              <w:spacing w:after="0" w:line="205" w:lineRule="exact"/>
              <w:rPr>
                <w:sz w:val="20"/>
                <w:szCs w:val="20"/>
                <w:color w:val="auto"/>
              </w:rPr>
            </w:pPr>
            <w:r>
              <w:rPr>
                <w:rFonts w:ascii="Calibri" w:cs="Calibri" w:eastAsia="Calibri" w:hAnsi="Calibri"/>
                <w:sz w:val="17"/>
                <w:szCs w:val="17"/>
                <w:color w:val="auto"/>
              </w:rPr>
              <w:t>(10)</w:t>
            </w:r>
          </w:p>
        </w:tc>
        <w:tc>
          <w:tcPr>
            <w:tcW w:w="240" w:type="dxa"/>
            <w:vAlign w:val="bottom"/>
            <w:tcBorders>
              <w:bottom w:val="single" w:sz="8" w:color="CFF0FC"/>
            </w:tcBorders>
            <w:gridSpan w:val="2"/>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w:t>
            </w:r>
          </w:p>
        </w:tc>
        <w:tc>
          <w:tcPr>
            <w:tcW w:w="60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104</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57" w:lineRule="exact"/>
        <w:rPr>
          <w:sz w:val="20"/>
          <w:szCs w:val="20"/>
          <w:color w:val="auto"/>
        </w:rPr>
      </w:pPr>
    </w:p>
    <w:p>
      <w:pPr>
        <w:ind w:left="740" w:hanging="368"/>
        <w:spacing w:after="0"/>
        <w:tabs>
          <w:tab w:leader="none" w:pos="740" w:val="left"/>
        </w:tabs>
        <w:numPr>
          <w:ilvl w:val="0"/>
          <w:numId w:val="3"/>
        </w:numPr>
        <w:rPr>
          <w:rFonts w:ascii="Calibri" w:cs="Calibri" w:eastAsia="Calibri" w:hAnsi="Calibri"/>
          <w:sz w:val="31"/>
          <w:szCs w:val="31"/>
          <w:b w:val="1"/>
          <w:bCs w:val="1"/>
          <w:color w:val="auto"/>
          <w:vertAlign w:val="superscript"/>
        </w:rPr>
      </w:pPr>
      <w:r>
        <w:rPr>
          <w:rFonts w:ascii="Calibri" w:cs="Calibri" w:eastAsia="Calibri" w:hAnsi="Calibri"/>
          <w:sz w:val="18"/>
          <w:szCs w:val="18"/>
          <w:color w:val="auto"/>
        </w:rPr>
        <w:t>Represents purchases of common stock to satsfy tax withholding obligatons.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NOTES TO FINANCIAL STATEMENTS (Unaudited)</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 BASIS OF PRESENTATION AND RECENT ACCOUNTING PRONOUNCEMENTS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OF PRESENTATION</w:t>
      </w:r>
    </w:p>
    <w:p>
      <w:pPr>
        <w:spacing w:after="0" w:line="15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consolidated interim fnancial statements are unaudited, and certain informaton and footnote disclosures related thereto normally included in fnancial statements prepared in accordance with accountng principles generally accepted in the United States of America (“U.S. GAAP”) have been omited in accordance with the instructons to Form 10-Q and Rule 10-01 of Regulaton S-X. In the opinion of management, the accompanying unaudited consolidated interim fnancial statements refect all adjustments (consistng of normal recurring adjustments) necessary for a fair statement of the results of operatons, fnancial positon and cash fows of Eastman Kodak Company (“EKC” or the “Company”) and all companies directly or indirectly controlled, either through majority ownership or otherwise (collectvely, “Kodak”). The results of operatons for the interim periods are not necessarily indicatve of the results for the entre fscal year. These consolidated interim statements should be read in conjuncton with the Company’s Annual Report on Form 10-K for the year ended December 31, 2021 (the “2021 Form 10-K”).</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ADOPTED ACCOUNTING PRONOUNCEMENTS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No accountng pronouncements have been adopted in 2022.</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ACCOUNTING PRONOUNCEMENTS</w:t>
      </w:r>
    </w:p>
    <w:p>
      <w:pPr>
        <w:spacing w:after="0" w:line="244" w:lineRule="exact"/>
        <w:rPr>
          <w:sz w:val="20"/>
          <w:szCs w:val="20"/>
          <w:color w:val="auto"/>
        </w:rPr>
      </w:pPr>
    </w:p>
    <w:p>
      <w:pPr>
        <w:spacing w:after="0"/>
        <w:rPr>
          <w:sz w:val="20"/>
          <w:szCs w:val="20"/>
          <w:color w:val="auto"/>
        </w:rPr>
      </w:pPr>
      <w:r>
        <w:rPr>
          <w:rFonts w:ascii="Calibri" w:cs="Calibri" w:eastAsia="Calibri" w:hAnsi="Calibri"/>
          <w:sz w:val="17"/>
          <w:szCs w:val="17"/>
          <w:color w:val="auto"/>
        </w:rPr>
        <w:t>In June 2016, the Financial Accountng Standards Board issued Accountng Standards Update (“ASU”) 2016-13, “Financial Instruments—Credit Losses (Topic</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326): Measurement of Credit Losses on Financial Instruments”. ASU 2016-13 (as amended by ASUs 2018-19, 2019-04, 2019-05, 2019-10, 2019-11, 2020-02,</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2020-03 and 2022-02) requires a fnancial asset (or a group of fnancial assets) measured at amortzed cost basis to be presented at the net amount expected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to be collected. In additon, the ASU requires credit losses relatng to available-for-sale debt securites to be recorded through an allowance for credit</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losses. The amendments in this ASU broaden the informaton that an entty must consider in developing its expected credit loss estmate for assets measured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either collectvely or individually. The ASU is efectve January 1, 2023, for Kodak, and interim periods within that fscal year. Early adopton is permited.</w:t>
      </w:r>
    </w:p>
    <w:p>
      <w:pPr>
        <w:spacing w:after="0" w:line="235" w:lineRule="auto"/>
        <w:rPr>
          <w:sz w:val="20"/>
          <w:szCs w:val="20"/>
          <w:color w:val="auto"/>
        </w:rPr>
      </w:pPr>
      <w:r>
        <w:rPr>
          <w:rFonts w:ascii="Calibri" w:cs="Calibri" w:eastAsia="Calibri" w:hAnsi="Calibri"/>
          <w:sz w:val="18"/>
          <w:szCs w:val="18"/>
          <w:color w:val="auto"/>
        </w:rPr>
        <w:t>Kodak is currently evaluatng the impact of this ASU.</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 CASH, CASH EQUIVALENTS AND RESTRICTED CASH</w:t>
      </w:r>
    </w:p>
    <w:p>
      <w:pPr>
        <w:spacing w:after="0" w:line="244"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The following table provides a reconciliaton of cash, cash equivalents and restricted cash reported within the Consolidated Statement of Financial Positon that sums to the total of such amounts shown in the Statement of Cash Flows: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5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Calibri" w:cs="Calibri" w:eastAsia="Calibri" w:hAnsi="Calibri"/>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December 31,</w:t>
            </w:r>
          </w:p>
        </w:tc>
      </w:tr>
      <w:tr>
        <w:trPr>
          <w:trHeight w:val="230"/>
        </w:trPr>
        <w:tc>
          <w:tcPr>
            <w:tcW w:w="5080" w:type="dxa"/>
            <w:vAlign w:val="bottom"/>
          </w:tcPr>
          <w:p>
            <w:pPr>
              <w:spacing w:after="0"/>
              <w:rPr>
                <w:sz w:val="20"/>
                <w:szCs w:val="20"/>
                <w:color w:val="auto"/>
              </w:rPr>
            </w:pPr>
            <w:r>
              <w:rPr>
                <w:rFonts w:ascii="Calibri" w:cs="Calibri" w:eastAsia="Calibri" w:hAnsi="Calibri"/>
                <w:sz w:val="16"/>
                <w:szCs w:val="16"/>
                <w:color w:val="auto"/>
              </w:rPr>
              <w:t>(in millions)</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2022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9"/>
                <w:szCs w:val="19"/>
                <w:color w:val="auto"/>
              </w:rPr>
            </w:pPr>
          </w:p>
        </w:tc>
      </w:tr>
      <w:tr>
        <w:trPr>
          <w:trHeight w:val="23"/>
        </w:trPr>
        <w:tc>
          <w:tcPr>
            <w:tcW w:w="5080" w:type="dxa"/>
            <w:vAlign w:val="bottom"/>
            <w:tcBorders>
              <w:bottom w:val="single" w:sz="8" w:color="CFF0FC"/>
            </w:tcBorders>
          </w:tcPr>
          <w:p>
            <w:pPr>
              <w:spacing w:after="0"/>
              <w:rPr>
                <w:sz w:val="2"/>
                <w:szCs w:val="2"/>
                <w:color w:val="auto"/>
              </w:rPr>
            </w:pPr>
          </w:p>
        </w:tc>
        <w:tc>
          <w:tcPr>
            <w:tcW w:w="10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5080" w:type="dxa"/>
            <w:vAlign w:val="bottom"/>
            <w:shd w:val="clear" w:color="auto" w:fill="CFF0FC"/>
          </w:tcPr>
          <w:p>
            <w:pPr>
              <w:spacing w:after="0" w:line="199" w:lineRule="exact"/>
              <w:rPr>
                <w:sz w:val="20"/>
                <w:szCs w:val="20"/>
                <w:color w:val="auto"/>
              </w:rPr>
            </w:pPr>
            <w:r>
              <w:rPr>
                <w:rFonts w:ascii="Calibri" w:cs="Calibri" w:eastAsia="Calibri" w:hAnsi="Calibri"/>
                <w:sz w:val="18"/>
                <w:szCs w:val="18"/>
                <w:color w:val="auto"/>
              </w:rPr>
              <w:t>Cash and cash equivalents</w:t>
            </w: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1"/>
              <w:spacing w:after="0"/>
              <w:rPr>
                <w:sz w:val="20"/>
                <w:szCs w:val="20"/>
                <w:color w:val="auto"/>
              </w:rPr>
            </w:pPr>
            <w:r>
              <w:rPr>
                <w:rFonts w:ascii="Calibri" w:cs="Calibri" w:eastAsia="Calibri" w:hAnsi="Calibri"/>
                <w:sz w:val="16"/>
                <w:szCs w:val="16"/>
                <w:color w:val="auto"/>
                <w:w w:val="73"/>
              </w:rPr>
              <w:t>$</w:t>
            </w:r>
          </w:p>
        </w:tc>
        <w:tc>
          <w:tcPr>
            <w:tcW w:w="1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1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362</w:t>
            </w:r>
          </w:p>
        </w:tc>
        <w:tc>
          <w:tcPr>
            <w:tcW w:w="100" w:type="dxa"/>
            <w:vAlign w:val="bottom"/>
            <w:shd w:val="clear" w:color="auto" w:fill="CFF0FC"/>
          </w:tcPr>
          <w:p>
            <w:pPr>
              <w:spacing w:after="0"/>
              <w:rPr>
                <w:sz w:val="19"/>
                <w:szCs w:val="19"/>
                <w:color w:val="auto"/>
              </w:rPr>
            </w:pPr>
          </w:p>
        </w:tc>
      </w:tr>
      <w:tr>
        <w:trPr>
          <w:trHeight w:val="215"/>
        </w:trPr>
        <w:tc>
          <w:tcPr>
            <w:tcW w:w="5080" w:type="dxa"/>
            <w:vAlign w:val="bottom"/>
          </w:tcPr>
          <w:p>
            <w:pPr>
              <w:spacing w:after="0" w:line="215" w:lineRule="exact"/>
              <w:rPr>
                <w:sz w:val="20"/>
                <w:szCs w:val="20"/>
                <w:color w:val="auto"/>
              </w:rPr>
            </w:pPr>
            <w:r>
              <w:rPr>
                <w:rFonts w:ascii="Calibri" w:cs="Calibri" w:eastAsia="Calibri" w:hAnsi="Calibri"/>
                <w:sz w:val="18"/>
                <w:szCs w:val="18"/>
                <w:color w:val="auto"/>
              </w:rPr>
              <w:t>Restricted cash reported in Other current assets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8"/>
                <w:szCs w:val="18"/>
                <w:color w:val="auto"/>
              </w:rPr>
            </w:pPr>
          </w:p>
        </w:tc>
      </w:tr>
      <w:tr>
        <w:trPr>
          <w:trHeight w:val="244"/>
        </w:trPr>
        <w:tc>
          <w:tcPr>
            <w:tcW w:w="5080" w:type="dxa"/>
            <w:vAlign w:val="bottom"/>
            <w:shd w:val="clear" w:color="auto" w:fill="CFF0FC"/>
          </w:tcPr>
          <w:p>
            <w:pPr>
              <w:spacing w:after="0"/>
              <w:rPr>
                <w:sz w:val="20"/>
                <w:szCs w:val="20"/>
                <w:color w:val="auto"/>
              </w:rPr>
            </w:pPr>
            <w:r>
              <w:rPr>
                <w:rFonts w:ascii="Calibri" w:cs="Calibri" w:eastAsia="Calibri" w:hAnsi="Calibri"/>
                <w:sz w:val="18"/>
                <w:szCs w:val="18"/>
                <w:color w:val="auto"/>
              </w:rPr>
              <w:t>Restricted cash</w:t>
            </w:r>
          </w:p>
        </w:tc>
        <w:tc>
          <w:tcPr>
            <w:tcW w:w="10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58</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54</w:t>
            </w:r>
          </w:p>
        </w:tc>
        <w:tc>
          <w:tcPr>
            <w:tcW w:w="100" w:type="dxa"/>
            <w:vAlign w:val="bottom"/>
            <w:shd w:val="clear" w:color="auto" w:fill="CFF0FC"/>
          </w:tcPr>
          <w:p>
            <w:pPr>
              <w:spacing w:after="0"/>
              <w:rPr>
                <w:sz w:val="21"/>
                <w:szCs w:val="21"/>
                <w:color w:val="auto"/>
              </w:rPr>
            </w:pPr>
          </w:p>
        </w:tc>
      </w:tr>
      <w:tr>
        <w:trPr>
          <w:trHeight w:val="200"/>
        </w:trPr>
        <w:tc>
          <w:tcPr>
            <w:tcW w:w="5080" w:type="dxa"/>
            <w:vAlign w:val="bottom"/>
          </w:tcPr>
          <w:p>
            <w:pPr>
              <w:spacing w:after="0" w:line="199" w:lineRule="exact"/>
              <w:rPr>
                <w:sz w:val="20"/>
                <w:szCs w:val="20"/>
                <w:color w:val="auto"/>
              </w:rPr>
            </w:pPr>
            <w:r>
              <w:rPr>
                <w:rFonts w:ascii="Calibri" w:cs="Calibri" w:eastAsia="Calibri" w:hAnsi="Calibri"/>
                <w:sz w:val="18"/>
                <w:szCs w:val="18"/>
                <w:color w:val="auto"/>
              </w:rPr>
              <w:t>Total cash, cash equivalents and restricted cash shown in</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tcPr>
          <w:p>
            <w:pPr>
              <w:ind w:left="120"/>
              <w:spacing w:after="0" w:line="216" w:lineRule="exact"/>
              <w:rPr>
                <w:sz w:val="20"/>
                <w:szCs w:val="20"/>
                <w:color w:val="auto"/>
              </w:rPr>
            </w:pPr>
            <w:r>
              <w:rPr>
                <w:rFonts w:ascii="Calibri" w:cs="Calibri" w:eastAsia="Calibri" w:hAnsi="Calibri"/>
                <w:sz w:val="18"/>
                <w:szCs w:val="18"/>
                <w:color w:val="auto"/>
              </w:rPr>
              <w:t>the Statement of Cash Flows</w:t>
            </w:r>
          </w:p>
        </w:tc>
        <w:tc>
          <w:tcPr>
            <w:tcW w:w="1240" w:type="dxa"/>
            <w:vAlign w:val="bottom"/>
            <w:gridSpan w:val="2"/>
          </w:tcPr>
          <w:p>
            <w:pPr>
              <w:jc w:val="right"/>
              <w:ind w:right="1"/>
              <w:spacing w:after="0" w:line="216"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6" w:lineRule="exact"/>
              <w:rPr>
                <w:sz w:val="20"/>
                <w:szCs w:val="20"/>
                <w:color w:val="auto"/>
              </w:rPr>
            </w:pPr>
            <w:r>
              <w:rPr>
                <w:rFonts w:ascii="Calibri" w:cs="Calibri" w:eastAsia="Calibri" w:hAnsi="Calibri"/>
                <w:sz w:val="18"/>
                <w:szCs w:val="18"/>
                <w:color w:val="auto"/>
              </w:rPr>
              <w:t>374</w:t>
            </w:r>
          </w:p>
        </w:tc>
        <w:tc>
          <w:tcPr>
            <w:tcW w:w="200" w:type="dxa"/>
            <w:vAlign w:val="bottom"/>
          </w:tcPr>
          <w:p>
            <w:pPr>
              <w:spacing w:after="0"/>
              <w:rPr>
                <w:sz w:val="18"/>
                <w:szCs w:val="18"/>
                <w:color w:val="auto"/>
              </w:rPr>
            </w:pPr>
          </w:p>
        </w:tc>
        <w:tc>
          <w:tcPr>
            <w:tcW w:w="10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6" w:lineRule="exact"/>
              <w:rPr>
                <w:sz w:val="20"/>
                <w:szCs w:val="20"/>
                <w:color w:val="auto"/>
              </w:rPr>
            </w:pPr>
            <w:r>
              <w:rPr>
                <w:rFonts w:ascii="Calibri" w:cs="Calibri" w:eastAsia="Calibri" w:hAnsi="Calibri"/>
                <w:sz w:val="18"/>
                <w:szCs w:val="18"/>
                <w:color w:val="auto"/>
              </w:rPr>
              <w:t>423</w:t>
            </w:r>
          </w:p>
        </w:tc>
        <w:tc>
          <w:tcPr>
            <w:tcW w:w="100" w:type="dxa"/>
            <w:vAlign w:val="bottom"/>
          </w:tcPr>
          <w:p>
            <w:pPr>
              <w:spacing w:after="0"/>
              <w:rPr>
                <w:sz w:val="18"/>
                <w:szCs w:val="18"/>
                <w:color w:val="auto"/>
              </w:rPr>
            </w:pPr>
          </w:p>
        </w:tc>
      </w:tr>
      <w:tr>
        <w:trPr>
          <w:trHeight w:val="23"/>
        </w:trPr>
        <w:tc>
          <w:tcPr>
            <w:tcW w:w="5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Restricted cash reported in Other current assets on the Consolidated Statement of Financial Positon primarily represents amounts that support hedging actvites.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 w:name="page10"/>
    <w:bookmarkEnd w:id="9"/>
    <w:p>
      <w:pPr>
        <w:ind w:right="140"/>
        <w:spacing w:after="0" w:line="235" w:lineRule="auto"/>
        <w:rPr>
          <w:sz w:val="20"/>
          <w:szCs w:val="20"/>
          <w:color w:val="auto"/>
        </w:rPr>
      </w:pPr>
      <w:r>
        <w:rPr>
          <w:rFonts w:ascii="Calibri" w:cs="Calibri" w:eastAsia="Calibri" w:hAnsi="Calibri"/>
          <w:sz w:val="18"/>
          <w:szCs w:val="18"/>
          <w:color w:val="auto"/>
        </w:rPr>
        <w:t>Restricted cash includes $45 million as of March 31, 2022 and December 31, 2021 representng the cash collateral required to be posted by the Company under the Leter of Credit Facility (“L/C Cash Collateral”). In additon, Restricted cash as of March 31, 2022 and December 31, 2021 includes an escrow of $5 million and $4 million, respectvely, in China to secure various ongoing obligatons under the agreements for a strategic relatonship with Lucky HuaGuang Graphics Co. Ltd. Restricted cash also included $6 million and $3 million of security posted related to Brazilian legal contngencies as of March 31, 2022 and December 31, 2021, respectvely.</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00" w:type="dxa"/>
            <w:vAlign w:val="bottom"/>
            <w:gridSpan w:val="2"/>
          </w:tcPr>
          <w:p>
            <w:pPr>
              <w:spacing w:after="0"/>
              <w:rPr>
                <w:sz w:val="20"/>
                <w:szCs w:val="20"/>
                <w:color w:val="auto"/>
              </w:rPr>
            </w:pPr>
            <w:r>
              <w:rPr>
                <w:rFonts w:ascii="Calibri" w:cs="Calibri" w:eastAsia="Calibri" w:hAnsi="Calibri"/>
                <w:sz w:val="18"/>
                <w:szCs w:val="18"/>
                <w:b w:val="1"/>
                <w:bCs w:val="1"/>
                <w:color w:val="auto"/>
              </w:rPr>
              <w:t>NOTE 3: INVENTORIES, NET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6"/>
        </w:trPr>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Calibri" w:cs="Calibri" w:eastAsia="Calibri" w:hAnsi="Calibri"/>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December 31,</w:t>
            </w:r>
          </w:p>
        </w:tc>
      </w:tr>
      <w:tr>
        <w:trPr>
          <w:trHeight w:val="229"/>
        </w:trPr>
        <w:tc>
          <w:tcPr>
            <w:tcW w:w="7300" w:type="dxa"/>
            <w:vAlign w:val="bottom"/>
            <w:gridSpan w:val="2"/>
          </w:tcPr>
          <w:p>
            <w:pPr>
              <w:ind w:left="1140"/>
              <w:spacing w:after="0"/>
              <w:rPr>
                <w:sz w:val="20"/>
                <w:szCs w:val="20"/>
                <w:color w:val="auto"/>
              </w:rPr>
            </w:pPr>
            <w:r>
              <w:rPr>
                <w:rFonts w:ascii="Calibri" w:cs="Calibri" w:eastAsia="Calibri" w:hAnsi="Calibri"/>
                <w:sz w:val="16"/>
                <w:szCs w:val="16"/>
                <w:color w:val="auto"/>
              </w:rPr>
              <w:t>(in millions)</w:t>
            </w:r>
          </w:p>
        </w:tc>
        <w:tc>
          <w:tcPr>
            <w:tcW w:w="160" w:type="dxa"/>
            <w:vAlign w:val="bottom"/>
          </w:tcPr>
          <w:p>
            <w:pPr>
              <w:spacing w:after="0"/>
              <w:rPr>
                <w:sz w:val="19"/>
                <w:szCs w:val="19"/>
                <w:color w:val="auto"/>
              </w:rPr>
            </w:pPr>
          </w:p>
        </w:tc>
        <w:tc>
          <w:tcPr>
            <w:tcW w:w="110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2022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9"/>
                <w:szCs w:val="19"/>
                <w:color w:val="auto"/>
              </w:rPr>
            </w:pPr>
          </w:p>
        </w:tc>
      </w:tr>
      <w:tr>
        <w:trPr>
          <w:trHeight w:val="23"/>
        </w:trPr>
        <w:tc>
          <w:tcPr>
            <w:tcW w:w="7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6160" w:type="dxa"/>
            <w:vAlign w:val="bottom"/>
            <w:tcBorders>
              <w:top w:val="single" w:sz="8" w:color="CFF0FC"/>
            </w:tcBorders>
            <w:shd w:val="clear" w:color="auto" w:fill="CFF0FC"/>
          </w:tcPr>
          <w:p>
            <w:pPr>
              <w:spacing w:after="0" w:line="199" w:lineRule="exact"/>
              <w:rPr>
                <w:sz w:val="20"/>
                <w:szCs w:val="20"/>
                <w:color w:val="auto"/>
              </w:rPr>
            </w:pPr>
            <w:r>
              <w:rPr>
                <w:rFonts w:ascii="Calibri" w:cs="Calibri" w:eastAsia="Calibri" w:hAnsi="Calibri"/>
                <w:sz w:val="18"/>
                <w:szCs w:val="18"/>
                <w:color w:val="auto"/>
              </w:rPr>
              <w:t>Finished goods</w:t>
            </w:r>
          </w:p>
        </w:tc>
        <w:tc>
          <w:tcPr>
            <w:tcW w:w="160" w:type="dxa"/>
            <w:vAlign w:val="bottom"/>
            <w:tcBorders>
              <w:top w:val="single" w:sz="8" w:color="auto"/>
            </w:tcBorders>
            <w:shd w:val="clear" w:color="auto" w:fill="CFF0FC"/>
          </w:tcPr>
          <w:p>
            <w:pPr>
              <w:jc w:val="right"/>
              <w:ind w:right="1"/>
              <w:spacing w:after="0"/>
              <w:rPr>
                <w:sz w:val="20"/>
                <w:szCs w:val="20"/>
                <w:color w:val="auto"/>
              </w:rPr>
            </w:pPr>
            <w:r>
              <w:rPr>
                <w:rFonts w:ascii="Calibri" w:cs="Calibri" w:eastAsia="Calibri" w:hAnsi="Calibri"/>
                <w:sz w:val="16"/>
                <w:szCs w:val="16"/>
                <w:color w:val="auto"/>
                <w:w w:val="73"/>
              </w:rPr>
              <w:t>$</w:t>
            </w:r>
          </w:p>
        </w:tc>
        <w:tc>
          <w:tcPr>
            <w:tcW w:w="110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116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6160" w:type="dxa"/>
            <w:vAlign w:val="bottom"/>
          </w:tcPr>
          <w:p>
            <w:pPr>
              <w:spacing w:after="0" w:line="215" w:lineRule="exact"/>
              <w:rPr>
                <w:sz w:val="20"/>
                <w:szCs w:val="20"/>
                <w:color w:val="auto"/>
              </w:rPr>
            </w:pPr>
            <w:r>
              <w:rPr>
                <w:rFonts w:ascii="Calibri" w:cs="Calibri" w:eastAsia="Calibri" w:hAnsi="Calibri"/>
                <w:sz w:val="18"/>
                <w:szCs w:val="18"/>
                <w:color w:val="auto"/>
              </w:rPr>
              <w:t>Work in process</w:t>
            </w:r>
          </w:p>
        </w:tc>
        <w:tc>
          <w:tcPr>
            <w:tcW w:w="16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65</w:t>
            </w:r>
          </w:p>
        </w:tc>
        <w:tc>
          <w:tcPr>
            <w:tcW w:w="100" w:type="dxa"/>
            <w:vAlign w:val="bottom"/>
          </w:tcPr>
          <w:p>
            <w:pPr>
              <w:spacing w:after="0"/>
              <w:rPr>
                <w:sz w:val="18"/>
                <w:szCs w:val="18"/>
                <w:color w:val="auto"/>
              </w:rPr>
            </w:pPr>
          </w:p>
        </w:tc>
      </w:tr>
      <w:tr>
        <w:trPr>
          <w:trHeight w:val="244"/>
        </w:trPr>
        <w:tc>
          <w:tcPr>
            <w:tcW w:w="1140" w:type="dxa"/>
            <w:vAlign w:val="bottom"/>
          </w:tcPr>
          <w:p>
            <w:pPr>
              <w:spacing w:after="0"/>
              <w:rPr>
                <w:sz w:val="21"/>
                <w:szCs w:val="21"/>
                <w:color w:val="auto"/>
              </w:rPr>
            </w:pPr>
          </w:p>
        </w:tc>
        <w:tc>
          <w:tcPr>
            <w:tcW w:w="6160" w:type="dxa"/>
            <w:vAlign w:val="bottom"/>
            <w:shd w:val="clear" w:color="auto" w:fill="CFF0FC"/>
          </w:tcPr>
          <w:p>
            <w:pPr>
              <w:spacing w:after="0"/>
              <w:rPr>
                <w:sz w:val="20"/>
                <w:szCs w:val="20"/>
                <w:color w:val="auto"/>
              </w:rPr>
            </w:pPr>
            <w:r>
              <w:rPr>
                <w:rFonts w:ascii="Calibri" w:cs="Calibri" w:eastAsia="Calibri" w:hAnsi="Calibri"/>
                <w:sz w:val="18"/>
                <w:szCs w:val="18"/>
                <w:color w:val="auto"/>
              </w:rPr>
              <w:t>Raw materials</w:t>
            </w: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67</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60</w:t>
            </w:r>
          </w:p>
        </w:tc>
        <w:tc>
          <w:tcPr>
            <w:tcW w:w="100" w:type="dxa"/>
            <w:vAlign w:val="bottom"/>
            <w:shd w:val="clear" w:color="auto" w:fill="CFF0FC"/>
          </w:tcPr>
          <w:p>
            <w:pPr>
              <w:spacing w:after="0"/>
              <w:rPr>
                <w:sz w:val="21"/>
                <w:szCs w:val="21"/>
                <w:color w:val="auto"/>
              </w:rPr>
            </w:pPr>
          </w:p>
        </w:tc>
      </w:tr>
      <w:tr>
        <w:trPr>
          <w:trHeight w:val="216"/>
        </w:trPr>
        <w:tc>
          <w:tcPr>
            <w:tcW w:w="7300" w:type="dxa"/>
            <w:vAlign w:val="bottom"/>
            <w:gridSpan w:val="2"/>
          </w:tcPr>
          <w:p>
            <w:pPr>
              <w:ind w:left="1140"/>
              <w:spacing w:after="0" w:line="199" w:lineRule="exact"/>
              <w:rPr>
                <w:sz w:val="20"/>
                <w:szCs w:val="20"/>
                <w:color w:val="auto"/>
              </w:rPr>
            </w:pPr>
            <w:r>
              <w:rPr>
                <w:rFonts w:ascii="Calibri" w:cs="Calibri" w:eastAsia="Calibri" w:hAnsi="Calibri"/>
                <w:sz w:val="18"/>
                <w:szCs w:val="18"/>
                <w:color w:val="auto"/>
              </w:rPr>
              <w:t>Total</w:t>
            </w:r>
          </w:p>
        </w:tc>
        <w:tc>
          <w:tcPr>
            <w:tcW w:w="160" w:type="dxa"/>
            <w:vAlign w:val="bottom"/>
            <w:tcBorders>
              <w:bottom w:val="single" w:sz="8" w:color="auto"/>
            </w:tcBorders>
          </w:tcPr>
          <w:p>
            <w:pPr>
              <w:jc w:val="right"/>
              <w:ind w:right="1"/>
              <w:spacing w:after="0"/>
              <w:rPr>
                <w:sz w:val="20"/>
                <w:szCs w:val="20"/>
                <w:color w:val="auto"/>
              </w:rPr>
            </w:pPr>
            <w:r>
              <w:rPr>
                <w:rFonts w:ascii="Calibri" w:cs="Calibri" w:eastAsia="Calibri" w:hAnsi="Calibri"/>
                <w:sz w:val="16"/>
                <w:szCs w:val="16"/>
                <w:color w:val="auto"/>
                <w:w w:val="73"/>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219</w:t>
            </w:r>
          </w:p>
        </w:tc>
        <w:tc>
          <w:tcPr>
            <w:tcW w:w="10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4: CONVERTIBLE SECURITIES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2021 Convertble Notes</w:t>
      </w:r>
    </w:p>
    <w:p>
      <w:pPr>
        <w:spacing w:after="0" w:line="24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On February 26, 2021, the Company entered into a Securites Purchase Agreement with certain funds afliated with Kennedy Lewis Investment Management LLC (“KLIM”) as lenders (the “Buyers”) pursuant to which the Company sold to the Buyers $25 million aggregate principal amount of the Company’s newly issued 5.0% unsecured convertble promissory notes due May 28, 2026 (the “Convertble Notes”) in a private placement transacton. The Convertble Notes bear interest at a rate of 5.0% per annum, which will be payable in cash on the maturity date and in additonal shares of Common Stock on any conversion date. The payment of interest only at the maturity date has the same efect as delivering additonal debt instruments to the Holders of the Convertble Notes and therefore is considered PIK. PIK will be added to the carrying value of the debt through the term and interest expense will be recorded using the efectve interest method. The maturity date of the Convertble Notes is May 28, 2026.</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Conversion Features</w:t>
      </w:r>
    </w:p>
    <w:p>
      <w:pPr>
        <w:spacing w:after="0" w:line="1"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The Buyers will have the right to elect at any tme to convert the Convertble Notes into shares of Common Stock at an inital conversion rate equal to 100 shares of Common Stock per each $1,000 principal amount of the Convertble Notes (based on an inital conversion price equal to $10.00 per share of Common Stock). The conversion rate and conversion price will be subject to certain customary ant-diluton adjustments.</w:t>
      </w:r>
    </w:p>
    <w:p>
      <w:pPr>
        <w:spacing w:after="0" w:line="246"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If the closing price of the Common Stock equals or exceeds $14.50 (subject to adjustment in the same manner as the conversion price) for 45 trading days within any period of 60 consecutve trading days, the Company will have the right to cause the mandatory conversion of the Convertble Notes into shares of Common Stock.</w:t>
      </w:r>
    </w:p>
    <w:p>
      <w:pPr>
        <w:spacing w:after="0" w:line="24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the event of certain fundamental transactons, the Buyers will have the right, within a period of 30 days following the occurrence of such transacton (“Holder Fundamental Transacton Electon Period”), to elect to either require prepayment of the Convertble Notes at par plus accrued and unpaid interest or convert all or a porton of the Convertble Notes into shares of Common Stock at the conversion rate then in efect plus any additonal shares based on the price per share of Common Stock in connecton with the fundamental transacton, or to receive the shares of a successor entty, if any.</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Embedded Derivatves</w:t>
      </w:r>
    </w:p>
    <w:p>
      <w:pPr>
        <w:spacing w:after="0" w:line="1" w:lineRule="exact"/>
        <w:rPr>
          <w:sz w:val="20"/>
          <w:szCs w:val="20"/>
          <w:color w:val="auto"/>
        </w:rPr>
      </w:pPr>
    </w:p>
    <w:p>
      <w:pPr>
        <w:spacing w:after="0" w:line="279" w:lineRule="auto"/>
        <w:rPr>
          <w:sz w:val="20"/>
          <w:szCs w:val="20"/>
          <w:color w:val="auto"/>
        </w:rPr>
      </w:pPr>
      <w:r>
        <w:rPr>
          <w:rFonts w:ascii="Calibri" w:cs="Calibri" w:eastAsia="Calibri" w:hAnsi="Calibri"/>
          <w:sz w:val="17"/>
          <w:szCs w:val="17"/>
          <w:color w:val="auto"/>
        </w:rPr>
        <w:t>Kodak allocated $12 million of the net proceeds received to a derivatve liability based on the aggregate fair value of the embedded features on the date of issuance which reduced the net carrying value of the Convertble Notes. The derivatve is being accounted for at fair value with subsequent changes in the fair value being reported as part of Other charges, net in the Consolidated Statement of Operatons. The fair value of the Convertble Notes embedded derivatve as of March 31, 2022 and December 31, 2021 was a liability of $8 million and $4 million, respectvely, and is included in Other long-term liabilites in the accompanying Consolidated Statement of Financial Positon. Refer to Note 16, “Financial Instruments” for informaton on the valuaton of the derivatve.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both"/>
        <w:ind w:right="360"/>
        <w:spacing w:after="0" w:line="235" w:lineRule="auto"/>
        <w:rPr>
          <w:sz w:val="20"/>
          <w:szCs w:val="20"/>
          <w:color w:val="auto"/>
        </w:rPr>
      </w:pPr>
      <w:r>
        <w:rPr>
          <w:rFonts w:ascii="Calibri" w:cs="Calibri" w:eastAsia="Calibri" w:hAnsi="Calibri"/>
          <w:sz w:val="18"/>
          <w:szCs w:val="18"/>
          <w:color w:val="auto"/>
        </w:rPr>
        <w:t>The carrying value of the Convertble Notes at both March 31, 2022 and December 31, 2021 was $15 million. The estmated fair value of the Convertble Notes as of March 31, 2022 was $22 million (Level 3). The carrying value is being accreted to the aggregate principal amount using the efectve interest method from the date of issuance through the maturity date.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00" w:type="dxa"/>
            <w:vAlign w:val="bottom"/>
            <w:gridSpan w:val="2"/>
          </w:tcPr>
          <w:p>
            <w:pPr>
              <w:spacing w:after="0"/>
              <w:rPr>
                <w:sz w:val="20"/>
                <w:szCs w:val="20"/>
                <w:color w:val="auto"/>
              </w:rPr>
            </w:pPr>
            <w:r>
              <w:rPr>
                <w:rFonts w:ascii="Calibri" w:cs="Calibri" w:eastAsia="Calibri" w:hAnsi="Calibri"/>
                <w:sz w:val="18"/>
                <w:szCs w:val="18"/>
                <w:b w:val="1"/>
                <w:bCs w:val="1"/>
                <w:color w:val="auto"/>
              </w:rPr>
              <w:t>Preferred Stock</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9"/>
        </w:trPr>
        <w:tc>
          <w:tcPr>
            <w:tcW w:w="7300" w:type="dxa"/>
            <w:vAlign w:val="bottom"/>
            <w:gridSpan w:val="2"/>
          </w:tcPr>
          <w:p>
            <w:pPr>
              <w:spacing w:after="0"/>
              <w:rPr>
                <w:sz w:val="20"/>
                <w:szCs w:val="20"/>
                <w:color w:val="auto"/>
              </w:rPr>
            </w:pPr>
            <w:r>
              <w:rPr>
                <w:rFonts w:ascii="Calibri" w:cs="Calibri" w:eastAsia="Calibri" w:hAnsi="Calibri"/>
                <w:sz w:val="18"/>
                <w:szCs w:val="18"/>
                <w:color w:val="auto"/>
              </w:rPr>
              <w:t>Redeemable convertble preferred stock was as follows: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90"/>
              <w:spacing w:after="0"/>
              <w:rPr>
                <w:sz w:val="20"/>
                <w:szCs w:val="20"/>
                <w:color w:val="auto"/>
              </w:rPr>
            </w:pPr>
            <w:r>
              <w:rPr>
                <w:rFonts w:ascii="Calibri" w:cs="Calibri" w:eastAsia="Calibri" w:hAnsi="Calibri"/>
                <w:sz w:val="18"/>
                <w:szCs w:val="18"/>
                <w:b w:val="1"/>
                <w:bCs w:val="1"/>
                <w:color w:val="auto"/>
              </w:rPr>
              <w:t>March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December 31,</w:t>
            </w:r>
          </w:p>
        </w:tc>
      </w:tr>
      <w:tr>
        <w:trPr>
          <w:trHeight w:val="230"/>
        </w:trPr>
        <w:tc>
          <w:tcPr>
            <w:tcW w:w="7300" w:type="dxa"/>
            <w:vAlign w:val="bottom"/>
            <w:gridSpan w:val="2"/>
          </w:tcPr>
          <w:p>
            <w:pPr>
              <w:ind w:left="1140"/>
              <w:spacing w:after="0"/>
              <w:rPr>
                <w:sz w:val="20"/>
                <w:szCs w:val="20"/>
                <w:color w:val="auto"/>
              </w:rPr>
            </w:pPr>
            <w:r>
              <w:rPr>
                <w:rFonts w:ascii="Calibri" w:cs="Calibri" w:eastAsia="Calibri" w:hAnsi="Calibri"/>
                <w:sz w:val="16"/>
                <w:szCs w:val="16"/>
                <w:color w:val="auto"/>
              </w:rPr>
              <w:t>(in millions)</w:t>
            </w:r>
          </w:p>
        </w:tc>
        <w:tc>
          <w:tcPr>
            <w:tcW w:w="160" w:type="dxa"/>
            <w:vAlign w:val="bottom"/>
          </w:tcPr>
          <w:p>
            <w:pPr>
              <w:spacing w:after="0"/>
              <w:rPr>
                <w:sz w:val="19"/>
                <w:szCs w:val="19"/>
                <w:color w:val="auto"/>
              </w:rPr>
            </w:pPr>
          </w:p>
        </w:tc>
        <w:tc>
          <w:tcPr>
            <w:tcW w:w="110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2022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9"/>
                <w:szCs w:val="19"/>
                <w:color w:val="auto"/>
              </w:rPr>
            </w:pPr>
          </w:p>
        </w:tc>
      </w:tr>
      <w:tr>
        <w:trPr>
          <w:trHeight w:val="23"/>
        </w:trPr>
        <w:tc>
          <w:tcPr>
            <w:tcW w:w="7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6160" w:type="dxa"/>
            <w:vAlign w:val="bottom"/>
            <w:tcBorders>
              <w:top w:val="single" w:sz="8" w:color="CFF0FC"/>
            </w:tcBorders>
            <w:shd w:val="clear" w:color="auto" w:fill="CFF0FC"/>
          </w:tcPr>
          <w:p>
            <w:pPr>
              <w:spacing w:after="0" w:line="199" w:lineRule="exact"/>
              <w:rPr>
                <w:sz w:val="20"/>
                <w:szCs w:val="20"/>
                <w:color w:val="auto"/>
              </w:rPr>
            </w:pPr>
            <w:r>
              <w:rPr>
                <w:rFonts w:ascii="Calibri" w:cs="Calibri" w:eastAsia="Calibri" w:hAnsi="Calibri"/>
                <w:sz w:val="18"/>
                <w:szCs w:val="18"/>
                <w:color w:val="auto"/>
              </w:rPr>
              <w:t>Series B preferred stock</w:t>
            </w:r>
          </w:p>
        </w:tc>
        <w:tc>
          <w:tcPr>
            <w:tcW w:w="160" w:type="dxa"/>
            <w:vAlign w:val="bottom"/>
            <w:tcBorders>
              <w:top w:val="single" w:sz="8" w:color="auto"/>
            </w:tcBorders>
            <w:shd w:val="clear" w:color="auto" w:fill="CFF0FC"/>
          </w:tcPr>
          <w:p>
            <w:pPr>
              <w:jc w:val="right"/>
              <w:ind w:right="1"/>
              <w:spacing w:after="0"/>
              <w:rPr>
                <w:sz w:val="20"/>
                <w:szCs w:val="20"/>
                <w:color w:val="auto"/>
              </w:rPr>
            </w:pPr>
            <w:r>
              <w:rPr>
                <w:rFonts w:ascii="Calibri" w:cs="Calibri" w:eastAsia="Calibri" w:hAnsi="Calibri"/>
                <w:sz w:val="16"/>
                <w:szCs w:val="16"/>
                <w:color w:val="auto"/>
                <w:w w:val="73"/>
              </w:rPr>
              <w:t>$</w:t>
            </w:r>
          </w:p>
        </w:tc>
        <w:tc>
          <w:tcPr>
            <w:tcW w:w="110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6160" w:type="dxa"/>
            <w:vAlign w:val="bottom"/>
            <w:tcBorders>
              <w:bottom w:val="single" w:sz="8" w:color="CFF0FC"/>
            </w:tcBorders>
          </w:tcPr>
          <w:p>
            <w:pPr>
              <w:spacing w:after="0" w:line="215" w:lineRule="exact"/>
              <w:rPr>
                <w:sz w:val="20"/>
                <w:szCs w:val="20"/>
                <w:color w:val="auto"/>
              </w:rPr>
            </w:pPr>
            <w:r>
              <w:rPr>
                <w:rFonts w:ascii="Calibri" w:cs="Calibri" w:eastAsia="Calibri" w:hAnsi="Calibri"/>
                <w:sz w:val="18"/>
                <w:szCs w:val="18"/>
                <w:color w:val="auto"/>
              </w:rPr>
              <w:t>Series C preferred stock</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102</w:t>
            </w:r>
          </w:p>
        </w:tc>
        <w:tc>
          <w:tcPr>
            <w:tcW w:w="10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6160" w:type="dxa"/>
            <w:vAlign w:val="bottom"/>
            <w:tcBorders>
              <w:bottom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Total</w:t>
            </w: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Calibri" w:cs="Calibri" w:eastAsia="Calibri" w:hAnsi="Calibri"/>
                <w:sz w:val="16"/>
                <w:szCs w:val="16"/>
                <w:color w:val="auto"/>
                <w:w w:val="73"/>
              </w:rPr>
              <w:t>$</w:t>
            </w:r>
          </w:p>
        </w:tc>
        <w:tc>
          <w:tcPr>
            <w:tcW w:w="11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Series B Preferred Stock</w:t>
      </w:r>
    </w:p>
    <w:p>
      <w:pPr>
        <w:spacing w:after="0" w:line="244" w:lineRule="exact"/>
        <w:rPr>
          <w:sz w:val="20"/>
          <w:szCs w:val="20"/>
          <w:color w:val="auto"/>
        </w:rPr>
      </w:pPr>
    </w:p>
    <w:p>
      <w:pPr>
        <w:spacing w:after="0" w:line="250" w:lineRule="auto"/>
        <w:rPr>
          <w:sz w:val="20"/>
          <w:szCs w:val="20"/>
          <w:color w:val="auto"/>
        </w:rPr>
      </w:pPr>
      <w:r>
        <w:rPr>
          <w:rFonts w:ascii="Calibri" w:cs="Calibri" w:eastAsia="Calibri" w:hAnsi="Calibri"/>
          <w:sz w:val="18"/>
          <w:szCs w:val="18"/>
          <w:color w:val="auto"/>
        </w:rPr>
        <w:t>On February 26, 2021 the Company agreed to exchange the remaining one million shares of Series A Preferred Stock held by Southeastern Asset Management, Inc. (“Southeastern”) and Longleaf Partners Small-Cap Fund, C2W Partners Master Fund Limited and Deseret Mutual Pension Trust, which are investment funds managed by Southeastern (such investment funds, collectvely, the “Purchasers”), for shares of the Company’s newly created 4.0% Series B Convertble Preferred Stock, no par value (the “Series B Preferred Stock”) on a one-for-one basis plus accrued and unpaid dividends</w:t>
      </w:r>
      <w:r>
        <w:rPr>
          <w:rFonts w:ascii="Calibri" w:cs="Calibri" w:eastAsia="Calibri" w:hAnsi="Calibri"/>
          <w:sz w:val="21"/>
          <w:szCs w:val="21"/>
          <w:color w:val="auto"/>
        </w:rPr>
        <w:t>.</w:t>
      </w:r>
      <w:r>
        <w:rPr>
          <w:rFonts w:ascii="Calibri" w:cs="Calibri" w:eastAsia="Calibri" w:hAnsi="Calibri"/>
          <w:sz w:val="18"/>
          <w:szCs w:val="18"/>
          <w:color w:val="auto"/>
        </w:rPr>
        <w:t xml:space="preserve"> The fair value of the Series B Preferred Stock at the tme of issuance approximated $95 million. The Company has classifed the Series B Preferred Stock as temporary equity in the Consolidated Statement of Financial Positon.</w:t>
      </w:r>
    </w:p>
    <w:p>
      <w:pPr>
        <w:spacing w:after="0" w:line="2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Dividends</w:t>
      </w:r>
    </w:p>
    <w:p>
      <w:pPr>
        <w:spacing w:after="0" w:line="1"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The holders of Series B Preferred Stock are enttled to cumulatve dividends payable quarterly in cash at a rate of 4.0% per annum. Dividends owed on the Series B Preferred Stock have been declared and paid when due.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Conversion Features</w:t>
      </w:r>
    </w:p>
    <w:p>
      <w:pPr>
        <w:spacing w:after="0" w:line="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Each share of Series B Preferred Stock is convertble, at the opton of each holder at any tme, into shares of Common Stock at the inital conversion rate of 9.5238 shares of Common Stock for each share of Series B Preferred Stock (equivalent to an inital conversion price of $10.50 per share of Common Stock). The inital conversion rate and the corresponding conversion price will be subject to certain customary ant-diluton adjustments. If a holder elects to convert any shares of Series B Preferred Stock during a specifed period in connecton with a fundamental change (as defned in the Series B Certfcate of Designatons), such holder can elect to have the conversion rate adjusted and can elect to receive a cash payment in lieu of shares for a porton of the shares. Such holder will also be enttled to a payment in respect of accumulated dividends. In additon, the Company will have the right to require holders to convert any shares of Series B Preferred Stock in connecton with certain reorganizaton events in which case the conversion rate will be adjusted, subject to certain limitatons.</w:t>
      </w:r>
    </w:p>
    <w:p>
      <w:pPr>
        <w:spacing w:after="0" w:line="25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Company will have the right to cause the mandatory conversion of the Series B Preferred Stock into shares of Common Stock at any tme afer the inital issuance of the Series B Preferred Stock if the closing price of the Common Stock has equaled or exceeded $14.50 (subject to adjustment in the same manner as the conversion price) for 45 trading days within a period of 60 consecutve trading days.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Embedded Conversion Features</w:t>
      </w:r>
    </w:p>
    <w:p>
      <w:pPr>
        <w:spacing w:after="0" w:line="1" w:lineRule="exact"/>
        <w:rPr>
          <w:sz w:val="20"/>
          <w:szCs w:val="20"/>
          <w:color w:val="auto"/>
        </w:rPr>
      </w:pPr>
    </w:p>
    <w:p>
      <w:pPr>
        <w:ind w:right="80"/>
        <w:spacing w:after="0" w:line="251" w:lineRule="auto"/>
        <w:rPr>
          <w:sz w:val="20"/>
          <w:szCs w:val="20"/>
          <w:color w:val="auto"/>
        </w:rPr>
      </w:pPr>
      <w:r>
        <w:rPr>
          <w:rFonts w:ascii="Calibri" w:cs="Calibri" w:eastAsia="Calibri" w:hAnsi="Calibri"/>
          <w:sz w:val="17"/>
          <w:szCs w:val="17"/>
          <w:color w:val="auto"/>
        </w:rPr>
        <w:t>The Company allocated $1 million to the derivatve liability based on the aggregate fair value of the embedded conversion feature on the date of issuance which reduced the original carrying value of the Series B Preferred Stock. The derivatve is being accounted for at fair value with subsequent changes in the fair value being reported as part of Other charges, net in the Consolidated Statement of Operatons. The fair value of the Series B Preferred Stock embedded derivatve as of both March 31, 2022 and December 31, 2021 was a liability of $1 million and is included in Other long-term liabilites in the accompanying Consolidated Statement of Financial Positon. Refer to Note 16, “Financial Instruments” for informaton on the valuaton of the derivatve.</w:t>
      </w:r>
    </w:p>
    <w:p>
      <w:pPr>
        <w:spacing w:after="0" w:line="211"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carrying value of the Series B Preferred Stock is being accreted to the mandatory redempton amount using the efectve interest method to Additonal paid in capital in the Consolidated Statement of Financial Positon as a deemed dividend from the date of issuance through the mandatory redempton date, May 28, 2026.</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b w:val="1"/>
          <w:bCs w:val="1"/>
          <w:color w:val="auto"/>
        </w:rPr>
        <w:t>Series C Preferred Stock</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Purchase Agreement</w:t>
      </w:r>
    </w:p>
    <w:p>
      <w:pPr>
        <w:spacing w:after="0" w:line="1"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Convertble Preferred Stock, no par value per share (the “Series C Preferred Stock”), for a purchase price of $100 per share, representng $100 million of gross proceeds to the Company. The Investor is a fund managed by Grand Oaks Capital. The Company has classifed the Series C Preferred Stock as temporary equity in the Consolidated Statement of Financial Positon.</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Dividends</w:t>
      </w:r>
    </w:p>
    <w:p>
      <w:pPr>
        <w:spacing w:after="0" w:line="1" w:lineRule="exact"/>
        <w:rPr>
          <w:sz w:val="20"/>
          <w:szCs w:val="20"/>
          <w:color w:val="auto"/>
        </w:rPr>
      </w:pPr>
    </w:p>
    <w:p>
      <w:pPr>
        <w:ind w:right="140"/>
        <w:spacing w:after="0" w:line="258" w:lineRule="auto"/>
        <w:rPr>
          <w:sz w:val="20"/>
          <w:szCs w:val="20"/>
          <w:color w:val="auto"/>
        </w:rPr>
      </w:pPr>
      <w:r>
        <w:rPr>
          <w:rFonts w:ascii="Calibri" w:cs="Calibri" w:eastAsia="Calibri" w:hAnsi="Calibri"/>
          <w:sz w:val="17"/>
          <w:szCs w:val="17"/>
          <w:color w:val="auto"/>
        </w:rPr>
        <w:t>The holders of Series C Preferred Stock are enttled to cumulatve dividends payable quarterly “in‐kind” in the form of additonal shares of Series C Preferred Stock at a rate of 5.0% per annum. Dividends owed on the Series C Preferred Stock have been declared and additonal Series C shares issued when due.</w:t>
      </w:r>
    </w:p>
    <w:p>
      <w:pPr>
        <w:spacing w:after="0" w:line="22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Conversion Features</w:t>
      </w:r>
    </w:p>
    <w:p>
      <w:pPr>
        <w:spacing w:after="0" w:line="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Each share of Series C Preferred Stock is convertble, at the opton of each holder at any tme, into shares of Common Stock at the inital conversion price of $10 per share of Common Stock. The inital conversion price and the corresponding conversion rate will be subject to certain customary ant-diluton adjustments and to proportonal increase in the event the liquidaton preference of the Series C Preferred Stock is automatcally increased as described above. If a holder elects to convert any shares of Series C Preferred Stock during a specifed period in connecton with a fundamental change (as defned in the Series C Certfcate of Designatons), such holder can elect to have the conversion rate adjusted and can elect to receive a cash payment in lieu of shares for a porton of the shares of Common Stock. Such holder will also be enttled to a payment in respect of accumulated dividends and a payment based on the present value of all required remaining dividend payments through May 28, 2026, the mandatory redempton date. Such additonal payments will be payable at the Company’s opton in cash or in additonal shares of Common Stock. In additon, the Company will have the right to require holders to convert any shares of Series C Preferred Stock in connecton with certain reorganizaton events in which case the conversion rate will be adjusted, subject to certain limitatons.</w:t>
      </w:r>
    </w:p>
    <w:p>
      <w:pPr>
        <w:spacing w:after="0" w:line="25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 will have the right to cause the mandatory conversion of the Series C Preferred Stock into shares of Common Stock (i) at any tme afer February 26, 2023 if the closing price of the Common Stock has equaled or exceeded 200% of the then-efectve conversion price for 45 trading days within a period of 60 consecutve trading days, or (ii) at any tme afer February 26, 2024 if the closing price of the Common Stock has equaled or exceeded 150% of the then-efectve conversion price for 45 trading days within a period of 60 consecutve trading days.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Embedded Conversion Features</w:t>
      </w:r>
    </w:p>
    <w:p>
      <w:pPr>
        <w:spacing w:after="0" w:line="1"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Company allocated $2 million of the net proceeds received to the derivatve liability based on the aggregate fair value of the embedded conversion features on the dates of issuance which reduced the original carrying value of the Series C Preferred Stock. The derivatve is being accounted for at fair value with subsequent changes in the fair value being reported as part of Other charges, net in the Consolidated Statement of Operatons. The fair value of the Series C Preferred Stock derivatve as of March 31, 2022 and December 31, 2021 was a liability of $1 million and $2 million, respectvely, and is included in Other long-term liabilites in the accompanying Consolidated Statement of Financial Positon. Refer to Note 16, “Financial Instruments” for informaton on the valuaton of the derivatve.</w:t>
      </w:r>
    </w:p>
    <w:p>
      <w:pPr>
        <w:spacing w:after="0" w:line="248" w:lineRule="exact"/>
        <w:rPr>
          <w:sz w:val="20"/>
          <w:szCs w:val="20"/>
          <w:color w:val="auto"/>
        </w:rPr>
      </w:pPr>
    </w:p>
    <w:p>
      <w:pPr>
        <w:ind w:right="140"/>
        <w:spacing w:after="0" w:line="258" w:lineRule="auto"/>
        <w:rPr>
          <w:sz w:val="20"/>
          <w:szCs w:val="20"/>
          <w:color w:val="auto"/>
        </w:rPr>
      </w:pPr>
      <w:r>
        <w:rPr>
          <w:rFonts w:ascii="Calibri" w:cs="Calibri" w:eastAsia="Calibri" w:hAnsi="Calibri"/>
          <w:sz w:val="17"/>
          <w:szCs w:val="17"/>
          <w:color w:val="auto"/>
        </w:rPr>
        <w:t>The carrying value of the Series C Preferred Stock is being accreted to the mandatory redempton amount using the efectve interest method to Additonal paid in capital in the Consolidated Statement of Financial Positon as a deemed dividend from the date of issuance through the mandatory redempton date.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b w:val="1"/>
          <w:bCs w:val="1"/>
          <w:color w:val="auto"/>
        </w:rPr>
        <w:t>NOTE 5: LEASES</w:t>
      </w:r>
    </w:p>
    <w:p>
      <w:pPr>
        <w:spacing w:after="0" w:line="24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Income recognized on operatng lease arrangements for the three months ended March 31, 2022 and 2021 is presented below. Income recognized for sales-type lease arrangements for the three months ended March 31, 2022 and 2021 was $0 million and $1 million, respectvely.</w:t>
      </w:r>
    </w:p>
    <w:p>
      <w:pPr>
        <w:sectPr>
          <w:pgSz w:w="11900" w:h="16838" w:orient="portrait"/>
          <w:cols w:equalWidth="0" w:num="1">
            <w:col w:w="11200"/>
          </w:cols>
          <w:pgMar w:left="320" w:top="78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40"/>
        <w:spacing w:after="0"/>
        <w:rPr>
          <w:sz w:val="20"/>
          <w:szCs w:val="20"/>
          <w:color w:val="auto"/>
        </w:rPr>
      </w:pPr>
      <w:r>
        <w:rPr>
          <w:rFonts w:ascii="Calibri" w:cs="Calibri" w:eastAsia="Calibri" w:hAnsi="Calibri"/>
          <w:sz w:val="16"/>
          <w:szCs w:val="16"/>
          <w:color w:val="auto"/>
        </w:rPr>
        <w:t>(in millions)</w:t>
      </w:r>
    </w:p>
    <w:p>
      <w:pPr>
        <w:spacing w:after="0" w:line="32" w:lineRule="exact"/>
        <w:rPr>
          <w:sz w:val="20"/>
          <w:szCs w:val="20"/>
          <w:color w:val="auto"/>
        </w:rPr>
      </w:pPr>
    </w:p>
    <w:p>
      <w:pPr>
        <w:ind w:left="1140"/>
        <w:spacing w:after="0"/>
        <w:rPr>
          <w:sz w:val="20"/>
          <w:szCs w:val="20"/>
          <w:color w:val="auto"/>
        </w:rPr>
      </w:pPr>
      <w:r>
        <w:rPr>
          <w:rFonts w:ascii="Calibri" w:cs="Calibri" w:eastAsia="Calibri" w:hAnsi="Calibri"/>
          <w:sz w:val="17"/>
          <w:szCs w:val="17"/>
          <w:color w:val="auto"/>
        </w:rPr>
        <w:t>Lease income - operatng leases:</w:t>
      </w:r>
    </w:p>
    <w:p>
      <w:pPr>
        <w:spacing w:after="0" w:line="44"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Lease income</w:t>
      </w:r>
    </w:p>
    <w:p>
      <w:pPr>
        <w:spacing w:after="0" w:line="37"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Variable lease income</w:t>
      </w:r>
    </w:p>
    <w:p>
      <w:pPr>
        <w:spacing w:after="0" w:line="50" w:lineRule="exact"/>
        <w:rPr>
          <w:sz w:val="20"/>
          <w:szCs w:val="20"/>
          <w:color w:val="auto"/>
        </w:rPr>
      </w:pPr>
    </w:p>
    <w:p>
      <w:pPr>
        <w:ind w:left="1260"/>
        <w:spacing w:after="0"/>
        <w:rPr>
          <w:sz w:val="20"/>
          <w:szCs w:val="20"/>
          <w:color w:val="auto"/>
        </w:rPr>
      </w:pPr>
      <w:r>
        <w:rPr>
          <w:rFonts w:ascii="Calibri" w:cs="Calibri" w:eastAsia="Calibri" w:hAnsi="Calibri"/>
          <w:sz w:val="18"/>
          <w:szCs w:val="18"/>
          <w:color w:val="auto"/>
        </w:rPr>
        <w:t>Total lease income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NOTE 6: COMMITMENTS AND CONTINGENCIES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center"/>
        <w:ind w:right="1180"/>
        <w:spacing w:after="0"/>
        <w:rPr>
          <w:sz w:val="20"/>
          <w:szCs w:val="20"/>
          <w:color w:val="auto"/>
        </w:rPr>
      </w:pPr>
      <w:r>
        <w:rPr>
          <w:rFonts w:ascii="Calibri" w:cs="Calibri" w:eastAsia="Calibri" w:hAnsi="Calibri"/>
          <w:sz w:val="18"/>
          <w:szCs w:val="18"/>
          <w:b w:val="1"/>
          <w:bCs w:val="1"/>
          <w:color w:val="auto"/>
        </w:rPr>
        <w:t>Three Months Ended</w:t>
      </w:r>
    </w:p>
    <w:p>
      <w:pPr>
        <w:spacing w:after="0" w:line="37" w:lineRule="exact"/>
        <w:rPr>
          <w:sz w:val="20"/>
          <w:szCs w:val="20"/>
          <w:color w:val="auto"/>
        </w:rPr>
      </w:pPr>
    </w:p>
    <w:p>
      <w:pPr>
        <w:jc w:val="center"/>
        <w:ind w:right="1180"/>
        <w:spacing w:after="0"/>
        <w:rPr>
          <w:sz w:val="20"/>
          <w:szCs w:val="20"/>
          <w:color w:val="auto"/>
        </w:rPr>
      </w:pPr>
      <w:r>
        <w:rPr>
          <w:rFonts w:ascii="Calibri" w:cs="Calibri" w:eastAsia="Calibri" w:hAnsi="Calibri"/>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2494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ind w:right="670"/>
              <w:spacing w:after="0"/>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50"/>
              <w:spacing w:after="0"/>
              <w:rPr>
                <w:sz w:val="20"/>
                <w:szCs w:val="20"/>
                <w:color w:val="auto"/>
              </w:rPr>
            </w:pPr>
            <w:r>
              <w:rPr>
                <w:rFonts w:ascii="Calibri" w:cs="Calibri" w:eastAsia="Calibri" w:hAnsi="Calibri"/>
                <w:sz w:val="18"/>
                <w:szCs w:val="18"/>
                <w:b w:val="1"/>
                <w:bCs w:val="1"/>
                <w:color w:val="auto"/>
              </w:rPr>
              <w:t>2021</w:t>
            </w:r>
          </w:p>
        </w:tc>
      </w:tr>
      <w:tr>
        <w:trPr>
          <w:trHeight w:val="23"/>
        </w:trPr>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483"/>
        </w:trPr>
        <w:tc>
          <w:tcPr>
            <w:tcW w:w="420" w:type="dxa"/>
            <w:vAlign w:val="bottom"/>
            <w:gridSpan w:val="2"/>
          </w:tcPr>
          <w:p>
            <w:pPr>
              <w:jc w:val="right"/>
              <w:ind w:right="320"/>
              <w:spacing w:after="0"/>
              <w:rPr>
                <w:sz w:val="20"/>
                <w:szCs w:val="20"/>
                <w:color w:val="auto"/>
              </w:rPr>
            </w:pPr>
            <w:r>
              <w:rPr>
                <w:rFonts w:ascii="Calibri" w:cs="Calibri" w:eastAsia="Calibri" w:hAnsi="Calibri"/>
                <w:sz w:val="18"/>
                <w:szCs w:val="18"/>
                <w:color w:val="auto"/>
                <w:w w:val="87"/>
              </w:rPr>
              <w:t>$</w:t>
            </w:r>
          </w:p>
        </w:tc>
        <w:tc>
          <w:tcPr>
            <w:tcW w:w="144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57"/>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Calibri" w:cs="Calibri" w:eastAsia="Calibri" w:hAnsi="Calibri"/>
                <w:sz w:val="18"/>
                <w:szCs w:val="18"/>
                <w:color w:val="auto"/>
              </w:rPr>
              <w:t>1</w:t>
            </w:r>
          </w:p>
        </w:tc>
      </w:tr>
      <w:tr>
        <w:trPr>
          <w:trHeight w:val="23"/>
        </w:trPr>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7"/>
        </w:trPr>
        <w:tc>
          <w:tcPr>
            <w:tcW w:w="420" w:type="dxa"/>
            <w:vAlign w:val="bottom"/>
            <w:gridSpan w:val="2"/>
          </w:tcPr>
          <w:p>
            <w:pPr>
              <w:jc w:val="right"/>
              <w:ind w:right="320"/>
              <w:spacing w:after="0"/>
              <w:rPr>
                <w:sz w:val="20"/>
                <w:szCs w:val="20"/>
                <w:color w:val="auto"/>
              </w:rPr>
            </w:pPr>
            <w:r>
              <w:rPr>
                <w:rFonts w:ascii="Calibri" w:cs="Calibri" w:eastAsia="Calibri" w:hAnsi="Calibri"/>
                <w:sz w:val="18"/>
                <w:szCs w:val="18"/>
                <w:color w:val="auto"/>
                <w:w w:val="87"/>
              </w:rPr>
              <w:t>$</w:t>
            </w:r>
          </w:p>
        </w:tc>
        <w:tc>
          <w:tcPr>
            <w:tcW w:w="144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2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rPr>
                <w:sz w:val="20"/>
                <w:szCs w:val="20"/>
                <w:color w:val="auto"/>
              </w:rPr>
            </w:pPr>
            <w:r>
              <w:rPr>
                <w:rFonts w:ascii="Calibri" w:cs="Calibri" w:eastAsia="Calibri" w:hAnsi="Calibri"/>
                <w:sz w:val="18"/>
                <w:szCs w:val="18"/>
                <w:color w:val="auto"/>
              </w:rPr>
              <w:t>3</w:t>
            </w:r>
          </w:p>
        </w:tc>
      </w:tr>
      <w:tr>
        <w:trPr>
          <w:trHeight w:val="23"/>
        </w:trPr>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-693420</wp:posOffset>
            </wp:positionV>
            <wp:extent cx="57003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-359410</wp:posOffset>
            </wp:positionV>
            <wp:extent cx="570039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871" w:lineRule="exact"/>
        <w:rPr>
          <w:sz w:val="20"/>
          <w:szCs w:val="20"/>
          <w:color w:val="auto"/>
        </w:rPr>
      </w:pPr>
    </w:p>
    <w:p>
      <w:pPr>
        <w:sectPr>
          <w:pgSz w:w="11900" w:h="16838" w:orient="portrait"/>
          <w:cols w:equalWidth="0" w:num="2">
            <w:col w:w="5360" w:space="720"/>
            <w:col w:w="5120"/>
          </w:cols>
          <w:pgMar w:left="320" w:top="787" w:right="379" w:bottom="1440" w:gutter="0" w:footer="0" w:header="0"/>
          <w:type w:val="continuous"/>
        </w:sectPr>
      </w:pPr>
    </w:p>
    <w:p>
      <w:pPr>
        <w:spacing w:after="0" w:line="5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As of March 31, 2022, the Company had outstanding leters of credit of $46 million and $44 million issued under the Amended ABL Credit Agreement and the L/C Facility Agreement, respectvely, as well as bank guarantees and leters of credit of $2 million, surety bonds in the amount of $29 million, and restricted cash of $65 million, primarily related to cash collateral for the outstanding leters of credit under the L/C Facility Agreement, to ensure payment of possible casualty and workers’ compensaton claims, legal contngencies, hedging actvites, environmental liabilites, rental payments and to support various customs, tax and trade actvites.</w:t>
      </w:r>
    </w:p>
    <w:p>
      <w:pPr>
        <w:spacing w:after="0" w:line="24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Kodak’s Brazilian operatons are involved in various litgaton maters in Brazil and have received or been the subject of numerous governmental assessments related to indirect and other taxes in various stages of litgaton, as well as civil litgaton and disputes associated with former employees and contract labor. The tax maters, which comprise the majority of the litgaton maters, are primarily related to federal and state value-added taxes. Kodak’s Brazilian operatons are disputng these maters and intend to vigorously defend its positon. Kodak routnely assesses all these maters as to the probability of ultmately incurring a liability in its Brazilian operatons and records its best estmate of the ultmate loss in situatons where it assesses the likelihood of loss as probable. As of March 31, 2022, Kodak’s Brazilian Operatons maintained accruals of approximately $3 million for claims aggregatng approximately $131 million inclusive of interest and penaltes where appropriate. The unreserved porton of the indirect taxes, civil litgaton and disputes associated with former employees and contract labor claims, inclusive of any related interest and penaltes, for which there was at least a reasonable possibility that a loss may be incurred, amounted to approximately $5 million.</w:t>
      </w:r>
    </w:p>
    <w:p>
      <w:pPr>
        <w:spacing w:after="0" w:line="251"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In connecton with assessments in Brazil, local regulatons may require Kodak’s Brazilian operatons to post security for a porton of the amounts in dispute. As of March 31, 2022, Kodak’s Brazilian operatons have posted security composed of $6 million of pledged cash reported within Restricted cash in the Consolidated Statement of Financial Positon and liens on certain Brazilian assets with a net book value of approximately $46 million. Generally, any encumbrances on the Brazilian assets would be removed to the extent the mater is resolved in Kodak's favor.</w:t>
      </w:r>
    </w:p>
    <w:p>
      <w:pPr>
        <w:spacing w:after="0" w:line="246"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On August 13, 2020 Tiandong Tang commenced a class acton lawsuit against the Company, its Executve Chairman and Chief Executve Ofcer and its Chief Financial Ofcer in Federal District Court in the District of New Jersey, and on August 26, 2020 Jimmie A. McAdams and Judy P. McAdams commenced a class acton lawsuit against the Company and its Executve Chairman and Chief Executve Ofcer in Federal District Court in the Southern District of New York (collectvely, the “Securites Class Actons”). The Securites Class Actons seek damages and other relief based on alleged violatons of federal securites laws in the context of the U.S. Internatonal Development Finance Corporaton (the “DFC”) announcement (the “DFC Announcement”) of the signing of a non-binding leter of interest to provide a subsidiary of the Company with a potental $765 million loan (the “DFC Loan”) to support the launch of Kodak Pharmaceutcals, an initatve that would manufacture pharmaceutcal ingredients for essental generic drugs (the “DFC Pharmaceutcal Project”) on July 28, 2020. The Securites Class Actons were transferred to the Federal District Court for the Western District of New York and were consolidated into a single proceeding (the “Consolidated Securites Class Acton”) on June 22, 2021. Les Investssements Kiz Inc. and UAT Trading Service, Inc. were appointed by the court to serve as lead plaintf for the Consolidated Securites Class Acton on August 2, 2021, and the lead plaintf fled an amended consolidated complaint on October 1, 2021 which added Kodak’s General Counsel and current and former members of its Board of Directors as additonal defendants. The Company and individual defendants fled motons to dismiss the Consolidated Securites Class Acton on December 14, 2021. The lead plaintf fled an oppositon to the motons to dismiss on February 28, 2022, and the Company and the individual defendants fled responses to the plaintf’s oppositon on April 6, 2022. The Company intends to contnue to vigorously defend itself against the Consolidated Securites Class Acton.</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87" w:right="379" w:bottom="1440" w:gutter="0" w:footer="0" w:header="0"/>
          <w:type w:val="continuous"/>
        </w:sectPr>
      </w:pPr>
    </w:p>
    <w:bookmarkStart w:id="13" w:name="page14"/>
    <w:bookmarkEnd w:id="13"/>
    <w:p>
      <w:pPr>
        <w:spacing w:after="0" w:line="235" w:lineRule="auto"/>
        <w:rPr>
          <w:sz w:val="20"/>
          <w:szCs w:val="20"/>
          <w:color w:val="auto"/>
        </w:rPr>
      </w:pPr>
      <w:r>
        <w:rPr>
          <w:rFonts w:ascii="Calibri" w:cs="Calibri" w:eastAsia="Calibri" w:hAnsi="Calibri"/>
          <w:sz w:val="18"/>
          <w:szCs w:val="18"/>
          <w:color w:val="auto"/>
        </w:rPr>
        <w:t>On December 29, 2020 Robert Garfeld commenced a class acton lawsuit against the Company and current and former members of its Board of Directors in the Superior Court of Mercer County, New Jersey seeking equitable relief and damages in favor of the Company based on alleged breaches of fduciary duty by the Company’s Board of Directors associated with alleged false and misleading proxy statement disclosures (including the successor New York lawsuit discussed below, the “Fiduciary Class Acton”). The Company and each of the individual defendants fled motons to dismiss the Fiduciary Class Acton on April 13, 2021. The plaintf in the Fiduciary Class Acton voluntarily dismissed the Fiduciary Class Acton without prejudice on May 26, 2021 and fled a lawsuit substantally similar to the dismissed New Jersey lawsuit in the Supreme Court of the State of New York in Monroe County on October 27, 2021, this tme on behalf of a purported class of benefcial and record owners of stock of the Company as of March 26, 2020 who contnue to own such stock through the present. The Company and individual defendants fled motons to dismiss the Fiduciary Class Acton on January 19, 2022. The plaintf fled an oppositon to the motons to dismiss on March 28, 2022, and the Company and the individual defendants fled responses to the plaintf’s oppositon on May 9, 2022. The Company intends to contnue to vigorously defend itself against the Fiduciary Class Acton.</w:t>
      </w:r>
    </w:p>
    <w:p>
      <w:pPr>
        <w:spacing w:after="0" w:line="25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Company has also received fve requests under New Jersey law demanding, among other things, that the Company take certain actons in response to alleged breaches of fduciary duty relatng to opton grants and securites transactons in the context of the DFC Announcement and alleged proxy statement disclosure defciencies (each a “Derivatve Demand”, and collectvely the “Derivatve Demands”). On May 19, 2021 Louis Peters, one of the persons making a Derivatve Demand (“Peters”), commenced a derivatve lawsuit on behalf of the Company against certain ofcers and current and former directors of the Company and the Company as a nominal defendant in the Supreme Court of the State of New York in Monroe County seeking damages and equitable relief based on alleged breaches of fduciary duty and unjust enrichment resultng from stock trades, opton grants and a charitable contributon in the context of the DFC Announcement of the potental DFC Loan and DFC Pharmaceutcal Project (the “State Derivatve Lawsuit”). The plaintf fled an amended complaint in the State Derivatve Lawsuit on August 23, 2021, and the Company and individual defendants fled motons to dismiss (or alternatvely, in the case of the Company, a moton for summary judgment) in the State Derivatve Lawsuit on October 22, 2021. On March 17, 2022, the Court issued an order staying the State Derivatve Lawsuit pending the resoluton of the Federal Derivatve Lawsuit described below.</w:t>
      </w:r>
    </w:p>
    <w:p>
      <w:pPr>
        <w:spacing w:after="0" w:line="25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September 2, 2021 Herbert Silverberg, another person making a Derivatve Demand (“Silverberg”), commenced a derivatve lawsuit on behalf of the Company against one current and one former director of the Company and the Company as a nominal defendant in the Federal District Court for the Western District of New York seeking damages and equitable relief on a basis overlapping with the State Derivatve Lawsuit and alleged proxy statement misrepresentatons and omissions. On October 4, 2021 Peters commenced a derivatve lawsuit on behalf of the Company against the same partes named in the State Derivatve Lawsuit in the Federal District Court for the Western District of New York seeking damages and equitable relief on a basis overlapping with the State Derivatve Lawsuit and alleged violatons of Secton 10(b) of the Exchange Act. The Federal derivatve lawsuits fled by Silverberg and Peters were consolidated into a single proceeding (the “Federal Derivatve Lawsuit”) on January 18, 2022, and Peters was appointed as lead plaintf in the Federal Derivatve Lawsuit. An amended consolidated complaint combining the allegatons contained in the Federal derivatve lawsuits fled by Silverberg and Peters was fled in the Federal Derivatve Lawsuit on February 16, 2022, and the Company and individual defendants fled motons to dismiss or, in the alternatve in the case of the Company, for summary judgment on April 15, 2022.</w:t>
      </w:r>
    </w:p>
    <w:p>
      <w:pPr>
        <w:spacing w:after="0" w:line="251"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Additonal shareholder derivatve lawsuits may be brought based on the other Derivatve Demands (any such lawsuits, collectvely with the State Derivatve Lawsuit, the Federal Derivatve Lawsuit and the Fiduciary Class Acton, the “Fiduciary Maters”). The Company, actng through a Special Commitee of Independent Directors, previously determined that there was no merit to the claims alleged by the Derivatve Demands made through the tme of its determinaton (except with respect to the charitable contributon, which was not fully considered by the Special Commitee). See the Company’s Current Report on Form 8‐K fled with the SEC on September 16, 2020. The Company, actng through a separate Special Litgaton Commitee of Independent Directors, concurred with the frst Special Commitee’s fndings and further concluded it is not in the Company’s interest to bring or allow any other shareholder to assert any of the claims alleged by the State Derivatve Lawsuit or Federal Derivatve Lawsuit (with the excepton of the Peters claim purportedly arising under Secton 10(b) of the Exchange Act, which was not addressed as no demand was made with respect to such claim). The second Special Litgaton Commitee will carefully review any other additonal complaints consttutng Fiduciary Maters which may be fled.</w:t>
      </w:r>
    </w:p>
    <w:p>
      <w:pPr>
        <w:spacing w:after="0" w:line="251"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The DFC Announcement has also prompted investgatons by several congressional commitees, the SEC and the New York Atorney General’s ofce. The Company has cooperated in those investgatons.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4" w:name="page15"/>
    <w:bookmarkEnd w:id="14"/>
    <w:p>
      <w:pPr>
        <w:ind w:right="80"/>
        <w:spacing w:after="0" w:line="235" w:lineRule="auto"/>
        <w:rPr>
          <w:sz w:val="20"/>
          <w:szCs w:val="20"/>
          <w:color w:val="auto"/>
        </w:rPr>
      </w:pPr>
      <w:r>
        <w:rPr>
          <w:rFonts w:ascii="Calibri" w:cs="Calibri" w:eastAsia="Calibri" w:hAnsi="Calibri"/>
          <w:sz w:val="18"/>
          <w:szCs w:val="18"/>
          <w:color w:val="auto"/>
        </w:rPr>
        <w:t>As previously reported, the Atorney General of the State of New York (the “NYAG”) has threatened to fle a lawsuit against the Company and its Chief Executve Ofcer alleging violatons of New York State’s Martn Act (the “Threatened Claim”). In connecton with the Threatened Claim, on June 15, 2021 the Supreme Court of the State of New York in New York County issued an order providing for additonal document producton by the Company to the NYAG and the taking by the NYAG of investgatve testmony of the Company’s Chief Executve Ofcer and General Counsel. The Company has completed its document producton and its ofcers provided the testmony as contemplated by such order on October 8, 2021 and October 1, 2021, respectvely. The Company is in preliminary discussions with the NYAG regarding a potental resoluton of the Threatened Claim; however, there can be no assurance that those discussions will lead to a resoluton. If the Threatened Claim is not resolved and is ultmately brought by the NYAG, the Company intends to vigorously defend itself against the Threatened Claim.</w:t>
      </w:r>
    </w:p>
    <w:p>
      <w:pPr>
        <w:spacing w:after="0" w:line="25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additon, Kodak is involved in various lawsuits, claims, investgatons, remediatons and proceedings, including, from tme to tme, commercial, customs, employment, environmental, tort and health and safety maters, which are being handled and defended in the ordinary course of business. Kodak is also subject, from tme to tme, to various assertons, claims, proceedings and requests for indemnifcaton concerning intellectual property, including patent infringement suits involving technologies that are incorporated in a broad spectrum of Kodak’s products. These maters are in various stages of investgaton and litgaton and are being vigorously defended. Based on informaton currently available, Kodak does not believe that it is probable that the outcomes in these various maters, individually or collectvely, will have a material adverse efect on its fnancial conditon or results of operatons. Litgaton is inherently unpredictable, and judgments could be rendered or setlements entered that could adversely afect Kodak’s operatng results or cash fows in a partcular period. Kodak routnely assesses all of its litgaton and threatened litgaton as to the probability of ultmately incurring a liability and records its best estmate of the ultmate loss in situatons where it assesses the likelihood of loss as probable.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7: GUARANTEES</w:t>
      </w:r>
    </w:p>
    <w:p>
      <w:pPr>
        <w:spacing w:after="0" w:line="109" w:lineRule="exact"/>
        <w:rPr>
          <w:sz w:val="20"/>
          <w:szCs w:val="20"/>
          <w:color w:val="auto"/>
        </w:rPr>
      </w:pPr>
    </w:p>
    <w:p>
      <w:pPr>
        <w:ind w:right="100"/>
        <w:spacing w:after="0" w:line="254" w:lineRule="auto"/>
        <w:rPr>
          <w:sz w:val="20"/>
          <w:szCs w:val="20"/>
          <w:color w:val="auto"/>
        </w:rPr>
      </w:pPr>
      <w:r>
        <w:rPr>
          <w:rFonts w:ascii="Calibri" w:cs="Calibri" w:eastAsia="Calibri" w:hAnsi="Calibri"/>
          <w:sz w:val="17"/>
          <w:szCs w:val="17"/>
          <w:color w:val="auto"/>
        </w:rPr>
        <w:t>In connecton with the setlement of certain of the Company’s historical environmental liabilites at Eastman Business Park, a more than 1,200-acre technology center and industrial complex in Rochester, New York, in the event the historical liabilites exceed $99 million, the Company will become liable for 50% of the porton above $99 million with no limitaton to the maximum potental future payments. There is no liability recorded for this guarantee.</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Extended Warranty Arrangements</w:t>
      </w:r>
    </w:p>
    <w:p>
      <w:pPr>
        <w:spacing w:after="0" w:line="109" w:lineRule="exact"/>
        <w:rPr>
          <w:sz w:val="20"/>
          <w:szCs w:val="20"/>
          <w:color w:val="auto"/>
        </w:rPr>
      </w:pPr>
    </w:p>
    <w:p>
      <w:pPr>
        <w:ind w:right="20"/>
        <w:spacing w:after="0" w:line="254" w:lineRule="auto"/>
        <w:rPr>
          <w:sz w:val="20"/>
          <w:szCs w:val="20"/>
          <w:color w:val="auto"/>
        </w:rPr>
      </w:pPr>
      <w:r>
        <w:rPr>
          <w:rFonts w:ascii="Calibri" w:cs="Calibri" w:eastAsia="Calibri" w:hAnsi="Calibri"/>
          <w:sz w:val="17"/>
          <w:szCs w:val="17"/>
          <w:color w:val="auto"/>
        </w:rPr>
        <w:t>Kodak ofers its customers extended warranty arrangements that are generally one year, but may range from three months to six years afer the original warranty period. The change in Kodak’s deferred revenue balance in relaton to these extended warranty and maintenance arrangements from December 31, 2021 to March 31, 2022, which is refected in Other current liabilites in the accompanying Consolidated Statement of Financial Positon, was as follows:</w:t>
      </w:r>
    </w:p>
    <w:p>
      <w:pPr>
        <w:spacing w:after="0" w:line="131"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00" w:type="dxa"/>
            <w:vAlign w:val="bottom"/>
            <w:gridSpan w:val="2"/>
          </w:tcPr>
          <w:p>
            <w:pPr>
              <w:spacing w:after="0"/>
              <w:rPr>
                <w:sz w:val="20"/>
                <w:szCs w:val="20"/>
                <w:color w:val="auto"/>
              </w:rPr>
            </w:pPr>
            <w:r>
              <w:rPr>
                <w:rFonts w:ascii="Calibri" w:cs="Calibri" w:eastAsia="Calibri" w:hAnsi="Calibri"/>
                <w:sz w:val="14"/>
                <w:szCs w:val="14"/>
                <w:color w:val="auto"/>
              </w:rPr>
              <w:t>(in millions)</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80" w:type="dxa"/>
            <w:vAlign w:val="bottom"/>
            <w:shd w:val="clear" w:color="auto" w:fill="CFF0FC"/>
          </w:tcPr>
          <w:p>
            <w:pPr>
              <w:spacing w:after="0"/>
              <w:rPr>
                <w:sz w:val="20"/>
                <w:szCs w:val="20"/>
                <w:color w:val="auto"/>
              </w:rPr>
            </w:pPr>
            <w:r>
              <w:rPr>
                <w:rFonts w:ascii="Calibri" w:cs="Calibri" w:eastAsia="Calibri" w:hAnsi="Calibri"/>
                <w:sz w:val="18"/>
                <w:szCs w:val="18"/>
                <w:color w:val="auto"/>
              </w:rPr>
              <w:t>Deferred revenue on extended warrantes as of December 31, 2021</w:t>
            </w:r>
          </w:p>
        </w:tc>
        <w:tc>
          <w:tcPr>
            <w:tcW w:w="500" w:type="dxa"/>
            <w:vAlign w:val="bottom"/>
            <w:gridSpan w:val="2"/>
            <w:shd w:val="clear" w:color="auto" w:fill="CFF0FC"/>
          </w:tcPr>
          <w:p>
            <w:pPr>
              <w:jc w:val="right"/>
              <w:ind w:right="321"/>
              <w:spacing w:after="0"/>
              <w:rPr>
                <w:sz w:val="20"/>
                <w:szCs w:val="20"/>
                <w:color w:val="auto"/>
              </w:rPr>
            </w:pPr>
            <w:r>
              <w:rPr>
                <w:rFonts w:ascii="Calibri" w:cs="Calibri" w:eastAsia="Calibri" w:hAnsi="Calibri"/>
                <w:sz w:val="18"/>
                <w:szCs w:val="18"/>
                <w:color w:val="auto"/>
                <w:w w:val="87"/>
              </w:rPr>
              <w:t>$</w:t>
            </w:r>
          </w:p>
        </w:tc>
        <w:tc>
          <w:tcPr>
            <w:tcW w:w="6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19</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480" w:type="dxa"/>
            <w:vAlign w:val="bottom"/>
          </w:tcPr>
          <w:p>
            <w:pPr>
              <w:spacing w:after="0" w:line="207" w:lineRule="exact"/>
              <w:rPr>
                <w:sz w:val="20"/>
                <w:szCs w:val="20"/>
                <w:color w:val="auto"/>
              </w:rPr>
            </w:pPr>
            <w:r>
              <w:rPr>
                <w:rFonts w:ascii="Calibri" w:cs="Calibri" w:eastAsia="Calibri" w:hAnsi="Calibri"/>
                <w:sz w:val="18"/>
                <w:szCs w:val="18"/>
                <w:color w:val="auto"/>
              </w:rPr>
              <w:t>New extended warranty and maintenance arrangements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80" w:type="dxa"/>
            <w:vAlign w:val="bottom"/>
          </w:tcPr>
          <w:p>
            <w:pPr>
              <w:ind w:left="100"/>
              <w:spacing w:after="0" w:line="215" w:lineRule="exact"/>
              <w:rPr>
                <w:sz w:val="20"/>
                <w:szCs w:val="20"/>
                <w:color w:val="auto"/>
              </w:rPr>
            </w:pPr>
            <w:r>
              <w:rPr>
                <w:rFonts w:ascii="Calibri" w:cs="Calibri" w:eastAsia="Calibri" w:hAnsi="Calibri"/>
                <w:sz w:val="18"/>
                <w:szCs w:val="18"/>
                <w:color w:val="auto"/>
              </w:rPr>
              <w:t>deferred</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480" w:type="dxa"/>
            <w:vAlign w:val="bottom"/>
            <w:shd w:val="clear" w:color="auto" w:fill="CFF0FC"/>
          </w:tcPr>
          <w:p>
            <w:pPr>
              <w:spacing w:after="0" w:line="207" w:lineRule="exact"/>
              <w:rPr>
                <w:sz w:val="20"/>
                <w:szCs w:val="20"/>
                <w:color w:val="auto"/>
              </w:rPr>
            </w:pPr>
            <w:r>
              <w:rPr>
                <w:rFonts w:ascii="Calibri" w:cs="Calibri" w:eastAsia="Calibri" w:hAnsi="Calibri"/>
                <w:sz w:val="18"/>
                <w:szCs w:val="18"/>
                <w:color w:val="auto"/>
              </w:rPr>
              <w:t>Recogniton of extended warranty and maintenance</w:t>
            </w: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8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arrangement revenue</w:t>
            </w:r>
          </w:p>
        </w:tc>
        <w:tc>
          <w:tcPr>
            <w:tcW w:w="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(23)</w:t>
            </w:r>
          </w:p>
        </w:tc>
        <w:tc>
          <w:tcPr>
            <w:tcW w:w="0" w:type="dxa"/>
            <w:vAlign w:val="bottom"/>
          </w:tcPr>
          <w:p>
            <w:pPr>
              <w:spacing w:after="0"/>
              <w:rPr>
                <w:sz w:val="1"/>
                <w:szCs w:val="1"/>
                <w:color w:val="auto"/>
              </w:rPr>
            </w:pPr>
          </w:p>
        </w:tc>
      </w:tr>
      <w:tr>
        <w:trPr>
          <w:trHeight w:val="217"/>
        </w:trPr>
        <w:tc>
          <w:tcPr>
            <w:tcW w:w="5500" w:type="dxa"/>
            <w:vAlign w:val="bottom"/>
            <w:gridSpan w:val="2"/>
          </w:tcPr>
          <w:p>
            <w:pPr>
              <w:spacing w:after="0" w:line="199" w:lineRule="exact"/>
              <w:rPr>
                <w:sz w:val="20"/>
                <w:szCs w:val="20"/>
                <w:color w:val="auto"/>
              </w:rPr>
            </w:pPr>
            <w:r>
              <w:rPr>
                <w:rFonts w:ascii="Calibri" w:cs="Calibri" w:eastAsia="Calibri" w:hAnsi="Calibri"/>
                <w:sz w:val="18"/>
                <w:szCs w:val="18"/>
                <w:color w:val="auto"/>
              </w:rPr>
              <w:t>Deferred revenue on extended warrantes as of March 31, 2022</w:t>
            </w: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1"/>
              <w:spacing w:after="0"/>
              <w:rPr>
                <w:sz w:val="20"/>
                <w:szCs w:val="20"/>
                <w:color w:val="auto"/>
              </w:rPr>
            </w:pPr>
            <w:r>
              <w:rPr>
                <w:rFonts w:ascii="Calibri" w:cs="Calibri" w:eastAsia="Calibri" w:hAnsi="Calibri"/>
                <w:sz w:val="16"/>
                <w:szCs w:val="16"/>
                <w:color w:val="auto"/>
                <w:w w:val="73"/>
              </w:rPr>
              <w:t>$</w:t>
            </w:r>
          </w:p>
        </w:tc>
        <w:tc>
          <w:tcPr>
            <w:tcW w:w="6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8: REVENUE</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Disaggregaton of Revenue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present revenue disaggregated by major product, portolio summary and geography.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0"/>
        </w:trPr>
        <w:tc>
          <w:tcPr>
            <w:tcW w:w="2560" w:type="dxa"/>
            <w:vAlign w:val="bottom"/>
          </w:tcPr>
          <w:p>
            <w:pPr>
              <w:spacing w:after="0"/>
              <w:rPr>
                <w:sz w:val="20"/>
                <w:szCs w:val="20"/>
                <w:color w:val="auto"/>
              </w:rPr>
            </w:pPr>
            <w:r>
              <w:rPr>
                <w:rFonts w:ascii="Calibri" w:cs="Calibri" w:eastAsia="Calibri" w:hAnsi="Calibri"/>
                <w:sz w:val="18"/>
                <w:szCs w:val="18"/>
                <w:b w:val="1"/>
                <w:bCs w:val="1"/>
                <w:color w:val="auto"/>
              </w:rPr>
              <w:t>Major Product:</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1"/>
        </w:trPr>
        <w:tc>
          <w:tcPr>
            <w:tcW w:w="2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center"/>
              <w:ind w:right="780"/>
              <w:spacing w:after="0"/>
              <w:rPr>
                <w:sz w:val="20"/>
                <w:szCs w:val="20"/>
                <w:color w:val="auto"/>
              </w:rPr>
            </w:pPr>
            <w:r>
              <w:rPr>
                <w:rFonts w:ascii="Calibri" w:cs="Calibri" w:eastAsia="Calibri" w:hAnsi="Calibri"/>
                <w:sz w:val="18"/>
                <w:szCs w:val="18"/>
                <w:b w:val="1"/>
                <w:bCs w:val="1"/>
                <w:color w:val="auto"/>
                <w:w w:val="97"/>
              </w:rPr>
              <w:t>Three Months Ended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2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gridSpan w:val="5"/>
          </w:tcPr>
          <w:p>
            <w:pPr>
              <w:jc w:val="center"/>
              <w:ind w:right="780"/>
              <w:spacing w:after="0"/>
              <w:rPr>
                <w:sz w:val="20"/>
                <w:szCs w:val="20"/>
                <w:color w:val="auto"/>
              </w:rPr>
            </w:pPr>
            <w:r>
              <w:rPr>
                <w:rFonts w:ascii="Calibri" w:cs="Calibri" w:eastAsia="Calibri" w:hAnsi="Calibri"/>
                <w:sz w:val="18"/>
                <w:szCs w:val="18"/>
                <w:b w:val="1"/>
                <w:bCs w:val="1"/>
                <w:color w:val="auto"/>
                <w:w w:val="96"/>
              </w:rPr>
              <w:t>March 31, 2022</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9"/>
        </w:trPr>
        <w:tc>
          <w:tcPr>
            <w:tcW w:w="2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Calibri" w:cs="Calibri" w:eastAsia="Calibri" w:hAnsi="Calibri"/>
                <w:sz w:val="18"/>
                <w:szCs w:val="18"/>
                <w:b w:val="1"/>
                <w:bCs w:val="1"/>
                <w:color w:val="auto"/>
                <w:w w:val="97"/>
              </w:rPr>
              <w:t>Advanced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8"/>
              </w:rPr>
              <w:t>Materials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line="216" w:lineRule="exact"/>
              <w:rPr>
                <w:sz w:val="20"/>
                <w:szCs w:val="20"/>
                <w:color w:val="auto"/>
              </w:rPr>
            </w:pPr>
            <w:r>
              <w:rPr>
                <w:rFonts w:ascii="Calibri" w:cs="Calibri" w:eastAsia="Calibri" w:hAnsi="Calibri"/>
                <w:sz w:val="18"/>
                <w:szCs w:val="18"/>
                <w:b w:val="1"/>
                <w:bCs w:val="1"/>
                <w:color w:val="auto"/>
              </w:rPr>
              <w:t>Traditonal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line="216" w:lineRule="exact"/>
              <w:rPr>
                <w:sz w:val="20"/>
                <w:szCs w:val="20"/>
                <w:color w:val="auto"/>
              </w:rPr>
            </w:pPr>
            <w:r>
              <w:rPr>
                <w:rFonts w:ascii="Calibri" w:cs="Calibri" w:eastAsia="Calibri" w:hAnsi="Calibri"/>
                <w:sz w:val="18"/>
                <w:szCs w:val="18"/>
                <w:b w:val="1"/>
                <w:bCs w:val="1"/>
                <w:color w:val="auto"/>
                <w:w w:val="99"/>
              </w:rPr>
              <w:t>Digital</w:t>
            </w:r>
          </w:p>
        </w:tc>
        <w:tc>
          <w:tcPr>
            <w:tcW w:w="260" w:type="dxa"/>
            <w:vAlign w:val="bottom"/>
          </w:tcPr>
          <w:p>
            <w:pPr>
              <w:spacing w:after="0"/>
              <w:rPr>
                <w:sz w:val="18"/>
                <w:szCs w:val="18"/>
                <w:color w:val="auto"/>
              </w:rPr>
            </w:pPr>
          </w:p>
        </w:tc>
        <w:tc>
          <w:tcPr>
            <w:tcW w:w="108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1"/>
              </w:rPr>
              <w:t>and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Calibri" w:cs="Calibri" w:eastAsia="Calibri" w:hAnsi="Calibri"/>
                <w:sz w:val="16"/>
                <w:szCs w:val="16"/>
                <w:color w:val="auto"/>
              </w:rPr>
              <w:t>(in millions)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rPr>
              <w:t>Printng</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line="216" w:lineRule="exact"/>
              <w:rPr>
                <w:sz w:val="20"/>
                <w:szCs w:val="20"/>
                <w:color w:val="auto"/>
              </w:rPr>
            </w:pPr>
            <w:r>
              <w:rPr>
                <w:rFonts w:ascii="Calibri" w:cs="Calibri" w:eastAsia="Calibri" w:hAnsi="Calibri"/>
                <w:sz w:val="18"/>
                <w:szCs w:val="18"/>
                <w:b w:val="1"/>
                <w:bCs w:val="1"/>
                <w:color w:val="auto"/>
              </w:rPr>
              <w:t>Printng</w:t>
            </w:r>
          </w:p>
        </w:tc>
        <w:tc>
          <w:tcPr>
            <w:tcW w:w="260" w:type="dxa"/>
            <w:vAlign w:val="bottom"/>
          </w:tcPr>
          <w:p>
            <w:pPr>
              <w:spacing w:after="0"/>
              <w:rPr>
                <w:sz w:val="18"/>
                <w:szCs w:val="18"/>
                <w:color w:val="auto"/>
              </w:rPr>
            </w:pPr>
          </w:p>
        </w:tc>
        <w:tc>
          <w:tcPr>
            <w:tcW w:w="108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340" w:type="dxa"/>
            <w:vAlign w:val="bottom"/>
          </w:tcPr>
          <w:p>
            <w:pPr>
              <w:spacing w:after="0"/>
              <w:rPr>
                <w:sz w:val="18"/>
                <w:szCs w:val="18"/>
                <w:color w:val="auto"/>
              </w:rPr>
            </w:pPr>
          </w:p>
        </w:tc>
        <w:tc>
          <w:tcPr>
            <w:tcW w:w="1020" w:type="dxa"/>
            <w:vAlign w:val="bottom"/>
            <w:gridSpan w:val="2"/>
          </w:tcPr>
          <w:p>
            <w:pPr>
              <w:ind w:left="120"/>
              <w:spacing w:after="0" w:line="216" w:lineRule="exact"/>
              <w:rPr>
                <w:sz w:val="20"/>
                <w:szCs w:val="20"/>
                <w:color w:val="auto"/>
              </w:rPr>
            </w:pPr>
            <w:r>
              <w:rPr>
                <w:rFonts w:ascii="Calibri" w:cs="Calibri" w:eastAsia="Calibri" w:hAnsi="Calibri"/>
                <w:sz w:val="18"/>
                <w:szCs w:val="18"/>
                <w:b w:val="1"/>
                <w:bCs w:val="1"/>
                <w:color w:val="auto"/>
              </w:rPr>
              <w:t>Brand</w:t>
            </w:r>
          </w:p>
        </w:tc>
        <w:tc>
          <w:tcPr>
            <w:tcW w:w="280" w:type="dxa"/>
            <w:vAlign w:val="bottom"/>
          </w:tcPr>
          <w:p>
            <w:pPr>
              <w:spacing w:after="0"/>
              <w:rPr>
                <w:sz w:val="18"/>
                <w:szCs w:val="18"/>
                <w:color w:val="auto"/>
              </w:rPr>
            </w:pPr>
          </w:p>
        </w:tc>
        <w:tc>
          <w:tcPr>
            <w:tcW w:w="1080" w:type="dxa"/>
            <w:vAlign w:val="bottom"/>
            <w:gridSpan w:val="2"/>
          </w:tcPr>
          <w:p>
            <w:pPr>
              <w:ind w:left="60"/>
              <w:spacing w:after="0" w:line="216" w:lineRule="exact"/>
              <w:rPr>
                <w:sz w:val="20"/>
                <w:szCs w:val="20"/>
                <w:color w:val="auto"/>
              </w:rPr>
            </w:pPr>
            <w:r>
              <w:rPr>
                <w:rFonts w:ascii="Calibri" w:cs="Calibri" w:eastAsia="Calibri" w:hAnsi="Calibri"/>
                <w:sz w:val="18"/>
                <w:szCs w:val="18"/>
                <w:b w:val="1"/>
                <w:bCs w:val="1"/>
                <w:color w:val="auto"/>
              </w:rPr>
              <w:t>All Other</w:t>
            </w:r>
          </w:p>
        </w:tc>
        <w:tc>
          <w:tcPr>
            <w:tcW w:w="360" w:type="dxa"/>
            <w:vAlign w:val="bottom"/>
          </w:tcPr>
          <w:p>
            <w:pPr>
              <w:spacing w:after="0"/>
              <w:rPr>
                <w:sz w:val="18"/>
                <w:szCs w:val="18"/>
                <w:color w:val="auto"/>
              </w:rPr>
            </w:pPr>
          </w:p>
        </w:tc>
        <w:tc>
          <w:tcPr>
            <w:tcW w:w="1000" w:type="dxa"/>
            <w:vAlign w:val="bottom"/>
            <w:gridSpan w:val="2"/>
          </w:tcPr>
          <w:p>
            <w:pPr>
              <w:ind w:left="14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3"/>
        </w:trPr>
        <w:tc>
          <w:tcPr>
            <w:tcW w:w="2560" w:type="dxa"/>
            <w:vAlign w:val="bottom"/>
            <w:tcBorders>
              <w:bottom w:val="single" w:sz="8" w:color="CFF0FC"/>
            </w:tcBorders>
          </w:tcPr>
          <w:p>
            <w:pPr>
              <w:spacing w:after="0"/>
              <w:rPr>
                <w:sz w:val="2"/>
                <w:szCs w:val="2"/>
                <w:color w:val="auto"/>
              </w:rPr>
            </w:pPr>
          </w:p>
        </w:tc>
        <w:tc>
          <w:tcPr>
            <w:tcW w:w="64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199"/>
        </w:trPr>
        <w:tc>
          <w:tcPr>
            <w:tcW w:w="2560" w:type="dxa"/>
            <w:vAlign w:val="bottom"/>
            <w:shd w:val="clear" w:color="auto" w:fill="CFF0FC"/>
          </w:tcPr>
          <w:p>
            <w:pPr>
              <w:spacing w:after="0" w:line="199" w:lineRule="exact"/>
              <w:rPr>
                <w:sz w:val="20"/>
                <w:szCs w:val="20"/>
                <w:color w:val="auto"/>
              </w:rPr>
            </w:pPr>
            <w:r>
              <w:rPr>
                <w:rFonts w:ascii="Calibri" w:cs="Calibri" w:eastAsia="Calibri" w:hAnsi="Calibri"/>
                <w:sz w:val="18"/>
                <w:szCs w:val="18"/>
                <w:color w:val="auto"/>
              </w:rPr>
              <w:t>Plates, inks and other</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9"/>
        </w:trPr>
        <w:tc>
          <w:tcPr>
            <w:tcW w:w="256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consumables</w:t>
            </w:r>
          </w:p>
        </w:tc>
        <w:tc>
          <w:tcPr>
            <w:tcW w:w="780" w:type="dxa"/>
            <w:vAlign w:val="bottom"/>
            <w:tcBorders>
              <w:bottom w:val="single" w:sz="8" w:color="CFF0FC"/>
            </w:tcBorders>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145</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CFF0FC"/>
            </w:tcBorders>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CFF0FC"/>
            </w:tcBorders>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shd w:val="clear" w:color="auto" w:fill="CFF0FC"/>
          </w:tcPr>
          <w:p>
            <w:pPr>
              <w:jc w:val="right"/>
              <w:ind w:right="70"/>
              <w:spacing w:after="0" w:line="216"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6"/>
        </w:trPr>
        <w:tc>
          <w:tcPr>
            <w:tcW w:w="2560" w:type="dxa"/>
            <w:vAlign w:val="bottom"/>
          </w:tcPr>
          <w:p>
            <w:pPr>
              <w:spacing w:after="0" w:line="206" w:lineRule="exact"/>
              <w:rPr>
                <w:sz w:val="20"/>
                <w:szCs w:val="20"/>
                <w:color w:val="auto"/>
              </w:rPr>
            </w:pPr>
            <w:r>
              <w:rPr>
                <w:rFonts w:ascii="Calibri" w:cs="Calibri" w:eastAsia="Calibri" w:hAnsi="Calibri"/>
                <w:sz w:val="18"/>
                <w:szCs w:val="18"/>
                <w:color w:val="auto"/>
              </w:rPr>
              <w:t>Ongoing service</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2560" w:type="dxa"/>
            <w:vAlign w:val="bottom"/>
          </w:tcPr>
          <w:p>
            <w:pPr>
              <w:ind w:left="120"/>
              <w:spacing w:after="0" w:line="239" w:lineRule="exact"/>
              <w:rPr>
                <w:sz w:val="20"/>
                <w:szCs w:val="20"/>
                <w:color w:val="auto"/>
              </w:rPr>
            </w:pPr>
            <w:r>
              <w:rPr>
                <w:rFonts w:ascii="Calibri" w:cs="Calibri" w:eastAsia="Calibri" w:hAnsi="Calibri"/>
                <w:sz w:val="16"/>
                <w:szCs w:val="16"/>
                <w:color w:val="auto"/>
              </w:rPr>
              <w:t xml:space="preserve">arrangements </w:t>
            </w:r>
            <w:r>
              <w:rPr>
                <w:rFonts w:ascii="Calibri" w:cs="Calibri" w:eastAsia="Calibri" w:hAnsi="Calibri"/>
                <w:sz w:val="26"/>
                <w:szCs w:val="26"/>
                <w:color w:val="auto"/>
                <w:vertAlign w:val="superscript"/>
              </w:rPr>
              <w:t>(1)</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auto"/>
              </w:rPr>
              <w:t>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line="216" w:lineRule="exact"/>
              <w:rPr>
                <w:sz w:val="20"/>
                <w:szCs w:val="20"/>
                <w:color w:val="auto"/>
              </w:rPr>
            </w:pPr>
            <w:r>
              <w:rPr>
                <w:rFonts w:ascii="Calibri" w:cs="Calibri" w:eastAsia="Calibri" w:hAnsi="Calibri"/>
                <w:sz w:val="18"/>
                <w:szCs w:val="18"/>
                <w:color w:val="auto"/>
              </w:rPr>
              <w:t>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spacing w:after="0" w:line="216" w:lineRule="exact"/>
              <w:rPr>
                <w:sz w:val="20"/>
                <w:szCs w:val="20"/>
                <w:color w:val="auto"/>
              </w:rPr>
            </w:pPr>
            <w:r>
              <w:rPr>
                <w:rFonts w:ascii="Calibri" w:cs="Calibri" w:eastAsia="Calibri" w:hAnsi="Calibri"/>
                <w:sz w:val="18"/>
                <w:szCs w:val="18"/>
                <w:color w:val="auto"/>
              </w:rPr>
              <w:t>55</w:t>
            </w:r>
          </w:p>
        </w:tc>
        <w:tc>
          <w:tcPr>
            <w:tcW w:w="100" w:type="dxa"/>
            <w:vAlign w:val="bottom"/>
          </w:tcPr>
          <w:p>
            <w:pPr>
              <w:spacing w:after="0"/>
              <w:rPr>
                <w:sz w:val="20"/>
                <w:szCs w:val="20"/>
                <w:color w:val="auto"/>
              </w:rPr>
            </w:pPr>
          </w:p>
        </w:tc>
      </w:tr>
      <w:tr>
        <w:trPr>
          <w:trHeight w:val="223"/>
        </w:trPr>
        <w:tc>
          <w:tcPr>
            <w:tcW w:w="2560" w:type="dxa"/>
            <w:vAlign w:val="bottom"/>
            <w:tcBorders>
              <w:top w:val="single" w:sz="8" w:color="CFF0FC"/>
            </w:tcBorders>
            <w:shd w:val="clear" w:color="auto" w:fill="CFF0FC"/>
          </w:tcPr>
          <w:p>
            <w:pPr>
              <w:ind w:left="880"/>
              <w:spacing w:after="0" w:line="199" w:lineRule="exact"/>
              <w:rPr>
                <w:sz w:val="20"/>
                <w:szCs w:val="20"/>
                <w:color w:val="auto"/>
              </w:rPr>
            </w:pPr>
            <w:r>
              <w:rPr>
                <w:rFonts w:ascii="Calibri" w:cs="Calibri" w:eastAsia="Calibri" w:hAnsi="Calibri"/>
                <w:sz w:val="18"/>
                <w:szCs w:val="18"/>
                <w:color w:val="auto"/>
              </w:rPr>
              <w:t>Total annuites</w:t>
            </w:r>
          </w:p>
        </w:tc>
        <w:tc>
          <w:tcPr>
            <w:tcW w:w="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164</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50</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16"/>
        </w:trPr>
        <w:tc>
          <w:tcPr>
            <w:tcW w:w="2560" w:type="dxa"/>
            <w:vAlign w:val="bottom"/>
          </w:tcPr>
          <w:p>
            <w:pPr>
              <w:spacing w:after="0" w:line="199" w:lineRule="exact"/>
              <w:rPr>
                <w:sz w:val="20"/>
                <w:szCs w:val="20"/>
                <w:color w:val="auto"/>
              </w:rPr>
            </w:pPr>
            <w:r>
              <w:rPr>
                <w:rFonts w:ascii="Calibri" w:cs="Calibri" w:eastAsia="Calibri" w:hAnsi="Calibri"/>
                <w:sz w:val="18"/>
                <w:szCs w:val="18"/>
                <w:color w:val="auto"/>
              </w:rPr>
              <w:t>Equipment &amp; sofware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100" w:type="dxa"/>
            <w:vAlign w:val="bottom"/>
          </w:tcPr>
          <w:p>
            <w:pPr>
              <w:spacing w:after="0"/>
              <w:rPr>
                <w:sz w:val="18"/>
                <w:szCs w:val="18"/>
                <w:color w:val="auto"/>
              </w:rPr>
            </w:pPr>
          </w:p>
        </w:tc>
      </w:tr>
      <w:tr>
        <w:trPr>
          <w:trHeight w:val="237"/>
        </w:trPr>
        <w:tc>
          <w:tcPr>
            <w:tcW w:w="2560" w:type="dxa"/>
            <w:vAlign w:val="bottom"/>
            <w:shd w:val="clear" w:color="auto" w:fill="CFF0FC"/>
          </w:tcPr>
          <w:p>
            <w:pPr>
              <w:spacing w:after="0"/>
              <w:rPr>
                <w:sz w:val="20"/>
                <w:szCs w:val="20"/>
                <w:color w:val="auto"/>
              </w:rPr>
            </w:pPr>
            <w:r>
              <w:rPr>
                <w:rFonts w:ascii="Calibri" w:cs="Calibri" w:eastAsia="Calibri" w:hAnsi="Calibri"/>
                <w:sz w:val="18"/>
                <w:szCs w:val="18"/>
                <w:color w:val="auto"/>
              </w:rPr>
              <w:t>Film and chemicals</w:t>
            </w:r>
          </w:p>
        </w:tc>
        <w:tc>
          <w:tcPr>
            <w:tcW w:w="6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8"/>
                <w:szCs w:val="18"/>
                <w:color w:val="auto"/>
              </w:rPr>
              <w:t>—</w:t>
            </w: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45</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45</w:t>
            </w:r>
          </w:p>
        </w:tc>
        <w:tc>
          <w:tcPr>
            <w:tcW w:w="100" w:type="dxa"/>
            <w:vAlign w:val="bottom"/>
            <w:shd w:val="clear" w:color="auto" w:fill="CFF0FC"/>
          </w:tcPr>
          <w:p>
            <w:pPr>
              <w:spacing w:after="0"/>
              <w:rPr>
                <w:sz w:val="20"/>
                <w:szCs w:val="20"/>
                <w:color w:val="auto"/>
              </w:rPr>
            </w:pPr>
          </w:p>
        </w:tc>
      </w:tr>
      <w:tr>
        <w:trPr>
          <w:trHeight w:val="229"/>
        </w:trPr>
        <w:tc>
          <w:tcPr>
            <w:tcW w:w="2560" w:type="dxa"/>
            <w:vAlign w:val="bottom"/>
          </w:tcPr>
          <w:p>
            <w:pPr>
              <w:spacing w:after="0" w:line="229" w:lineRule="exact"/>
              <w:rPr>
                <w:sz w:val="20"/>
                <w:szCs w:val="20"/>
                <w:color w:val="auto"/>
              </w:rPr>
            </w:pPr>
            <w:r>
              <w:rPr>
                <w:rFonts w:ascii="Calibri" w:cs="Calibri" w:eastAsia="Calibri" w:hAnsi="Calibri"/>
                <w:sz w:val="16"/>
                <w:szCs w:val="16"/>
                <w:color w:val="auto"/>
              </w:rPr>
              <w:t xml:space="preserve">Other </w:t>
            </w:r>
            <w:r>
              <w:rPr>
                <w:rFonts w:ascii="Calibri" w:cs="Calibri" w:eastAsia="Calibri" w:hAnsi="Calibri"/>
                <w:sz w:val="25"/>
                <w:szCs w:val="25"/>
                <w:color w:val="auto"/>
                <w:vertAlign w:val="superscript"/>
              </w:rPr>
              <w:t>(2)</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9"/>
                <w:szCs w:val="19"/>
                <w:color w:val="auto"/>
              </w:rPr>
            </w:pPr>
          </w:p>
        </w:tc>
      </w:tr>
      <w:tr>
        <w:trPr>
          <w:trHeight w:val="217"/>
        </w:trPr>
        <w:tc>
          <w:tcPr>
            <w:tcW w:w="2560" w:type="dxa"/>
            <w:vAlign w:val="bottom"/>
            <w:tcBorders>
              <w:top w:val="single" w:sz="8" w:color="CFF0FC"/>
              <w:bottom w:val="single" w:sz="8" w:color="CFF0FC"/>
            </w:tcBorders>
            <w:shd w:val="clear" w:color="auto" w:fill="CFF0FC"/>
          </w:tcPr>
          <w:p>
            <w:pPr>
              <w:spacing w:after="0" w:line="199" w:lineRule="exact"/>
              <w:rPr>
                <w:sz w:val="20"/>
                <w:szCs w:val="20"/>
                <w:color w:val="auto"/>
              </w:rPr>
            </w:pPr>
            <w:r>
              <w:rPr>
                <w:rFonts w:ascii="Calibri" w:cs="Calibri" w:eastAsia="Calibri" w:hAnsi="Calibri"/>
                <w:sz w:val="18"/>
                <w:szCs w:val="18"/>
                <w:color w:val="auto"/>
              </w:rPr>
              <w:t>Total</w:t>
            </w:r>
          </w:p>
        </w:tc>
        <w:tc>
          <w:tcPr>
            <w:tcW w:w="6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5"/>
        </w:trPr>
        <w:tc>
          <w:tcPr>
            <w:tcW w:w="2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center"/>
              <w:ind w:right="780"/>
              <w:spacing w:after="0"/>
              <w:rPr>
                <w:sz w:val="20"/>
                <w:szCs w:val="20"/>
                <w:color w:val="auto"/>
              </w:rPr>
            </w:pPr>
            <w:r>
              <w:rPr>
                <w:rFonts w:ascii="Calibri" w:cs="Calibri" w:eastAsia="Calibri" w:hAnsi="Calibri"/>
                <w:sz w:val="18"/>
                <w:szCs w:val="18"/>
                <w:b w:val="1"/>
                <w:bCs w:val="1"/>
                <w:color w:val="auto"/>
                <w:w w:val="97"/>
              </w:rPr>
              <w:t>Three Months Ended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gridSpan w:val="5"/>
          </w:tcPr>
          <w:p>
            <w:pPr>
              <w:jc w:val="center"/>
              <w:ind w:right="780"/>
              <w:spacing w:after="0"/>
              <w:rPr>
                <w:sz w:val="20"/>
                <w:szCs w:val="20"/>
                <w:color w:val="auto"/>
              </w:rPr>
            </w:pPr>
            <w:r>
              <w:rPr>
                <w:rFonts w:ascii="Calibri" w:cs="Calibri" w:eastAsia="Calibri" w:hAnsi="Calibri"/>
                <w:sz w:val="18"/>
                <w:szCs w:val="18"/>
                <w:b w:val="1"/>
                <w:bCs w:val="1"/>
                <w:color w:val="auto"/>
                <w:w w:val="96"/>
              </w:rPr>
              <w:t>March 31, 2021</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9"/>
        </w:trPr>
        <w:tc>
          <w:tcPr>
            <w:tcW w:w="2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Calibri" w:cs="Calibri" w:eastAsia="Calibri" w:hAnsi="Calibri"/>
                <w:sz w:val="18"/>
                <w:szCs w:val="18"/>
                <w:b w:val="1"/>
                <w:bCs w:val="1"/>
                <w:color w:val="auto"/>
                <w:w w:val="97"/>
              </w:rPr>
              <w:t>Advanced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8"/>
              </w:rPr>
              <w:t>Materials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line="216" w:lineRule="exact"/>
              <w:rPr>
                <w:sz w:val="20"/>
                <w:szCs w:val="20"/>
                <w:color w:val="auto"/>
              </w:rPr>
            </w:pPr>
            <w:r>
              <w:rPr>
                <w:rFonts w:ascii="Calibri" w:cs="Calibri" w:eastAsia="Calibri" w:hAnsi="Calibri"/>
                <w:sz w:val="18"/>
                <w:szCs w:val="18"/>
                <w:b w:val="1"/>
                <w:bCs w:val="1"/>
                <w:color w:val="auto"/>
              </w:rPr>
              <w:t>Traditonal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line="216" w:lineRule="exact"/>
              <w:rPr>
                <w:sz w:val="20"/>
                <w:szCs w:val="20"/>
                <w:color w:val="auto"/>
              </w:rPr>
            </w:pPr>
            <w:r>
              <w:rPr>
                <w:rFonts w:ascii="Calibri" w:cs="Calibri" w:eastAsia="Calibri" w:hAnsi="Calibri"/>
                <w:sz w:val="18"/>
                <w:szCs w:val="18"/>
                <w:b w:val="1"/>
                <w:bCs w:val="1"/>
                <w:color w:val="auto"/>
                <w:w w:val="99"/>
              </w:rPr>
              <w:t>Digital</w:t>
            </w:r>
          </w:p>
        </w:tc>
        <w:tc>
          <w:tcPr>
            <w:tcW w:w="260" w:type="dxa"/>
            <w:vAlign w:val="bottom"/>
          </w:tcPr>
          <w:p>
            <w:pPr>
              <w:spacing w:after="0"/>
              <w:rPr>
                <w:sz w:val="18"/>
                <w:szCs w:val="18"/>
                <w:color w:val="auto"/>
              </w:rPr>
            </w:pPr>
          </w:p>
        </w:tc>
        <w:tc>
          <w:tcPr>
            <w:tcW w:w="108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1"/>
              </w:rPr>
              <w:t>and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Calibri" w:cs="Calibri" w:eastAsia="Calibri" w:hAnsi="Calibri"/>
                <w:sz w:val="16"/>
                <w:szCs w:val="16"/>
                <w:color w:val="auto"/>
              </w:rPr>
              <w:t>(in millions)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rPr>
              <w:t>Printng</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line="216" w:lineRule="exact"/>
              <w:rPr>
                <w:sz w:val="20"/>
                <w:szCs w:val="20"/>
                <w:color w:val="auto"/>
              </w:rPr>
            </w:pPr>
            <w:r>
              <w:rPr>
                <w:rFonts w:ascii="Calibri" w:cs="Calibri" w:eastAsia="Calibri" w:hAnsi="Calibri"/>
                <w:sz w:val="18"/>
                <w:szCs w:val="18"/>
                <w:b w:val="1"/>
                <w:bCs w:val="1"/>
                <w:color w:val="auto"/>
              </w:rPr>
              <w:t>Printng</w:t>
            </w:r>
          </w:p>
        </w:tc>
        <w:tc>
          <w:tcPr>
            <w:tcW w:w="260" w:type="dxa"/>
            <w:vAlign w:val="bottom"/>
          </w:tcPr>
          <w:p>
            <w:pPr>
              <w:spacing w:after="0"/>
              <w:rPr>
                <w:sz w:val="18"/>
                <w:szCs w:val="18"/>
                <w:color w:val="auto"/>
              </w:rPr>
            </w:pPr>
          </w:p>
        </w:tc>
        <w:tc>
          <w:tcPr>
            <w:tcW w:w="108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340" w:type="dxa"/>
            <w:vAlign w:val="bottom"/>
          </w:tcPr>
          <w:p>
            <w:pPr>
              <w:spacing w:after="0"/>
              <w:rPr>
                <w:sz w:val="18"/>
                <w:szCs w:val="18"/>
                <w:color w:val="auto"/>
              </w:rPr>
            </w:pPr>
          </w:p>
        </w:tc>
        <w:tc>
          <w:tcPr>
            <w:tcW w:w="1020" w:type="dxa"/>
            <w:vAlign w:val="bottom"/>
            <w:gridSpan w:val="2"/>
          </w:tcPr>
          <w:p>
            <w:pPr>
              <w:ind w:left="120"/>
              <w:spacing w:after="0" w:line="216" w:lineRule="exact"/>
              <w:rPr>
                <w:sz w:val="20"/>
                <w:szCs w:val="20"/>
                <w:color w:val="auto"/>
              </w:rPr>
            </w:pPr>
            <w:r>
              <w:rPr>
                <w:rFonts w:ascii="Calibri" w:cs="Calibri" w:eastAsia="Calibri" w:hAnsi="Calibri"/>
                <w:sz w:val="18"/>
                <w:szCs w:val="18"/>
                <w:b w:val="1"/>
                <w:bCs w:val="1"/>
                <w:color w:val="auto"/>
              </w:rPr>
              <w:t>Brand</w:t>
            </w:r>
          </w:p>
        </w:tc>
        <w:tc>
          <w:tcPr>
            <w:tcW w:w="280" w:type="dxa"/>
            <w:vAlign w:val="bottom"/>
          </w:tcPr>
          <w:p>
            <w:pPr>
              <w:spacing w:after="0"/>
              <w:rPr>
                <w:sz w:val="18"/>
                <w:szCs w:val="18"/>
                <w:color w:val="auto"/>
              </w:rPr>
            </w:pPr>
          </w:p>
        </w:tc>
        <w:tc>
          <w:tcPr>
            <w:tcW w:w="1080" w:type="dxa"/>
            <w:vAlign w:val="bottom"/>
            <w:gridSpan w:val="2"/>
          </w:tcPr>
          <w:p>
            <w:pPr>
              <w:ind w:left="60"/>
              <w:spacing w:after="0" w:line="216" w:lineRule="exact"/>
              <w:rPr>
                <w:sz w:val="20"/>
                <w:szCs w:val="20"/>
                <w:color w:val="auto"/>
              </w:rPr>
            </w:pPr>
            <w:r>
              <w:rPr>
                <w:rFonts w:ascii="Calibri" w:cs="Calibri" w:eastAsia="Calibri" w:hAnsi="Calibri"/>
                <w:sz w:val="18"/>
                <w:szCs w:val="18"/>
                <w:b w:val="1"/>
                <w:bCs w:val="1"/>
                <w:color w:val="auto"/>
              </w:rPr>
              <w:t>All Other</w:t>
            </w:r>
          </w:p>
        </w:tc>
        <w:tc>
          <w:tcPr>
            <w:tcW w:w="360" w:type="dxa"/>
            <w:vAlign w:val="bottom"/>
          </w:tcPr>
          <w:p>
            <w:pPr>
              <w:spacing w:after="0"/>
              <w:rPr>
                <w:sz w:val="18"/>
                <w:szCs w:val="18"/>
                <w:color w:val="auto"/>
              </w:rPr>
            </w:pPr>
          </w:p>
        </w:tc>
        <w:tc>
          <w:tcPr>
            <w:tcW w:w="1000" w:type="dxa"/>
            <w:vAlign w:val="bottom"/>
            <w:gridSpan w:val="2"/>
          </w:tcPr>
          <w:p>
            <w:pPr>
              <w:ind w:left="14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3"/>
        </w:trPr>
        <w:tc>
          <w:tcPr>
            <w:tcW w:w="2560" w:type="dxa"/>
            <w:vAlign w:val="bottom"/>
            <w:tcBorders>
              <w:bottom w:val="single" w:sz="8" w:color="CFF0FC"/>
            </w:tcBorders>
          </w:tcPr>
          <w:p>
            <w:pPr>
              <w:spacing w:after="0"/>
              <w:rPr>
                <w:sz w:val="2"/>
                <w:szCs w:val="2"/>
                <w:color w:val="auto"/>
              </w:rPr>
            </w:pPr>
          </w:p>
        </w:tc>
        <w:tc>
          <w:tcPr>
            <w:tcW w:w="64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00"/>
        </w:trPr>
        <w:tc>
          <w:tcPr>
            <w:tcW w:w="2560" w:type="dxa"/>
            <w:vAlign w:val="bottom"/>
            <w:shd w:val="clear" w:color="auto" w:fill="CFF0FC"/>
          </w:tcPr>
          <w:p>
            <w:pPr>
              <w:spacing w:after="0" w:line="199" w:lineRule="exact"/>
              <w:rPr>
                <w:sz w:val="20"/>
                <w:szCs w:val="20"/>
                <w:color w:val="auto"/>
              </w:rPr>
            </w:pPr>
            <w:r>
              <w:rPr>
                <w:rFonts w:ascii="Calibri" w:cs="Calibri" w:eastAsia="Calibri" w:hAnsi="Calibri"/>
                <w:sz w:val="18"/>
                <w:szCs w:val="18"/>
                <w:color w:val="auto"/>
              </w:rPr>
              <w:t>Plates, inks and other</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256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consumables</w:t>
            </w:r>
          </w:p>
        </w:tc>
        <w:tc>
          <w:tcPr>
            <w:tcW w:w="780" w:type="dxa"/>
            <w:vAlign w:val="bottom"/>
            <w:tcBorders>
              <w:bottom w:val="single" w:sz="8" w:color="CFF0FC"/>
            </w:tcBorders>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121</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CFF0FC"/>
            </w:tcBorders>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CFF0FC"/>
            </w:tcBorders>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shd w:val="clear" w:color="auto" w:fill="CFF0FC"/>
          </w:tcPr>
          <w:p>
            <w:pPr>
              <w:jc w:val="right"/>
              <w:ind w:right="70"/>
              <w:spacing w:after="0" w:line="216"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6"/>
        </w:trPr>
        <w:tc>
          <w:tcPr>
            <w:tcW w:w="2560" w:type="dxa"/>
            <w:vAlign w:val="bottom"/>
          </w:tcPr>
          <w:p>
            <w:pPr>
              <w:spacing w:after="0" w:line="206" w:lineRule="exact"/>
              <w:rPr>
                <w:sz w:val="20"/>
                <w:szCs w:val="20"/>
                <w:color w:val="auto"/>
              </w:rPr>
            </w:pPr>
            <w:r>
              <w:rPr>
                <w:rFonts w:ascii="Calibri" w:cs="Calibri" w:eastAsia="Calibri" w:hAnsi="Calibri"/>
                <w:sz w:val="18"/>
                <w:szCs w:val="18"/>
                <w:color w:val="auto"/>
              </w:rPr>
              <w:t>Ongoing service</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2560" w:type="dxa"/>
            <w:vAlign w:val="bottom"/>
          </w:tcPr>
          <w:p>
            <w:pPr>
              <w:ind w:left="120"/>
              <w:spacing w:after="0" w:line="239" w:lineRule="exact"/>
              <w:rPr>
                <w:sz w:val="20"/>
                <w:szCs w:val="20"/>
                <w:color w:val="auto"/>
              </w:rPr>
            </w:pPr>
            <w:r>
              <w:rPr>
                <w:rFonts w:ascii="Calibri" w:cs="Calibri" w:eastAsia="Calibri" w:hAnsi="Calibri"/>
                <w:sz w:val="16"/>
                <w:szCs w:val="16"/>
                <w:color w:val="auto"/>
              </w:rPr>
              <w:t xml:space="preserve">arrangements </w:t>
            </w:r>
            <w:r>
              <w:rPr>
                <w:rFonts w:ascii="Calibri" w:cs="Calibri" w:eastAsia="Calibri" w:hAnsi="Calibri"/>
                <w:sz w:val="26"/>
                <w:szCs w:val="26"/>
                <w:color w:val="auto"/>
                <w:vertAlign w:val="superscript"/>
              </w:rPr>
              <w:t>(1)</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auto"/>
              </w:rPr>
              <w:t>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line="216" w:lineRule="exact"/>
              <w:rPr>
                <w:sz w:val="20"/>
                <w:szCs w:val="20"/>
                <w:color w:val="auto"/>
              </w:rPr>
            </w:pPr>
            <w:r>
              <w:rPr>
                <w:rFonts w:ascii="Calibri" w:cs="Calibri" w:eastAsia="Calibri" w:hAnsi="Calibri"/>
                <w:sz w:val="18"/>
                <w:szCs w:val="18"/>
                <w:color w:val="auto"/>
              </w:rPr>
              <w:t>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spacing w:after="0" w:line="216" w:lineRule="exact"/>
              <w:rPr>
                <w:sz w:val="20"/>
                <w:szCs w:val="20"/>
                <w:color w:val="auto"/>
              </w:rPr>
            </w:pPr>
            <w:r>
              <w:rPr>
                <w:rFonts w:ascii="Calibri" w:cs="Calibri" w:eastAsia="Calibri" w:hAnsi="Calibri"/>
                <w:sz w:val="18"/>
                <w:szCs w:val="18"/>
                <w:color w:val="auto"/>
              </w:rPr>
              <w:t>55</w:t>
            </w:r>
          </w:p>
        </w:tc>
        <w:tc>
          <w:tcPr>
            <w:tcW w:w="100" w:type="dxa"/>
            <w:vAlign w:val="bottom"/>
          </w:tcPr>
          <w:p>
            <w:pPr>
              <w:spacing w:after="0"/>
              <w:rPr>
                <w:sz w:val="20"/>
                <w:szCs w:val="20"/>
                <w:color w:val="auto"/>
              </w:rPr>
            </w:pPr>
          </w:p>
        </w:tc>
      </w:tr>
      <w:tr>
        <w:trPr>
          <w:trHeight w:val="223"/>
        </w:trPr>
        <w:tc>
          <w:tcPr>
            <w:tcW w:w="2560" w:type="dxa"/>
            <w:vAlign w:val="bottom"/>
            <w:tcBorders>
              <w:top w:val="single" w:sz="8" w:color="CFF0FC"/>
            </w:tcBorders>
            <w:shd w:val="clear" w:color="auto" w:fill="CFF0FC"/>
          </w:tcPr>
          <w:p>
            <w:pPr>
              <w:ind w:left="880"/>
              <w:spacing w:after="0" w:line="199" w:lineRule="exact"/>
              <w:rPr>
                <w:sz w:val="20"/>
                <w:szCs w:val="20"/>
                <w:color w:val="auto"/>
              </w:rPr>
            </w:pPr>
            <w:r>
              <w:rPr>
                <w:rFonts w:ascii="Calibri" w:cs="Calibri" w:eastAsia="Calibri" w:hAnsi="Calibri"/>
                <w:sz w:val="18"/>
                <w:szCs w:val="18"/>
                <w:color w:val="auto"/>
              </w:rPr>
              <w:t>Total annuites</w:t>
            </w:r>
          </w:p>
        </w:tc>
        <w:tc>
          <w:tcPr>
            <w:tcW w:w="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141</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51</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16"/>
        </w:trPr>
        <w:tc>
          <w:tcPr>
            <w:tcW w:w="2560" w:type="dxa"/>
            <w:vAlign w:val="bottom"/>
          </w:tcPr>
          <w:p>
            <w:pPr>
              <w:spacing w:after="0" w:line="199" w:lineRule="exact"/>
              <w:rPr>
                <w:sz w:val="20"/>
                <w:szCs w:val="20"/>
                <w:color w:val="auto"/>
              </w:rPr>
            </w:pPr>
            <w:r>
              <w:rPr>
                <w:rFonts w:ascii="Calibri" w:cs="Calibri" w:eastAsia="Calibri" w:hAnsi="Calibri"/>
                <w:sz w:val="18"/>
                <w:szCs w:val="18"/>
                <w:color w:val="auto"/>
              </w:rPr>
              <w:t>Equipment &amp; sofware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20</w:t>
            </w:r>
          </w:p>
        </w:tc>
        <w:tc>
          <w:tcPr>
            <w:tcW w:w="100" w:type="dxa"/>
            <w:vAlign w:val="bottom"/>
          </w:tcPr>
          <w:p>
            <w:pPr>
              <w:spacing w:after="0"/>
              <w:rPr>
                <w:sz w:val="18"/>
                <w:szCs w:val="18"/>
                <w:color w:val="auto"/>
              </w:rPr>
            </w:pPr>
          </w:p>
        </w:tc>
      </w:tr>
      <w:tr>
        <w:trPr>
          <w:trHeight w:val="237"/>
        </w:trPr>
        <w:tc>
          <w:tcPr>
            <w:tcW w:w="2560" w:type="dxa"/>
            <w:vAlign w:val="bottom"/>
            <w:shd w:val="clear" w:color="auto" w:fill="CFF0FC"/>
          </w:tcPr>
          <w:p>
            <w:pPr>
              <w:spacing w:after="0"/>
              <w:rPr>
                <w:sz w:val="20"/>
                <w:szCs w:val="20"/>
                <w:color w:val="auto"/>
              </w:rPr>
            </w:pPr>
            <w:r>
              <w:rPr>
                <w:rFonts w:ascii="Calibri" w:cs="Calibri" w:eastAsia="Calibri" w:hAnsi="Calibri"/>
                <w:sz w:val="18"/>
                <w:szCs w:val="18"/>
                <w:color w:val="auto"/>
              </w:rPr>
              <w:t>Film and chemicals</w:t>
            </w:r>
          </w:p>
        </w:tc>
        <w:tc>
          <w:tcPr>
            <w:tcW w:w="6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8"/>
                <w:szCs w:val="18"/>
                <w:color w:val="auto"/>
              </w:rPr>
              <w:t>—</w:t>
            </w: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40</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40</w:t>
            </w:r>
          </w:p>
        </w:tc>
        <w:tc>
          <w:tcPr>
            <w:tcW w:w="100" w:type="dxa"/>
            <w:vAlign w:val="bottom"/>
            <w:shd w:val="clear" w:color="auto" w:fill="CFF0FC"/>
          </w:tcPr>
          <w:p>
            <w:pPr>
              <w:spacing w:after="0"/>
              <w:rPr>
                <w:sz w:val="20"/>
                <w:szCs w:val="20"/>
                <w:color w:val="auto"/>
              </w:rPr>
            </w:pPr>
          </w:p>
        </w:tc>
      </w:tr>
      <w:tr>
        <w:trPr>
          <w:trHeight w:val="230"/>
        </w:trPr>
        <w:tc>
          <w:tcPr>
            <w:tcW w:w="2560" w:type="dxa"/>
            <w:vAlign w:val="bottom"/>
          </w:tcPr>
          <w:p>
            <w:pPr>
              <w:spacing w:after="0" w:line="229" w:lineRule="exact"/>
              <w:rPr>
                <w:sz w:val="20"/>
                <w:szCs w:val="20"/>
                <w:color w:val="auto"/>
              </w:rPr>
            </w:pPr>
            <w:r>
              <w:rPr>
                <w:rFonts w:ascii="Calibri" w:cs="Calibri" w:eastAsia="Calibri" w:hAnsi="Calibri"/>
                <w:sz w:val="16"/>
                <w:szCs w:val="16"/>
                <w:color w:val="auto"/>
              </w:rPr>
              <w:t xml:space="preserve">Other </w:t>
            </w:r>
            <w:r>
              <w:rPr>
                <w:rFonts w:ascii="Calibri" w:cs="Calibri" w:eastAsia="Calibri" w:hAnsi="Calibri"/>
                <w:sz w:val="25"/>
                <w:szCs w:val="25"/>
                <w:color w:val="auto"/>
                <w:vertAlign w:val="superscript"/>
              </w:rPr>
              <w:t>(2)</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9"/>
                <w:szCs w:val="19"/>
                <w:color w:val="auto"/>
              </w:rPr>
            </w:pPr>
          </w:p>
        </w:tc>
      </w:tr>
      <w:tr>
        <w:trPr>
          <w:trHeight w:val="216"/>
        </w:trPr>
        <w:tc>
          <w:tcPr>
            <w:tcW w:w="2560" w:type="dxa"/>
            <w:vAlign w:val="bottom"/>
            <w:tcBorders>
              <w:top w:val="single" w:sz="8" w:color="CFF0FC"/>
              <w:bottom w:val="single" w:sz="8" w:color="CFF0FC"/>
            </w:tcBorders>
            <w:shd w:val="clear" w:color="auto" w:fill="CFF0FC"/>
          </w:tcPr>
          <w:p>
            <w:pPr>
              <w:spacing w:after="0" w:line="199" w:lineRule="exact"/>
              <w:rPr>
                <w:sz w:val="20"/>
                <w:szCs w:val="20"/>
                <w:color w:val="auto"/>
              </w:rPr>
            </w:pPr>
            <w:r>
              <w:rPr>
                <w:rFonts w:ascii="Calibri" w:cs="Calibri" w:eastAsia="Calibri" w:hAnsi="Calibri"/>
                <w:sz w:val="18"/>
                <w:szCs w:val="18"/>
                <w:color w:val="auto"/>
              </w:rPr>
              <w:t>Total</w:t>
            </w:r>
          </w:p>
        </w:tc>
        <w:tc>
          <w:tcPr>
            <w:tcW w:w="6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560" w:hanging="552"/>
        <w:spacing w:after="0"/>
        <w:tabs>
          <w:tab w:leader="none" w:pos="560" w:val="left"/>
        </w:tabs>
        <w:numPr>
          <w:ilvl w:val="0"/>
          <w:numId w:val="4"/>
        </w:numPr>
        <w:rPr>
          <w:rFonts w:ascii="Calibri" w:cs="Calibri" w:eastAsia="Calibri" w:hAnsi="Calibri"/>
          <w:sz w:val="29"/>
          <w:szCs w:val="29"/>
          <w:color w:val="auto"/>
          <w:vertAlign w:val="superscript"/>
        </w:rPr>
      </w:pPr>
      <w:r>
        <w:rPr>
          <w:rFonts w:ascii="Calibri" w:cs="Calibri" w:eastAsia="Calibri" w:hAnsi="Calibri"/>
          <w:sz w:val="17"/>
          <w:szCs w:val="17"/>
          <w:color w:val="auto"/>
        </w:rPr>
        <w:t>Service revenue in the Consolidated Statement of Operatons includes the ongoing service revenue shown above as well as one-tme service revenue.</w:t>
      </w:r>
    </w:p>
    <w:p>
      <w:pPr>
        <w:spacing w:after="0" w:line="139" w:lineRule="exact"/>
        <w:rPr>
          <w:rFonts w:ascii="Calibri" w:cs="Calibri" w:eastAsia="Calibri" w:hAnsi="Calibri"/>
          <w:sz w:val="29"/>
          <w:szCs w:val="29"/>
          <w:color w:val="auto"/>
          <w:vertAlign w:val="superscript"/>
        </w:rPr>
      </w:pPr>
    </w:p>
    <w:p>
      <w:pPr>
        <w:ind w:left="560" w:hanging="552"/>
        <w:spacing w:after="0" w:line="202" w:lineRule="auto"/>
        <w:tabs>
          <w:tab w:leader="none" w:pos="560" w:val="left"/>
        </w:tabs>
        <w:numPr>
          <w:ilvl w:val="0"/>
          <w:numId w:val="4"/>
        </w:numPr>
        <w:rPr>
          <w:rFonts w:ascii="Calibri" w:cs="Calibri" w:eastAsia="Calibri" w:hAnsi="Calibri"/>
          <w:sz w:val="31"/>
          <w:szCs w:val="31"/>
          <w:color w:val="auto"/>
          <w:vertAlign w:val="superscript"/>
        </w:rPr>
      </w:pPr>
      <w:r>
        <w:rPr>
          <w:rFonts w:ascii="Calibri" w:cs="Calibri" w:eastAsia="Calibri" w:hAnsi="Calibri"/>
          <w:sz w:val="18"/>
          <w:szCs w:val="18"/>
          <w:color w:val="auto"/>
        </w:rPr>
        <w:t>Other includes revenue from non-recurring engineering services, tenant rent and related property management services and licensing.</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20"/>
                <w:szCs w:val="20"/>
                <w:color w:val="auto"/>
              </w:rPr>
            </w:pPr>
            <w:r>
              <w:rPr>
                <w:rFonts w:ascii="Calibri" w:cs="Calibri" w:eastAsia="Calibri" w:hAnsi="Calibri"/>
                <w:sz w:val="18"/>
                <w:szCs w:val="18"/>
                <w:b w:val="1"/>
                <w:bCs w:val="1"/>
                <w:color w:val="auto"/>
              </w:rPr>
              <w:t>Product Portolio Summary:</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3"/>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center"/>
              <w:ind w:right="310"/>
              <w:spacing w:after="0"/>
              <w:rPr>
                <w:sz w:val="20"/>
                <w:szCs w:val="20"/>
                <w:color w:val="auto"/>
              </w:rPr>
            </w:pPr>
            <w:r>
              <w:rPr>
                <w:rFonts w:ascii="Calibri" w:cs="Calibri" w:eastAsia="Calibri" w:hAnsi="Calibri"/>
                <w:sz w:val="18"/>
                <w:szCs w:val="18"/>
                <w:b w:val="1"/>
                <w:bCs w:val="1"/>
                <w:color w:val="auto"/>
                <w:w w:val="97"/>
              </w:rPr>
              <w:t>Three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5"/>
          </w:tcPr>
          <w:p>
            <w:pPr>
              <w:jc w:val="center"/>
              <w:ind w:right="310"/>
              <w:spacing w:after="0"/>
              <w:rPr>
                <w:sz w:val="20"/>
                <w:szCs w:val="20"/>
                <w:color w:val="auto"/>
              </w:rPr>
            </w:pPr>
            <w:r>
              <w:rPr>
                <w:rFonts w:ascii="Calibri" w:cs="Calibri" w:eastAsia="Calibri" w:hAnsi="Calibri"/>
                <w:sz w:val="18"/>
                <w:szCs w:val="18"/>
                <w:b w:val="1"/>
                <w:bCs w:val="1"/>
                <w:color w:val="auto"/>
                <w:w w:val="96"/>
              </w:rPr>
              <w:t>March 31, 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9"/>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center"/>
              <w:ind w:right="90"/>
              <w:spacing w:after="0"/>
              <w:rPr>
                <w:sz w:val="20"/>
                <w:szCs w:val="20"/>
                <w:color w:val="auto"/>
              </w:rPr>
            </w:pPr>
            <w:r>
              <w:rPr>
                <w:rFonts w:ascii="Calibri" w:cs="Calibri" w:eastAsia="Calibri" w:hAnsi="Calibri"/>
                <w:sz w:val="18"/>
                <w:szCs w:val="18"/>
                <w:b w:val="1"/>
                <w:bCs w:val="1"/>
                <w:color w:val="auto"/>
                <w:w w:val="97"/>
              </w:rPr>
              <w:t>Advanced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8"/>
              </w:rPr>
              <w:t>Materials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40"/>
              <w:spacing w:after="0" w:line="216" w:lineRule="exact"/>
              <w:rPr>
                <w:sz w:val="20"/>
                <w:szCs w:val="20"/>
                <w:color w:val="auto"/>
              </w:rPr>
            </w:pPr>
            <w:r>
              <w:rPr>
                <w:rFonts w:ascii="Calibri" w:cs="Calibri" w:eastAsia="Calibri" w:hAnsi="Calibri"/>
                <w:sz w:val="18"/>
                <w:szCs w:val="18"/>
                <w:b w:val="1"/>
                <w:bCs w:val="1"/>
                <w:color w:val="auto"/>
              </w:rPr>
              <w:t>Traditonal</w:t>
            </w:r>
          </w:p>
        </w:tc>
        <w:tc>
          <w:tcPr>
            <w:tcW w:w="200" w:type="dxa"/>
            <w:vAlign w:val="bottom"/>
          </w:tcPr>
          <w:p>
            <w:pPr>
              <w:spacing w:after="0"/>
              <w:rPr>
                <w:sz w:val="18"/>
                <w:szCs w:val="18"/>
                <w:color w:val="auto"/>
              </w:rPr>
            </w:pPr>
          </w:p>
        </w:tc>
        <w:tc>
          <w:tcPr>
            <w:tcW w:w="1180" w:type="dxa"/>
            <w:vAlign w:val="bottom"/>
            <w:gridSpan w:val="3"/>
          </w:tcPr>
          <w:p>
            <w:pPr>
              <w:jc w:val="center"/>
              <w:ind w:right="420"/>
              <w:spacing w:after="0" w:line="216" w:lineRule="exact"/>
              <w:rPr>
                <w:sz w:val="20"/>
                <w:szCs w:val="20"/>
                <w:color w:val="auto"/>
              </w:rPr>
            </w:pPr>
            <w:r>
              <w:rPr>
                <w:rFonts w:ascii="Calibri" w:cs="Calibri" w:eastAsia="Calibri" w:hAnsi="Calibri"/>
                <w:sz w:val="18"/>
                <w:szCs w:val="18"/>
                <w:b w:val="1"/>
                <w:bCs w:val="1"/>
                <w:color w:val="auto"/>
                <w:w w:val="99"/>
              </w:rPr>
              <w:t>Digital</w:t>
            </w:r>
          </w:p>
        </w:tc>
        <w:tc>
          <w:tcPr>
            <w:tcW w:w="160" w:type="dxa"/>
            <w:vAlign w:val="bottom"/>
          </w:tcPr>
          <w:p>
            <w:pPr>
              <w:spacing w:after="0"/>
              <w:rPr>
                <w:sz w:val="18"/>
                <w:szCs w:val="18"/>
                <w:color w:val="auto"/>
              </w:rPr>
            </w:pPr>
          </w:p>
        </w:tc>
        <w:tc>
          <w:tcPr>
            <w:tcW w:w="1020" w:type="dxa"/>
            <w:vAlign w:val="bottom"/>
          </w:tcPr>
          <w:p>
            <w:pPr>
              <w:jc w:val="center"/>
              <w:ind w:right="90"/>
              <w:spacing w:after="0" w:line="216" w:lineRule="exact"/>
              <w:rPr>
                <w:sz w:val="20"/>
                <w:szCs w:val="20"/>
                <w:color w:val="auto"/>
              </w:rPr>
            </w:pPr>
            <w:r>
              <w:rPr>
                <w:rFonts w:ascii="Calibri" w:cs="Calibri" w:eastAsia="Calibri" w:hAnsi="Calibri"/>
                <w:sz w:val="18"/>
                <w:szCs w:val="18"/>
                <w:b w:val="1"/>
                <w:bCs w:val="1"/>
                <w:color w:val="auto"/>
                <w:w w:val="99"/>
              </w:rPr>
              <w:t>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Calibri" w:cs="Calibri" w:eastAsia="Calibri" w:hAnsi="Calibri"/>
                <w:sz w:val="16"/>
                <w:szCs w:val="16"/>
                <w:color w:val="auto"/>
              </w:rPr>
              <w:t>(in millions)</w:t>
            </w:r>
          </w:p>
        </w:tc>
        <w:tc>
          <w:tcPr>
            <w:tcW w:w="140" w:type="dxa"/>
            <w:vAlign w:val="bottom"/>
          </w:tcPr>
          <w:p>
            <w:pPr>
              <w:spacing w:after="0"/>
              <w:rPr>
                <w:sz w:val="18"/>
                <w:szCs w:val="18"/>
                <w:color w:val="auto"/>
              </w:rPr>
            </w:pPr>
          </w:p>
        </w:tc>
        <w:tc>
          <w:tcPr>
            <w:tcW w:w="1240" w:type="dxa"/>
            <w:vAlign w:val="bottom"/>
            <w:gridSpan w:val="3"/>
          </w:tcPr>
          <w:p>
            <w:pPr>
              <w:jc w:val="center"/>
              <w:ind w:right="340"/>
              <w:spacing w:after="0" w:line="216" w:lineRule="exact"/>
              <w:rPr>
                <w:sz w:val="20"/>
                <w:szCs w:val="20"/>
                <w:color w:val="auto"/>
              </w:rPr>
            </w:pPr>
            <w:r>
              <w:rPr>
                <w:rFonts w:ascii="Calibri" w:cs="Calibri" w:eastAsia="Calibri" w:hAnsi="Calibri"/>
                <w:sz w:val="18"/>
                <w:szCs w:val="18"/>
                <w:b w:val="1"/>
                <w:bCs w:val="1"/>
                <w:color w:val="auto"/>
              </w:rPr>
              <w:t>Printng</w:t>
            </w:r>
          </w:p>
        </w:tc>
        <w:tc>
          <w:tcPr>
            <w:tcW w:w="200" w:type="dxa"/>
            <w:vAlign w:val="bottom"/>
          </w:tcPr>
          <w:p>
            <w:pPr>
              <w:spacing w:after="0"/>
              <w:rPr>
                <w:sz w:val="18"/>
                <w:szCs w:val="18"/>
                <w:color w:val="auto"/>
              </w:rPr>
            </w:pPr>
          </w:p>
        </w:tc>
        <w:tc>
          <w:tcPr>
            <w:tcW w:w="1180" w:type="dxa"/>
            <w:vAlign w:val="bottom"/>
            <w:gridSpan w:val="3"/>
          </w:tcPr>
          <w:p>
            <w:pPr>
              <w:jc w:val="center"/>
              <w:ind w:right="400"/>
              <w:spacing w:after="0" w:line="216" w:lineRule="exact"/>
              <w:rPr>
                <w:sz w:val="20"/>
                <w:szCs w:val="20"/>
                <w:color w:val="auto"/>
              </w:rPr>
            </w:pPr>
            <w:r>
              <w:rPr>
                <w:rFonts w:ascii="Calibri" w:cs="Calibri" w:eastAsia="Calibri" w:hAnsi="Calibri"/>
                <w:sz w:val="18"/>
                <w:szCs w:val="18"/>
                <w:b w:val="1"/>
                <w:bCs w:val="1"/>
                <w:color w:val="auto"/>
              </w:rPr>
              <w:t>Printng</w:t>
            </w:r>
          </w:p>
        </w:tc>
        <w:tc>
          <w:tcPr>
            <w:tcW w:w="160" w:type="dxa"/>
            <w:vAlign w:val="bottom"/>
          </w:tcPr>
          <w:p>
            <w:pPr>
              <w:spacing w:after="0"/>
              <w:rPr>
                <w:sz w:val="18"/>
                <w:szCs w:val="18"/>
                <w:color w:val="auto"/>
              </w:rPr>
            </w:pPr>
          </w:p>
        </w:tc>
        <w:tc>
          <w:tcPr>
            <w:tcW w:w="1020" w:type="dxa"/>
            <w:vAlign w:val="bottom"/>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line="216" w:lineRule="exact"/>
              <w:rPr>
                <w:sz w:val="20"/>
                <w:szCs w:val="20"/>
                <w:color w:val="auto"/>
              </w:rPr>
            </w:pPr>
            <w:r>
              <w:rPr>
                <w:rFonts w:ascii="Calibri" w:cs="Calibri" w:eastAsia="Calibri" w:hAnsi="Calibri"/>
                <w:sz w:val="18"/>
                <w:szCs w:val="18"/>
                <w:b w:val="1"/>
                <w:bCs w:val="1"/>
                <w:color w:val="auto"/>
              </w:rPr>
              <w:t>Brand</w:t>
            </w:r>
          </w:p>
        </w:tc>
        <w:tc>
          <w:tcPr>
            <w:tcW w:w="180" w:type="dxa"/>
            <w:vAlign w:val="bottom"/>
          </w:tcPr>
          <w:p>
            <w:pPr>
              <w:spacing w:after="0"/>
              <w:rPr>
                <w:sz w:val="18"/>
                <w:szCs w:val="18"/>
                <w:color w:val="auto"/>
              </w:rPr>
            </w:pPr>
          </w:p>
        </w:tc>
        <w:tc>
          <w:tcPr>
            <w:tcW w:w="1000" w:type="dxa"/>
            <w:vAlign w:val="bottom"/>
          </w:tcPr>
          <w:p>
            <w:pPr>
              <w:jc w:val="right"/>
              <w:ind w:right="170"/>
              <w:spacing w:after="0" w:line="216" w:lineRule="exact"/>
              <w:rPr>
                <w:sz w:val="20"/>
                <w:szCs w:val="20"/>
                <w:color w:val="auto"/>
              </w:rPr>
            </w:pPr>
            <w:r>
              <w:rPr>
                <w:rFonts w:ascii="Calibri" w:cs="Calibri" w:eastAsia="Calibri" w:hAnsi="Calibri"/>
                <w:sz w:val="18"/>
                <w:szCs w:val="18"/>
                <w:b w:val="1"/>
                <w:bCs w:val="1"/>
                <w:color w:val="auto"/>
              </w:rPr>
              <w:t>All Other</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6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3"/>
        </w:trPr>
        <w:tc>
          <w:tcPr>
            <w:tcW w:w="30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3000" w:type="dxa"/>
            <w:vAlign w:val="bottom"/>
            <w:shd w:val="clear" w:color="auto" w:fill="CFF0FC"/>
          </w:tcPr>
          <w:p>
            <w:pPr>
              <w:spacing w:after="0" w:line="223" w:lineRule="exact"/>
              <w:rPr>
                <w:sz w:val="20"/>
                <w:szCs w:val="20"/>
                <w:color w:val="auto"/>
              </w:rPr>
            </w:pPr>
            <w:r>
              <w:rPr>
                <w:rFonts w:ascii="Calibri" w:cs="Calibri" w:eastAsia="Calibri" w:hAnsi="Calibri"/>
                <w:sz w:val="15"/>
                <w:szCs w:val="15"/>
                <w:color w:val="auto"/>
              </w:rPr>
              <w:t xml:space="preserve">Growth engines </w:t>
            </w:r>
            <w:r>
              <w:rPr>
                <w:rFonts w:ascii="Calibri" w:cs="Calibri" w:eastAsia="Calibri" w:hAnsi="Calibri"/>
                <w:sz w:val="24"/>
                <w:szCs w:val="24"/>
                <w:color w:val="auto"/>
                <w:vertAlign w:val="superscript"/>
              </w:rPr>
              <w:t>(1)</w:t>
            </w:r>
          </w:p>
        </w:tc>
        <w:tc>
          <w:tcPr>
            <w:tcW w:w="1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4"/>
              <w:spacing w:after="0"/>
              <w:rPr>
                <w:sz w:val="20"/>
                <w:szCs w:val="20"/>
                <w:color w:val="auto"/>
              </w:rPr>
            </w:pPr>
            <w:r>
              <w:rPr>
                <w:rFonts w:ascii="Calibri" w:cs="Calibri" w:eastAsia="Calibri" w:hAnsi="Calibri"/>
                <w:sz w:val="11"/>
                <w:szCs w:val="11"/>
                <w:color w:val="auto"/>
                <w:w w:val="70"/>
              </w:rPr>
              <w:t>$</w:t>
            </w: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97</w:t>
            </w:r>
          </w:p>
        </w:tc>
        <w:tc>
          <w:tcPr>
            <w:tcW w:w="100" w:type="dxa"/>
            <w:vAlign w:val="bottom"/>
            <w:shd w:val="clear" w:color="auto" w:fill="CFF0FC"/>
          </w:tcPr>
          <w:p>
            <w:pPr>
              <w:spacing w:after="0"/>
              <w:rPr>
                <w:sz w:val="19"/>
                <w:szCs w:val="19"/>
                <w:color w:val="auto"/>
              </w:rPr>
            </w:pPr>
          </w:p>
        </w:tc>
      </w:tr>
      <w:tr>
        <w:trPr>
          <w:trHeight w:val="230"/>
        </w:trPr>
        <w:tc>
          <w:tcPr>
            <w:tcW w:w="3000" w:type="dxa"/>
            <w:vAlign w:val="bottom"/>
          </w:tcPr>
          <w:p>
            <w:pPr>
              <w:spacing w:after="0" w:line="229" w:lineRule="exact"/>
              <w:rPr>
                <w:sz w:val="20"/>
                <w:szCs w:val="20"/>
                <w:color w:val="auto"/>
              </w:rPr>
            </w:pPr>
            <w:r>
              <w:rPr>
                <w:rFonts w:ascii="Calibri" w:cs="Calibri" w:eastAsia="Calibri" w:hAnsi="Calibri"/>
                <w:sz w:val="16"/>
                <w:szCs w:val="16"/>
                <w:color w:val="auto"/>
              </w:rPr>
              <w:t xml:space="preserve">Strategic other businesses </w:t>
            </w:r>
            <w:r>
              <w:rPr>
                <w:rFonts w:ascii="Calibri" w:cs="Calibri" w:eastAsia="Calibri" w:hAnsi="Calibri"/>
                <w:sz w:val="25"/>
                <w:szCs w:val="25"/>
                <w:color w:val="auto"/>
                <w:vertAlign w:val="superscript"/>
              </w:rPr>
              <w:t>(2)</w:t>
            </w:r>
          </w:p>
        </w:tc>
        <w:tc>
          <w:tcPr>
            <w:tcW w:w="14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181</w:t>
            </w:r>
          </w:p>
        </w:tc>
        <w:tc>
          <w:tcPr>
            <w:tcW w:w="100" w:type="dxa"/>
            <w:vAlign w:val="bottom"/>
          </w:tcPr>
          <w:p>
            <w:pPr>
              <w:spacing w:after="0"/>
              <w:rPr>
                <w:sz w:val="19"/>
                <w:szCs w:val="19"/>
                <w:color w:val="auto"/>
              </w:rPr>
            </w:pPr>
          </w:p>
        </w:tc>
      </w:tr>
      <w:tr>
        <w:trPr>
          <w:trHeight w:val="206"/>
        </w:trPr>
        <w:tc>
          <w:tcPr>
            <w:tcW w:w="300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Planned declining</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9"/>
        </w:trPr>
        <w:tc>
          <w:tcPr>
            <w:tcW w:w="3000" w:type="dxa"/>
            <w:vAlign w:val="bottom"/>
            <w:shd w:val="clear" w:color="auto" w:fill="CFF0FC"/>
          </w:tcPr>
          <w:p>
            <w:pPr>
              <w:ind w:left="120"/>
              <w:spacing w:after="0" w:line="239" w:lineRule="exact"/>
              <w:rPr>
                <w:sz w:val="20"/>
                <w:szCs w:val="20"/>
                <w:color w:val="auto"/>
              </w:rPr>
            </w:pPr>
            <w:r>
              <w:rPr>
                <w:rFonts w:ascii="Calibri" w:cs="Calibri" w:eastAsia="Calibri" w:hAnsi="Calibri"/>
                <w:sz w:val="16"/>
                <w:szCs w:val="16"/>
                <w:color w:val="auto"/>
              </w:rPr>
              <w:t xml:space="preserve">businesses </w:t>
            </w:r>
            <w:r>
              <w:rPr>
                <w:rFonts w:ascii="Calibri" w:cs="Calibri" w:eastAsia="Calibri" w:hAnsi="Calibri"/>
                <w:sz w:val="26"/>
                <w:szCs w:val="26"/>
                <w:color w:val="auto"/>
                <w:vertAlign w:val="superscript"/>
              </w:rPr>
              <w:t>(3)</w:t>
            </w:r>
          </w:p>
        </w:tc>
        <w:tc>
          <w:tcPr>
            <w:tcW w:w="140" w:type="dxa"/>
            <w:vAlign w:val="bottom"/>
            <w:shd w:val="clear" w:color="auto" w:fill="CFF0FC"/>
          </w:tcPr>
          <w:p>
            <w:pPr>
              <w:spacing w:after="0"/>
              <w:rPr>
                <w:sz w:val="20"/>
                <w:szCs w:val="20"/>
                <w:color w:val="auto"/>
              </w:rPr>
            </w:pPr>
          </w:p>
        </w:tc>
        <w:tc>
          <w:tcPr>
            <w:tcW w:w="1240" w:type="dxa"/>
            <w:vAlign w:val="bottom"/>
            <w:gridSpan w:val="3"/>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w:t>
            </w:r>
          </w:p>
        </w:tc>
        <w:tc>
          <w:tcPr>
            <w:tcW w:w="100" w:type="dxa"/>
            <w:vAlign w:val="bottom"/>
            <w:shd w:val="clear" w:color="auto" w:fill="CFF0FC"/>
          </w:tcPr>
          <w:p>
            <w:pPr>
              <w:spacing w:after="0"/>
              <w:rPr>
                <w:sz w:val="20"/>
                <w:szCs w:val="20"/>
                <w:color w:val="auto"/>
              </w:rPr>
            </w:pPr>
          </w:p>
        </w:tc>
      </w:tr>
      <w:tr>
        <w:trPr>
          <w:trHeight w:val="217"/>
        </w:trPr>
        <w:tc>
          <w:tcPr>
            <w:tcW w:w="3000" w:type="dxa"/>
            <w:vAlign w:val="bottom"/>
          </w:tcPr>
          <w:p>
            <w:pPr>
              <w:spacing w:after="0" w:line="199" w:lineRule="exact"/>
              <w:rPr>
                <w:sz w:val="20"/>
                <w:szCs w:val="20"/>
                <w:color w:val="auto"/>
              </w:rPr>
            </w:pPr>
            <w:r>
              <w:rPr>
                <w:rFonts w:ascii="Calibri" w:cs="Calibri" w:eastAsia="Calibri" w:hAnsi="Calibri"/>
                <w:sz w:val="18"/>
                <w:szCs w:val="18"/>
                <w:color w:val="auto"/>
              </w:rPr>
              <w:t>Total</w:t>
            </w: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Calibri" w:cs="Calibri" w:eastAsia="Calibri" w:hAnsi="Calibri"/>
                <w:sz w:val="11"/>
                <w:szCs w:val="11"/>
                <w:color w:val="auto"/>
                <w:w w:val="70"/>
              </w:rPr>
              <w:t>$</w:t>
            </w:r>
          </w:p>
        </w:tc>
        <w:tc>
          <w:tcPr>
            <w:tcW w:w="9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290</w:t>
            </w:r>
          </w:p>
        </w:tc>
        <w:tc>
          <w:tcPr>
            <w:tcW w:w="100" w:type="dxa"/>
            <w:vAlign w:val="bottom"/>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6"/>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center"/>
              <w:ind w:right="310"/>
              <w:spacing w:after="0"/>
              <w:rPr>
                <w:sz w:val="20"/>
                <w:szCs w:val="20"/>
                <w:color w:val="auto"/>
              </w:rPr>
            </w:pPr>
            <w:r>
              <w:rPr>
                <w:rFonts w:ascii="Calibri" w:cs="Calibri" w:eastAsia="Calibri" w:hAnsi="Calibri"/>
                <w:sz w:val="18"/>
                <w:szCs w:val="18"/>
                <w:b w:val="1"/>
                <w:bCs w:val="1"/>
                <w:color w:val="auto"/>
                <w:w w:val="97"/>
              </w:rPr>
              <w:t>Three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5"/>
          </w:tcPr>
          <w:p>
            <w:pPr>
              <w:jc w:val="center"/>
              <w:ind w:right="310"/>
              <w:spacing w:after="0"/>
              <w:rPr>
                <w:sz w:val="20"/>
                <w:szCs w:val="20"/>
                <w:color w:val="auto"/>
              </w:rPr>
            </w:pPr>
            <w:r>
              <w:rPr>
                <w:rFonts w:ascii="Calibri" w:cs="Calibri" w:eastAsia="Calibri" w:hAnsi="Calibri"/>
                <w:sz w:val="18"/>
                <w:szCs w:val="18"/>
                <w:b w:val="1"/>
                <w:bCs w:val="1"/>
                <w:color w:val="auto"/>
                <w:w w:val="96"/>
              </w:rPr>
              <w:t>March 31, 2021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9"/>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center"/>
              <w:ind w:right="90"/>
              <w:spacing w:after="0"/>
              <w:rPr>
                <w:sz w:val="20"/>
                <w:szCs w:val="20"/>
                <w:color w:val="auto"/>
              </w:rPr>
            </w:pPr>
            <w:r>
              <w:rPr>
                <w:rFonts w:ascii="Calibri" w:cs="Calibri" w:eastAsia="Calibri" w:hAnsi="Calibri"/>
                <w:sz w:val="18"/>
                <w:szCs w:val="18"/>
                <w:b w:val="1"/>
                <w:bCs w:val="1"/>
                <w:color w:val="auto"/>
                <w:w w:val="97"/>
              </w:rPr>
              <w:t>Advanced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8"/>
              </w:rPr>
              <w:t>Materials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40"/>
              <w:spacing w:after="0" w:line="216" w:lineRule="exact"/>
              <w:rPr>
                <w:sz w:val="20"/>
                <w:szCs w:val="20"/>
                <w:color w:val="auto"/>
              </w:rPr>
            </w:pPr>
            <w:r>
              <w:rPr>
                <w:rFonts w:ascii="Calibri" w:cs="Calibri" w:eastAsia="Calibri" w:hAnsi="Calibri"/>
                <w:sz w:val="18"/>
                <w:szCs w:val="18"/>
                <w:b w:val="1"/>
                <w:bCs w:val="1"/>
                <w:color w:val="auto"/>
              </w:rPr>
              <w:t>Traditonal</w:t>
            </w:r>
          </w:p>
        </w:tc>
        <w:tc>
          <w:tcPr>
            <w:tcW w:w="200" w:type="dxa"/>
            <w:vAlign w:val="bottom"/>
          </w:tcPr>
          <w:p>
            <w:pPr>
              <w:spacing w:after="0"/>
              <w:rPr>
                <w:sz w:val="18"/>
                <w:szCs w:val="18"/>
                <w:color w:val="auto"/>
              </w:rPr>
            </w:pPr>
          </w:p>
        </w:tc>
        <w:tc>
          <w:tcPr>
            <w:tcW w:w="1180" w:type="dxa"/>
            <w:vAlign w:val="bottom"/>
            <w:gridSpan w:val="3"/>
          </w:tcPr>
          <w:p>
            <w:pPr>
              <w:jc w:val="center"/>
              <w:ind w:right="420"/>
              <w:spacing w:after="0" w:line="216" w:lineRule="exact"/>
              <w:rPr>
                <w:sz w:val="20"/>
                <w:szCs w:val="20"/>
                <w:color w:val="auto"/>
              </w:rPr>
            </w:pPr>
            <w:r>
              <w:rPr>
                <w:rFonts w:ascii="Calibri" w:cs="Calibri" w:eastAsia="Calibri" w:hAnsi="Calibri"/>
                <w:sz w:val="18"/>
                <w:szCs w:val="18"/>
                <w:b w:val="1"/>
                <w:bCs w:val="1"/>
                <w:color w:val="auto"/>
                <w:w w:val="99"/>
              </w:rPr>
              <w:t>Digital</w:t>
            </w:r>
          </w:p>
        </w:tc>
        <w:tc>
          <w:tcPr>
            <w:tcW w:w="160" w:type="dxa"/>
            <w:vAlign w:val="bottom"/>
          </w:tcPr>
          <w:p>
            <w:pPr>
              <w:spacing w:after="0"/>
              <w:rPr>
                <w:sz w:val="18"/>
                <w:szCs w:val="18"/>
                <w:color w:val="auto"/>
              </w:rPr>
            </w:pPr>
          </w:p>
        </w:tc>
        <w:tc>
          <w:tcPr>
            <w:tcW w:w="1020" w:type="dxa"/>
            <w:vAlign w:val="bottom"/>
          </w:tcPr>
          <w:p>
            <w:pPr>
              <w:jc w:val="center"/>
              <w:ind w:right="90"/>
              <w:spacing w:after="0" w:line="216" w:lineRule="exact"/>
              <w:rPr>
                <w:sz w:val="20"/>
                <w:szCs w:val="20"/>
                <w:color w:val="auto"/>
              </w:rPr>
            </w:pPr>
            <w:r>
              <w:rPr>
                <w:rFonts w:ascii="Calibri" w:cs="Calibri" w:eastAsia="Calibri" w:hAnsi="Calibri"/>
                <w:sz w:val="18"/>
                <w:szCs w:val="18"/>
                <w:b w:val="1"/>
                <w:bCs w:val="1"/>
                <w:color w:val="auto"/>
                <w:w w:val="99"/>
              </w:rPr>
              <w:t>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Calibri" w:cs="Calibri" w:eastAsia="Calibri" w:hAnsi="Calibri"/>
                <w:sz w:val="16"/>
                <w:szCs w:val="16"/>
                <w:color w:val="auto"/>
              </w:rPr>
              <w:t>(in millions)</w:t>
            </w:r>
          </w:p>
        </w:tc>
        <w:tc>
          <w:tcPr>
            <w:tcW w:w="140" w:type="dxa"/>
            <w:vAlign w:val="bottom"/>
          </w:tcPr>
          <w:p>
            <w:pPr>
              <w:spacing w:after="0"/>
              <w:rPr>
                <w:sz w:val="18"/>
                <w:szCs w:val="18"/>
                <w:color w:val="auto"/>
              </w:rPr>
            </w:pPr>
          </w:p>
        </w:tc>
        <w:tc>
          <w:tcPr>
            <w:tcW w:w="1240" w:type="dxa"/>
            <w:vAlign w:val="bottom"/>
            <w:gridSpan w:val="3"/>
          </w:tcPr>
          <w:p>
            <w:pPr>
              <w:jc w:val="center"/>
              <w:ind w:right="340"/>
              <w:spacing w:after="0" w:line="216" w:lineRule="exact"/>
              <w:rPr>
                <w:sz w:val="20"/>
                <w:szCs w:val="20"/>
                <w:color w:val="auto"/>
              </w:rPr>
            </w:pPr>
            <w:r>
              <w:rPr>
                <w:rFonts w:ascii="Calibri" w:cs="Calibri" w:eastAsia="Calibri" w:hAnsi="Calibri"/>
                <w:sz w:val="18"/>
                <w:szCs w:val="18"/>
                <w:b w:val="1"/>
                <w:bCs w:val="1"/>
                <w:color w:val="auto"/>
              </w:rPr>
              <w:t>Printng</w:t>
            </w:r>
          </w:p>
        </w:tc>
        <w:tc>
          <w:tcPr>
            <w:tcW w:w="200" w:type="dxa"/>
            <w:vAlign w:val="bottom"/>
          </w:tcPr>
          <w:p>
            <w:pPr>
              <w:spacing w:after="0"/>
              <w:rPr>
                <w:sz w:val="18"/>
                <w:szCs w:val="18"/>
                <w:color w:val="auto"/>
              </w:rPr>
            </w:pPr>
          </w:p>
        </w:tc>
        <w:tc>
          <w:tcPr>
            <w:tcW w:w="1180" w:type="dxa"/>
            <w:vAlign w:val="bottom"/>
            <w:gridSpan w:val="3"/>
          </w:tcPr>
          <w:p>
            <w:pPr>
              <w:jc w:val="center"/>
              <w:ind w:right="400"/>
              <w:spacing w:after="0" w:line="216" w:lineRule="exact"/>
              <w:rPr>
                <w:sz w:val="20"/>
                <w:szCs w:val="20"/>
                <w:color w:val="auto"/>
              </w:rPr>
            </w:pPr>
            <w:r>
              <w:rPr>
                <w:rFonts w:ascii="Calibri" w:cs="Calibri" w:eastAsia="Calibri" w:hAnsi="Calibri"/>
                <w:sz w:val="18"/>
                <w:szCs w:val="18"/>
                <w:b w:val="1"/>
                <w:bCs w:val="1"/>
                <w:color w:val="auto"/>
              </w:rPr>
              <w:t>Printng</w:t>
            </w:r>
          </w:p>
        </w:tc>
        <w:tc>
          <w:tcPr>
            <w:tcW w:w="160" w:type="dxa"/>
            <w:vAlign w:val="bottom"/>
          </w:tcPr>
          <w:p>
            <w:pPr>
              <w:spacing w:after="0"/>
              <w:rPr>
                <w:sz w:val="18"/>
                <w:szCs w:val="18"/>
                <w:color w:val="auto"/>
              </w:rPr>
            </w:pPr>
          </w:p>
        </w:tc>
        <w:tc>
          <w:tcPr>
            <w:tcW w:w="1020" w:type="dxa"/>
            <w:vAlign w:val="bottom"/>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line="216" w:lineRule="exact"/>
              <w:rPr>
                <w:sz w:val="20"/>
                <w:szCs w:val="20"/>
                <w:color w:val="auto"/>
              </w:rPr>
            </w:pPr>
            <w:r>
              <w:rPr>
                <w:rFonts w:ascii="Calibri" w:cs="Calibri" w:eastAsia="Calibri" w:hAnsi="Calibri"/>
                <w:sz w:val="18"/>
                <w:szCs w:val="18"/>
                <w:b w:val="1"/>
                <w:bCs w:val="1"/>
                <w:color w:val="auto"/>
              </w:rPr>
              <w:t>Brand</w:t>
            </w:r>
          </w:p>
        </w:tc>
        <w:tc>
          <w:tcPr>
            <w:tcW w:w="180" w:type="dxa"/>
            <w:vAlign w:val="bottom"/>
          </w:tcPr>
          <w:p>
            <w:pPr>
              <w:spacing w:after="0"/>
              <w:rPr>
                <w:sz w:val="18"/>
                <w:szCs w:val="18"/>
                <w:color w:val="auto"/>
              </w:rPr>
            </w:pPr>
          </w:p>
        </w:tc>
        <w:tc>
          <w:tcPr>
            <w:tcW w:w="1000" w:type="dxa"/>
            <w:vAlign w:val="bottom"/>
          </w:tcPr>
          <w:p>
            <w:pPr>
              <w:jc w:val="right"/>
              <w:ind w:right="170"/>
              <w:spacing w:after="0" w:line="216" w:lineRule="exact"/>
              <w:rPr>
                <w:sz w:val="20"/>
                <w:szCs w:val="20"/>
                <w:color w:val="auto"/>
              </w:rPr>
            </w:pPr>
            <w:r>
              <w:rPr>
                <w:rFonts w:ascii="Calibri" w:cs="Calibri" w:eastAsia="Calibri" w:hAnsi="Calibri"/>
                <w:sz w:val="18"/>
                <w:szCs w:val="18"/>
                <w:b w:val="1"/>
                <w:bCs w:val="1"/>
                <w:color w:val="auto"/>
              </w:rPr>
              <w:t>All Other</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6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3"/>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000" w:type="dxa"/>
            <w:vAlign w:val="bottom"/>
            <w:tcBorders>
              <w:top w:val="single" w:sz="8" w:color="CFF0FC"/>
            </w:tcBorders>
            <w:shd w:val="clear" w:color="auto" w:fill="CFF0FC"/>
          </w:tcPr>
          <w:p>
            <w:pPr>
              <w:spacing w:after="0" w:line="223" w:lineRule="exact"/>
              <w:rPr>
                <w:sz w:val="20"/>
                <w:szCs w:val="20"/>
                <w:color w:val="auto"/>
              </w:rPr>
            </w:pPr>
            <w:r>
              <w:rPr>
                <w:rFonts w:ascii="Calibri" w:cs="Calibri" w:eastAsia="Calibri" w:hAnsi="Calibri"/>
                <w:sz w:val="15"/>
                <w:szCs w:val="15"/>
                <w:color w:val="auto"/>
              </w:rPr>
              <w:t xml:space="preserve">Growth engines </w:t>
            </w:r>
            <w:r>
              <w:rPr>
                <w:rFonts w:ascii="Calibri" w:cs="Calibri" w:eastAsia="Calibri" w:hAnsi="Calibri"/>
                <w:sz w:val="24"/>
                <w:szCs w:val="24"/>
                <w:color w:val="auto"/>
                <w:vertAlign w:val="superscript"/>
              </w:rPr>
              <w:t>(1)</w:t>
            </w:r>
          </w:p>
        </w:tc>
        <w:tc>
          <w:tcPr>
            <w:tcW w:w="14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4"/>
              <w:spacing w:after="0"/>
              <w:rPr>
                <w:sz w:val="20"/>
                <w:szCs w:val="20"/>
                <w:color w:val="auto"/>
              </w:rPr>
            </w:pPr>
            <w:r>
              <w:rPr>
                <w:rFonts w:ascii="Calibri" w:cs="Calibri" w:eastAsia="Calibri" w:hAnsi="Calibri"/>
                <w:sz w:val="11"/>
                <w:szCs w:val="11"/>
                <w:color w:val="auto"/>
                <w:w w:val="70"/>
              </w:rPr>
              <w:t>$</w:t>
            </w:r>
          </w:p>
        </w:tc>
        <w:tc>
          <w:tcPr>
            <w:tcW w:w="96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000" w:type="dxa"/>
            <w:vAlign w:val="bottom"/>
          </w:tcPr>
          <w:p>
            <w:pPr>
              <w:spacing w:after="0" w:line="229" w:lineRule="exact"/>
              <w:rPr>
                <w:sz w:val="20"/>
                <w:szCs w:val="20"/>
                <w:color w:val="auto"/>
              </w:rPr>
            </w:pPr>
            <w:r>
              <w:rPr>
                <w:rFonts w:ascii="Calibri" w:cs="Calibri" w:eastAsia="Calibri" w:hAnsi="Calibri"/>
                <w:sz w:val="16"/>
                <w:szCs w:val="16"/>
                <w:color w:val="auto"/>
              </w:rPr>
              <w:t xml:space="preserve">Strategic other businesses </w:t>
            </w:r>
            <w:r>
              <w:rPr>
                <w:rFonts w:ascii="Calibri" w:cs="Calibri" w:eastAsia="Calibri" w:hAnsi="Calibri"/>
                <w:sz w:val="25"/>
                <w:szCs w:val="25"/>
                <w:color w:val="auto"/>
                <w:vertAlign w:val="superscript"/>
              </w:rPr>
              <w:t>(2)</w:t>
            </w:r>
          </w:p>
        </w:tc>
        <w:tc>
          <w:tcPr>
            <w:tcW w:w="14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167</w:t>
            </w:r>
          </w:p>
        </w:tc>
        <w:tc>
          <w:tcPr>
            <w:tcW w:w="100" w:type="dxa"/>
            <w:vAlign w:val="bottom"/>
          </w:tcPr>
          <w:p>
            <w:pPr>
              <w:spacing w:after="0"/>
              <w:rPr>
                <w:sz w:val="19"/>
                <w:szCs w:val="19"/>
                <w:color w:val="auto"/>
              </w:rPr>
            </w:pPr>
          </w:p>
        </w:tc>
      </w:tr>
      <w:tr>
        <w:trPr>
          <w:trHeight w:val="206"/>
        </w:trPr>
        <w:tc>
          <w:tcPr>
            <w:tcW w:w="300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Planned declining</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9"/>
        </w:trPr>
        <w:tc>
          <w:tcPr>
            <w:tcW w:w="3000" w:type="dxa"/>
            <w:vAlign w:val="bottom"/>
            <w:shd w:val="clear" w:color="auto" w:fill="CFF0FC"/>
          </w:tcPr>
          <w:p>
            <w:pPr>
              <w:ind w:left="120"/>
              <w:spacing w:after="0" w:line="239" w:lineRule="exact"/>
              <w:rPr>
                <w:sz w:val="20"/>
                <w:szCs w:val="20"/>
                <w:color w:val="auto"/>
              </w:rPr>
            </w:pPr>
            <w:r>
              <w:rPr>
                <w:rFonts w:ascii="Calibri" w:cs="Calibri" w:eastAsia="Calibri" w:hAnsi="Calibri"/>
                <w:sz w:val="16"/>
                <w:szCs w:val="16"/>
                <w:color w:val="auto"/>
              </w:rPr>
              <w:t xml:space="preserve">businesses </w:t>
            </w:r>
            <w:r>
              <w:rPr>
                <w:rFonts w:ascii="Calibri" w:cs="Calibri" w:eastAsia="Calibri" w:hAnsi="Calibri"/>
                <w:sz w:val="26"/>
                <w:szCs w:val="26"/>
                <w:color w:val="auto"/>
                <w:vertAlign w:val="superscript"/>
              </w:rPr>
              <w:t>(3)</w:t>
            </w:r>
          </w:p>
        </w:tc>
        <w:tc>
          <w:tcPr>
            <w:tcW w:w="140" w:type="dxa"/>
            <w:vAlign w:val="bottom"/>
            <w:shd w:val="clear" w:color="auto" w:fill="CFF0FC"/>
          </w:tcPr>
          <w:p>
            <w:pPr>
              <w:spacing w:after="0"/>
              <w:rPr>
                <w:sz w:val="20"/>
                <w:szCs w:val="20"/>
                <w:color w:val="auto"/>
              </w:rPr>
            </w:pPr>
          </w:p>
        </w:tc>
        <w:tc>
          <w:tcPr>
            <w:tcW w:w="1240" w:type="dxa"/>
            <w:vAlign w:val="bottom"/>
            <w:gridSpan w:val="3"/>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w:t>
            </w:r>
          </w:p>
        </w:tc>
        <w:tc>
          <w:tcPr>
            <w:tcW w:w="100" w:type="dxa"/>
            <w:vAlign w:val="bottom"/>
            <w:shd w:val="clear" w:color="auto" w:fill="CFF0FC"/>
          </w:tcPr>
          <w:p>
            <w:pPr>
              <w:spacing w:after="0"/>
              <w:rPr>
                <w:sz w:val="20"/>
                <w:szCs w:val="20"/>
                <w:color w:val="auto"/>
              </w:rPr>
            </w:pPr>
          </w:p>
        </w:tc>
      </w:tr>
      <w:tr>
        <w:trPr>
          <w:trHeight w:val="216"/>
        </w:trPr>
        <w:tc>
          <w:tcPr>
            <w:tcW w:w="3000" w:type="dxa"/>
            <w:vAlign w:val="bottom"/>
          </w:tcPr>
          <w:p>
            <w:pPr>
              <w:spacing w:after="0" w:line="199" w:lineRule="exact"/>
              <w:rPr>
                <w:sz w:val="20"/>
                <w:szCs w:val="20"/>
                <w:color w:val="auto"/>
              </w:rPr>
            </w:pPr>
            <w:r>
              <w:rPr>
                <w:rFonts w:ascii="Calibri" w:cs="Calibri" w:eastAsia="Calibri" w:hAnsi="Calibri"/>
                <w:sz w:val="18"/>
                <w:szCs w:val="18"/>
                <w:color w:val="auto"/>
              </w:rPr>
              <w:t>Total</w:t>
            </w:r>
          </w:p>
        </w:tc>
        <w:tc>
          <w:tcPr>
            <w:tcW w:w="14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w:t>
            </w:r>
          </w:p>
        </w:tc>
        <w:tc>
          <w:tcPr>
            <w:tcW w:w="20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104"/>
              <w:spacing w:after="0"/>
              <w:rPr>
                <w:sz w:val="20"/>
                <w:szCs w:val="20"/>
                <w:color w:val="auto"/>
              </w:rPr>
            </w:pPr>
            <w:r>
              <w:rPr>
                <w:rFonts w:ascii="Calibri" w:cs="Calibri" w:eastAsia="Calibri" w:hAnsi="Calibri"/>
                <w:sz w:val="11"/>
                <w:szCs w:val="11"/>
                <w:color w:val="auto"/>
                <w:w w:val="70"/>
              </w:rPr>
              <w:t>$</w:t>
            </w:r>
          </w:p>
        </w:tc>
        <w:tc>
          <w:tcPr>
            <w:tcW w:w="96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265</w:t>
            </w:r>
          </w:p>
        </w:tc>
        <w:tc>
          <w:tcPr>
            <w:tcW w:w="100" w:type="dxa"/>
            <w:vAlign w:val="bottom"/>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9" w:lineRule="exact"/>
        <w:rPr>
          <w:sz w:val="20"/>
          <w:szCs w:val="20"/>
          <w:color w:val="auto"/>
        </w:rPr>
      </w:pPr>
    </w:p>
    <w:p>
      <w:pPr>
        <w:ind w:left="580" w:right="80" w:hanging="572"/>
        <w:spacing w:after="0" w:line="220" w:lineRule="auto"/>
        <w:tabs>
          <w:tab w:leader="none" w:pos="580" w:val="left"/>
        </w:tabs>
        <w:numPr>
          <w:ilvl w:val="0"/>
          <w:numId w:val="5"/>
        </w:numPr>
        <w:rPr>
          <w:rFonts w:ascii="Calibri" w:cs="Calibri" w:eastAsia="Calibri" w:hAnsi="Calibri"/>
          <w:sz w:val="15"/>
          <w:szCs w:val="15"/>
          <w:color w:val="auto"/>
        </w:rPr>
      </w:pPr>
      <w:r>
        <w:rPr>
          <w:rFonts w:ascii="Calibri" w:cs="Calibri" w:eastAsia="Calibri" w:hAnsi="Calibri"/>
          <w:sz w:val="18"/>
          <w:szCs w:val="18"/>
          <w:color w:val="auto"/>
        </w:rPr>
        <w:t>Growth engines consist of Sonora in the Traditonal Printng segment, PROSPER and Sofware in the Digital Printng segment, and Advanced Materials and Functonal Printng in the Advanced Materials and Chemicals segment, excluding intellectual property (“IP”) licensing.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 w:name="page18"/>
    <w:bookmarkEnd w:id="17"/>
    <w:p>
      <w:pPr>
        <w:ind w:left="580" w:right="120" w:hanging="572"/>
        <w:spacing w:after="0" w:line="210" w:lineRule="auto"/>
        <w:tabs>
          <w:tab w:leader="none" w:pos="580" w:val="left"/>
        </w:tabs>
        <w:numPr>
          <w:ilvl w:val="0"/>
          <w:numId w:val="6"/>
        </w:numPr>
        <w:rPr>
          <w:rFonts w:ascii="Calibri" w:cs="Calibri" w:eastAsia="Calibri" w:hAnsi="Calibri"/>
          <w:sz w:val="15"/>
          <w:szCs w:val="15"/>
          <w:color w:val="auto"/>
        </w:rPr>
      </w:pPr>
      <w:r>
        <w:rPr>
          <w:rFonts w:ascii="Calibri" w:cs="Calibri" w:eastAsia="Calibri" w:hAnsi="Calibri"/>
          <w:sz w:val="18"/>
          <w:szCs w:val="18"/>
          <w:color w:val="auto"/>
        </w:rPr>
        <w:t>Strategic other businesses include plates and Computer to Plate (“CTP”) equipment and related service in the Traditonal Printng segment; Nexpress and related toner business in the Digital Printng segment and Moton Picture and Industrial Film and Chemicals (including external inks) and IP licensing in the Advanced Materials and Chemicals segment; the Brand segment and All Other.</w:t>
      </w:r>
    </w:p>
    <w:p>
      <w:pPr>
        <w:spacing w:after="0" w:line="152" w:lineRule="exact"/>
        <w:rPr>
          <w:rFonts w:ascii="Calibri" w:cs="Calibri" w:eastAsia="Calibri" w:hAnsi="Calibri"/>
          <w:sz w:val="15"/>
          <w:szCs w:val="15"/>
          <w:color w:val="auto"/>
        </w:rPr>
      </w:pPr>
    </w:p>
    <w:p>
      <w:pPr>
        <w:ind w:left="580" w:right="40" w:hanging="572"/>
        <w:spacing w:after="0" w:line="206" w:lineRule="auto"/>
        <w:tabs>
          <w:tab w:leader="none" w:pos="580" w:val="left"/>
        </w:tabs>
        <w:numPr>
          <w:ilvl w:val="0"/>
          <w:numId w:val="6"/>
        </w:numPr>
        <w:rPr>
          <w:rFonts w:ascii="Calibri" w:cs="Calibri" w:eastAsia="Calibri" w:hAnsi="Calibri"/>
          <w:sz w:val="15"/>
          <w:szCs w:val="15"/>
          <w:color w:val="auto"/>
        </w:rPr>
      </w:pPr>
      <w:r>
        <w:rPr>
          <w:rFonts w:ascii="Calibri" w:cs="Calibri" w:eastAsia="Calibri" w:hAnsi="Calibri"/>
          <w:sz w:val="18"/>
          <w:szCs w:val="18"/>
          <w:color w:val="auto"/>
        </w:rPr>
        <w:t>Planned declining businesses are product lines where the decision has been made to stop new product development and manage an orderly expected decline in the installed product and annuity base or are otherwise not strategic to Kodak. These product families consist of VERSAMARK and Digimaster in the Digital Printng segment.</w:t>
      </w:r>
    </w:p>
    <w:p>
      <w:pPr>
        <w:spacing w:after="0" w:line="13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Geography </w:t>
      </w:r>
      <w:r>
        <w:rPr>
          <w:rFonts w:ascii="Calibri" w:cs="Calibri" w:eastAsia="Calibri" w:hAnsi="Calibri"/>
          <w:sz w:val="30"/>
          <w:szCs w:val="30"/>
          <w:b w:val="1"/>
          <w:bCs w:val="1"/>
          <w:color w:val="auto"/>
          <w:vertAlign w:val="superscript"/>
        </w:rPr>
        <w:t>(1):</w:t>
      </w:r>
    </w:p>
    <w:p>
      <w:pPr>
        <w:jc w:val="center"/>
        <w:ind w:right="120"/>
        <w:spacing w:after="0" w:line="195" w:lineRule="auto"/>
        <w:rPr>
          <w:sz w:val="20"/>
          <w:szCs w:val="20"/>
          <w:color w:val="auto"/>
        </w:rPr>
      </w:pPr>
      <w:r>
        <w:rPr>
          <w:rFonts w:ascii="Calibri" w:cs="Calibri" w:eastAsia="Calibri" w:hAnsi="Calibri"/>
          <w:sz w:val="18"/>
          <w:szCs w:val="18"/>
          <w:b w:val="1"/>
          <w:bCs w:val="1"/>
          <w:color w:val="auto"/>
        </w:rPr>
        <w:t>Three Months Ended</w:t>
      </w:r>
    </w:p>
    <w:p>
      <w:pPr>
        <w:spacing w:after="0" w:line="10" w:lineRule="exact"/>
        <w:rPr>
          <w:sz w:val="20"/>
          <w:szCs w:val="20"/>
          <w:color w:val="auto"/>
        </w:rPr>
      </w:pPr>
    </w:p>
    <w:p>
      <w:pPr>
        <w:jc w:val="center"/>
        <w:ind w:right="120"/>
        <w:spacing w:after="0"/>
        <w:rPr>
          <w:sz w:val="20"/>
          <w:szCs w:val="20"/>
          <w:color w:val="auto"/>
        </w:rPr>
      </w:pPr>
      <w:r>
        <w:rPr>
          <w:rFonts w:ascii="Calibri" w:cs="Calibri" w:eastAsia="Calibri" w:hAnsi="Calibri"/>
          <w:sz w:val="18"/>
          <w:szCs w:val="18"/>
          <w:b w:val="1"/>
          <w:bCs w:val="1"/>
          <w:color w:val="auto"/>
        </w:rPr>
        <w:t>March 31,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360"/>
              <w:spacing w:after="0"/>
              <w:rPr>
                <w:sz w:val="20"/>
                <w:szCs w:val="20"/>
                <w:color w:val="auto"/>
              </w:rPr>
            </w:pPr>
            <w:r>
              <w:rPr>
                <w:rFonts w:ascii="Calibri" w:cs="Calibri" w:eastAsia="Calibri" w:hAnsi="Calibri"/>
                <w:sz w:val="18"/>
                <w:szCs w:val="18"/>
                <w:b w:val="1"/>
                <w:bCs w:val="1"/>
                <w:color w:val="auto"/>
                <w:w w:val="97"/>
              </w:rPr>
              <w:t>Advanced</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Materials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360"/>
              <w:spacing w:after="0" w:line="216" w:lineRule="exact"/>
              <w:rPr>
                <w:sz w:val="20"/>
                <w:szCs w:val="20"/>
                <w:color w:val="auto"/>
              </w:rPr>
            </w:pPr>
            <w:r>
              <w:rPr>
                <w:rFonts w:ascii="Calibri" w:cs="Calibri" w:eastAsia="Calibri" w:hAnsi="Calibri"/>
                <w:sz w:val="18"/>
                <w:szCs w:val="18"/>
                <w:b w:val="1"/>
                <w:bCs w:val="1"/>
                <w:color w:val="auto"/>
              </w:rPr>
              <w:t>Traditonal</w:t>
            </w:r>
          </w:p>
        </w:tc>
        <w:tc>
          <w:tcPr>
            <w:tcW w:w="200" w:type="dxa"/>
            <w:vAlign w:val="bottom"/>
          </w:tcPr>
          <w:p>
            <w:pPr>
              <w:spacing w:after="0"/>
              <w:rPr>
                <w:sz w:val="18"/>
                <w:szCs w:val="18"/>
                <w:color w:val="auto"/>
              </w:rPr>
            </w:pPr>
          </w:p>
        </w:tc>
        <w:tc>
          <w:tcPr>
            <w:tcW w:w="980" w:type="dxa"/>
            <w:vAlign w:val="bottom"/>
          </w:tcPr>
          <w:p>
            <w:pPr>
              <w:jc w:val="right"/>
              <w:ind w:right="270"/>
              <w:spacing w:after="0" w:line="216" w:lineRule="exact"/>
              <w:rPr>
                <w:sz w:val="20"/>
                <w:szCs w:val="20"/>
                <w:color w:val="auto"/>
              </w:rPr>
            </w:pPr>
            <w:r>
              <w:rPr>
                <w:rFonts w:ascii="Calibri" w:cs="Calibri" w:eastAsia="Calibri" w:hAnsi="Calibri"/>
                <w:sz w:val="18"/>
                <w:szCs w:val="18"/>
                <w:b w:val="1"/>
                <w:bCs w:val="1"/>
                <w:color w:val="auto"/>
              </w:rPr>
              <w:t>Digital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360"/>
              <w:spacing w:after="0" w:line="216" w:lineRule="exact"/>
              <w:rPr>
                <w:sz w:val="20"/>
                <w:szCs w:val="20"/>
                <w:color w:val="auto"/>
              </w:rPr>
            </w:pPr>
            <w:r>
              <w:rPr>
                <w:rFonts w:ascii="Calibri" w:cs="Calibri" w:eastAsia="Calibri" w:hAnsi="Calibri"/>
                <w:sz w:val="18"/>
                <w:szCs w:val="18"/>
                <w:b w:val="1"/>
                <w:bCs w:val="1"/>
                <w:color w:val="auto"/>
                <w:w w:val="99"/>
              </w:rPr>
              <w:t>and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Calibri" w:cs="Calibri" w:eastAsia="Calibri" w:hAnsi="Calibri"/>
                <w:sz w:val="16"/>
                <w:szCs w:val="16"/>
                <w:color w:val="auto"/>
              </w:rPr>
              <w:t>(in millions)</w:t>
            </w:r>
          </w:p>
        </w:tc>
        <w:tc>
          <w:tcPr>
            <w:tcW w:w="160" w:type="dxa"/>
            <w:vAlign w:val="bottom"/>
          </w:tcPr>
          <w:p>
            <w:pPr>
              <w:spacing w:after="0"/>
              <w:rPr>
                <w:sz w:val="18"/>
                <w:szCs w:val="18"/>
                <w:color w:val="auto"/>
              </w:rPr>
            </w:pPr>
          </w:p>
        </w:tc>
        <w:tc>
          <w:tcPr>
            <w:tcW w:w="1260" w:type="dxa"/>
            <w:vAlign w:val="bottom"/>
            <w:gridSpan w:val="3"/>
          </w:tcPr>
          <w:p>
            <w:pPr>
              <w:jc w:val="center"/>
              <w:ind w:right="360"/>
              <w:spacing w:after="0" w:line="216" w:lineRule="exact"/>
              <w:rPr>
                <w:sz w:val="20"/>
                <w:szCs w:val="20"/>
                <w:color w:val="auto"/>
              </w:rPr>
            </w:pPr>
            <w:r>
              <w:rPr>
                <w:rFonts w:ascii="Calibri" w:cs="Calibri" w:eastAsia="Calibri" w:hAnsi="Calibri"/>
                <w:sz w:val="18"/>
                <w:szCs w:val="18"/>
                <w:b w:val="1"/>
                <w:bCs w:val="1"/>
                <w:color w:val="auto"/>
              </w:rPr>
              <w:t>Printng</w:t>
            </w:r>
          </w:p>
        </w:tc>
        <w:tc>
          <w:tcPr>
            <w:tcW w:w="200" w:type="dxa"/>
            <w:vAlign w:val="bottom"/>
          </w:tcPr>
          <w:p>
            <w:pPr>
              <w:spacing w:after="0"/>
              <w:rPr>
                <w:sz w:val="18"/>
                <w:szCs w:val="18"/>
                <w:color w:val="auto"/>
              </w:rPr>
            </w:pPr>
          </w:p>
        </w:tc>
        <w:tc>
          <w:tcPr>
            <w:tcW w:w="980" w:type="dxa"/>
            <w:vAlign w:val="bottom"/>
          </w:tcPr>
          <w:p>
            <w:pPr>
              <w:jc w:val="right"/>
              <w:ind w:right="210"/>
              <w:spacing w:after="0" w:line="216" w:lineRule="exact"/>
              <w:rPr>
                <w:sz w:val="20"/>
                <w:szCs w:val="20"/>
                <w:color w:val="auto"/>
              </w:rPr>
            </w:pPr>
            <w:r>
              <w:rPr>
                <w:rFonts w:ascii="Calibri" w:cs="Calibri" w:eastAsia="Calibri" w:hAnsi="Calibri"/>
                <w:sz w:val="18"/>
                <w:szCs w:val="18"/>
                <w:b w:val="1"/>
                <w:bCs w:val="1"/>
                <w:color w:val="auto"/>
              </w:rPr>
              <w:t>Printng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240" w:type="dxa"/>
            <w:vAlign w:val="bottom"/>
          </w:tcPr>
          <w:p>
            <w:pPr>
              <w:spacing w:after="0"/>
              <w:rPr>
                <w:sz w:val="18"/>
                <w:szCs w:val="18"/>
                <w:color w:val="auto"/>
              </w:rPr>
            </w:pPr>
          </w:p>
        </w:tc>
        <w:tc>
          <w:tcPr>
            <w:tcW w:w="1160" w:type="dxa"/>
            <w:vAlign w:val="bottom"/>
            <w:gridSpan w:val="2"/>
          </w:tcPr>
          <w:p>
            <w:pPr>
              <w:ind w:left="140"/>
              <w:spacing w:after="0" w:line="216" w:lineRule="exact"/>
              <w:rPr>
                <w:sz w:val="20"/>
                <w:szCs w:val="20"/>
                <w:color w:val="auto"/>
              </w:rPr>
            </w:pPr>
            <w:r>
              <w:rPr>
                <w:rFonts w:ascii="Calibri" w:cs="Calibri" w:eastAsia="Calibri" w:hAnsi="Calibri"/>
                <w:sz w:val="18"/>
                <w:szCs w:val="18"/>
                <w:b w:val="1"/>
                <w:bCs w:val="1"/>
                <w:color w:val="auto"/>
              </w:rPr>
              <w:t>Brand</w:t>
            </w: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All Other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8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3"/>
        </w:trPr>
        <w:tc>
          <w:tcPr>
            <w:tcW w:w="286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2860" w:type="dxa"/>
            <w:vAlign w:val="bottom"/>
            <w:shd w:val="clear" w:color="auto" w:fill="CFF0FC"/>
          </w:tcPr>
          <w:p>
            <w:pPr>
              <w:spacing w:after="0" w:line="199" w:lineRule="exact"/>
              <w:rPr>
                <w:sz w:val="20"/>
                <w:szCs w:val="20"/>
                <w:color w:val="auto"/>
              </w:rPr>
            </w:pPr>
            <w:r>
              <w:rPr>
                <w:rFonts w:ascii="Calibri" w:cs="Calibri" w:eastAsia="Calibri" w:hAnsi="Calibri"/>
                <w:sz w:val="18"/>
                <w:szCs w:val="18"/>
                <w:color w:val="auto"/>
              </w:rPr>
              <w:t>United States</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1"/>
              <w:spacing w:after="0"/>
              <w:rPr>
                <w:sz w:val="20"/>
                <w:szCs w:val="20"/>
                <w:color w:val="auto"/>
              </w:rPr>
            </w:pPr>
            <w:r>
              <w:rPr>
                <w:rFonts w:ascii="Calibri" w:cs="Calibri" w:eastAsia="Calibri" w:hAnsi="Calibri"/>
                <w:sz w:val="16"/>
                <w:szCs w:val="16"/>
                <w:color w:val="auto"/>
                <w:w w:val="73"/>
              </w:rPr>
              <w:t>$</w:t>
            </w: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0"/>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w:t>
            </w:r>
          </w:p>
        </w:tc>
        <w:tc>
          <w:tcPr>
            <w:tcW w:w="100" w:type="dxa"/>
            <w:vAlign w:val="bottom"/>
            <w:shd w:val="clear" w:color="auto" w:fill="CFF0FC"/>
          </w:tcPr>
          <w:p>
            <w:pPr>
              <w:spacing w:after="0"/>
              <w:rPr>
                <w:sz w:val="19"/>
                <w:szCs w:val="19"/>
                <w:color w:val="auto"/>
              </w:rPr>
            </w:pPr>
          </w:p>
        </w:tc>
      </w:tr>
      <w:tr>
        <w:trPr>
          <w:trHeight w:val="223"/>
        </w:trPr>
        <w:tc>
          <w:tcPr>
            <w:tcW w:w="2860" w:type="dxa"/>
            <w:vAlign w:val="bottom"/>
          </w:tcPr>
          <w:p>
            <w:pPr>
              <w:spacing w:after="0" w:line="215" w:lineRule="exact"/>
              <w:rPr>
                <w:sz w:val="20"/>
                <w:szCs w:val="20"/>
                <w:color w:val="auto"/>
              </w:rPr>
            </w:pPr>
            <w:r>
              <w:rPr>
                <w:rFonts w:ascii="Calibri" w:cs="Calibri" w:eastAsia="Calibri" w:hAnsi="Calibri"/>
                <w:sz w:val="18"/>
                <w:szCs w:val="18"/>
                <w:color w:val="auto"/>
              </w:rPr>
              <w:t>Canada</w:t>
            </w:r>
          </w:p>
        </w:tc>
        <w:tc>
          <w:tcPr>
            <w:tcW w:w="16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spacing w:after="0"/>
              <w:rPr>
                <w:sz w:val="19"/>
                <w:szCs w:val="19"/>
                <w:color w:val="auto"/>
              </w:rPr>
            </w:pPr>
          </w:p>
        </w:tc>
        <w:tc>
          <w:tcPr>
            <w:tcW w:w="2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9"/>
                <w:szCs w:val="19"/>
                <w:color w:val="auto"/>
              </w:rPr>
            </w:pPr>
          </w:p>
        </w:tc>
      </w:tr>
      <w:tr>
        <w:trPr>
          <w:trHeight w:val="229"/>
        </w:trPr>
        <w:tc>
          <w:tcPr>
            <w:tcW w:w="2860" w:type="dxa"/>
            <w:vAlign w:val="bottom"/>
            <w:tcBorders>
              <w:top w:val="single" w:sz="8" w:color="CFF0FC"/>
            </w:tcBorders>
            <w:shd w:val="clear" w:color="auto" w:fill="CFF0FC"/>
          </w:tcPr>
          <w:p>
            <w:pPr>
              <w:ind w:left="380"/>
              <w:spacing w:after="0" w:line="206" w:lineRule="exact"/>
              <w:rPr>
                <w:sz w:val="20"/>
                <w:szCs w:val="20"/>
                <w:color w:val="auto"/>
              </w:rPr>
            </w:pPr>
            <w:r>
              <w:rPr>
                <w:rFonts w:ascii="Calibri" w:cs="Calibri" w:eastAsia="Calibri" w:hAnsi="Calibri"/>
                <w:sz w:val="18"/>
                <w:szCs w:val="18"/>
                <w:color w:val="auto"/>
              </w:rPr>
              <w:t>North America</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00"/>
        </w:trPr>
        <w:tc>
          <w:tcPr>
            <w:tcW w:w="2860" w:type="dxa"/>
            <w:vAlign w:val="bottom"/>
          </w:tcPr>
          <w:p>
            <w:pPr>
              <w:spacing w:after="0" w:line="199" w:lineRule="exact"/>
              <w:rPr>
                <w:sz w:val="20"/>
                <w:szCs w:val="20"/>
                <w:color w:val="auto"/>
              </w:rPr>
            </w:pPr>
            <w:r>
              <w:rPr>
                <w:rFonts w:ascii="Calibri" w:cs="Calibri" w:eastAsia="Calibri" w:hAnsi="Calibri"/>
                <w:sz w:val="18"/>
                <w:szCs w:val="18"/>
                <w:color w:val="auto"/>
              </w:rPr>
              <w:t>Europe, Middle East</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60" w:type="dxa"/>
            <w:vAlign w:val="bottom"/>
          </w:tcPr>
          <w:p>
            <w:pPr>
              <w:ind w:left="120"/>
              <w:spacing w:after="0" w:line="216" w:lineRule="exact"/>
              <w:rPr>
                <w:sz w:val="20"/>
                <w:szCs w:val="20"/>
                <w:color w:val="auto"/>
              </w:rPr>
            </w:pPr>
            <w:r>
              <w:rPr>
                <w:rFonts w:ascii="Calibri" w:cs="Calibri" w:eastAsia="Calibri" w:hAnsi="Calibri"/>
                <w:sz w:val="18"/>
                <w:szCs w:val="18"/>
                <w:color w:val="auto"/>
              </w:rPr>
              <w:t>and Africa</w:t>
            </w:r>
          </w:p>
        </w:tc>
        <w:tc>
          <w:tcPr>
            <w:tcW w:w="16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Calibri" w:cs="Calibri" w:eastAsia="Calibri" w:hAnsi="Calibri"/>
                <w:sz w:val="18"/>
                <w:szCs w:val="18"/>
                <w:color w:val="auto"/>
              </w:rPr>
              <w:t>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auto"/>
              </w:rPr>
              <w:t>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00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auto"/>
              </w:rPr>
              <w:t>107</w:t>
            </w:r>
          </w:p>
        </w:tc>
        <w:tc>
          <w:tcPr>
            <w:tcW w:w="100" w:type="dxa"/>
            <w:vAlign w:val="bottom"/>
          </w:tcPr>
          <w:p>
            <w:pPr>
              <w:spacing w:after="0"/>
              <w:rPr>
                <w:sz w:val="18"/>
                <w:szCs w:val="18"/>
                <w:color w:val="auto"/>
              </w:rPr>
            </w:pPr>
          </w:p>
        </w:tc>
      </w:tr>
      <w:tr>
        <w:trPr>
          <w:trHeight w:val="2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286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Asia Pacifc</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w:t>
            </w:r>
          </w:p>
        </w:tc>
        <w:tc>
          <w:tcPr>
            <w:tcW w:w="100" w:type="dxa"/>
            <w:vAlign w:val="bottom"/>
            <w:shd w:val="clear" w:color="auto" w:fill="CFF0FC"/>
          </w:tcPr>
          <w:p>
            <w:pPr>
              <w:spacing w:after="0"/>
              <w:rPr>
                <w:sz w:val="19"/>
                <w:szCs w:val="19"/>
                <w:color w:val="auto"/>
              </w:rPr>
            </w:pPr>
          </w:p>
        </w:tc>
      </w:tr>
      <w:tr>
        <w:trPr>
          <w:trHeight w:val="223"/>
        </w:trPr>
        <w:tc>
          <w:tcPr>
            <w:tcW w:w="2860" w:type="dxa"/>
            <w:vAlign w:val="bottom"/>
          </w:tcPr>
          <w:p>
            <w:pPr>
              <w:spacing w:after="0" w:line="215" w:lineRule="exact"/>
              <w:rPr>
                <w:sz w:val="20"/>
                <w:szCs w:val="20"/>
                <w:color w:val="auto"/>
              </w:rPr>
            </w:pPr>
            <w:r>
              <w:rPr>
                <w:rFonts w:ascii="Calibri" w:cs="Calibri" w:eastAsia="Calibri" w:hAnsi="Calibri"/>
                <w:sz w:val="18"/>
                <w:szCs w:val="18"/>
                <w:color w:val="auto"/>
              </w:rPr>
              <w:t>Latn America</w:t>
            </w:r>
          </w:p>
        </w:tc>
        <w:tc>
          <w:tcPr>
            <w:tcW w:w="16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spacing w:after="0"/>
              <w:rPr>
                <w:sz w:val="19"/>
                <w:szCs w:val="19"/>
                <w:color w:val="auto"/>
              </w:rPr>
            </w:pPr>
          </w:p>
        </w:tc>
        <w:tc>
          <w:tcPr>
            <w:tcW w:w="2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Calibri" w:cs="Calibri" w:eastAsia="Calibri" w:hAnsi="Calibri"/>
                <w:sz w:val="16"/>
                <w:szCs w:val="16"/>
                <w:color w:val="auto"/>
                <w:w w:val="73"/>
              </w:rPr>
              <w:t>$</w:t>
            </w:r>
          </w:p>
        </w:tc>
        <w:tc>
          <w:tcPr>
            <w:tcW w:w="9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Calibri" w:cs="Calibri" w:eastAsia="Calibri" w:hAnsi="Calibri"/>
                <w:sz w:val="16"/>
                <w:szCs w:val="16"/>
                <w:color w:val="auto"/>
                <w:w w:val="73"/>
              </w:rPr>
              <w:t>$</w:t>
            </w:r>
          </w:p>
        </w:tc>
        <w:tc>
          <w:tcPr>
            <w:tcW w:w="10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0"/>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3"/>
        </w:trPr>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w w:val="99"/>
              </w:rPr>
              <w:t>[17]</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
        </w:trPr>
        <w:tc>
          <w:tcPr>
            <w:tcW w:w="28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8" w:name="page19"/>
    <w:bookmarkEnd w:id="18"/>
    <w:p>
      <w:pPr>
        <w:jc w:val="center"/>
        <w:ind w:right="120"/>
        <w:spacing w:after="0"/>
        <w:rPr>
          <w:sz w:val="20"/>
          <w:szCs w:val="20"/>
          <w:color w:val="auto"/>
        </w:rPr>
      </w:pPr>
      <w:r>
        <w:rPr>
          <w:rFonts w:ascii="Calibri" w:cs="Calibri" w:eastAsia="Calibri" w:hAnsi="Calibri"/>
          <w:sz w:val="18"/>
          <w:szCs w:val="18"/>
          <w:b w:val="1"/>
          <w:bCs w:val="1"/>
          <w:color w:val="auto"/>
        </w:rPr>
        <w:t>Three Months Ended</w:t>
      </w:r>
    </w:p>
    <w:p>
      <w:pPr>
        <w:spacing w:after="0" w:line="10" w:lineRule="exact"/>
        <w:rPr>
          <w:sz w:val="20"/>
          <w:szCs w:val="20"/>
          <w:color w:val="auto"/>
        </w:rPr>
      </w:pPr>
    </w:p>
    <w:p>
      <w:pPr>
        <w:jc w:val="center"/>
        <w:ind w:right="120"/>
        <w:spacing w:after="0"/>
        <w:rPr>
          <w:sz w:val="20"/>
          <w:szCs w:val="20"/>
          <w:color w:val="auto"/>
        </w:rPr>
      </w:pPr>
      <w:r>
        <w:rPr>
          <w:rFonts w:ascii="Calibri" w:cs="Calibri" w:eastAsia="Calibri" w:hAnsi="Calibri"/>
          <w:sz w:val="18"/>
          <w:szCs w:val="18"/>
          <w:b w:val="1"/>
          <w:bCs w:val="1"/>
          <w:color w:val="auto"/>
        </w:rPr>
        <w:t>March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360"/>
              <w:spacing w:after="0"/>
              <w:rPr>
                <w:sz w:val="20"/>
                <w:szCs w:val="20"/>
                <w:color w:val="auto"/>
              </w:rPr>
            </w:pPr>
            <w:r>
              <w:rPr>
                <w:rFonts w:ascii="Calibri" w:cs="Calibri" w:eastAsia="Calibri" w:hAnsi="Calibri"/>
                <w:sz w:val="18"/>
                <w:szCs w:val="18"/>
                <w:b w:val="1"/>
                <w:bCs w:val="1"/>
                <w:color w:val="auto"/>
                <w:w w:val="97"/>
              </w:rPr>
              <w:t>Advanced</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Materials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360"/>
              <w:spacing w:after="0" w:line="216" w:lineRule="exact"/>
              <w:rPr>
                <w:sz w:val="20"/>
                <w:szCs w:val="20"/>
                <w:color w:val="auto"/>
              </w:rPr>
            </w:pPr>
            <w:r>
              <w:rPr>
                <w:rFonts w:ascii="Calibri" w:cs="Calibri" w:eastAsia="Calibri" w:hAnsi="Calibri"/>
                <w:sz w:val="18"/>
                <w:szCs w:val="18"/>
                <w:b w:val="1"/>
                <w:bCs w:val="1"/>
                <w:color w:val="auto"/>
              </w:rPr>
              <w:t>Traditonal</w:t>
            </w:r>
          </w:p>
        </w:tc>
        <w:tc>
          <w:tcPr>
            <w:tcW w:w="200" w:type="dxa"/>
            <w:vAlign w:val="bottom"/>
          </w:tcPr>
          <w:p>
            <w:pPr>
              <w:spacing w:after="0"/>
              <w:rPr>
                <w:sz w:val="18"/>
                <w:szCs w:val="18"/>
                <w:color w:val="auto"/>
              </w:rPr>
            </w:pPr>
          </w:p>
        </w:tc>
        <w:tc>
          <w:tcPr>
            <w:tcW w:w="1200" w:type="dxa"/>
            <w:vAlign w:val="bottom"/>
            <w:gridSpan w:val="3"/>
          </w:tcPr>
          <w:p>
            <w:pPr>
              <w:jc w:val="center"/>
              <w:ind w:right="420"/>
              <w:spacing w:after="0" w:line="216" w:lineRule="exact"/>
              <w:rPr>
                <w:sz w:val="20"/>
                <w:szCs w:val="20"/>
                <w:color w:val="auto"/>
              </w:rPr>
            </w:pPr>
            <w:r>
              <w:rPr>
                <w:rFonts w:ascii="Calibri" w:cs="Calibri" w:eastAsia="Calibri" w:hAnsi="Calibri"/>
                <w:sz w:val="18"/>
                <w:szCs w:val="18"/>
                <w:b w:val="1"/>
                <w:bCs w:val="1"/>
                <w:color w:val="auto"/>
                <w:w w:val="95"/>
              </w:rPr>
              <w:t>Digital</w:t>
            </w:r>
          </w:p>
        </w:tc>
        <w:tc>
          <w:tcPr>
            <w:tcW w:w="160" w:type="dxa"/>
            <w:vAlign w:val="bottom"/>
          </w:tcPr>
          <w:p>
            <w:pPr>
              <w:spacing w:after="0"/>
              <w:rPr>
                <w:sz w:val="18"/>
                <w:szCs w:val="18"/>
                <w:color w:val="auto"/>
              </w:rPr>
            </w:pPr>
          </w:p>
        </w:tc>
        <w:tc>
          <w:tcPr>
            <w:tcW w:w="1240" w:type="dxa"/>
            <w:vAlign w:val="bottom"/>
            <w:gridSpan w:val="3"/>
          </w:tcPr>
          <w:p>
            <w:pPr>
              <w:jc w:val="center"/>
              <w:ind w:right="360"/>
              <w:spacing w:after="0" w:line="216" w:lineRule="exact"/>
              <w:rPr>
                <w:sz w:val="20"/>
                <w:szCs w:val="20"/>
                <w:color w:val="auto"/>
              </w:rPr>
            </w:pPr>
            <w:r>
              <w:rPr>
                <w:rFonts w:ascii="Calibri" w:cs="Calibri" w:eastAsia="Calibri" w:hAnsi="Calibri"/>
                <w:sz w:val="18"/>
                <w:szCs w:val="18"/>
                <w:b w:val="1"/>
                <w:bCs w:val="1"/>
                <w:color w:val="auto"/>
                <w:w w:val="99"/>
              </w:rPr>
              <w:t>and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Calibri" w:cs="Calibri" w:eastAsia="Calibri" w:hAnsi="Calibri"/>
                <w:sz w:val="16"/>
                <w:szCs w:val="16"/>
                <w:color w:val="auto"/>
              </w:rPr>
              <w:t>(in millions)</w:t>
            </w:r>
          </w:p>
        </w:tc>
        <w:tc>
          <w:tcPr>
            <w:tcW w:w="160" w:type="dxa"/>
            <w:vAlign w:val="bottom"/>
          </w:tcPr>
          <w:p>
            <w:pPr>
              <w:spacing w:after="0"/>
              <w:rPr>
                <w:sz w:val="18"/>
                <w:szCs w:val="18"/>
                <w:color w:val="auto"/>
              </w:rPr>
            </w:pPr>
          </w:p>
        </w:tc>
        <w:tc>
          <w:tcPr>
            <w:tcW w:w="1260" w:type="dxa"/>
            <w:vAlign w:val="bottom"/>
            <w:gridSpan w:val="3"/>
          </w:tcPr>
          <w:p>
            <w:pPr>
              <w:jc w:val="center"/>
              <w:ind w:right="360"/>
              <w:spacing w:after="0" w:line="216" w:lineRule="exact"/>
              <w:rPr>
                <w:sz w:val="20"/>
                <w:szCs w:val="20"/>
                <w:color w:val="auto"/>
              </w:rPr>
            </w:pPr>
            <w:r>
              <w:rPr>
                <w:rFonts w:ascii="Calibri" w:cs="Calibri" w:eastAsia="Calibri" w:hAnsi="Calibri"/>
                <w:sz w:val="18"/>
                <w:szCs w:val="18"/>
                <w:b w:val="1"/>
                <w:bCs w:val="1"/>
                <w:color w:val="auto"/>
              </w:rPr>
              <w:t>Printng</w:t>
            </w:r>
          </w:p>
        </w:tc>
        <w:tc>
          <w:tcPr>
            <w:tcW w:w="200" w:type="dxa"/>
            <w:vAlign w:val="bottom"/>
          </w:tcPr>
          <w:p>
            <w:pPr>
              <w:spacing w:after="0"/>
              <w:rPr>
                <w:sz w:val="18"/>
                <w:szCs w:val="18"/>
                <w:color w:val="auto"/>
              </w:rPr>
            </w:pPr>
          </w:p>
        </w:tc>
        <w:tc>
          <w:tcPr>
            <w:tcW w:w="1200" w:type="dxa"/>
            <w:vAlign w:val="bottom"/>
            <w:gridSpan w:val="3"/>
          </w:tcPr>
          <w:p>
            <w:pPr>
              <w:jc w:val="center"/>
              <w:ind w:right="420"/>
              <w:spacing w:after="0" w:line="216" w:lineRule="exact"/>
              <w:rPr>
                <w:sz w:val="20"/>
                <w:szCs w:val="20"/>
                <w:color w:val="auto"/>
              </w:rPr>
            </w:pPr>
            <w:r>
              <w:rPr>
                <w:rFonts w:ascii="Calibri" w:cs="Calibri" w:eastAsia="Calibri" w:hAnsi="Calibri"/>
                <w:sz w:val="18"/>
                <w:szCs w:val="18"/>
                <w:b w:val="1"/>
                <w:bCs w:val="1"/>
                <w:color w:val="auto"/>
              </w:rPr>
              <w:t>Printng</w:t>
            </w:r>
          </w:p>
        </w:tc>
        <w:tc>
          <w:tcPr>
            <w:tcW w:w="160" w:type="dxa"/>
            <w:vAlign w:val="bottom"/>
          </w:tcPr>
          <w:p>
            <w:pPr>
              <w:spacing w:after="0"/>
              <w:rPr>
                <w:sz w:val="18"/>
                <w:szCs w:val="18"/>
                <w:color w:val="auto"/>
              </w:rPr>
            </w:pPr>
          </w:p>
        </w:tc>
        <w:tc>
          <w:tcPr>
            <w:tcW w:w="1240" w:type="dxa"/>
            <w:vAlign w:val="bottom"/>
            <w:gridSpan w:val="3"/>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240" w:type="dxa"/>
            <w:vAlign w:val="bottom"/>
          </w:tcPr>
          <w:p>
            <w:pPr>
              <w:spacing w:after="0"/>
              <w:rPr>
                <w:sz w:val="18"/>
                <w:szCs w:val="18"/>
                <w:color w:val="auto"/>
              </w:rPr>
            </w:pPr>
          </w:p>
        </w:tc>
        <w:tc>
          <w:tcPr>
            <w:tcW w:w="1160" w:type="dxa"/>
            <w:vAlign w:val="bottom"/>
            <w:gridSpan w:val="2"/>
          </w:tcPr>
          <w:p>
            <w:pPr>
              <w:ind w:left="140"/>
              <w:spacing w:after="0" w:line="216" w:lineRule="exact"/>
              <w:rPr>
                <w:sz w:val="20"/>
                <w:szCs w:val="20"/>
                <w:color w:val="auto"/>
              </w:rPr>
            </w:pPr>
            <w:r>
              <w:rPr>
                <w:rFonts w:ascii="Calibri" w:cs="Calibri" w:eastAsia="Calibri" w:hAnsi="Calibri"/>
                <w:sz w:val="18"/>
                <w:szCs w:val="18"/>
                <w:b w:val="1"/>
                <w:bCs w:val="1"/>
                <w:color w:val="auto"/>
              </w:rPr>
              <w:t>Brand</w:t>
            </w:r>
          </w:p>
        </w:tc>
        <w:tc>
          <w:tcPr>
            <w:tcW w:w="180" w:type="dxa"/>
            <w:vAlign w:val="bottom"/>
          </w:tcPr>
          <w:p>
            <w:pPr>
              <w:spacing w:after="0"/>
              <w:rPr>
                <w:sz w:val="18"/>
                <w:szCs w:val="18"/>
                <w:color w:val="auto"/>
              </w:rPr>
            </w:pPr>
          </w:p>
        </w:tc>
        <w:tc>
          <w:tcPr>
            <w:tcW w:w="1040" w:type="dxa"/>
            <w:vAlign w:val="bottom"/>
          </w:tcPr>
          <w:p>
            <w:pPr>
              <w:jc w:val="right"/>
              <w:ind w:right="190"/>
              <w:spacing w:after="0" w:line="216" w:lineRule="exact"/>
              <w:rPr>
                <w:sz w:val="20"/>
                <w:szCs w:val="20"/>
                <w:color w:val="auto"/>
              </w:rPr>
            </w:pPr>
            <w:r>
              <w:rPr>
                <w:rFonts w:ascii="Calibri" w:cs="Calibri" w:eastAsia="Calibri" w:hAnsi="Calibri"/>
                <w:sz w:val="18"/>
                <w:szCs w:val="18"/>
                <w:b w:val="1"/>
                <w:bCs w:val="1"/>
                <w:color w:val="auto"/>
              </w:rPr>
              <w:t>All Other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8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3"/>
        </w:trPr>
        <w:tc>
          <w:tcPr>
            <w:tcW w:w="286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2860" w:type="dxa"/>
            <w:vAlign w:val="bottom"/>
            <w:shd w:val="clear" w:color="auto" w:fill="CFF0FC"/>
          </w:tcPr>
          <w:p>
            <w:pPr>
              <w:spacing w:after="0" w:line="199" w:lineRule="exact"/>
              <w:rPr>
                <w:sz w:val="20"/>
                <w:szCs w:val="20"/>
                <w:color w:val="auto"/>
              </w:rPr>
            </w:pPr>
            <w:r>
              <w:rPr>
                <w:rFonts w:ascii="Calibri" w:cs="Calibri" w:eastAsia="Calibri" w:hAnsi="Calibri"/>
                <w:sz w:val="18"/>
                <w:szCs w:val="18"/>
                <w:color w:val="auto"/>
              </w:rPr>
              <w:t>United States</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1"/>
              <w:spacing w:after="0"/>
              <w:rPr>
                <w:sz w:val="20"/>
                <w:szCs w:val="20"/>
                <w:color w:val="auto"/>
              </w:rPr>
            </w:pPr>
            <w:r>
              <w:rPr>
                <w:rFonts w:ascii="Calibri" w:cs="Calibri" w:eastAsia="Calibri" w:hAnsi="Calibri"/>
                <w:sz w:val="16"/>
                <w:szCs w:val="16"/>
                <w:color w:val="auto"/>
                <w:w w:val="73"/>
              </w:rPr>
              <w:t>$</w:t>
            </w: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1"/>
              <w:spacing w:after="0"/>
              <w:rPr>
                <w:sz w:val="20"/>
                <w:szCs w:val="20"/>
                <w:color w:val="auto"/>
              </w:rPr>
            </w:pPr>
            <w:r>
              <w:rPr>
                <w:rFonts w:ascii="Calibri" w:cs="Calibri" w:eastAsia="Calibri" w:hAnsi="Calibri"/>
                <w:sz w:val="16"/>
                <w:szCs w:val="16"/>
                <w:color w:val="auto"/>
                <w:w w:val="73"/>
              </w:rPr>
              <w:t>$</w:t>
            </w: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96</w:t>
            </w:r>
          </w:p>
        </w:tc>
        <w:tc>
          <w:tcPr>
            <w:tcW w:w="100" w:type="dxa"/>
            <w:vAlign w:val="bottom"/>
            <w:shd w:val="clear" w:color="auto" w:fill="CFF0FC"/>
          </w:tcPr>
          <w:p>
            <w:pPr>
              <w:spacing w:after="0"/>
              <w:rPr>
                <w:sz w:val="19"/>
                <w:szCs w:val="19"/>
                <w:color w:val="auto"/>
              </w:rPr>
            </w:pPr>
          </w:p>
        </w:tc>
      </w:tr>
      <w:tr>
        <w:trPr>
          <w:trHeight w:val="223"/>
        </w:trPr>
        <w:tc>
          <w:tcPr>
            <w:tcW w:w="2860" w:type="dxa"/>
            <w:vAlign w:val="bottom"/>
          </w:tcPr>
          <w:p>
            <w:pPr>
              <w:spacing w:after="0" w:line="215" w:lineRule="exact"/>
              <w:rPr>
                <w:sz w:val="20"/>
                <w:szCs w:val="20"/>
                <w:color w:val="auto"/>
              </w:rPr>
            </w:pPr>
            <w:r>
              <w:rPr>
                <w:rFonts w:ascii="Calibri" w:cs="Calibri" w:eastAsia="Calibri" w:hAnsi="Calibri"/>
                <w:sz w:val="18"/>
                <w:szCs w:val="18"/>
                <w:color w:val="auto"/>
              </w:rPr>
              <w:t>Canada</w:t>
            </w:r>
          </w:p>
        </w:tc>
        <w:tc>
          <w:tcPr>
            <w:tcW w:w="16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9"/>
                <w:szCs w:val="19"/>
                <w:color w:val="auto"/>
              </w:rPr>
            </w:pPr>
          </w:p>
        </w:tc>
      </w:tr>
      <w:tr>
        <w:trPr>
          <w:trHeight w:val="229"/>
        </w:trPr>
        <w:tc>
          <w:tcPr>
            <w:tcW w:w="2860" w:type="dxa"/>
            <w:vAlign w:val="bottom"/>
            <w:tcBorders>
              <w:top w:val="single" w:sz="8" w:color="CFF0FC"/>
            </w:tcBorders>
            <w:shd w:val="clear" w:color="auto" w:fill="CFF0FC"/>
          </w:tcPr>
          <w:p>
            <w:pPr>
              <w:ind w:left="380"/>
              <w:spacing w:after="0" w:line="206" w:lineRule="exact"/>
              <w:rPr>
                <w:sz w:val="20"/>
                <w:szCs w:val="20"/>
                <w:color w:val="auto"/>
              </w:rPr>
            </w:pPr>
            <w:r>
              <w:rPr>
                <w:rFonts w:ascii="Calibri" w:cs="Calibri" w:eastAsia="Calibri" w:hAnsi="Calibri"/>
                <w:sz w:val="18"/>
                <w:szCs w:val="18"/>
                <w:color w:val="auto"/>
              </w:rPr>
              <w:t>North America</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00"/>
        </w:trPr>
        <w:tc>
          <w:tcPr>
            <w:tcW w:w="2860" w:type="dxa"/>
            <w:vAlign w:val="bottom"/>
          </w:tcPr>
          <w:p>
            <w:pPr>
              <w:spacing w:after="0" w:line="199" w:lineRule="exact"/>
              <w:rPr>
                <w:sz w:val="20"/>
                <w:szCs w:val="20"/>
                <w:color w:val="auto"/>
              </w:rPr>
            </w:pPr>
            <w:r>
              <w:rPr>
                <w:rFonts w:ascii="Calibri" w:cs="Calibri" w:eastAsia="Calibri" w:hAnsi="Calibri"/>
                <w:sz w:val="18"/>
                <w:szCs w:val="18"/>
                <w:color w:val="auto"/>
              </w:rPr>
              <w:t>Europe, Middle</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60" w:type="dxa"/>
            <w:vAlign w:val="bottom"/>
          </w:tcPr>
          <w:p>
            <w:pPr>
              <w:ind w:left="120"/>
              <w:spacing w:after="0" w:line="216" w:lineRule="exact"/>
              <w:rPr>
                <w:sz w:val="20"/>
                <w:szCs w:val="20"/>
                <w:color w:val="auto"/>
              </w:rPr>
            </w:pPr>
            <w:r>
              <w:rPr>
                <w:rFonts w:ascii="Calibri" w:cs="Calibri" w:eastAsia="Calibri" w:hAnsi="Calibri"/>
                <w:sz w:val="18"/>
                <w:szCs w:val="18"/>
                <w:color w:val="auto"/>
              </w:rPr>
              <w:t>East and Africa</w:t>
            </w:r>
          </w:p>
        </w:tc>
        <w:tc>
          <w:tcPr>
            <w:tcW w:w="16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Calibri" w:cs="Calibri" w:eastAsia="Calibri" w:hAnsi="Calibri"/>
                <w:sz w:val="18"/>
                <w:szCs w:val="18"/>
                <w:color w:val="auto"/>
              </w:rPr>
              <w:t>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auto"/>
              </w:rPr>
              <w:t>90</w:t>
            </w:r>
          </w:p>
        </w:tc>
        <w:tc>
          <w:tcPr>
            <w:tcW w:w="100" w:type="dxa"/>
            <w:vAlign w:val="bottom"/>
          </w:tcPr>
          <w:p>
            <w:pPr>
              <w:spacing w:after="0"/>
              <w:rPr>
                <w:sz w:val="18"/>
                <w:szCs w:val="18"/>
                <w:color w:val="auto"/>
              </w:rPr>
            </w:pPr>
          </w:p>
        </w:tc>
      </w:tr>
      <w:tr>
        <w:trPr>
          <w:trHeight w:val="2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286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Asia Pacifc</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66</w:t>
            </w:r>
          </w:p>
        </w:tc>
        <w:tc>
          <w:tcPr>
            <w:tcW w:w="100" w:type="dxa"/>
            <w:vAlign w:val="bottom"/>
            <w:shd w:val="clear" w:color="auto" w:fill="CFF0FC"/>
          </w:tcPr>
          <w:p>
            <w:pPr>
              <w:spacing w:after="0"/>
              <w:rPr>
                <w:sz w:val="19"/>
                <w:szCs w:val="19"/>
                <w:color w:val="auto"/>
              </w:rPr>
            </w:pPr>
          </w:p>
        </w:tc>
      </w:tr>
      <w:tr>
        <w:trPr>
          <w:trHeight w:val="223"/>
        </w:trPr>
        <w:tc>
          <w:tcPr>
            <w:tcW w:w="2860" w:type="dxa"/>
            <w:vAlign w:val="bottom"/>
          </w:tcPr>
          <w:p>
            <w:pPr>
              <w:spacing w:after="0" w:line="215" w:lineRule="exact"/>
              <w:rPr>
                <w:sz w:val="20"/>
                <w:szCs w:val="20"/>
                <w:color w:val="auto"/>
              </w:rPr>
            </w:pPr>
            <w:r>
              <w:rPr>
                <w:rFonts w:ascii="Calibri" w:cs="Calibri" w:eastAsia="Calibri" w:hAnsi="Calibri"/>
                <w:sz w:val="18"/>
                <w:szCs w:val="18"/>
                <w:color w:val="auto"/>
              </w:rPr>
              <w:t>Latn America</w:t>
            </w:r>
          </w:p>
        </w:tc>
        <w:tc>
          <w:tcPr>
            <w:tcW w:w="16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Calibri" w:cs="Calibri" w:eastAsia="Calibri" w:hAnsi="Calibri"/>
                <w:sz w:val="16"/>
                <w:szCs w:val="16"/>
                <w:color w:val="auto"/>
                <w:w w:val="73"/>
              </w:rPr>
              <w:t>$</w:t>
            </w:r>
          </w:p>
        </w:tc>
        <w:tc>
          <w:tcPr>
            <w:tcW w:w="10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Calibri" w:cs="Calibri" w:eastAsia="Calibri" w:hAnsi="Calibri"/>
                <w:sz w:val="16"/>
                <w:szCs w:val="16"/>
                <w:color w:val="auto"/>
                <w:w w:val="73"/>
              </w:rPr>
              <w:t>$</w:t>
            </w:r>
          </w:p>
        </w:tc>
        <w:tc>
          <w:tcPr>
            <w:tcW w:w="10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0" w:lineRule="exact"/>
        <w:rPr>
          <w:sz w:val="20"/>
          <w:szCs w:val="20"/>
          <w:color w:val="auto"/>
        </w:rPr>
      </w:pPr>
    </w:p>
    <w:p>
      <w:pPr>
        <w:ind w:left="740" w:hanging="368"/>
        <w:spacing w:after="0"/>
        <w:tabs>
          <w:tab w:leader="none" w:pos="740" w:val="left"/>
        </w:tabs>
        <w:numPr>
          <w:ilvl w:val="0"/>
          <w:numId w:val="7"/>
        </w:numPr>
        <w:rPr>
          <w:rFonts w:ascii="Calibri" w:cs="Calibri" w:eastAsia="Calibri" w:hAnsi="Calibri"/>
          <w:sz w:val="31"/>
          <w:szCs w:val="31"/>
          <w:color w:val="auto"/>
          <w:vertAlign w:val="superscript"/>
        </w:rPr>
      </w:pPr>
      <w:r>
        <w:rPr>
          <w:rFonts w:ascii="Calibri" w:cs="Calibri" w:eastAsia="Calibri" w:hAnsi="Calibri"/>
          <w:sz w:val="18"/>
          <w:szCs w:val="18"/>
          <w:color w:val="auto"/>
        </w:rPr>
        <w:t>Sales are reported in the geographic area in which they originate.</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Contract Balances</w:t>
      </w:r>
    </w:p>
    <w:p>
      <w:pPr>
        <w:spacing w:after="0" w:line="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tming of revenue recogniton, billings and cash collectons results in billed trade receivables, unbilled receivables (contract assets), and customer advances and deposits (contract liabilites) in the Consolidated Statement of Financial Positon. The contract assets are transferred to trade receivables when the rights to consideraton become unconditonal. The amount recorded for contract assets at both March 31, 2022 and December 31, 2021 was $3 million and is reported in Other current assets in the Consolidated Statement of Financial Positon. The contract liabilites primarily relate to prepaid service contracts, upfront payments for certain equipment purchases or prepaid royaltes on intellectual property arrangements. The amounts recorded for contract liabilites at March 31, 2022 and December 31, 2021 were $61 million and $57 million, respectvely, in the Consolidated Statement of Financial Positon, of which $47 million and $43 million are reported in Other current liabilites, respectvely, and $14 million is reported in Other long-term liabilites for both periods.</w:t>
      </w:r>
    </w:p>
    <w:p>
      <w:pPr>
        <w:spacing w:after="0" w:line="25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Revenue recognized for the three months ended March 31, 2022 and 2021 that was included in the contract liability balance at the beginning of the year was $20 million and $25 million, respectvely, and primarily represented revenue from prepaid service contracts and equipment revenue recogniton. Contract liabilites as of March 31, 2022 and 2021 included $24 million and $19 million of cash payments received during the three months ended March 31, 2022 and 2021 respectvely.</w:t>
      </w:r>
    </w:p>
    <w:p>
      <w:pPr>
        <w:spacing w:after="0" w:line="246"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 does not disclose the value of unsatsfed performance obligatons for contracts with an original expected length of one year or less or for which revenue is recognized at the amount to which Kodak has the right to invoice for services performed. Performance obligatons with an original expected length of greater than one year generally consist of deferred service contracts, operatng leases and licensing arrangements. As of March 31, 2022, there was approximately $70 million of unrecognized revenue from unsatsfed performance obligatons. Approximately 25% of the revenue from unsatsfed performance obligatons is expected to be recognized in the remainder of 2022, 25% in 2023, 25% in the two-year period 2024 through 2025 and 25% thereafer.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9: OTHER CHARGES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5"/>
          </w:tcPr>
          <w:p>
            <w:pPr>
              <w:jc w:val="right"/>
              <w:ind w:right="820"/>
              <w:spacing w:after="0"/>
              <w:rPr>
                <w:sz w:val="20"/>
                <w:szCs w:val="20"/>
                <w:color w:val="auto"/>
              </w:rPr>
            </w:pPr>
            <w:r>
              <w:rPr>
                <w:rFonts w:ascii="Calibri" w:cs="Calibri" w:eastAsia="Calibri" w:hAnsi="Calibri"/>
                <w:sz w:val="18"/>
                <w:szCs w:val="18"/>
                <w:b w:val="1"/>
                <w:bCs w:val="1"/>
                <w:color w:val="auto"/>
              </w:rPr>
              <w:t>Three Months Ended</w:t>
            </w:r>
          </w:p>
        </w:tc>
      </w:tr>
      <w:tr>
        <w:trPr>
          <w:trHeight w:val="229"/>
        </w:trPr>
        <w:tc>
          <w:tcPr>
            <w:tcW w:w="4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3"/>
          </w:tcPr>
          <w:p>
            <w:pPr>
              <w:jc w:val="right"/>
              <w:ind w:right="41"/>
              <w:spacing w:after="0"/>
              <w:rPr>
                <w:sz w:val="20"/>
                <w:szCs w:val="20"/>
                <w:color w:val="auto"/>
              </w:rPr>
            </w:pPr>
            <w:r>
              <w:rPr>
                <w:rFonts w:ascii="Calibri" w:cs="Calibri" w:eastAsia="Calibri" w:hAnsi="Calibri"/>
                <w:sz w:val="18"/>
                <w:szCs w:val="18"/>
                <w:b w:val="1"/>
                <w:bCs w:val="1"/>
                <w:color w:val="auto"/>
              </w:rPr>
              <w:t>March 31,</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
        </w:trPr>
        <w:tc>
          <w:tcPr>
            <w:tcW w:w="4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4560" w:type="dxa"/>
            <w:vAlign w:val="bottom"/>
            <w:tcBorders>
              <w:bottom w:val="single" w:sz="8" w:color="CFF0FC"/>
            </w:tcBorders>
          </w:tcPr>
          <w:p>
            <w:pPr>
              <w:spacing w:after="0"/>
              <w:rPr>
                <w:sz w:val="20"/>
                <w:szCs w:val="20"/>
                <w:color w:val="auto"/>
              </w:rPr>
            </w:pPr>
            <w:r>
              <w:rPr>
                <w:rFonts w:ascii="Calibri" w:cs="Calibri" w:eastAsia="Calibri" w:hAnsi="Calibri"/>
                <w:sz w:val="16"/>
                <w:szCs w:val="16"/>
                <w:color w:val="auto"/>
              </w:rPr>
              <w:t>(in millions)</w:t>
            </w:r>
          </w:p>
        </w:tc>
        <w:tc>
          <w:tcPr>
            <w:tcW w:w="1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line="215" w:lineRule="exact"/>
              <w:rPr>
                <w:sz w:val="20"/>
                <w:szCs w:val="20"/>
                <w:color w:val="auto"/>
              </w:rPr>
            </w:pPr>
            <w:r>
              <w:rPr>
                <w:rFonts w:ascii="Calibri" w:cs="Calibri" w:eastAsia="Calibri" w:hAnsi="Calibri"/>
                <w:sz w:val="18"/>
                <w:szCs w:val="18"/>
                <w:b w:val="1"/>
                <w:bCs w:val="1"/>
                <w:color w:val="auto"/>
              </w:rPr>
              <w:t>2022</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line="215" w:lineRule="exact"/>
              <w:rPr>
                <w:sz w:val="20"/>
                <w:szCs w:val="20"/>
                <w:color w:val="auto"/>
              </w:rPr>
            </w:pPr>
            <w:r>
              <w:rPr>
                <w:rFonts w:ascii="Calibri" w:cs="Calibri" w:eastAsia="Calibri" w:hAnsi="Calibri"/>
                <w:sz w:val="18"/>
                <w:szCs w:val="18"/>
                <w:b w:val="1"/>
                <w:bCs w:val="1"/>
                <w:color w:val="auto"/>
              </w:rPr>
              <w:t>2021</w:t>
            </w:r>
          </w:p>
        </w:tc>
        <w:tc>
          <w:tcPr>
            <w:tcW w:w="80" w:type="dxa"/>
            <w:vAlign w:val="bottom"/>
            <w:tcBorders>
              <w:bottom w:val="single" w:sz="8" w:color="CFF0FC"/>
            </w:tcBorders>
          </w:tcPr>
          <w:p>
            <w:pPr>
              <w:spacing w:after="0"/>
              <w:rPr>
                <w:sz w:val="18"/>
                <w:szCs w:val="18"/>
                <w:color w:val="auto"/>
              </w:rPr>
            </w:pPr>
          </w:p>
        </w:tc>
      </w:tr>
      <w:tr>
        <w:trPr>
          <w:trHeight w:val="206"/>
        </w:trPr>
        <w:tc>
          <w:tcPr>
            <w:tcW w:w="456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Change in fair value of embedded conversion</w:t>
            </w: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9"/>
        </w:trPr>
        <w:tc>
          <w:tcPr>
            <w:tcW w:w="4560" w:type="dxa"/>
            <w:vAlign w:val="bottom"/>
            <w:shd w:val="clear" w:color="auto" w:fill="CFF0FC"/>
          </w:tcPr>
          <w:p>
            <w:pPr>
              <w:ind w:left="120"/>
              <w:spacing w:after="0" w:line="240" w:lineRule="exact"/>
              <w:rPr>
                <w:sz w:val="20"/>
                <w:szCs w:val="20"/>
                <w:color w:val="auto"/>
              </w:rPr>
            </w:pPr>
            <w:r>
              <w:rPr>
                <w:rFonts w:ascii="Calibri" w:cs="Calibri" w:eastAsia="Calibri" w:hAnsi="Calibri"/>
                <w:sz w:val="16"/>
                <w:szCs w:val="16"/>
                <w:color w:val="auto"/>
              </w:rPr>
              <w:t xml:space="preserve">features derivatve liability </w:t>
            </w:r>
            <w:r>
              <w:rPr>
                <w:rFonts w:ascii="Calibri" w:cs="Calibri" w:eastAsia="Calibri" w:hAnsi="Calibri"/>
                <w:sz w:val="26"/>
                <w:szCs w:val="26"/>
                <w:color w:val="auto"/>
                <w:vertAlign w:val="superscript"/>
              </w:rPr>
              <w:t>(1)</w:t>
            </w:r>
          </w:p>
        </w:tc>
        <w:tc>
          <w:tcPr>
            <w:tcW w:w="1640" w:type="dxa"/>
            <w:vAlign w:val="bottom"/>
            <w:gridSpan w:val="2"/>
            <w:shd w:val="clear" w:color="auto" w:fill="CFF0FC"/>
          </w:tcPr>
          <w:p>
            <w:pPr>
              <w:jc w:val="right"/>
              <w:ind w:right="121"/>
              <w:spacing w:after="0" w:line="216"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w:t>
            </w:r>
          </w:p>
        </w:tc>
        <w:tc>
          <w:tcPr>
            <w:tcW w:w="580" w:type="dxa"/>
            <w:vAlign w:val="bottom"/>
            <w:gridSpan w:val="2"/>
            <w:shd w:val="clear" w:color="auto" w:fill="CFF0FC"/>
          </w:tcPr>
          <w:p>
            <w:pPr>
              <w:jc w:val="right"/>
              <w:ind w:right="201"/>
              <w:spacing w:after="0" w:line="216"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FF0FC"/>
          </w:tcPr>
          <w:p>
            <w:pPr>
              <w:spacing w:after="0"/>
              <w:rPr>
                <w:sz w:val="20"/>
                <w:szCs w:val="20"/>
                <w:color w:val="auto"/>
              </w:rPr>
            </w:pPr>
          </w:p>
        </w:tc>
      </w:tr>
      <w:tr>
        <w:trPr>
          <w:trHeight w:val="223"/>
        </w:trPr>
        <w:tc>
          <w:tcPr>
            <w:tcW w:w="456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w:t>
            </w:r>
          </w:p>
        </w:tc>
      </w:tr>
      <w:tr>
        <w:trPr>
          <w:trHeight w:val="223"/>
        </w:trPr>
        <w:tc>
          <w:tcPr>
            <w:tcW w:w="4560" w:type="dxa"/>
            <w:vAlign w:val="bottom"/>
            <w:tcBorders>
              <w:top w:val="single" w:sz="8" w:color="CFF0FC"/>
              <w:bottom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Total</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Calibri" w:cs="Calibri" w:eastAsia="Calibri" w:hAnsi="Calibri"/>
                <w:sz w:val="16"/>
                <w:szCs w:val="16"/>
                <w:color w:val="auto"/>
                <w:w w:val="73"/>
              </w:rPr>
              <w:t>$</w:t>
            </w:r>
          </w:p>
        </w:tc>
        <w:tc>
          <w:tcPr>
            <w:tcW w:w="11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1"/>
              <w:spacing w:after="0"/>
              <w:rPr>
                <w:sz w:val="20"/>
                <w:szCs w:val="20"/>
                <w:color w:val="auto"/>
              </w:rPr>
            </w:pPr>
            <w:r>
              <w:rPr>
                <w:rFonts w:ascii="Calibri" w:cs="Calibri" w:eastAsia="Calibri" w:hAnsi="Calibri"/>
                <w:sz w:val="16"/>
                <w:szCs w:val="16"/>
                <w:color w:val="auto"/>
                <w:w w:val="73"/>
              </w:rPr>
              <w:t>$</w:t>
            </w:r>
          </w:p>
        </w:tc>
        <w:tc>
          <w:tcPr>
            <w:tcW w:w="10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1" w:lineRule="exact"/>
        <w:rPr>
          <w:sz w:val="20"/>
          <w:szCs w:val="20"/>
          <w:color w:val="auto"/>
        </w:rPr>
      </w:pPr>
    </w:p>
    <w:p>
      <w:pPr>
        <w:ind w:left="1500" w:hanging="372"/>
        <w:spacing w:after="0"/>
        <w:tabs>
          <w:tab w:leader="none" w:pos="1500" w:val="left"/>
        </w:tabs>
        <w:numPr>
          <w:ilvl w:val="0"/>
          <w:numId w:val="8"/>
        </w:numPr>
        <w:rPr>
          <w:rFonts w:ascii="Calibri" w:cs="Calibri" w:eastAsia="Calibri" w:hAnsi="Calibri"/>
          <w:sz w:val="31"/>
          <w:szCs w:val="31"/>
          <w:color w:val="auto"/>
          <w:vertAlign w:val="superscript"/>
        </w:rPr>
      </w:pPr>
      <w:r>
        <w:rPr>
          <w:rFonts w:ascii="Calibri" w:cs="Calibri" w:eastAsia="Calibri" w:hAnsi="Calibri"/>
          <w:sz w:val="18"/>
          <w:szCs w:val="18"/>
          <w:color w:val="auto"/>
        </w:rPr>
        <w:t>Refer to Note 16, “Financial Instruments</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b w:val="1"/>
          <w:bCs w:val="1"/>
          <w:color w:val="auto"/>
        </w:rPr>
        <w:t>NOTE 10: INCOME TAXES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Kodak’s income tax provision and efectve tax rate were as follows: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6"/>
          </w:tcPr>
          <w:p>
            <w:pPr>
              <w:jc w:val="right"/>
              <w:ind w:right="820"/>
              <w:spacing w:after="0"/>
              <w:rPr>
                <w:sz w:val="20"/>
                <w:szCs w:val="20"/>
                <w:color w:val="auto"/>
              </w:rPr>
            </w:pPr>
            <w:r>
              <w:rPr>
                <w:rFonts w:ascii="Calibri" w:cs="Calibri" w:eastAsia="Calibri" w:hAnsi="Calibri"/>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4"/>
          </w:tcPr>
          <w:p>
            <w:pPr>
              <w:jc w:val="right"/>
              <w:ind w:right="30"/>
              <w:spacing w:after="0"/>
              <w:rPr>
                <w:sz w:val="20"/>
                <w:szCs w:val="20"/>
                <w:color w:val="auto"/>
              </w:rPr>
            </w:pPr>
            <w:r>
              <w:rPr>
                <w:rFonts w:ascii="Calibri" w:cs="Calibri" w:eastAsia="Calibri" w:hAnsi="Calibri"/>
                <w:sz w:val="18"/>
                <w:szCs w:val="18"/>
                <w:b w:val="1"/>
                <w:bCs w:val="1"/>
                <w:color w:val="auto"/>
              </w:rPr>
              <w:t>March 31,</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spacing w:after="0"/>
              <w:rPr>
                <w:sz w:val="20"/>
                <w:szCs w:val="20"/>
                <w:color w:val="auto"/>
              </w:rPr>
            </w:pPr>
            <w:r>
              <w:rPr>
                <w:rFonts w:ascii="Calibri" w:cs="Calibri" w:eastAsia="Calibri" w:hAnsi="Calibri"/>
                <w:sz w:val="16"/>
                <w:szCs w:val="16"/>
                <w:color w:val="auto"/>
              </w:rPr>
              <w:t>(in millions)</w:t>
            </w:r>
          </w:p>
        </w:tc>
        <w:tc>
          <w:tcPr>
            <w:tcW w:w="1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vMerge w:val="continue"/>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line="215" w:lineRule="exact"/>
              <w:rPr>
                <w:sz w:val="20"/>
                <w:szCs w:val="20"/>
                <w:color w:val="auto"/>
              </w:rPr>
            </w:pPr>
            <w:r>
              <w:rPr>
                <w:rFonts w:ascii="Calibri" w:cs="Calibri" w:eastAsia="Calibri" w:hAnsi="Calibri"/>
                <w:sz w:val="18"/>
                <w:szCs w:val="18"/>
                <w:b w:val="1"/>
                <w:bCs w:val="1"/>
                <w:color w:val="auto"/>
              </w:rPr>
              <w:t>2022</w:t>
            </w: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line="215" w:lineRule="exact"/>
              <w:rPr>
                <w:sz w:val="20"/>
                <w:szCs w:val="20"/>
                <w:color w:val="auto"/>
              </w:rPr>
            </w:pPr>
            <w:r>
              <w:rPr>
                <w:rFonts w:ascii="Calibri" w:cs="Calibri" w:eastAsia="Calibri" w:hAnsi="Calibri"/>
                <w:sz w:val="18"/>
                <w:szCs w:val="18"/>
                <w:b w:val="1"/>
                <w:bCs w:val="1"/>
                <w:color w:val="auto"/>
              </w:rPr>
              <w:t>2021</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(Loss) earnings from operatons before income taxes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line="215" w:lineRule="exact"/>
              <w:rPr>
                <w:sz w:val="20"/>
                <w:szCs w:val="20"/>
                <w:color w:val="auto"/>
              </w:rPr>
            </w:pPr>
            <w:r>
              <w:rPr>
                <w:rFonts w:ascii="Calibri" w:cs="Calibri" w:eastAsia="Calibri" w:hAnsi="Calibri"/>
                <w:sz w:val="18"/>
                <w:szCs w:val="18"/>
                <w:color w:val="auto"/>
              </w:rPr>
              <w:t>Efectve tax rate</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14.3%</w:t>
            </w:r>
          </w:p>
        </w:tc>
        <w:tc>
          <w:tcPr>
            <w:tcW w:w="0" w:type="dxa"/>
            <w:vAlign w:val="bottom"/>
          </w:tcPr>
          <w:p>
            <w:pPr>
              <w:spacing w:after="0"/>
              <w:rPr>
                <w:sz w:val="1"/>
                <w:szCs w:val="1"/>
                <w:color w:val="auto"/>
              </w:rPr>
            </w:pPr>
          </w:p>
        </w:tc>
      </w:tr>
      <w:tr>
        <w:trPr>
          <w:trHeight w:val="230"/>
        </w:trPr>
        <w:tc>
          <w:tcPr>
            <w:tcW w:w="4860" w:type="dxa"/>
            <w:vAlign w:val="bottom"/>
            <w:tcBorders>
              <w:top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Provision for income taxes</w:t>
            </w:r>
          </w:p>
        </w:tc>
        <w:tc>
          <w:tcPr>
            <w:tcW w:w="1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tcPr>
          <w:p>
            <w:pPr>
              <w:spacing w:after="0" w:line="215" w:lineRule="exact"/>
              <w:rPr>
                <w:sz w:val="20"/>
                <w:szCs w:val="20"/>
                <w:color w:val="auto"/>
              </w:rPr>
            </w:pPr>
            <w:r>
              <w:rPr>
                <w:rFonts w:ascii="Calibri" w:cs="Calibri" w:eastAsia="Calibri" w:hAnsi="Calibri"/>
                <w:sz w:val="18"/>
                <w:szCs w:val="18"/>
                <w:color w:val="auto"/>
              </w:rPr>
              <w:t>Provision for income taxes at U.S. statutory tax rate</w:t>
            </w:r>
          </w:p>
        </w:tc>
        <w:tc>
          <w:tcPr>
            <w:tcW w:w="1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Diference between tax at efectve vs. statutory rate</w:t>
            </w:r>
          </w:p>
        </w:tc>
        <w:tc>
          <w:tcPr>
            <w:tcW w:w="1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For the three months ended March 31, 2022, the diference between Kodak’s efectve tax rate and the U.S. statutory rate of 21.0% is primarily atributable to: (1) the impact related to existng valuaton allowances associated with changes in net deferred tax assets from current earnings and losses, (2) the results from operatons in jurisdictons outside the U.S., (3) a beneft associated with foreign withholding taxes on undistributed earnings and (4) a setlement with a taxing authority in a locaton outside the U.S.</w:t>
      </w:r>
    </w:p>
    <w:p>
      <w:pPr>
        <w:spacing w:after="0" w:line="246"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During the three months ended March 31, 2022, Kodak agreed to terms with a taxing authority outside the U.S. and setled open tax audits for years 2015 through 2018. This setlement included a cash payment of $2 million which is refected in the provision for taxes in the current quarter, and a decrease in net deferred tax assets of $2 million which was fully ofset by a corresponding change in the valuaton allowance.</w:t>
      </w:r>
    </w:p>
    <w:p>
      <w:pPr>
        <w:spacing w:after="0" w:line="246"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For the three months ended March 31, 2021, the diference between Kodak’s efectve tax rate and the U.S. statutory rate of 21.0% is primarily atributable to: (1) the impact related to existng valuaton allowances associated with changes in net deferred tax assets from current earnings, (2) the results from operatons in jurisdictons outside the U.S., (3) a beneft associated with foreign withholding taxes on undistributed earnings and (4) changes in audit reserves, including a setlement with a taxing authority in a locaton outside the U.S.</w:t>
      </w:r>
    </w:p>
    <w:p>
      <w:pPr>
        <w:spacing w:after="0" w:line="246"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During the three months ended March 31, 2021, Kodak agreed to terms with a taxing authority outside the U.S. and setled open tax audits for years prior to and including 2014. For these years, Kodak originally recorded liabilites for unrecognized tax positons totaling $3 million (plus interest of approximately $4 million), which were substantally ofset by pre-paid assets.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11: RETIREMENT PLANS AND OTHER POSTRETIREMENT BENEFITS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Components of the net periodic beneft cost for all major U.S. and non-U.S. defned beneft plans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4"/>
          </w:tcPr>
          <w:p>
            <w:pPr>
              <w:jc w:val="right"/>
              <w:ind w:right="330"/>
              <w:spacing w:after="0"/>
              <w:rPr>
                <w:sz w:val="20"/>
                <w:szCs w:val="20"/>
                <w:color w:val="auto"/>
              </w:rPr>
            </w:pPr>
            <w:r>
              <w:rPr>
                <w:rFonts w:ascii="Calibri" w:cs="Calibri" w:eastAsia="Calibri" w:hAnsi="Calibri"/>
                <w:sz w:val="18"/>
                <w:szCs w:val="18"/>
                <w:b w:val="1"/>
                <w:bCs w:val="1"/>
                <w:color w:val="auto"/>
              </w:rPr>
              <w:t>Three Months Ended</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4"/>
          </w:tcPr>
          <w:p>
            <w:pPr>
              <w:jc w:val="right"/>
              <w:ind w:right="730"/>
              <w:spacing w:after="0"/>
              <w:rPr>
                <w:sz w:val="20"/>
                <w:szCs w:val="20"/>
                <w:color w:val="auto"/>
              </w:rPr>
            </w:pPr>
            <w:r>
              <w:rPr>
                <w:rFonts w:ascii="Calibri" w:cs="Calibri" w:eastAsia="Calibri" w:hAnsi="Calibri"/>
                <w:sz w:val="18"/>
                <w:szCs w:val="18"/>
                <w:b w:val="1"/>
                <w:bCs w:val="1"/>
                <w:color w:val="auto"/>
              </w:rPr>
              <w:t>March 31,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
        </w:trPr>
        <w:tc>
          <w:tcPr>
            <w:tcW w:w="3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7"/>
        </w:trPr>
        <w:tc>
          <w:tcPr>
            <w:tcW w:w="3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121"/>
              <w:spacing w:after="0" w:line="215" w:lineRule="exact"/>
              <w:rPr>
                <w:sz w:val="20"/>
                <w:szCs w:val="20"/>
                <w:color w:val="auto"/>
              </w:rPr>
            </w:pPr>
            <w:r>
              <w:rPr>
                <w:rFonts w:ascii="Calibri" w:cs="Calibri" w:eastAsia="Calibri" w:hAnsi="Calibri"/>
                <w:sz w:val="18"/>
                <w:szCs w:val="18"/>
                <w:b w:val="1"/>
                <w:bCs w:val="1"/>
                <w:color w:val="auto"/>
              </w:rPr>
              <w:t>2022</w:t>
            </w:r>
          </w:p>
        </w:tc>
        <w:tc>
          <w:tcPr>
            <w:tcW w:w="1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130"/>
              <w:spacing w:after="0" w:line="215" w:lineRule="exact"/>
              <w:rPr>
                <w:sz w:val="20"/>
                <w:szCs w:val="20"/>
                <w:color w:val="auto"/>
              </w:rPr>
            </w:pPr>
            <w:r>
              <w:rPr>
                <w:rFonts w:ascii="Calibri" w:cs="Calibri" w:eastAsia="Calibri" w:hAnsi="Calibri"/>
                <w:sz w:val="18"/>
                <w:szCs w:val="18"/>
                <w:b w:val="1"/>
                <w:bCs w:val="1"/>
                <w:color w:val="auto"/>
              </w:rPr>
              <w:t>2021</w:t>
            </w: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3500" w:type="dxa"/>
            <w:vAlign w:val="bottom"/>
          </w:tcPr>
          <w:p>
            <w:pPr>
              <w:spacing w:after="0"/>
              <w:rPr>
                <w:sz w:val="20"/>
                <w:szCs w:val="20"/>
                <w:color w:val="auto"/>
              </w:rPr>
            </w:pPr>
            <w:r>
              <w:rPr>
                <w:rFonts w:ascii="Calibri" w:cs="Calibri" w:eastAsia="Calibri" w:hAnsi="Calibri"/>
                <w:sz w:val="16"/>
                <w:szCs w:val="16"/>
                <w:color w:val="auto"/>
              </w:rPr>
              <w:t>(in millions)</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740"/>
              <w:spacing w:after="0" w:line="215" w:lineRule="exact"/>
              <w:rPr>
                <w:sz w:val="20"/>
                <w:szCs w:val="20"/>
                <w:color w:val="auto"/>
              </w:rPr>
            </w:pPr>
            <w:r>
              <w:rPr>
                <w:rFonts w:ascii="Calibri" w:cs="Calibri" w:eastAsia="Calibri" w:hAnsi="Calibri"/>
                <w:sz w:val="18"/>
                <w:szCs w:val="18"/>
                <w:b w:val="1"/>
                <w:bCs w:val="1"/>
                <w:color w:val="auto"/>
              </w:rPr>
              <w:t>U.S.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330"/>
              <w:spacing w:after="0" w:line="215" w:lineRule="exact"/>
              <w:rPr>
                <w:sz w:val="20"/>
                <w:szCs w:val="20"/>
                <w:color w:val="auto"/>
              </w:rPr>
            </w:pPr>
            <w:r>
              <w:rPr>
                <w:rFonts w:ascii="Calibri" w:cs="Calibri" w:eastAsia="Calibri" w:hAnsi="Calibri"/>
                <w:sz w:val="18"/>
                <w:szCs w:val="18"/>
                <w:b w:val="1"/>
                <w:bCs w:val="1"/>
                <w:color w:val="auto"/>
              </w:rPr>
              <w:t>Non-U.S.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90"/>
              <w:spacing w:after="0" w:line="215" w:lineRule="exact"/>
              <w:rPr>
                <w:sz w:val="20"/>
                <w:szCs w:val="20"/>
                <w:color w:val="auto"/>
              </w:rPr>
            </w:pPr>
            <w:r>
              <w:rPr>
                <w:rFonts w:ascii="Calibri" w:cs="Calibri" w:eastAsia="Calibri" w:hAnsi="Calibri"/>
                <w:sz w:val="18"/>
                <w:szCs w:val="18"/>
                <w:b w:val="1"/>
                <w:bCs w:val="1"/>
                <w:color w:val="auto"/>
              </w:rPr>
              <w:t>U.S.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30"/>
              <w:spacing w:after="0" w:line="215" w:lineRule="exact"/>
              <w:rPr>
                <w:sz w:val="20"/>
                <w:szCs w:val="20"/>
                <w:color w:val="auto"/>
              </w:rPr>
            </w:pPr>
            <w:r>
              <w:rPr>
                <w:rFonts w:ascii="Calibri" w:cs="Calibri" w:eastAsia="Calibri" w:hAnsi="Calibri"/>
                <w:sz w:val="18"/>
                <w:szCs w:val="18"/>
                <w:b w:val="1"/>
                <w:bCs w:val="1"/>
                <w:color w:val="auto"/>
              </w:rPr>
              <w:t>Non-U.S.</w:t>
            </w:r>
          </w:p>
        </w:tc>
        <w:tc>
          <w:tcPr>
            <w:tcW w:w="120" w:type="dxa"/>
            <w:vAlign w:val="bottom"/>
          </w:tcPr>
          <w:p>
            <w:pPr>
              <w:spacing w:after="0"/>
              <w:rPr>
                <w:sz w:val="19"/>
                <w:szCs w:val="19"/>
                <w:color w:val="auto"/>
              </w:rPr>
            </w:pPr>
          </w:p>
        </w:tc>
      </w:tr>
      <w:tr>
        <w:trPr>
          <w:trHeight w:val="206"/>
        </w:trPr>
        <w:tc>
          <w:tcPr>
            <w:tcW w:w="3500" w:type="dxa"/>
            <w:vAlign w:val="bottom"/>
            <w:tcBorders>
              <w:top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b w:val="1"/>
                <w:bCs w:val="1"/>
                <w:color w:val="auto"/>
              </w:rPr>
              <w:t>Major defned beneft</w:t>
            </w:r>
          </w:p>
        </w:tc>
        <w:tc>
          <w:tcPr>
            <w:tcW w:w="9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9"/>
        </w:trPr>
        <w:tc>
          <w:tcPr>
            <w:tcW w:w="350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b w:val="1"/>
                <w:bCs w:val="1"/>
                <w:color w:val="auto"/>
              </w:rPr>
              <w:t>plans:</w:t>
            </w:r>
          </w:p>
        </w:tc>
        <w:tc>
          <w:tcPr>
            <w:tcW w:w="9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r>
      <w:tr>
        <w:trPr>
          <w:trHeight w:val="222"/>
        </w:trPr>
        <w:tc>
          <w:tcPr>
            <w:tcW w:w="3500" w:type="dxa"/>
            <w:vAlign w:val="bottom"/>
          </w:tcPr>
          <w:p>
            <w:pPr>
              <w:spacing w:after="0" w:line="215" w:lineRule="exact"/>
              <w:rPr>
                <w:sz w:val="20"/>
                <w:szCs w:val="20"/>
                <w:color w:val="auto"/>
              </w:rPr>
            </w:pPr>
            <w:r>
              <w:rPr>
                <w:rFonts w:ascii="Calibri" w:cs="Calibri" w:eastAsia="Calibri" w:hAnsi="Calibri"/>
                <w:sz w:val="18"/>
                <w:szCs w:val="18"/>
                <w:color w:val="auto"/>
              </w:rPr>
              <w:t>Service cost</w:t>
            </w:r>
          </w:p>
        </w:tc>
        <w:tc>
          <w:tcPr>
            <w:tcW w:w="1280" w:type="dxa"/>
            <w:vAlign w:val="bottom"/>
            <w:gridSpan w:val="2"/>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60" w:type="dxa"/>
            <w:vAlign w:val="bottom"/>
          </w:tcPr>
          <w:p>
            <w:pPr>
              <w:spacing w:after="0"/>
              <w:rPr>
                <w:sz w:val="19"/>
                <w:szCs w:val="19"/>
                <w:color w:val="auto"/>
              </w:rPr>
            </w:pPr>
          </w:p>
        </w:tc>
        <w:tc>
          <w:tcPr>
            <w:tcW w:w="360" w:type="dxa"/>
            <w:vAlign w:val="bottom"/>
            <w:gridSpan w:val="2"/>
          </w:tcPr>
          <w:p>
            <w:pPr>
              <w:jc w:val="right"/>
              <w:ind w:right="81"/>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60" w:type="dxa"/>
            <w:vAlign w:val="bottom"/>
          </w:tcPr>
          <w:p>
            <w:pPr>
              <w:spacing w:after="0"/>
              <w:rPr>
                <w:sz w:val="19"/>
                <w:szCs w:val="19"/>
                <w:color w:val="auto"/>
              </w:rPr>
            </w:pPr>
          </w:p>
        </w:tc>
        <w:tc>
          <w:tcPr>
            <w:tcW w:w="1160" w:type="dxa"/>
            <w:vAlign w:val="bottom"/>
            <w:gridSpan w:val="2"/>
          </w:tcPr>
          <w:p>
            <w:pPr>
              <w:jc w:val="right"/>
              <w:ind w:right="87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60" w:type="dxa"/>
            <w:vAlign w:val="bottom"/>
          </w:tcPr>
          <w:p>
            <w:pPr>
              <w:spacing w:after="0"/>
              <w:rPr>
                <w:sz w:val="19"/>
                <w:szCs w:val="19"/>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9"/>
                <w:szCs w:val="19"/>
                <w:color w:val="auto"/>
              </w:rPr>
            </w:pPr>
          </w:p>
        </w:tc>
      </w:tr>
      <w:tr>
        <w:trPr>
          <w:trHeight w:val="237"/>
        </w:trPr>
        <w:tc>
          <w:tcPr>
            <w:tcW w:w="3500" w:type="dxa"/>
            <w:vAlign w:val="bottom"/>
            <w:shd w:val="clear" w:color="auto" w:fill="CFF0FC"/>
          </w:tcPr>
          <w:p>
            <w:pPr>
              <w:spacing w:after="0"/>
              <w:rPr>
                <w:sz w:val="20"/>
                <w:szCs w:val="20"/>
                <w:color w:val="auto"/>
              </w:rPr>
            </w:pPr>
            <w:r>
              <w:rPr>
                <w:rFonts w:ascii="Calibri" w:cs="Calibri" w:eastAsia="Calibri" w:hAnsi="Calibri"/>
                <w:sz w:val="18"/>
                <w:szCs w:val="18"/>
                <w:color w:val="auto"/>
              </w:rPr>
              <w:t>Interest cost</w:t>
            </w:r>
          </w:p>
        </w:tc>
        <w:tc>
          <w:tcPr>
            <w:tcW w:w="9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120" w:type="dxa"/>
            <w:vAlign w:val="bottom"/>
            <w:shd w:val="clear" w:color="auto" w:fill="CFF0FC"/>
          </w:tcPr>
          <w:p>
            <w:pPr>
              <w:spacing w:after="0"/>
              <w:rPr>
                <w:sz w:val="20"/>
                <w:szCs w:val="20"/>
                <w:color w:val="auto"/>
              </w:rPr>
            </w:pPr>
          </w:p>
        </w:tc>
      </w:tr>
      <w:tr>
        <w:trPr>
          <w:trHeight w:val="222"/>
        </w:trPr>
        <w:tc>
          <w:tcPr>
            <w:tcW w:w="3500" w:type="dxa"/>
            <w:vAlign w:val="bottom"/>
          </w:tcPr>
          <w:p>
            <w:pPr>
              <w:spacing w:after="0" w:line="215" w:lineRule="exact"/>
              <w:rPr>
                <w:sz w:val="20"/>
                <w:szCs w:val="20"/>
                <w:color w:val="auto"/>
              </w:rPr>
            </w:pPr>
            <w:r>
              <w:rPr>
                <w:rFonts w:ascii="Calibri" w:cs="Calibri" w:eastAsia="Calibri" w:hAnsi="Calibri"/>
                <w:sz w:val="18"/>
                <w:szCs w:val="18"/>
                <w:color w:val="auto"/>
              </w:rPr>
              <w:t>Expected return on plan assets</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(42)</w:t>
            </w:r>
          </w:p>
        </w:tc>
        <w:tc>
          <w:tcPr>
            <w:tcW w:w="260" w:type="dxa"/>
            <w:vAlign w:val="bottom"/>
          </w:tcPr>
          <w:p>
            <w:pPr>
              <w:spacing w:after="0"/>
              <w:rPr>
                <w:sz w:val="19"/>
                <w:szCs w:val="19"/>
                <w:color w:val="auto"/>
              </w:rPr>
            </w:pPr>
          </w:p>
        </w:tc>
        <w:tc>
          <w:tcPr>
            <w:tcW w:w="13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(3)</w:t>
            </w:r>
          </w:p>
        </w:tc>
      </w:tr>
      <w:tr>
        <w:trPr>
          <w:trHeight w:val="237"/>
        </w:trPr>
        <w:tc>
          <w:tcPr>
            <w:tcW w:w="3500" w:type="dxa"/>
            <w:vAlign w:val="bottom"/>
            <w:shd w:val="clear" w:color="auto" w:fill="CFF0FC"/>
          </w:tcPr>
          <w:p>
            <w:pPr>
              <w:spacing w:after="0"/>
              <w:rPr>
                <w:sz w:val="20"/>
                <w:szCs w:val="20"/>
                <w:color w:val="auto"/>
              </w:rPr>
            </w:pPr>
            <w:r>
              <w:rPr>
                <w:rFonts w:ascii="Calibri" w:cs="Calibri" w:eastAsia="Calibri" w:hAnsi="Calibri"/>
                <w:sz w:val="18"/>
                <w:szCs w:val="18"/>
                <w:color w:val="auto"/>
              </w:rPr>
              <w:t>Amortzaton of:</w:t>
            </w:r>
          </w:p>
        </w:tc>
        <w:tc>
          <w:tcPr>
            <w:tcW w:w="9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2"/>
        </w:trPr>
        <w:tc>
          <w:tcPr>
            <w:tcW w:w="3500" w:type="dxa"/>
            <w:vAlign w:val="bottom"/>
          </w:tcPr>
          <w:p>
            <w:pPr>
              <w:ind w:left="140"/>
              <w:spacing w:after="0" w:line="215" w:lineRule="exact"/>
              <w:rPr>
                <w:sz w:val="20"/>
                <w:szCs w:val="20"/>
                <w:color w:val="auto"/>
              </w:rPr>
            </w:pPr>
            <w:r>
              <w:rPr>
                <w:rFonts w:ascii="Calibri" w:cs="Calibri" w:eastAsia="Calibri" w:hAnsi="Calibri"/>
                <w:sz w:val="18"/>
                <w:szCs w:val="18"/>
                <w:color w:val="auto"/>
              </w:rPr>
              <w:t>Prior service credit</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w:t>
            </w:r>
          </w:p>
        </w:tc>
        <w:tc>
          <w:tcPr>
            <w:tcW w:w="260" w:type="dxa"/>
            <w:vAlign w:val="bottom"/>
          </w:tcPr>
          <w:p>
            <w:pPr>
              <w:spacing w:after="0"/>
              <w:rPr>
                <w:sz w:val="19"/>
                <w:szCs w:val="19"/>
                <w:color w:val="auto"/>
              </w:rPr>
            </w:pPr>
          </w:p>
        </w:tc>
        <w:tc>
          <w:tcPr>
            <w:tcW w:w="13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3500" w:type="dxa"/>
            <w:vAlign w:val="bottom"/>
            <w:shd w:val="clear" w:color="auto" w:fill="CFF0FC"/>
          </w:tcPr>
          <w:p>
            <w:pPr>
              <w:ind w:left="140"/>
              <w:spacing w:after="0"/>
              <w:rPr>
                <w:sz w:val="20"/>
                <w:szCs w:val="20"/>
                <w:color w:val="auto"/>
              </w:rPr>
            </w:pPr>
            <w:r>
              <w:rPr>
                <w:rFonts w:ascii="Calibri" w:cs="Calibri" w:eastAsia="Calibri" w:hAnsi="Calibri"/>
                <w:sz w:val="18"/>
                <w:szCs w:val="18"/>
                <w:color w:val="auto"/>
              </w:rPr>
              <w:t>Actuarial loss</w:t>
            </w:r>
          </w:p>
        </w:tc>
        <w:tc>
          <w:tcPr>
            <w:tcW w:w="9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7</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w:t>
            </w:r>
          </w:p>
        </w:tc>
        <w:tc>
          <w:tcPr>
            <w:tcW w:w="120" w:type="dxa"/>
            <w:vAlign w:val="bottom"/>
            <w:shd w:val="clear" w:color="auto" w:fill="CFF0FC"/>
          </w:tcPr>
          <w:p>
            <w:pPr>
              <w:spacing w:after="0"/>
              <w:rPr>
                <w:sz w:val="20"/>
                <w:szCs w:val="20"/>
                <w:color w:val="auto"/>
              </w:rPr>
            </w:pPr>
          </w:p>
        </w:tc>
      </w:tr>
      <w:tr>
        <w:trPr>
          <w:trHeight w:val="216"/>
        </w:trPr>
        <w:tc>
          <w:tcPr>
            <w:tcW w:w="3500" w:type="dxa"/>
            <w:vAlign w:val="bottom"/>
          </w:tcPr>
          <w:p>
            <w:pPr>
              <w:spacing w:after="0" w:line="199" w:lineRule="exact"/>
              <w:rPr>
                <w:sz w:val="20"/>
                <w:szCs w:val="20"/>
                <w:color w:val="auto"/>
              </w:rPr>
            </w:pPr>
            <w:r>
              <w:rPr>
                <w:rFonts w:ascii="Calibri" w:cs="Calibri" w:eastAsia="Calibri" w:hAnsi="Calibri"/>
                <w:sz w:val="18"/>
                <w:szCs w:val="18"/>
                <w:color w:val="auto"/>
              </w:rPr>
              <w:t>Total net pension (income) expense</w:t>
            </w:r>
          </w:p>
        </w:tc>
        <w:tc>
          <w:tcPr>
            <w:tcW w:w="9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Calibri" w:cs="Calibri" w:eastAsia="Calibri" w:hAnsi="Calibri"/>
                <w:sz w:val="16"/>
                <w:szCs w:val="16"/>
                <w:color w:val="auto"/>
                <w:w w:val="73"/>
              </w:rPr>
              <w:t>$</w:t>
            </w:r>
          </w:p>
        </w:tc>
        <w:tc>
          <w:tcPr>
            <w:tcW w:w="12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0"/>
              <w:spacing w:after="0" w:line="215" w:lineRule="exact"/>
              <w:rPr>
                <w:sz w:val="20"/>
                <w:szCs w:val="20"/>
                <w:color w:val="auto"/>
              </w:rPr>
            </w:pPr>
            <w:r>
              <w:rPr>
                <w:rFonts w:ascii="Calibri" w:cs="Calibri" w:eastAsia="Calibri" w:hAnsi="Calibri"/>
                <w:sz w:val="18"/>
                <w:szCs w:val="18"/>
                <w:color w:val="auto"/>
                <w:w w:val="87"/>
              </w:rPr>
              <w:t>$</w:t>
            </w:r>
          </w:p>
        </w:tc>
        <w:tc>
          <w:tcPr>
            <w:tcW w:w="4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28"/>
        </w:trPr>
        <w:tc>
          <w:tcPr>
            <w:tcW w:w="3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8"/>
        </w:trPr>
        <w:tc>
          <w:tcPr>
            <w:tcW w:w="35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p>
      <w:pPr>
        <w:spacing w:after="0"/>
        <w:rPr>
          <w:sz w:val="20"/>
          <w:szCs w:val="20"/>
          <w:color w:val="auto"/>
        </w:rPr>
      </w:pPr>
      <w:r>
        <w:rPr>
          <w:rFonts w:ascii="Calibri" w:cs="Calibri" w:eastAsia="Calibri" w:hAnsi="Calibri"/>
          <w:sz w:val="18"/>
          <w:szCs w:val="18"/>
          <w:b w:val="1"/>
          <w:bCs w:val="1"/>
          <w:color w:val="auto"/>
        </w:rPr>
        <w:t>NOTE 12: EARNINGS PER SHARE</w:t>
      </w:r>
    </w:p>
    <w:p>
      <w:pPr>
        <w:spacing w:after="0" w:line="109" w:lineRule="exact"/>
        <w:rPr>
          <w:sz w:val="20"/>
          <w:szCs w:val="20"/>
          <w:color w:val="auto"/>
        </w:rPr>
      </w:pPr>
    </w:p>
    <w:p>
      <w:pPr>
        <w:spacing w:after="0" w:line="254" w:lineRule="auto"/>
        <w:rPr>
          <w:sz w:val="20"/>
          <w:szCs w:val="20"/>
          <w:color w:val="auto"/>
        </w:rPr>
      </w:pPr>
      <w:r>
        <w:rPr>
          <w:rFonts w:ascii="Calibri" w:cs="Calibri" w:eastAsia="Calibri" w:hAnsi="Calibri"/>
          <w:sz w:val="17"/>
          <w:szCs w:val="17"/>
          <w:color w:val="auto"/>
        </w:rPr>
        <w:t>Basic earnings per share computatons are based on the weighted-average number of shares of common stock outstanding during the period. Diluted earnings per share computatons include any dilutve efect of potental common shares. In periods with a net loss available to common shareholders, diluted earnings per share are calculated using weighted-average basic shares for that period, as utlizing diluted shares would be ant-dilutve to loss per share.</w:t>
      </w:r>
    </w:p>
    <w:p>
      <w:pPr>
        <w:spacing w:after="0" w:line="232" w:lineRule="exact"/>
        <w:rPr>
          <w:sz w:val="20"/>
          <w:szCs w:val="20"/>
          <w:color w:val="auto"/>
        </w:rPr>
      </w:pPr>
    </w:p>
    <w:p>
      <w:pPr>
        <w:spacing w:after="0"/>
        <w:rPr>
          <w:sz w:val="20"/>
          <w:szCs w:val="20"/>
          <w:color w:val="auto"/>
        </w:rPr>
      </w:pPr>
      <w:r>
        <w:rPr>
          <w:rFonts w:ascii="Calibri" w:cs="Calibri" w:eastAsia="Calibri" w:hAnsi="Calibri"/>
          <w:sz w:val="17"/>
          <w:szCs w:val="17"/>
          <w:color w:val="auto"/>
        </w:rPr>
        <w:t>A reconciliaton of the amounts used to calculate basic and diluted (loss) earnings per share for the three months ended March 31, 2022 and 2021 follows:</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5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80" w:type="dxa"/>
            <w:vAlign w:val="bottom"/>
            <w:gridSpan w:val="5"/>
          </w:tcPr>
          <w:p>
            <w:pPr>
              <w:jc w:val="right"/>
              <w:ind w:right="1020"/>
              <w:spacing w:after="0"/>
              <w:rPr>
                <w:sz w:val="20"/>
                <w:szCs w:val="20"/>
                <w:color w:val="auto"/>
              </w:rPr>
            </w:pPr>
            <w:r>
              <w:rPr>
                <w:rFonts w:ascii="Calibri" w:cs="Calibri" w:eastAsia="Calibri" w:hAnsi="Calibri"/>
                <w:sz w:val="18"/>
                <w:szCs w:val="18"/>
                <w:b w:val="1"/>
                <w:bCs w:val="1"/>
                <w:color w:val="auto"/>
              </w:rPr>
              <w:t>Three Months Ended</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gridSpan w:val="3"/>
          </w:tcPr>
          <w:p>
            <w:pPr>
              <w:jc w:val="right"/>
              <w:ind w:right="70"/>
              <w:spacing w:after="0"/>
              <w:rPr>
                <w:sz w:val="20"/>
                <w:szCs w:val="20"/>
                <w:color w:val="auto"/>
              </w:rPr>
            </w:pPr>
            <w:r>
              <w:rPr>
                <w:rFonts w:ascii="Calibri" w:cs="Calibri" w:eastAsia="Calibri" w:hAnsi="Calibri"/>
                <w:sz w:val="18"/>
                <w:szCs w:val="18"/>
                <w:b w:val="1"/>
                <w:bCs w:val="1"/>
                <w:color w:val="auto"/>
              </w:rPr>
              <w:t>March 31,</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200" w:type="dxa"/>
            <w:vAlign w:val="bottom"/>
            <w:vMerge w:val="restart"/>
          </w:tcPr>
          <w:p>
            <w:pPr>
              <w:spacing w:after="0"/>
              <w:rPr>
                <w:sz w:val="20"/>
                <w:szCs w:val="20"/>
                <w:color w:val="auto"/>
              </w:rPr>
            </w:pPr>
            <w:r>
              <w:rPr>
                <w:rFonts w:ascii="Calibri" w:cs="Calibri" w:eastAsia="Calibri" w:hAnsi="Calibri"/>
                <w:sz w:val="16"/>
                <w:szCs w:val="16"/>
                <w:color w:val="auto"/>
              </w:rPr>
              <w:t>(in millions)</w:t>
            </w:r>
          </w:p>
        </w:tc>
        <w:tc>
          <w:tcPr>
            <w:tcW w:w="1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CFF0FC"/>
            </w:tcBorders>
            <w:vMerge w:val="continue"/>
          </w:tcPr>
          <w:p>
            <w:pPr>
              <w:spacing w:after="0"/>
              <w:rPr>
                <w:sz w:val="18"/>
                <w:szCs w:val="18"/>
                <w:color w:val="auto"/>
              </w:rPr>
            </w:pPr>
          </w:p>
        </w:tc>
        <w:tc>
          <w:tcPr>
            <w:tcW w:w="14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line="215" w:lineRule="exact"/>
              <w:rPr>
                <w:sz w:val="20"/>
                <w:szCs w:val="20"/>
                <w:color w:val="auto"/>
              </w:rPr>
            </w:pPr>
            <w:r>
              <w:rPr>
                <w:rFonts w:ascii="Calibri" w:cs="Calibri" w:eastAsia="Calibri" w:hAnsi="Calibri"/>
                <w:sz w:val="18"/>
                <w:szCs w:val="18"/>
                <w:b w:val="1"/>
                <w:bCs w:val="1"/>
                <w:color w:val="auto"/>
              </w:rPr>
              <w:t>2022</w:t>
            </w:r>
          </w:p>
        </w:tc>
        <w:tc>
          <w:tcPr>
            <w:tcW w:w="24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0"/>
              <w:spacing w:after="0" w:line="215" w:lineRule="exact"/>
              <w:rPr>
                <w:sz w:val="20"/>
                <w:szCs w:val="20"/>
                <w:color w:val="auto"/>
              </w:rPr>
            </w:pPr>
            <w:r>
              <w:rPr>
                <w:rFonts w:ascii="Calibri" w:cs="Calibri" w:eastAsia="Calibri" w:hAnsi="Calibri"/>
                <w:sz w:val="18"/>
                <w:szCs w:val="18"/>
                <w:b w:val="1"/>
                <w:bCs w:val="1"/>
                <w:color w:val="auto"/>
              </w:rPr>
              <w:t>2021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Net (loss) income</w:t>
            </w:r>
          </w:p>
        </w:tc>
        <w:tc>
          <w:tcPr>
            <w:tcW w:w="14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1"/>
              <w:spacing w:after="0"/>
              <w:rPr>
                <w:sz w:val="20"/>
                <w:szCs w:val="20"/>
                <w:color w:val="auto"/>
              </w:rPr>
            </w:pPr>
            <w:r>
              <w:rPr>
                <w:rFonts w:ascii="Calibri" w:cs="Calibri" w:eastAsia="Calibri" w:hAnsi="Calibri"/>
                <w:sz w:val="16"/>
                <w:szCs w:val="16"/>
                <w:color w:val="auto"/>
                <w:w w:val="73"/>
              </w:rPr>
              <w:t>$</w:t>
            </w:r>
          </w:p>
        </w:tc>
        <w:tc>
          <w:tcPr>
            <w:tcW w:w="142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(3)</w:t>
            </w:r>
          </w:p>
        </w:tc>
        <w:tc>
          <w:tcPr>
            <w:tcW w:w="420" w:type="dxa"/>
            <w:vAlign w:val="bottom"/>
            <w:shd w:val="clear" w:color="auto" w:fill="CFF0FC"/>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0" w:type="dxa"/>
            <w:vAlign w:val="bottom"/>
          </w:tcPr>
          <w:p>
            <w:pPr>
              <w:ind w:left="120"/>
              <w:spacing w:after="0" w:line="215" w:lineRule="exact"/>
              <w:rPr>
                <w:sz w:val="20"/>
                <w:szCs w:val="20"/>
                <w:color w:val="auto"/>
              </w:rPr>
            </w:pPr>
            <w:r>
              <w:rPr>
                <w:rFonts w:ascii="Calibri" w:cs="Calibri" w:eastAsia="Calibri" w:hAnsi="Calibri"/>
                <w:sz w:val="18"/>
                <w:szCs w:val="18"/>
                <w:color w:val="auto"/>
              </w:rPr>
              <w:t>Less: Preferred stock cash dividends</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w:t>
            </w:r>
          </w:p>
        </w:tc>
        <w:tc>
          <w:tcPr>
            <w:tcW w:w="420" w:type="dxa"/>
            <w:vAlign w:val="bottom"/>
          </w:tcPr>
          <w:p>
            <w:pPr>
              <w:spacing w:after="0"/>
              <w:rPr>
                <w:sz w:val="19"/>
                <w:szCs w:val="19"/>
                <w:color w:val="auto"/>
              </w:rPr>
            </w:pPr>
          </w:p>
        </w:tc>
        <w:tc>
          <w:tcPr>
            <w:tcW w:w="12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37"/>
        </w:trPr>
        <w:tc>
          <w:tcPr>
            <w:tcW w:w="5200" w:type="dxa"/>
            <w:vAlign w:val="bottom"/>
            <w:shd w:val="clear" w:color="auto" w:fill="CFF0FC"/>
          </w:tcPr>
          <w:p>
            <w:pPr>
              <w:ind w:left="120"/>
              <w:spacing w:after="0"/>
              <w:rPr>
                <w:sz w:val="20"/>
                <w:szCs w:val="20"/>
                <w:color w:val="auto"/>
              </w:rPr>
            </w:pPr>
            <w:r>
              <w:rPr>
                <w:rFonts w:ascii="Calibri" w:cs="Calibri" w:eastAsia="Calibri" w:hAnsi="Calibri"/>
                <w:sz w:val="18"/>
                <w:szCs w:val="18"/>
                <w:color w:val="auto"/>
              </w:rPr>
              <w:t>Less: Preferred stock in-kind dividends</w:t>
            </w:r>
          </w:p>
        </w:tc>
        <w:tc>
          <w:tcPr>
            <w:tcW w:w="14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8"/>
                <w:szCs w:val="18"/>
                <w:color w:val="auto"/>
              </w:rPr>
              <w:t>(1)</w:t>
            </w:r>
          </w:p>
        </w:tc>
        <w:tc>
          <w:tcPr>
            <w:tcW w:w="4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22"/>
        </w:trPr>
        <w:tc>
          <w:tcPr>
            <w:tcW w:w="5200" w:type="dxa"/>
            <w:vAlign w:val="bottom"/>
          </w:tcPr>
          <w:p>
            <w:pPr>
              <w:ind w:left="120"/>
              <w:spacing w:after="0" w:line="215" w:lineRule="exact"/>
              <w:rPr>
                <w:sz w:val="20"/>
                <w:szCs w:val="20"/>
                <w:color w:val="auto"/>
              </w:rPr>
            </w:pPr>
            <w:r>
              <w:rPr>
                <w:rFonts w:ascii="Calibri" w:cs="Calibri" w:eastAsia="Calibri" w:hAnsi="Calibri"/>
                <w:sz w:val="18"/>
                <w:szCs w:val="18"/>
                <w:color w:val="auto"/>
              </w:rPr>
              <w:t>Less: Preferred stock deemed dividends</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w:t>
            </w:r>
          </w:p>
        </w:tc>
        <w:tc>
          <w:tcPr>
            <w:tcW w:w="420" w:type="dxa"/>
            <w:vAlign w:val="bottom"/>
          </w:tcPr>
          <w:p>
            <w:pPr>
              <w:spacing w:after="0"/>
              <w:rPr>
                <w:sz w:val="19"/>
                <w:szCs w:val="19"/>
                <w:color w:val="auto"/>
              </w:rPr>
            </w:pPr>
          </w:p>
        </w:tc>
        <w:tc>
          <w:tcPr>
            <w:tcW w:w="12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14"/>
        </w:trPr>
        <w:tc>
          <w:tcPr>
            <w:tcW w:w="5200" w:type="dxa"/>
            <w:vAlign w:val="bottom"/>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Plus: Expiraton of Series A preferred stock</w:t>
            </w:r>
          </w:p>
        </w:tc>
        <w:tc>
          <w:tcPr>
            <w:tcW w:w="1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0" w:type="dxa"/>
            <w:vAlign w:val="bottom"/>
            <w:tcBorders>
              <w:bottom w:val="single" w:sz="8" w:color="CFF0FC"/>
            </w:tcBorders>
            <w:shd w:val="clear" w:color="auto" w:fill="CFF0FC"/>
          </w:tcPr>
          <w:p>
            <w:pPr>
              <w:ind w:left="240"/>
              <w:spacing w:after="0" w:line="215" w:lineRule="exact"/>
              <w:rPr>
                <w:sz w:val="20"/>
                <w:szCs w:val="20"/>
                <w:color w:val="auto"/>
              </w:rPr>
            </w:pPr>
            <w:r>
              <w:rPr>
                <w:rFonts w:ascii="Calibri" w:cs="Calibri" w:eastAsia="Calibri" w:hAnsi="Calibri"/>
                <w:sz w:val="18"/>
                <w:szCs w:val="18"/>
                <w:color w:val="auto"/>
              </w:rPr>
              <w:t>embedded derivatve</w:t>
            </w:r>
          </w:p>
        </w:tc>
        <w:tc>
          <w:tcPr>
            <w:tcW w:w="14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200" w:type="dxa"/>
            <w:vAlign w:val="bottom"/>
          </w:tcPr>
          <w:p>
            <w:pPr>
              <w:spacing w:after="0" w:line="199" w:lineRule="exact"/>
              <w:rPr>
                <w:sz w:val="20"/>
                <w:szCs w:val="20"/>
                <w:color w:val="auto"/>
              </w:rPr>
            </w:pPr>
            <w:r>
              <w:rPr>
                <w:rFonts w:ascii="Calibri" w:cs="Calibri" w:eastAsia="Calibri" w:hAnsi="Calibri"/>
                <w:sz w:val="18"/>
                <w:szCs w:val="18"/>
                <w:color w:val="auto"/>
              </w:rPr>
              <w:t>Net (loss) income available to common shareholders</w:t>
            </w:r>
          </w:p>
        </w:tc>
        <w:tc>
          <w:tcPr>
            <w:tcW w:w="14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line="216" w:lineRule="exact"/>
              <w:rPr>
                <w:sz w:val="20"/>
                <w:szCs w:val="20"/>
                <w:color w:val="auto"/>
              </w:rPr>
            </w:pPr>
            <w:r>
              <w:rPr>
                <w:rFonts w:ascii="Calibri" w:cs="Calibri" w:eastAsia="Calibri" w:hAnsi="Calibri"/>
                <w:sz w:val="18"/>
                <w:szCs w:val="18"/>
                <w:color w:val="auto"/>
              </w:rPr>
              <w:t>- basic and diluted</w:t>
            </w:r>
          </w:p>
        </w:tc>
        <w:tc>
          <w:tcPr>
            <w:tcW w:w="1820" w:type="dxa"/>
            <w:vAlign w:val="bottom"/>
            <w:gridSpan w:val="2"/>
          </w:tcPr>
          <w:p>
            <w:pPr>
              <w:jc w:val="right"/>
              <w:ind w:right="181"/>
              <w:spacing w:after="0" w:line="216" w:lineRule="exact"/>
              <w:rPr>
                <w:sz w:val="20"/>
                <w:szCs w:val="20"/>
                <w:color w:val="auto"/>
              </w:rPr>
            </w:pPr>
            <w:r>
              <w:rPr>
                <w:rFonts w:ascii="Calibri" w:cs="Calibri" w:eastAsia="Calibri" w:hAnsi="Calibri"/>
                <w:sz w:val="18"/>
                <w:szCs w:val="18"/>
                <w:color w:val="auto"/>
              </w:rPr>
              <w:t>$</w:t>
            </w:r>
          </w:p>
        </w:tc>
        <w:tc>
          <w:tcPr>
            <w:tcW w:w="1420" w:type="dxa"/>
            <w:vAlign w:val="bottom"/>
            <w:gridSpan w:val="2"/>
          </w:tcPr>
          <w:p>
            <w:pPr>
              <w:jc w:val="right"/>
              <w:ind w:right="180"/>
              <w:spacing w:after="0" w:line="216" w:lineRule="exact"/>
              <w:rPr>
                <w:sz w:val="20"/>
                <w:szCs w:val="20"/>
                <w:color w:val="auto"/>
              </w:rPr>
            </w:pPr>
            <w:r>
              <w:rPr>
                <w:rFonts w:ascii="Calibri" w:cs="Calibri" w:eastAsia="Calibri" w:hAnsi="Calibri"/>
                <w:sz w:val="18"/>
                <w:szCs w:val="18"/>
                <w:color w:val="auto"/>
              </w:rPr>
              <w:t>(6)</w:t>
            </w:r>
          </w:p>
        </w:tc>
        <w:tc>
          <w:tcPr>
            <w:tcW w:w="420" w:type="dxa"/>
            <w:vAlign w:val="bottom"/>
          </w:tcPr>
          <w:p>
            <w:pPr>
              <w:jc w:val="right"/>
              <w:ind w:right="230"/>
              <w:spacing w:after="0" w:line="216"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6" w:lineRule="exact"/>
              <w:rPr>
                <w:sz w:val="20"/>
                <w:szCs w:val="20"/>
                <w:color w:val="auto"/>
              </w:rPr>
            </w:pPr>
            <w:r>
              <w:rPr>
                <w:rFonts w:ascii="Calibri" w:cs="Calibri" w:eastAsia="Calibri" w:hAnsi="Calibri"/>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6940" w:type="dxa"/>
            <w:vAlign w:val="bottom"/>
          </w:tcPr>
          <w:p>
            <w:pPr>
              <w:spacing w:after="0"/>
              <w:rPr>
                <w:sz w:val="19"/>
                <w:szCs w:val="19"/>
                <w:color w:val="auto"/>
              </w:rPr>
            </w:pPr>
          </w:p>
        </w:tc>
        <w:tc>
          <w:tcPr>
            <w:tcW w:w="3160" w:type="dxa"/>
            <w:vAlign w:val="bottom"/>
            <w:gridSpan w:val="5"/>
          </w:tcPr>
          <w:p>
            <w:pPr>
              <w:jc w:val="center"/>
              <w:ind w:right="120"/>
              <w:spacing w:after="0"/>
              <w:rPr>
                <w:sz w:val="20"/>
                <w:szCs w:val="20"/>
                <w:color w:val="auto"/>
              </w:rPr>
            </w:pPr>
            <w:r>
              <w:rPr>
                <w:rFonts w:ascii="Calibri" w:cs="Calibri" w:eastAsia="Calibri" w:hAnsi="Calibri"/>
                <w:sz w:val="18"/>
                <w:szCs w:val="18"/>
                <w:b w:val="1"/>
                <w:bCs w:val="1"/>
                <w:color w:val="auto"/>
                <w:w w:val="97"/>
              </w:rPr>
              <w:t>Three Months Ended</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19"/>
                <w:szCs w:val="19"/>
                <w:color w:val="auto"/>
              </w:rPr>
            </w:pPr>
          </w:p>
        </w:tc>
        <w:tc>
          <w:tcPr>
            <w:tcW w:w="2020" w:type="dxa"/>
            <w:vAlign w:val="bottom"/>
            <w:gridSpan w:val="3"/>
          </w:tcPr>
          <w:p>
            <w:pPr>
              <w:jc w:val="center"/>
              <w:ind w:left="930"/>
              <w:spacing w:after="0"/>
              <w:rPr>
                <w:sz w:val="20"/>
                <w:szCs w:val="20"/>
                <w:color w:val="auto"/>
              </w:rPr>
            </w:pPr>
            <w:r>
              <w:rPr>
                <w:rFonts w:ascii="Calibri" w:cs="Calibri" w:eastAsia="Calibri" w:hAnsi="Calibri"/>
                <w:sz w:val="18"/>
                <w:szCs w:val="18"/>
                <w:b w:val="1"/>
                <w:bCs w:val="1"/>
                <w:color w:val="auto"/>
                <w:w w:val="95"/>
              </w:rPr>
              <w:t>March 31,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940" w:type="dxa"/>
            <w:vAlign w:val="bottom"/>
            <w:vMerge w:val="restart"/>
          </w:tcPr>
          <w:p>
            <w:pPr>
              <w:spacing w:after="0"/>
              <w:rPr>
                <w:sz w:val="20"/>
                <w:szCs w:val="20"/>
                <w:color w:val="auto"/>
              </w:rPr>
            </w:pPr>
            <w:r>
              <w:rPr>
                <w:rFonts w:ascii="Calibri" w:cs="Calibri" w:eastAsia="Calibri" w:hAnsi="Calibri"/>
                <w:sz w:val="16"/>
                <w:szCs w:val="16"/>
                <w:color w:val="auto"/>
              </w:rPr>
              <w:t>(in millions of shares)</w:t>
            </w: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40" w:type="dxa"/>
            <w:vAlign w:val="bottom"/>
            <w:tcBorders>
              <w:bottom w:val="single" w:sz="8" w:color="CFF0FC"/>
            </w:tcBorders>
            <w:vMerge w:val="continue"/>
          </w:tcPr>
          <w:p>
            <w:pPr>
              <w:spacing w:after="0"/>
              <w:rPr>
                <w:sz w:val="18"/>
                <w:szCs w:val="18"/>
                <w:color w:val="auto"/>
              </w:rPr>
            </w:pPr>
          </w:p>
        </w:tc>
        <w:tc>
          <w:tcPr>
            <w:tcW w:w="1400" w:type="dxa"/>
            <w:vAlign w:val="bottom"/>
            <w:tcBorders>
              <w:bottom w:val="single" w:sz="8" w:color="auto"/>
            </w:tcBorders>
          </w:tcPr>
          <w:p>
            <w:pPr>
              <w:jc w:val="right"/>
              <w:ind w:right="430"/>
              <w:spacing w:after="0" w:line="215" w:lineRule="exact"/>
              <w:rPr>
                <w:sz w:val="20"/>
                <w:szCs w:val="20"/>
                <w:color w:val="auto"/>
              </w:rPr>
            </w:pPr>
            <w:r>
              <w:rPr>
                <w:rFonts w:ascii="Calibri" w:cs="Calibri" w:eastAsia="Calibri" w:hAnsi="Calibri"/>
                <w:sz w:val="18"/>
                <w:szCs w:val="18"/>
                <w:b w:val="1"/>
                <w:bCs w:val="1"/>
                <w:color w:val="auto"/>
              </w:rPr>
              <w:t>2022</w:t>
            </w:r>
          </w:p>
        </w:tc>
        <w:tc>
          <w:tcPr>
            <w:tcW w:w="2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line="215" w:lineRule="exact"/>
              <w:rPr>
                <w:sz w:val="20"/>
                <w:szCs w:val="20"/>
                <w:color w:val="auto"/>
              </w:rPr>
            </w:pPr>
            <w:r>
              <w:rPr>
                <w:rFonts w:ascii="Calibri" w:cs="Calibri" w:eastAsia="Calibri" w:hAnsi="Calibri"/>
                <w:sz w:val="18"/>
                <w:szCs w:val="18"/>
                <w:b w:val="1"/>
                <w:bCs w:val="1"/>
                <w:color w:val="auto"/>
              </w:rPr>
              <w:t>2021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Weighted average shares — basic</w:t>
            </w:r>
          </w:p>
        </w:tc>
        <w:tc>
          <w:tcPr>
            <w:tcW w:w="14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78.7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40" w:type="dxa"/>
            <w:vAlign w:val="bottom"/>
          </w:tcPr>
          <w:p>
            <w:pPr>
              <w:spacing w:after="0" w:line="215" w:lineRule="exact"/>
              <w:rPr>
                <w:sz w:val="20"/>
                <w:szCs w:val="20"/>
                <w:color w:val="auto"/>
              </w:rPr>
            </w:pPr>
            <w:r>
              <w:rPr>
                <w:rFonts w:ascii="Calibri" w:cs="Calibri" w:eastAsia="Calibri" w:hAnsi="Calibri"/>
                <w:sz w:val="18"/>
                <w:szCs w:val="18"/>
                <w:color w:val="auto"/>
              </w:rPr>
              <w:t>Efect of dilutve securites</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40" w:type="dxa"/>
            <w:vAlign w:val="bottom"/>
            <w:shd w:val="clear" w:color="auto" w:fill="CFF0FC"/>
          </w:tcPr>
          <w:p>
            <w:pPr>
              <w:ind w:left="120"/>
              <w:spacing w:after="0"/>
              <w:rPr>
                <w:sz w:val="20"/>
                <w:szCs w:val="20"/>
                <w:color w:val="auto"/>
              </w:rPr>
            </w:pPr>
            <w:r>
              <w:rPr>
                <w:rFonts w:ascii="Calibri" w:cs="Calibri" w:eastAsia="Calibri" w:hAnsi="Calibri"/>
                <w:sz w:val="18"/>
                <w:szCs w:val="18"/>
                <w:color w:val="auto"/>
              </w:rPr>
              <w:t>Employee stock optons</w:t>
            </w:r>
          </w:p>
        </w:tc>
        <w:tc>
          <w:tcPr>
            <w:tcW w:w="2020" w:type="dxa"/>
            <w:vAlign w:val="bottom"/>
            <w:gridSpan w:val="3"/>
            <w:shd w:val="clear" w:color="auto" w:fill="CFF0FC"/>
          </w:tcPr>
          <w:p>
            <w:pPr>
              <w:jc w:val="right"/>
              <w:ind w:right="640"/>
              <w:spacing w:after="0"/>
              <w:rPr>
                <w:sz w:val="20"/>
                <w:szCs w:val="20"/>
                <w:color w:val="auto"/>
              </w:rPr>
            </w:pPr>
            <w:r>
              <w:rPr>
                <w:rFonts w:ascii="Calibri" w:cs="Calibri" w:eastAsia="Calibri" w:hAnsi="Calibri"/>
                <w:sz w:val="18"/>
                <w:szCs w:val="18"/>
                <w:color w:val="auto"/>
              </w:rPr>
              <w:t>—</w:t>
            </w:r>
          </w:p>
        </w:tc>
        <w:tc>
          <w:tcPr>
            <w:tcW w:w="10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line="215" w:lineRule="exact"/>
              <w:rPr>
                <w:sz w:val="20"/>
                <w:szCs w:val="20"/>
                <w:color w:val="auto"/>
              </w:rPr>
            </w:pPr>
            <w:r>
              <w:rPr>
                <w:rFonts w:ascii="Calibri" w:cs="Calibri" w:eastAsia="Calibri" w:hAnsi="Calibri"/>
                <w:sz w:val="18"/>
                <w:szCs w:val="18"/>
                <w:color w:val="auto"/>
              </w:rPr>
              <w:t>Unvested restricted stock units</w:t>
            </w:r>
          </w:p>
        </w:tc>
        <w:tc>
          <w:tcPr>
            <w:tcW w:w="2020" w:type="dxa"/>
            <w:vAlign w:val="bottom"/>
            <w:gridSpan w:val="3"/>
          </w:tcPr>
          <w:p>
            <w:pPr>
              <w:jc w:val="right"/>
              <w:ind w:right="64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bottom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Weighted average shares — diluted</w:t>
            </w:r>
          </w:p>
        </w:tc>
        <w:tc>
          <w:tcPr>
            <w:tcW w:w="14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78.7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As a result of the net loss available to common shareholders for the three months ended March 31, 2022, Kodak calculated diluted earnings per share using weighted-average basic shares outstanding. If Kodak had reported income available to common shareholders for the three months ended March 31, 2022, the calculaton of diluted earnings per share would have included the assumed vestng of 0.5 million unvested restricted stock units and the assumed exercise of 0.9 million stock optons.</w:t>
      </w:r>
    </w:p>
    <w:p>
      <w:pPr>
        <w:spacing w:after="0" w:line="246" w:lineRule="exact"/>
        <w:rPr>
          <w:sz w:val="20"/>
          <w:szCs w:val="20"/>
          <w:color w:val="auto"/>
        </w:rPr>
      </w:pPr>
    </w:p>
    <w:p>
      <w:pPr>
        <w:ind w:right="180"/>
        <w:spacing w:after="0" w:line="249" w:lineRule="auto"/>
        <w:rPr>
          <w:sz w:val="20"/>
          <w:szCs w:val="20"/>
          <w:color w:val="auto"/>
        </w:rPr>
      </w:pPr>
      <w:r>
        <w:rPr>
          <w:rFonts w:ascii="Calibri" w:cs="Calibri" w:eastAsia="Calibri" w:hAnsi="Calibri"/>
          <w:sz w:val="17"/>
          <w:szCs w:val="17"/>
          <w:color w:val="auto"/>
        </w:rPr>
        <w:t>The computaton of diluted earnings per share for the three months ended March 31, 2022 and 2021 excluded the impact of (1) the assumed conversion of $25 million of Convertble Notes issued in 2021, (2) the assumed conversion of 1.0 million shares of Series B Preferred Stock, (3) the assumed conversion of</w:t>
      </w:r>
    </w:p>
    <w:p>
      <w:pPr>
        <w:spacing w:after="0" w:line="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1.0 million shares of Series C Preferred stock, (4) the assumed exercise of 3.8 million and 3.2 million outstanding employee stock optons, respectvely and (5) the assumed vestng of 0.4 million and 0.3 million unvested restricted stock units, respectvely, because the efects would have been ant-dilutve.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13: SHAREHOLDERS’ EQUITY</w:t>
      </w:r>
    </w:p>
    <w:p>
      <w:pPr>
        <w:spacing w:after="0" w:line="244"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The Company has 560 million shares of authorized stock, consistng of: (i) 500 million shares of common stock, par value $0.01 per share and (ii) 60 million shares of preferred stock, no par value, issuable in one or more series.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Common Stock</w:t>
      </w:r>
    </w:p>
    <w:p>
      <w:pPr>
        <w:spacing w:after="0" w:line="235" w:lineRule="auto"/>
        <w:rPr>
          <w:sz w:val="20"/>
          <w:szCs w:val="20"/>
          <w:color w:val="auto"/>
        </w:rPr>
      </w:pPr>
      <w:r>
        <w:rPr>
          <w:rFonts w:ascii="Calibri" w:cs="Calibri" w:eastAsia="Calibri" w:hAnsi="Calibri"/>
          <w:sz w:val="18"/>
          <w:szCs w:val="18"/>
          <w:color w:val="auto"/>
        </w:rPr>
        <w:t>As of March 31, 2022 and December 31, 2021, there were 78.9 million and 78.7 million shares of common stock outstanding, respectvely.</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Preferred Stock</w:t>
      </w:r>
    </w:p>
    <w:p>
      <w:pPr>
        <w:spacing w:after="0" w:line="1"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color w:val="auto"/>
        </w:rPr>
        <w:t>Preferred stock issued and outstanding as of March 31, 2022 and December 31, 2021 consisted of 1.0 million shares of Series B Preferred Stock and 1.0 million shares of Series C Preferred Stock.</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b w:val="1"/>
          <w:bCs w:val="1"/>
          <w:color w:val="auto"/>
        </w:rPr>
        <w:t>Treasury Stock</w:t>
      </w:r>
    </w:p>
    <w:p>
      <w:pPr>
        <w:spacing w:after="0" w:line="235" w:lineRule="auto"/>
        <w:rPr>
          <w:sz w:val="20"/>
          <w:szCs w:val="20"/>
          <w:color w:val="auto"/>
        </w:rPr>
      </w:pPr>
      <w:r>
        <w:rPr>
          <w:rFonts w:ascii="Calibri" w:cs="Calibri" w:eastAsia="Calibri" w:hAnsi="Calibri"/>
          <w:sz w:val="18"/>
          <w:szCs w:val="18"/>
          <w:color w:val="auto"/>
        </w:rPr>
        <w:t>Treasury stock consisted of approximately 0.8 million shares as of both March 31, 2022 and December 31, 2021.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14: OTHER COMPREHENSIVE INCOME</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The changes in Other comprehensive income (loss), by component, were as follows: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5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5"/>
          </w:tcPr>
          <w:p>
            <w:pPr>
              <w:jc w:val="right"/>
              <w:ind w:right="880"/>
              <w:spacing w:after="0"/>
              <w:rPr>
                <w:sz w:val="20"/>
                <w:szCs w:val="20"/>
                <w:color w:val="auto"/>
              </w:rPr>
            </w:pPr>
            <w:r>
              <w:rPr>
                <w:rFonts w:ascii="Calibri" w:cs="Calibri" w:eastAsia="Calibri" w:hAnsi="Calibri"/>
                <w:sz w:val="18"/>
                <w:szCs w:val="18"/>
                <w:b w:val="1"/>
                <w:bCs w:val="1"/>
                <w:color w:val="auto"/>
              </w:rPr>
              <w:t>Three Months Ended</w:t>
            </w:r>
          </w:p>
        </w:tc>
      </w:tr>
      <w:tr>
        <w:trPr>
          <w:trHeight w:val="229"/>
        </w:trPr>
        <w:tc>
          <w:tcPr>
            <w:tcW w:w="5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3"/>
          </w:tcPr>
          <w:p>
            <w:pPr>
              <w:jc w:val="right"/>
              <w:ind w:right="50"/>
              <w:spacing w:after="0"/>
              <w:rPr>
                <w:sz w:val="20"/>
                <w:szCs w:val="20"/>
                <w:color w:val="auto"/>
              </w:rPr>
            </w:pPr>
            <w:r>
              <w:rPr>
                <w:rFonts w:ascii="Calibri" w:cs="Calibri" w:eastAsia="Calibri" w:hAnsi="Calibri"/>
                <w:sz w:val="18"/>
                <w:szCs w:val="18"/>
                <w:b w:val="1"/>
                <w:bCs w:val="1"/>
                <w:color w:val="auto"/>
              </w:rPr>
              <w:t>March 31,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
        </w:trPr>
        <w:tc>
          <w:tcPr>
            <w:tcW w:w="5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7"/>
        </w:trPr>
        <w:tc>
          <w:tcPr>
            <w:tcW w:w="5460" w:type="dxa"/>
            <w:vAlign w:val="bottom"/>
            <w:tcBorders>
              <w:bottom w:val="single" w:sz="8" w:color="CFF0FC"/>
            </w:tcBorders>
          </w:tcPr>
          <w:p>
            <w:pPr>
              <w:spacing w:after="0"/>
              <w:rPr>
                <w:sz w:val="20"/>
                <w:szCs w:val="20"/>
                <w:color w:val="auto"/>
              </w:rPr>
            </w:pPr>
            <w:r>
              <w:rPr>
                <w:rFonts w:ascii="Calibri" w:cs="Calibri" w:eastAsia="Calibri" w:hAnsi="Calibri"/>
                <w:sz w:val="16"/>
                <w:szCs w:val="16"/>
                <w:color w:val="auto"/>
              </w:rPr>
              <w:t>(in millions)</w:t>
            </w:r>
          </w:p>
        </w:tc>
        <w:tc>
          <w:tcPr>
            <w:tcW w:w="14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line="215" w:lineRule="exact"/>
              <w:rPr>
                <w:sz w:val="20"/>
                <w:szCs w:val="20"/>
                <w:color w:val="auto"/>
              </w:rPr>
            </w:pPr>
            <w:r>
              <w:rPr>
                <w:rFonts w:ascii="Calibri" w:cs="Calibri" w:eastAsia="Calibri" w:hAnsi="Calibri"/>
                <w:sz w:val="18"/>
                <w:szCs w:val="18"/>
                <w:b w:val="1"/>
                <w:bCs w:val="1"/>
                <w:color w:val="auto"/>
              </w:rPr>
              <w:t>2022</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line="215" w:lineRule="exact"/>
              <w:rPr>
                <w:sz w:val="20"/>
                <w:szCs w:val="20"/>
                <w:color w:val="auto"/>
              </w:rPr>
            </w:pPr>
            <w:r>
              <w:rPr>
                <w:rFonts w:ascii="Calibri" w:cs="Calibri" w:eastAsia="Calibri" w:hAnsi="Calibri"/>
                <w:sz w:val="18"/>
                <w:szCs w:val="18"/>
                <w:b w:val="1"/>
                <w:bCs w:val="1"/>
                <w:color w:val="auto"/>
              </w:rPr>
              <w:t>2021</w:t>
            </w:r>
          </w:p>
        </w:tc>
        <w:tc>
          <w:tcPr>
            <w:tcW w:w="120" w:type="dxa"/>
            <w:vAlign w:val="bottom"/>
            <w:tcBorders>
              <w:bottom w:val="single" w:sz="8" w:color="CFF0FC"/>
            </w:tcBorders>
          </w:tcPr>
          <w:p>
            <w:pPr>
              <w:spacing w:after="0"/>
              <w:rPr>
                <w:sz w:val="18"/>
                <w:szCs w:val="18"/>
                <w:color w:val="auto"/>
              </w:rPr>
            </w:pPr>
          </w:p>
        </w:tc>
      </w:tr>
      <w:tr>
        <w:trPr>
          <w:trHeight w:val="229"/>
        </w:trPr>
        <w:tc>
          <w:tcPr>
            <w:tcW w:w="546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Currency translaton adjustments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(1)</w:t>
            </w:r>
          </w:p>
        </w:tc>
      </w:tr>
      <w:tr>
        <w:trPr>
          <w:trHeight w:val="200"/>
        </w:trPr>
        <w:tc>
          <w:tcPr>
            <w:tcW w:w="5460" w:type="dxa"/>
            <w:vAlign w:val="bottom"/>
          </w:tcPr>
          <w:p>
            <w:pPr>
              <w:spacing w:after="0" w:line="199" w:lineRule="exact"/>
              <w:rPr>
                <w:sz w:val="20"/>
                <w:szCs w:val="20"/>
                <w:color w:val="auto"/>
              </w:rPr>
            </w:pPr>
            <w:r>
              <w:rPr>
                <w:rFonts w:ascii="Calibri" w:cs="Calibri" w:eastAsia="Calibri" w:hAnsi="Calibri"/>
                <w:sz w:val="18"/>
                <w:szCs w:val="18"/>
                <w:color w:val="auto"/>
              </w:rPr>
              <w:t>Pension and other postretrement beneft plan changes</w:t>
            </w:r>
          </w:p>
        </w:tc>
        <w:tc>
          <w:tcPr>
            <w:tcW w:w="14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
        </w:trPr>
        <w:tc>
          <w:tcPr>
            <w:tcW w:w="5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5460" w:type="dxa"/>
            <w:vAlign w:val="bottom"/>
            <w:shd w:val="clear" w:color="auto" w:fill="CFF0FC"/>
          </w:tcPr>
          <w:p>
            <w:pPr>
              <w:ind w:left="240"/>
              <w:spacing w:after="0" w:line="215" w:lineRule="exact"/>
              <w:rPr>
                <w:sz w:val="20"/>
                <w:szCs w:val="20"/>
                <w:color w:val="auto"/>
              </w:rPr>
            </w:pPr>
            <w:r>
              <w:rPr>
                <w:rFonts w:ascii="Calibri" w:cs="Calibri" w:eastAsia="Calibri" w:hAnsi="Calibri"/>
                <w:sz w:val="18"/>
                <w:szCs w:val="18"/>
                <w:color w:val="auto"/>
              </w:rPr>
              <w:t>Newly established net actuarial loss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(1)</w:t>
            </w:r>
          </w:p>
        </w:tc>
      </w:tr>
      <w:tr>
        <w:trPr>
          <w:trHeight w:val="223"/>
        </w:trPr>
        <w:tc>
          <w:tcPr>
            <w:tcW w:w="5460" w:type="dxa"/>
            <w:vAlign w:val="bottom"/>
            <w:tcBorders>
              <w:bottom w:val="single" w:sz="8" w:color="CFF0FC"/>
            </w:tcBorders>
          </w:tcPr>
          <w:p>
            <w:pPr>
              <w:ind w:left="240"/>
              <w:spacing w:after="0" w:line="215" w:lineRule="exact"/>
              <w:rPr>
                <w:sz w:val="20"/>
                <w:szCs w:val="20"/>
                <w:color w:val="auto"/>
              </w:rPr>
            </w:pPr>
            <w:r>
              <w:rPr>
                <w:rFonts w:ascii="Calibri" w:cs="Calibri" w:eastAsia="Calibri" w:hAnsi="Calibri"/>
                <w:sz w:val="18"/>
                <w:szCs w:val="18"/>
                <w:color w:val="auto"/>
              </w:rPr>
              <w:t>Tax Provision</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9"/>
        </w:trPr>
        <w:tc>
          <w:tcPr>
            <w:tcW w:w="5460" w:type="dxa"/>
            <w:vAlign w:val="bottom"/>
            <w:shd w:val="clear" w:color="auto" w:fill="CFF0FC"/>
          </w:tcPr>
          <w:p>
            <w:pPr>
              <w:ind w:left="240"/>
              <w:spacing w:after="0" w:line="206" w:lineRule="exact"/>
              <w:rPr>
                <w:sz w:val="20"/>
                <w:szCs w:val="20"/>
                <w:color w:val="auto"/>
              </w:rPr>
            </w:pPr>
            <w:r>
              <w:rPr>
                <w:rFonts w:ascii="Calibri" w:cs="Calibri" w:eastAsia="Calibri" w:hAnsi="Calibri"/>
                <w:sz w:val="18"/>
                <w:szCs w:val="18"/>
                <w:color w:val="auto"/>
              </w:rPr>
              <w:t>Newly established net actuarial loss, net of tax</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(1)</w:t>
            </w:r>
          </w:p>
        </w:tc>
      </w:tr>
      <w:tr>
        <w:trPr>
          <w:trHeight w:val="222"/>
        </w:trPr>
        <w:tc>
          <w:tcPr>
            <w:tcW w:w="5460" w:type="dxa"/>
            <w:vAlign w:val="bottom"/>
          </w:tcPr>
          <w:p>
            <w:pPr>
              <w:ind w:left="240"/>
              <w:spacing w:after="0" w:line="215" w:lineRule="exact"/>
              <w:rPr>
                <w:sz w:val="20"/>
                <w:szCs w:val="20"/>
                <w:color w:val="auto"/>
              </w:rPr>
            </w:pPr>
            <w:r>
              <w:rPr>
                <w:rFonts w:ascii="Calibri" w:cs="Calibri" w:eastAsia="Calibri" w:hAnsi="Calibri"/>
                <w:sz w:val="18"/>
                <w:szCs w:val="18"/>
                <w:color w:val="auto"/>
              </w:rPr>
              <w:t>Reclassifcaton adjustments: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460" w:type="dxa"/>
            <w:vAlign w:val="bottom"/>
            <w:shd w:val="clear" w:color="auto" w:fill="CFF0FC"/>
          </w:tcPr>
          <w:p>
            <w:pPr>
              <w:ind w:left="480"/>
              <w:spacing w:after="0" w:line="237" w:lineRule="exact"/>
              <w:rPr>
                <w:sz w:val="20"/>
                <w:szCs w:val="20"/>
                <w:color w:val="auto"/>
              </w:rPr>
            </w:pPr>
            <w:r>
              <w:rPr>
                <w:rFonts w:ascii="Calibri" w:cs="Calibri" w:eastAsia="Calibri" w:hAnsi="Calibri"/>
                <w:sz w:val="16"/>
                <w:szCs w:val="16"/>
                <w:color w:val="auto"/>
              </w:rPr>
              <w:t xml:space="preserve">Amortzaton of prior service credit </w:t>
            </w:r>
            <w:r>
              <w:rPr>
                <w:rFonts w:ascii="Calibri" w:cs="Calibri" w:eastAsia="Calibri" w:hAnsi="Calibri"/>
                <w:sz w:val="25"/>
                <w:szCs w:val="25"/>
                <w:color w:val="auto"/>
                <w:vertAlign w:val="superscript"/>
              </w:rPr>
              <w:t>(1)</w:t>
            </w:r>
          </w:p>
        </w:tc>
        <w:tc>
          <w:tcPr>
            <w:tcW w:w="1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8"/>
                <w:szCs w:val="18"/>
                <w:color w:val="auto"/>
              </w:rPr>
              <w:t>(2)</w:t>
            </w:r>
          </w:p>
        </w:tc>
        <w:tc>
          <w:tcPr>
            <w:tcW w:w="3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8"/>
                <w:szCs w:val="18"/>
                <w:color w:val="auto"/>
              </w:rPr>
              <w:t>(2)</w:t>
            </w:r>
          </w:p>
        </w:tc>
      </w:tr>
      <w:tr>
        <w:trPr>
          <w:trHeight w:val="229"/>
        </w:trPr>
        <w:tc>
          <w:tcPr>
            <w:tcW w:w="5460" w:type="dxa"/>
            <w:vAlign w:val="bottom"/>
            <w:tcBorders>
              <w:bottom w:val="single" w:sz="8" w:color="CFF0FC"/>
            </w:tcBorders>
          </w:tcPr>
          <w:p>
            <w:pPr>
              <w:ind w:left="480"/>
              <w:spacing w:after="0" w:line="229" w:lineRule="exact"/>
              <w:rPr>
                <w:sz w:val="20"/>
                <w:szCs w:val="20"/>
                <w:color w:val="auto"/>
              </w:rPr>
            </w:pPr>
            <w:r>
              <w:rPr>
                <w:rFonts w:ascii="Calibri" w:cs="Calibri" w:eastAsia="Calibri" w:hAnsi="Calibri"/>
                <w:sz w:val="16"/>
                <w:szCs w:val="16"/>
                <w:color w:val="auto"/>
              </w:rPr>
              <w:t xml:space="preserve">Amortzaton of actuarial losses </w:t>
            </w:r>
            <w:r>
              <w:rPr>
                <w:rFonts w:ascii="Calibri" w:cs="Calibri" w:eastAsia="Calibri" w:hAnsi="Calibri"/>
                <w:sz w:val="25"/>
                <w:szCs w:val="25"/>
                <w:color w:val="auto"/>
                <w:vertAlign w:val="superscript"/>
              </w:rPr>
              <w:t>(1)</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w:t>
            </w:r>
          </w:p>
        </w:tc>
        <w:tc>
          <w:tcPr>
            <w:tcW w:w="120" w:type="dxa"/>
            <w:vAlign w:val="bottom"/>
            <w:tcBorders>
              <w:bottom w:val="single" w:sz="8" w:color="CFF0FC"/>
            </w:tcBorders>
          </w:tcPr>
          <w:p>
            <w:pPr>
              <w:spacing w:after="0"/>
              <w:rPr>
                <w:sz w:val="19"/>
                <w:szCs w:val="19"/>
                <w:color w:val="auto"/>
              </w:rPr>
            </w:pPr>
          </w:p>
        </w:tc>
      </w:tr>
      <w:tr>
        <w:trPr>
          <w:trHeight w:val="223"/>
        </w:trPr>
        <w:tc>
          <w:tcPr>
            <w:tcW w:w="5460" w:type="dxa"/>
            <w:vAlign w:val="bottom"/>
            <w:shd w:val="clear" w:color="auto" w:fill="CFF0FC"/>
          </w:tcPr>
          <w:p>
            <w:pPr>
              <w:ind w:left="240"/>
              <w:spacing w:after="0" w:line="199" w:lineRule="exact"/>
              <w:rPr>
                <w:sz w:val="20"/>
                <w:szCs w:val="20"/>
                <w:color w:val="auto"/>
              </w:rPr>
            </w:pPr>
            <w:r>
              <w:rPr>
                <w:rFonts w:ascii="Calibri" w:cs="Calibri" w:eastAsia="Calibri" w:hAnsi="Calibri"/>
                <w:sz w:val="18"/>
                <w:szCs w:val="18"/>
                <w:color w:val="auto"/>
              </w:rPr>
              <w:t>Total reclassifcaton adjustments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20" w:type="dxa"/>
            <w:vAlign w:val="bottom"/>
            <w:shd w:val="clear" w:color="auto" w:fill="CFF0FC"/>
          </w:tcPr>
          <w:p>
            <w:pPr>
              <w:spacing w:after="0"/>
              <w:rPr>
                <w:sz w:val="19"/>
                <w:szCs w:val="19"/>
                <w:color w:val="auto"/>
              </w:rPr>
            </w:pPr>
          </w:p>
        </w:tc>
      </w:tr>
      <w:tr>
        <w:trPr>
          <w:trHeight w:val="223"/>
        </w:trPr>
        <w:tc>
          <w:tcPr>
            <w:tcW w:w="5460" w:type="dxa"/>
            <w:vAlign w:val="bottom"/>
          </w:tcPr>
          <w:p>
            <w:pPr>
              <w:ind w:left="240"/>
              <w:spacing w:after="0" w:line="215" w:lineRule="exact"/>
              <w:rPr>
                <w:sz w:val="20"/>
                <w:szCs w:val="20"/>
                <w:color w:val="auto"/>
              </w:rPr>
            </w:pPr>
            <w:r>
              <w:rPr>
                <w:rFonts w:ascii="Calibri" w:cs="Calibri" w:eastAsia="Calibri" w:hAnsi="Calibri"/>
                <w:sz w:val="18"/>
                <w:szCs w:val="18"/>
                <w:color w:val="auto"/>
              </w:rPr>
              <w:t>Tax provision</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19"/>
                <w:szCs w:val="19"/>
                <w:color w:val="auto"/>
              </w:rPr>
            </w:pPr>
          </w:p>
        </w:tc>
        <w:tc>
          <w:tcPr>
            <w:tcW w:w="11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0"/>
        </w:trPr>
        <w:tc>
          <w:tcPr>
            <w:tcW w:w="5460" w:type="dxa"/>
            <w:vAlign w:val="bottom"/>
            <w:tcBorders>
              <w:top w:val="single" w:sz="8" w:color="CFF0FC"/>
            </w:tcBorders>
            <w:shd w:val="clear" w:color="auto" w:fill="CFF0FC"/>
          </w:tcPr>
          <w:p>
            <w:pPr>
              <w:ind w:left="240"/>
              <w:spacing w:after="0" w:line="206" w:lineRule="exact"/>
              <w:rPr>
                <w:sz w:val="20"/>
                <w:szCs w:val="20"/>
                <w:color w:val="auto"/>
              </w:rPr>
            </w:pPr>
            <w:r>
              <w:rPr>
                <w:rFonts w:ascii="Calibri" w:cs="Calibri" w:eastAsia="Calibri" w:hAnsi="Calibri"/>
                <w:sz w:val="18"/>
                <w:szCs w:val="18"/>
                <w:color w:val="auto"/>
              </w:rPr>
              <w:t>Reclassifcaton adjustments, net of tax</w:t>
            </w:r>
          </w:p>
        </w:tc>
        <w:tc>
          <w:tcPr>
            <w:tcW w:w="14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20" w:type="dxa"/>
            <w:vAlign w:val="bottom"/>
            <w:tcBorders>
              <w:top w:val="single" w:sz="8" w:color="CFF0FC"/>
            </w:tcBorders>
            <w:shd w:val="clear" w:color="auto" w:fill="CFF0FC"/>
          </w:tcPr>
          <w:p>
            <w:pPr>
              <w:spacing w:after="0"/>
              <w:rPr>
                <w:sz w:val="19"/>
                <w:szCs w:val="19"/>
                <w:color w:val="auto"/>
              </w:rPr>
            </w:pPr>
          </w:p>
        </w:tc>
      </w:tr>
      <w:tr>
        <w:trPr>
          <w:trHeight w:val="199"/>
        </w:trPr>
        <w:tc>
          <w:tcPr>
            <w:tcW w:w="5460" w:type="dxa"/>
            <w:vAlign w:val="bottom"/>
          </w:tcPr>
          <w:p>
            <w:pPr>
              <w:spacing w:after="0" w:line="199" w:lineRule="exact"/>
              <w:rPr>
                <w:sz w:val="20"/>
                <w:szCs w:val="20"/>
                <w:color w:val="auto"/>
              </w:rPr>
            </w:pPr>
            <w:r>
              <w:rPr>
                <w:rFonts w:ascii="Calibri" w:cs="Calibri" w:eastAsia="Calibri" w:hAnsi="Calibri"/>
                <w:sz w:val="18"/>
                <w:szCs w:val="18"/>
                <w:color w:val="auto"/>
              </w:rPr>
              <w:t>Pension and other postretrement beneft plan changes,</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460" w:type="dxa"/>
            <w:vAlign w:val="bottom"/>
          </w:tcPr>
          <w:p>
            <w:pPr>
              <w:ind w:left="120"/>
              <w:spacing w:after="0" w:line="216" w:lineRule="exact"/>
              <w:rPr>
                <w:sz w:val="20"/>
                <w:szCs w:val="20"/>
                <w:color w:val="auto"/>
              </w:rPr>
            </w:pPr>
            <w:r>
              <w:rPr>
                <w:rFonts w:ascii="Calibri" w:cs="Calibri" w:eastAsia="Calibri" w:hAnsi="Calibri"/>
                <w:sz w:val="18"/>
                <w:szCs w:val="18"/>
                <w:color w:val="auto"/>
              </w:rPr>
              <w:t>net of tax</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60"/>
              <w:spacing w:after="0" w:line="216" w:lineRule="exact"/>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Calibri" w:cs="Calibri" w:eastAsia="Calibri" w:hAnsi="Calibri"/>
                <w:sz w:val="18"/>
                <w:szCs w:val="18"/>
                <w:color w:val="auto"/>
              </w:rPr>
              <w:t>6</w:t>
            </w:r>
          </w:p>
        </w:tc>
        <w:tc>
          <w:tcPr>
            <w:tcW w:w="120" w:type="dxa"/>
            <w:vAlign w:val="bottom"/>
          </w:tcPr>
          <w:p>
            <w:pPr>
              <w:spacing w:after="0"/>
              <w:rPr>
                <w:sz w:val="18"/>
                <w:szCs w:val="18"/>
                <w:color w:val="auto"/>
              </w:rPr>
            </w:pPr>
          </w:p>
        </w:tc>
      </w:tr>
      <w:tr>
        <w:trPr>
          <w:trHeight w:val="23"/>
        </w:trPr>
        <w:tc>
          <w:tcPr>
            <w:tcW w:w="5460" w:type="dxa"/>
            <w:vAlign w:val="bottom"/>
            <w:tcBorders>
              <w:bottom w:val="single" w:sz="8" w:color="CFF0FC"/>
            </w:tcBorders>
          </w:tcPr>
          <w:p>
            <w:pPr>
              <w:spacing w:after="0"/>
              <w:rPr>
                <w:sz w:val="2"/>
                <w:szCs w:val="2"/>
                <w:color w:val="auto"/>
              </w:rPr>
            </w:pPr>
          </w:p>
        </w:tc>
        <w:tc>
          <w:tcPr>
            <w:tcW w:w="14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16"/>
        </w:trPr>
        <w:tc>
          <w:tcPr>
            <w:tcW w:w="5460" w:type="dxa"/>
            <w:vAlign w:val="bottom"/>
            <w:tcBorders>
              <w:bottom w:val="single" w:sz="8" w:color="CFF0FC"/>
            </w:tcBorders>
            <w:shd w:val="clear" w:color="auto" w:fill="CFF0FC"/>
          </w:tcPr>
          <w:p>
            <w:pPr>
              <w:spacing w:after="0" w:line="199" w:lineRule="exact"/>
              <w:rPr>
                <w:sz w:val="20"/>
                <w:szCs w:val="20"/>
                <w:color w:val="auto"/>
              </w:rPr>
            </w:pPr>
            <w:r>
              <w:rPr>
                <w:rFonts w:ascii="Calibri" w:cs="Calibri" w:eastAsia="Calibri" w:hAnsi="Calibri"/>
                <w:sz w:val="18"/>
                <w:szCs w:val="18"/>
                <w:color w:val="auto"/>
              </w:rPr>
              <w:t>Other comprehensive income</w:t>
            </w:r>
          </w:p>
        </w:tc>
        <w:tc>
          <w:tcPr>
            <w:tcW w:w="1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left="920" w:hanging="359"/>
        <w:spacing w:after="0"/>
        <w:tabs>
          <w:tab w:leader="none" w:pos="920" w:val="left"/>
        </w:tabs>
        <w:numPr>
          <w:ilvl w:val="0"/>
          <w:numId w:val="9"/>
        </w:numPr>
        <w:rPr>
          <w:rFonts w:ascii="Calibri" w:cs="Calibri" w:eastAsia="Calibri" w:hAnsi="Calibri"/>
          <w:sz w:val="31"/>
          <w:szCs w:val="31"/>
          <w:color w:val="auto"/>
          <w:vertAlign w:val="superscript"/>
        </w:rPr>
      </w:pPr>
      <w:r>
        <w:rPr>
          <w:rFonts w:ascii="Calibri" w:cs="Calibri" w:eastAsia="Calibri" w:hAnsi="Calibri"/>
          <w:sz w:val="18"/>
          <w:szCs w:val="18"/>
          <w:color w:val="auto"/>
        </w:rPr>
        <w:t>Reclassifed to Total Net Periodic Beneft Cost - refer to Note 11, "Retrement Plans and Other Postretrement Benefts".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15: SEGMENT INFORMATION</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has four reportable segments: Traditonal Printng, Digital Printng, Advanced Materials and Chemicals and Brand. A descripton of Kodak’s reportable segments follows.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Traditonal Printng</w:t>
      </w:r>
      <w:r>
        <w:rPr>
          <w:rFonts w:ascii="Calibri" w:cs="Calibri" w:eastAsia="Calibri" w:hAnsi="Calibri"/>
          <w:sz w:val="18"/>
          <w:szCs w:val="18"/>
          <w:color w:val="auto"/>
        </w:rPr>
        <w:t>: The Traditonal Printng segment is comprised of Prepress Solutons.</w:t>
      </w:r>
    </w:p>
    <w:p>
      <w:pPr>
        <w:spacing w:after="0" w:line="244" w:lineRule="exact"/>
        <w:rPr>
          <w:sz w:val="20"/>
          <w:szCs w:val="20"/>
          <w:color w:val="auto"/>
        </w:rPr>
      </w:pPr>
    </w:p>
    <w:p>
      <w:pPr>
        <w:ind w:right="480"/>
        <w:spacing w:after="0" w:line="235" w:lineRule="auto"/>
        <w:rPr>
          <w:sz w:val="20"/>
          <w:szCs w:val="20"/>
          <w:color w:val="auto"/>
        </w:rPr>
      </w:pPr>
      <w:r>
        <w:rPr>
          <w:rFonts w:ascii="Calibri" w:cs="Calibri" w:eastAsia="Calibri" w:hAnsi="Calibri"/>
          <w:sz w:val="18"/>
          <w:szCs w:val="18"/>
          <w:b w:val="1"/>
          <w:bCs w:val="1"/>
          <w:color w:val="auto"/>
        </w:rPr>
        <w:t>Digital Printng</w:t>
      </w:r>
      <w:r>
        <w:rPr>
          <w:rFonts w:ascii="Calibri" w:cs="Calibri" w:eastAsia="Calibri" w:hAnsi="Calibri"/>
          <w:sz w:val="18"/>
          <w:szCs w:val="18"/>
          <w:color w:val="auto"/>
        </w:rPr>
        <w:t>: The Digital Printng segment is comprised of four lines of business: the Electrophotographic Printng Solutons business, the PROSPER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business, the VERSAMARK business and the Kodak Sofware business.</w:t>
      </w:r>
    </w:p>
    <w:p>
      <w:pPr>
        <w:spacing w:after="0" w:line="24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b w:val="1"/>
          <w:bCs w:val="1"/>
          <w:color w:val="auto"/>
        </w:rPr>
        <w:t xml:space="preserve">Advanced Materials and Chemicals: </w:t>
      </w:r>
      <w:r>
        <w:rPr>
          <w:rFonts w:ascii="Calibri" w:cs="Calibri" w:eastAsia="Calibri" w:hAnsi="Calibri"/>
          <w:sz w:val="18"/>
          <w:szCs w:val="18"/>
          <w:color w:val="auto"/>
        </w:rPr>
        <w:t>The Advanced Materials and Chemicals segment is comprised of three lines of business: Industrial Film and Chemicals,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Moton Picture and Advanced Materials and Functonal Printng.</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Brand</w:t>
      </w:r>
      <w:r>
        <w:rPr>
          <w:rFonts w:ascii="Calibri" w:cs="Calibri" w:eastAsia="Calibri" w:hAnsi="Calibri"/>
          <w:sz w:val="18"/>
          <w:szCs w:val="18"/>
          <w:color w:val="auto"/>
        </w:rPr>
        <w:t>: The Brand segment contains the brand licensing business.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All Other</w:t>
      </w:r>
      <w:r>
        <w:rPr>
          <w:rFonts w:ascii="Calibri" w:cs="Calibri" w:eastAsia="Calibri" w:hAnsi="Calibri"/>
          <w:sz w:val="18"/>
          <w:szCs w:val="18"/>
          <w:color w:val="auto"/>
        </w:rPr>
        <w:t>: All Other is comprised of the operatons of the Eastman Business Park, a more than 1,200-acre technology center and industrial complex</w:t>
      </w:r>
      <w:r>
        <w:rPr>
          <w:rFonts w:ascii="Calibri" w:cs="Calibri" w:eastAsia="Calibri" w:hAnsi="Calibri"/>
          <w:sz w:val="18"/>
          <w:szCs w:val="18"/>
          <w:b w:val="1"/>
          <w:bCs w:val="1"/>
          <w:color w:val="auto"/>
        </w:rPr>
        <w:t>.</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8" w:right="479" w:bottom="1440" w:gutter="0" w:footer="0" w:header="0"/>
        </w:sectPr>
      </w:pPr>
    </w:p>
    <w:bookmarkStart w:id="22" w:name="page23"/>
    <w:bookmarkEnd w:id="22"/>
    <w:p>
      <w:pPr>
        <w:spacing w:after="0"/>
        <w:rPr>
          <w:sz w:val="20"/>
          <w:szCs w:val="20"/>
          <w:color w:val="auto"/>
        </w:rPr>
      </w:pPr>
      <w:r>
        <w:rPr>
          <w:rFonts w:ascii="Calibri" w:cs="Calibri" w:eastAsia="Calibri" w:hAnsi="Calibri"/>
          <w:sz w:val="18"/>
          <w:szCs w:val="18"/>
          <w:color w:val="auto"/>
        </w:rPr>
        <w:t>Segment fnancial informaton is shown below:</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Segment Revenues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gridSpan w:val="8"/>
          </w:tcPr>
          <w:p>
            <w:pPr>
              <w:jc w:val="right"/>
              <w:ind w:right="900"/>
              <w:spacing w:after="0"/>
              <w:rPr>
                <w:sz w:val="20"/>
                <w:szCs w:val="20"/>
                <w:color w:val="auto"/>
              </w:rPr>
            </w:pPr>
            <w:r>
              <w:rPr>
                <w:rFonts w:ascii="Calibri" w:cs="Calibri" w:eastAsia="Calibri" w:hAnsi="Calibri"/>
                <w:sz w:val="18"/>
                <w:szCs w:val="18"/>
                <w:b w:val="1"/>
                <w:bCs w:val="1"/>
                <w:color w:val="auto"/>
              </w:rPr>
              <w:t>Three Months Ended</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5"/>
          </w:tcPr>
          <w:p>
            <w:pPr>
              <w:jc w:val="right"/>
              <w:ind w:right="81"/>
              <w:spacing w:after="0"/>
              <w:rPr>
                <w:sz w:val="20"/>
                <w:szCs w:val="20"/>
                <w:color w:val="auto"/>
              </w:rPr>
            </w:pPr>
            <w:r>
              <w:rPr>
                <w:rFonts w:ascii="Calibri" w:cs="Calibri" w:eastAsia="Calibri" w:hAnsi="Calibri"/>
                <w:sz w:val="18"/>
                <w:szCs w:val="18"/>
                <w:b w:val="1"/>
                <w:bCs w:val="1"/>
                <w:color w:val="auto"/>
              </w:rPr>
              <w:t>March 31,</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6780" w:type="dxa"/>
            <w:vAlign w:val="bottom"/>
            <w:tcBorders>
              <w:bottom w:val="single" w:sz="8" w:color="CFF0FC"/>
            </w:tcBorders>
          </w:tcPr>
          <w:p>
            <w:pPr>
              <w:spacing w:after="0"/>
              <w:rPr>
                <w:sz w:val="20"/>
                <w:szCs w:val="20"/>
                <w:color w:val="auto"/>
              </w:rPr>
            </w:pPr>
            <w:r>
              <w:rPr>
                <w:rFonts w:ascii="Calibri" w:cs="Calibri" w:eastAsia="Calibri" w:hAnsi="Calibri"/>
                <w:sz w:val="16"/>
                <w:szCs w:val="16"/>
                <w:color w:val="auto"/>
              </w:rPr>
              <w:t>(in millions)</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line="215" w:lineRule="exact"/>
              <w:rPr>
                <w:sz w:val="20"/>
                <w:szCs w:val="20"/>
                <w:color w:val="auto"/>
              </w:rPr>
            </w:pPr>
            <w:r>
              <w:rPr>
                <w:rFonts w:ascii="Calibri" w:cs="Calibri" w:eastAsia="Calibri" w:hAnsi="Calibri"/>
                <w:sz w:val="18"/>
                <w:szCs w:val="18"/>
                <w:b w:val="1"/>
                <w:bCs w:val="1"/>
                <w:color w:val="auto"/>
              </w:rPr>
              <w:t>2022</w:t>
            </w:r>
          </w:p>
        </w:tc>
        <w:tc>
          <w:tcPr>
            <w:tcW w:w="6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line="215" w:lineRule="exact"/>
              <w:rPr>
                <w:sz w:val="20"/>
                <w:szCs w:val="20"/>
                <w:color w:val="auto"/>
              </w:rPr>
            </w:pPr>
            <w:r>
              <w:rPr>
                <w:rFonts w:ascii="Calibri" w:cs="Calibri" w:eastAsia="Calibri" w:hAnsi="Calibri"/>
                <w:sz w:val="18"/>
                <w:szCs w:val="18"/>
                <w:b w:val="1"/>
                <w:bCs w:val="1"/>
                <w:color w:val="auto"/>
              </w:rPr>
              <w:t>2021</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8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Traditonal Printng</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1"/>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1"/>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780" w:type="dxa"/>
            <w:vAlign w:val="bottom"/>
          </w:tcPr>
          <w:p>
            <w:pPr>
              <w:spacing w:after="0" w:line="215" w:lineRule="exact"/>
              <w:rPr>
                <w:sz w:val="20"/>
                <w:szCs w:val="20"/>
                <w:color w:val="auto"/>
              </w:rPr>
            </w:pPr>
            <w:r>
              <w:rPr>
                <w:rFonts w:ascii="Calibri" w:cs="Calibri" w:eastAsia="Calibri" w:hAnsi="Calibri"/>
                <w:sz w:val="18"/>
                <w:szCs w:val="18"/>
                <w:color w:val="auto"/>
              </w:rPr>
              <w:t>Digital Printng</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56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780" w:type="dxa"/>
            <w:vAlign w:val="bottom"/>
            <w:shd w:val="clear" w:color="auto" w:fill="CFF0FC"/>
          </w:tcPr>
          <w:p>
            <w:pPr>
              <w:spacing w:after="0"/>
              <w:rPr>
                <w:sz w:val="20"/>
                <w:szCs w:val="20"/>
                <w:color w:val="auto"/>
              </w:rPr>
            </w:pPr>
            <w:r>
              <w:rPr>
                <w:rFonts w:ascii="Calibri" w:cs="Calibri" w:eastAsia="Calibri" w:hAnsi="Calibri"/>
                <w:sz w:val="18"/>
                <w:szCs w:val="18"/>
                <w:color w:val="auto"/>
              </w:rPr>
              <w:t>Advanced Materials and Chemicals</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54</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46</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780" w:type="dxa"/>
            <w:vAlign w:val="bottom"/>
          </w:tcPr>
          <w:p>
            <w:pPr>
              <w:spacing w:after="0" w:line="215" w:lineRule="exact"/>
              <w:rPr>
                <w:sz w:val="20"/>
                <w:szCs w:val="20"/>
                <w:color w:val="auto"/>
              </w:rPr>
            </w:pPr>
            <w:r>
              <w:rPr>
                <w:rFonts w:ascii="Calibri" w:cs="Calibri" w:eastAsia="Calibri" w:hAnsi="Calibri"/>
                <w:sz w:val="18"/>
                <w:szCs w:val="18"/>
                <w:color w:val="auto"/>
              </w:rPr>
              <w:t>Brand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780" w:type="dxa"/>
            <w:vAlign w:val="bottom"/>
            <w:shd w:val="clear" w:color="auto" w:fill="CFF0FC"/>
          </w:tcPr>
          <w:p>
            <w:pPr>
              <w:spacing w:after="0"/>
              <w:rPr>
                <w:sz w:val="20"/>
                <w:szCs w:val="20"/>
                <w:color w:val="auto"/>
              </w:rPr>
            </w:pPr>
            <w:r>
              <w:rPr>
                <w:rFonts w:ascii="Calibri" w:cs="Calibri" w:eastAsia="Calibri" w:hAnsi="Calibri"/>
                <w:sz w:val="18"/>
                <w:szCs w:val="18"/>
                <w:color w:val="auto"/>
              </w:rPr>
              <w:t>All Other</w:t>
            </w:r>
          </w:p>
        </w:tc>
        <w:tc>
          <w:tcPr>
            <w:tcW w:w="140" w:type="dxa"/>
            <w:vAlign w:val="bottom"/>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4</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4</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6780" w:type="dxa"/>
            <w:vAlign w:val="bottom"/>
          </w:tcPr>
          <w:p>
            <w:pPr>
              <w:spacing w:after="0" w:line="199" w:lineRule="exact"/>
              <w:rPr>
                <w:sz w:val="20"/>
                <w:szCs w:val="20"/>
                <w:color w:val="auto"/>
              </w:rPr>
            </w:pPr>
            <w:r>
              <w:rPr>
                <w:rFonts w:ascii="Calibri" w:cs="Calibri" w:eastAsia="Calibri" w:hAnsi="Calibri"/>
                <w:sz w:val="18"/>
                <w:szCs w:val="18"/>
                <w:color w:val="auto"/>
              </w:rPr>
              <w:t>Consolidated total</w:t>
            </w:r>
          </w:p>
        </w:tc>
        <w:tc>
          <w:tcPr>
            <w:tcW w:w="14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161"/>
              <w:spacing w:after="0" w:line="208"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290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gridSpan w:val="2"/>
          </w:tcPr>
          <w:p>
            <w:pPr>
              <w:jc w:val="right"/>
              <w:ind w:right="221"/>
              <w:spacing w:after="0" w:line="208" w:lineRule="exact"/>
              <w:rPr>
                <w:sz w:val="20"/>
                <w:szCs w:val="20"/>
                <w:color w:val="auto"/>
              </w:rPr>
            </w:pPr>
            <w:r>
              <w:rPr>
                <w:rFonts w:ascii="Calibri" w:cs="Calibri" w:eastAsia="Calibri" w:hAnsi="Calibri"/>
                <w:sz w:val="18"/>
                <w:szCs w:val="18"/>
                <w:color w:val="auto"/>
                <w:w w:val="87"/>
              </w:rPr>
              <w:t>$</w:t>
            </w:r>
          </w:p>
        </w:tc>
        <w:tc>
          <w:tcPr>
            <w:tcW w:w="100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Calibri" w:cs="Calibri" w:eastAsia="Calibri" w:hAnsi="Calibri"/>
                <w:sz w:val="18"/>
                <w:szCs w:val="18"/>
                <w:b w:val="1"/>
                <w:bCs w:val="1"/>
                <w:color w:val="auto"/>
                <w:w w:val="99"/>
              </w:rPr>
              <w:t>Segment Operatonal EBITDA and Consolidated (Loss) Income from Operatons Before Income Taxes</w:t>
            </w: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3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8"/>
          </w:tcPr>
          <w:p>
            <w:pPr>
              <w:jc w:val="right"/>
              <w:ind w:right="860"/>
              <w:spacing w:after="0"/>
              <w:rPr>
                <w:sz w:val="20"/>
                <w:szCs w:val="20"/>
                <w:color w:val="auto"/>
              </w:rPr>
            </w:pPr>
            <w:r>
              <w:rPr>
                <w:rFonts w:ascii="Calibri" w:cs="Calibri" w:eastAsia="Calibri" w:hAnsi="Calibri"/>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5"/>
          </w:tcPr>
          <w:p>
            <w:pPr>
              <w:jc w:val="right"/>
              <w:ind w:right="61"/>
              <w:spacing w:after="0"/>
              <w:rPr>
                <w:sz w:val="20"/>
                <w:szCs w:val="20"/>
                <w:color w:val="auto"/>
              </w:rPr>
            </w:pPr>
            <w:r>
              <w:rPr>
                <w:rFonts w:ascii="Calibri" w:cs="Calibri" w:eastAsia="Calibri" w:hAnsi="Calibri"/>
                <w:sz w:val="18"/>
                <w:szCs w:val="18"/>
                <w:b w:val="1"/>
                <w:bCs w:val="1"/>
                <w:color w:val="auto"/>
              </w:rPr>
              <w:t>March 31,</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6780" w:type="dxa"/>
            <w:vAlign w:val="bottom"/>
            <w:tcBorders>
              <w:bottom w:val="single" w:sz="8" w:color="CFF0FC"/>
            </w:tcBorders>
          </w:tcPr>
          <w:p>
            <w:pPr>
              <w:spacing w:after="0"/>
              <w:rPr>
                <w:sz w:val="20"/>
                <w:szCs w:val="20"/>
                <w:color w:val="auto"/>
              </w:rPr>
            </w:pPr>
            <w:r>
              <w:rPr>
                <w:rFonts w:ascii="Calibri" w:cs="Calibri" w:eastAsia="Calibri" w:hAnsi="Calibri"/>
                <w:sz w:val="16"/>
                <w:szCs w:val="16"/>
                <w:color w:val="auto"/>
              </w:rPr>
              <w:t>(in millions)</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line="215" w:lineRule="exact"/>
              <w:rPr>
                <w:sz w:val="20"/>
                <w:szCs w:val="20"/>
                <w:color w:val="auto"/>
              </w:rPr>
            </w:pPr>
            <w:r>
              <w:rPr>
                <w:rFonts w:ascii="Calibri" w:cs="Calibri" w:eastAsia="Calibri" w:hAnsi="Calibri"/>
                <w:sz w:val="18"/>
                <w:szCs w:val="18"/>
                <w:b w:val="1"/>
                <w:bCs w:val="1"/>
                <w:color w:val="auto"/>
              </w:rPr>
              <w:t>2022</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15" w:lineRule="exact"/>
              <w:rPr>
                <w:sz w:val="20"/>
                <w:szCs w:val="20"/>
                <w:color w:val="auto"/>
              </w:rPr>
            </w:pPr>
            <w:r>
              <w:rPr>
                <w:rFonts w:ascii="Calibri" w:cs="Calibri" w:eastAsia="Calibri" w:hAnsi="Calibri"/>
                <w:sz w:val="18"/>
                <w:szCs w:val="18"/>
                <w:b w:val="1"/>
                <w:bCs w:val="1"/>
                <w:color w:val="auto"/>
              </w:rPr>
              <w:t>2021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8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Traditonal Printng</w:t>
            </w:r>
          </w:p>
        </w:tc>
        <w:tc>
          <w:tcPr>
            <w:tcW w:w="200" w:type="dxa"/>
            <w:vAlign w:val="bottom"/>
            <w:gridSpan w:val="2"/>
            <w:shd w:val="clear" w:color="auto" w:fill="CFF0FC"/>
          </w:tcPr>
          <w:p>
            <w:pPr>
              <w:spacing w:after="0"/>
              <w:rPr>
                <w:sz w:val="19"/>
                <w:szCs w:val="19"/>
                <w:color w:val="auto"/>
              </w:rPr>
            </w:pPr>
          </w:p>
        </w:tc>
        <w:tc>
          <w:tcPr>
            <w:tcW w:w="280" w:type="dxa"/>
            <w:vAlign w:val="bottom"/>
            <w:shd w:val="clear" w:color="auto" w:fill="CFF0FC"/>
          </w:tcPr>
          <w:p>
            <w:pPr>
              <w:jc w:val="right"/>
              <w:ind w:right="121"/>
              <w:spacing w:after="0"/>
              <w:rPr>
                <w:sz w:val="20"/>
                <w:szCs w:val="20"/>
                <w:color w:val="auto"/>
              </w:rPr>
            </w:pPr>
            <w:r>
              <w:rPr>
                <w:rFonts w:ascii="Calibri" w:cs="Calibri" w:eastAsia="Calibri" w:hAnsi="Calibri"/>
                <w:sz w:val="16"/>
                <w:szCs w:val="16"/>
                <w:color w:val="auto"/>
                <w:w w:val="73"/>
              </w:rPr>
              <w:t>$</w:t>
            </w:r>
          </w:p>
        </w:tc>
        <w:tc>
          <w:tcPr>
            <w:tcW w:w="1320" w:type="dxa"/>
            <w:vAlign w:val="bottom"/>
            <w:gridSpan w:val="3"/>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1"/>
              <w:spacing w:after="0"/>
              <w:rPr>
                <w:sz w:val="20"/>
                <w:szCs w:val="20"/>
                <w:color w:val="auto"/>
              </w:rPr>
            </w:pPr>
            <w:r>
              <w:rPr>
                <w:rFonts w:ascii="Calibri" w:cs="Calibri" w:eastAsia="Calibri" w:hAnsi="Calibri"/>
                <w:sz w:val="16"/>
                <w:szCs w:val="16"/>
                <w:color w:val="auto"/>
                <w:w w:val="73"/>
              </w:rPr>
              <w:t>$</w:t>
            </w:r>
          </w:p>
        </w:tc>
        <w:tc>
          <w:tcPr>
            <w:tcW w:w="102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780" w:type="dxa"/>
            <w:vAlign w:val="bottom"/>
          </w:tcPr>
          <w:p>
            <w:pPr>
              <w:spacing w:after="0" w:line="215" w:lineRule="exact"/>
              <w:rPr>
                <w:sz w:val="20"/>
                <w:szCs w:val="20"/>
                <w:color w:val="auto"/>
              </w:rPr>
            </w:pPr>
            <w:r>
              <w:rPr>
                <w:rFonts w:ascii="Calibri" w:cs="Calibri" w:eastAsia="Calibri" w:hAnsi="Calibri"/>
                <w:sz w:val="18"/>
                <w:szCs w:val="18"/>
                <w:color w:val="auto"/>
              </w:rPr>
              <w:t>Digital Printng</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780" w:type="dxa"/>
            <w:vAlign w:val="bottom"/>
            <w:shd w:val="clear" w:color="auto" w:fill="CFF0FC"/>
          </w:tcPr>
          <w:p>
            <w:pPr>
              <w:spacing w:after="0"/>
              <w:rPr>
                <w:sz w:val="20"/>
                <w:szCs w:val="20"/>
                <w:color w:val="auto"/>
              </w:rPr>
            </w:pPr>
            <w:r>
              <w:rPr>
                <w:rFonts w:ascii="Calibri" w:cs="Calibri" w:eastAsia="Calibri" w:hAnsi="Calibri"/>
                <w:sz w:val="18"/>
                <w:szCs w:val="18"/>
                <w:color w:val="auto"/>
              </w:rPr>
              <w:t>Advanced Materials and Chemicals</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140"/>
              <w:spacing w:after="0"/>
              <w:rPr>
                <w:sz w:val="20"/>
                <w:szCs w:val="20"/>
                <w:color w:val="auto"/>
              </w:rPr>
            </w:pPr>
            <w:r>
              <w:rPr>
                <w:rFonts w:ascii="Calibri" w:cs="Calibri" w:eastAsia="Calibri" w:hAnsi="Calibri"/>
                <w:sz w:val="18"/>
                <w:szCs w:val="18"/>
                <w:color w:val="auto"/>
              </w:rPr>
              <w:t>(3)</w:t>
            </w: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40"/>
              <w:spacing w:after="0"/>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80" w:type="dxa"/>
            <w:vAlign w:val="bottom"/>
            <w:tcBorders>
              <w:bottom w:val="single" w:sz="8" w:color="CFF0FC"/>
            </w:tcBorders>
          </w:tcPr>
          <w:p>
            <w:pPr>
              <w:spacing w:after="0" w:line="215" w:lineRule="exact"/>
              <w:rPr>
                <w:sz w:val="20"/>
                <w:szCs w:val="20"/>
                <w:color w:val="auto"/>
              </w:rPr>
            </w:pPr>
            <w:r>
              <w:rPr>
                <w:rFonts w:ascii="Calibri" w:cs="Calibri" w:eastAsia="Calibri" w:hAnsi="Calibri"/>
                <w:sz w:val="18"/>
                <w:szCs w:val="18"/>
                <w:color w:val="auto"/>
              </w:rPr>
              <w:t>Brand</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line="215" w:lineRule="exact"/>
              <w:rPr>
                <w:sz w:val="20"/>
                <w:szCs w:val="20"/>
                <w:color w:val="auto"/>
              </w:rPr>
            </w:pPr>
            <w:r>
              <w:rPr>
                <w:rFonts w:ascii="Calibri" w:cs="Calibri" w:eastAsia="Calibri" w:hAnsi="Calibri"/>
                <w:sz w:val="18"/>
                <w:szCs w:val="18"/>
                <w:color w:val="auto"/>
              </w:rPr>
              <w:t>3</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80" w:type="dxa"/>
            <w:vAlign w:val="bottom"/>
            <w:shd w:val="clear" w:color="auto" w:fill="CFF0FC"/>
          </w:tcPr>
          <w:p>
            <w:pPr>
              <w:ind w:left="240"/>
              <w:spacing w:after="0" w:line="206" w:lineRule="exact"/>
              <w:rPr>
                <w:sz w:val="20"/>
                <w:szCs w:val="20"/>
                <w:color w:val="auto"/>
              </w:rPr>
            </w:pPr>
            <w:r>
              <w:rPr>
                <w:rFonts w:ascii="Calibri" w:cs="Calibri" w:eastAsia="Calibri" w:hAnsi="Calibri"/>
                <w:sz w:val="18"/>
                <w:szCs w:val="18"/>
                <w:color w:val="auto"/>
              </w:rPr>
              <w:t>Total of reportable segments</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(7)</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780" w:type="dxa"/>
            <w:vAlign w:val="bottom"/>
          </w:tcPr>
          <w:p>
            <w:pPr>
              <w:spacing w:after="0" w:line="215" w:lineRule="exact"/>
              <w:rPr>
                <w:sz w:val="20"/>
                <w:szCs w:val="20"/>
                <w:color w:val="auto"/>
              </w:rPr>
            </w:pPr>
            <w:r>
              <w:rPr>
                <w:rFonts w:ascii="Calibri" w:cs="Calibri" w:eastAsia="Calibri" w:hAnsi="Calibri"/>
                <w:sz w:val="18"/>
                <w:szCs w:val="18"/>
                <w:color w:val="auto"/>
              </w:rPr>
              <w:t>Depreciaton and amortzaton</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40"/>
              <w:spacing w:after="0" w:line="215" w:lineRule="exact"/>
              <w:rPr>
                <w:sz w:val="20"/>
                <w:szCs w:val="20"/>
                <w:color w:val="auto"/>
              </w:rPr>
            </w:pPr>
            <w:r>
              <w:rPr>
                <w:rFonts w:ascii="Calibri" w:cs="Calibri" w:eastAsia="Calibri" w:hAnsi="Calibri"/>
                <w:sz w:val="18"/>
                <w:szCs w:val="18"/>
                <w:color w:val="auto"/>
              </w:rPr>
              <w:t>(8)</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780" w:type="dxa"/>
            <w:vAlign w:val="bottom"/>
            <w:shd w:val="clear" w:color="auto" w:fill="CFF0FC"/>
          </w:tcPr>
          <w:p>
            <w:pPr>
              <w:spacing w:after="0"/>
              <w:rPr>
                <w:sz w:val="20"/>
                <w:szCs w:val="20"/>
                <w:color w:val="auto"/>
              </w:rPr>
            </w:pPr>
            <w:r>
              <w:rPr>
                <w:rFonts w:ascii="Calibri" w:cs="Calibri" w:eastAsia="Calibri" w:hAnsi="Calibri"/>
                <w:sz w:val="18"/>
                <w:szCs w:val="18"/>
                <w:color w:val="auto"/>
              </w:rPr>
              <w:t>Restructuring costs and other</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220"/>
              <w:spacing w:after="0"/>
              <w:rPr>
                <w:sz w:val="20"/>
                <w:szCs w:val="20"/>
                <w:color w:val="auto"/>
              </w:rPr>
            </w:pPr>
            <w:r>
              <w:rPr>
                <w:rFonts w:ascii="Calibri" w:cs="Calibri" w:eastAsia="Calibri" w:hAnsi="Calibri"/>
                <w:sz w:val="18"/>
                <w:szCs w:val="18"/>
                <w:color w:val="auto"/>
              </w:rPr>
              <w:t>—</w:t>
            </w: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40"/>
              <w:spacing w:after="0"/>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780" w:type="dxa"/>
            <w:vAlign w:val="bottom"/>
          </w:tcPr>
          <w:p>
            <w:pPr>
              <w:spacing w:after="0" w:line="215" w:lineRule="exact"/>
              <w:rPr>
                <w:sz w:val="20"/>
                <w:szCs w:val="20"/>
                <w:color w:val="auto"/>
              </w:rPr>
            </w:pPr>
            <w:r>
              <w:rPr>
                <w:rFonts w:ascii="Calibri" w:cs="Calibri" w:eastAsia="Calibri" w:hAnsi="Calibri"/>
                <w:sz w:val="18"/>
                <w:szCs w:val="18"/>
                <w:color w:val="auto"/>
              </w:rPr>
              <w:t>Stock based compensaton</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40"/>
              <w:spacing w:after="0" w:line="215" w:lineRule="exact"/>
              <w:rPr>
                <w:sz w:val="20"/>
                <w:szCs w:val="20"/>
                <w:color w:val="auto"/>
              </w:rPr>
            </w:pPr>
            <w:r>
              <w:rPr>
                <w:rFonts w:ascii="Calibri" w:cs="Calibri" w:eastAsia="Calibri" w:hAnsi="Calibri"/>
                <w:sz w:val="18"/>
                <w:szCs w:val="18"/>
                <w:color w:val="auto"/>
              </w:rPr>
              <w:t>(3)</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780" w:type="dxa"/>
            <w:vAlign w:val="bottom"/>
            <w:shd w:val="clear" w:color="auto" w:fill="CFF0FC"/>
          </w:tcPr>
          <w:p>
            <w:pPr>
              <w:spacing w:after="0" w:line="237" w:lineRule="exact"/>
              <w:rPr>
                <w:sz w:val="20"/>
                <w:szCs w:val="20"/>
                <w:color w:val="auto"/>
              </w:rPr>
            </w:pPr>
            <w:r>
              <w:rPr>
                <w:rFonts w:ascii="Calibri" w:cs="Calibri" w:eastAsia="Calibri" w:hAnsi="Calibri"/>
                <w:sz w:val="16"/>
                <w:szCs w:val="16"/>
                <w:color w:val="auto"/>
              </w:rPr>
              <w:t xml:space="preserve">Consultng and other costs </w:t>
            </w:r>
            <w:r>
              <w:rPr>
                <w:rFonts w:ascii="Calibri" w:cs="Calibri" w:eastAsia="Calibri" w:hAnsi="Calibri"/>
                <w:sz w:val="25"/>
                <w:szCs w:val="25"/>
                <w:color w:val="auto"/>
                <w:vertAlign w:val="superscript"/>
              </w:rPr>
              <w:t>(1)</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140"/>
              <w:spacing w:after="0"/>
              <w:rPr>
                <w:sz w:val="20"/>
                <w:szCs w:val="20"/>
                <w:color w:val="auto"/>
              </w:rPr>
            </w:pPr>
            <w:r>
              <w:rPr>
                <w:rFonts w:ascii="Calibri" w:cs="Calibri" w:eastAsia="Calibri" w:hAnsi="Calibri"/>
                <w:sz w:val="18"/>
                <w:szCs w:val="18"/>
                <w:color w:val="auto"/>
              </w:rPr>
              <w:t>(2)</w:t>
            </w: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40"/>
              <w:spacing w:after="0"/>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80" w:type="dxa"/>
            <w:vAlign w:val="bottom"/>
          </w:tcPr>
          <w:p>
            <w:pPr>
              <w:spacing w:after="0" w:line="229" w:lineRule="exact"/>
              <w:rPr>
                <w:sz w:val="20"/>
                <w:szCs w:val="20"/>
                <w:color w:val="auto"/>
              </w:rPr>
            </w:pPr>
            <w:r>
              <w:rPr>
                <w:rFonts w:ascii="Calibri" w:cs="Calibri" w:eastAsia="Calibri" w:hAnsi="Calibri"/>
                <w:sz w:val="16"/>
                <w:szCs w:val="16"/>
                <w:color w:val="auto"/>
              </w:rPr>
              <w:t xml:space="preserve">Idle costs </w:t>
            </w:r>
            <w:r>
              <w:rPr>
                <w:rFonts w:ascii="Calibri" w:cs="Calibri" w:eastAsia="Calibri" w:hAnsi="Calibri"/>
                <w:sz w:val="25"/>
                <w:szCs w:val="25"/>
                <w:color w:val="auto"/>
                <w:vertAlign w:val="superscript"/>
              </w:rPr>
              <w:t>(2)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40"/>
              <w:spacing w:after="0" w:line="215"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80" w:type="dxa"/>
            <w:vAlign w:val="bottom"/>
            <w:shd w:val="clear" w:color="auto" w:fill="CFF0FC"/>
          </w:tcPr>
          <w:p>
            <w:pPr>
              <w:spacing w:after="0" w:line="229" w:lineRule="exact"/>
              <w:rPr>
                <w:sz w:val="20"/>
                <w:szCs w:val="20"/>
                <w:color w:val="auto"/>
              </w:rPr>
            </w:pPr>
            <w:r>
              <w:rPr>
                <w:rFonts w:ascii="Calibri" w:cs="Calibri" w:eastAsia="Calibri" w:hAnsi="Calibri"/>
                <w:sz w:val="16"/>
                <w:szCs w:val="16"/>
                <w:color w:val="auto"/>
              </w:rPr>
              <w:t xml:space="preserve">Other operatng income, net </w:t>
            </w:r>
            <w:r>
              <w:rPr>
                <w:rFonts w:ascii="Calibri" w:cs="Calibri" w:eastAsia="Calibri" w:hAnsi="Calibri"/>
                <w:sz w:val="25"/>
                <w:szCs w:val="25"/>
                <w:color w:val="auto"/>
                <w:vertAlign w:val="superscript"/>
              </w:rPr>
              <w:t>(3)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80" w:type="dxa"/>
            <w:vAlign w:val="bottom"/>
          </w:tcPr>
          <w:p>
            <w:pPr>
              <w:spacing w:after="0" w:line="229" w:lineRule="exact"/>
              <w:rPr>
                <w:sz w:val="20"/>
                <w:szCs w:val="20"/>
                <w:color w:val="auto"/>
              </w:rPr>
            </w:pPr>
            <w:r>
              <w:rPr>
                <w:rFonts w:ascii="Calibri" w:cs="Calibri" w:eastAsia="Calibri" w:hAnsi="Calibri"/>
                <w:sz w:val="16"/>
                <w:szCs w:val="16"/>
                <w:color w:val="auto"/>
              </w:rPr>
              <w:t xml:space="preserve">Interest expense </w:t>
            </w:r>
            <w:r>
              <w:rPr>
                <w:rFonts w:ascii="Calibri" w:cs="Calibri" w:eastAsia="Calibri" w:hAnsi="Calibri"/>
                <w:sz w:val="25"/>
                <w:szCs w:val="25"/>
                <w:color w:val="auto"/>
                <w:vertAlign w:val="superscript"/>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40"/>
              <w:spacing w:after="0" w:line="215" w:lineRule="exact"/>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80" w:type="dxa"/>
            <w:vAlign w:val="bottom"/>
            <w:shd w:val="clear" w:color="auto" w:fill="CFF0FC"/>
          </w:tcPr>
          <w:p>
            <w:pPr>
              <w:spacing w:after="0" w:line="229" w:lineRule="exact"/>
              <w:rPr>
                <w:sz w:val="20"/>
                <w:szCs w:val="20"/>
                <w:color w:val="auto"/>
              </w:rPr>
            </w:pPr>
            <w:r>
              <w:rPr>
                <w:rFonts w:ascii="Calibri" w:cs="Calibri" w:eastAsia="Calibri" w:hAnsi="Calibri"/>
                <w:sz w:val="16"/>
                <w:szCs w:val="16"/>
                <w:color w:val="auto"/>
              </w:rPr>
              <w:t xml:space="preserve">Pension income excluding service cost component </w:t>
            </w:r>
            <w:r>
              <w:rPr>
                <w:rFonts w:ascii="Calibri" w:cs="Calibri" w:eastAsia="Calibri" w:hAnsi="Calibri"/>
                <w:sz w:val="25"/>
                <w:szCs w:val="25"/>
                <w:color w:val="auto"/>
                <w:vertAlign w:val="superscript"/>
              </w:rPr>
              <w:t>(3)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30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80" w:type="dxa"/>
            <w:vAlign w:val="bottom"/>
          </w:tcPr>
          <w:p>
            <w:pPr>
              <w:spacing w:after="0" w:line="229" w:lineRule="exact"/>
              <w:rPr>
                <w:sz w:val="20"/>
                <w:szCs w:val="20"/>
                <w:color w:val="auto"/>
              </w:rPr>
            </w:pPr>
            <w:r>
              <w:rPr>
                <w:rFonts w:ascii="Calibri" w:cs="Calibri" w:eastAsia="Calibri" w:hAnsi="Calibri"/>
                <w:sz w:val="16"/>
                <w:szCs w:val="16"/>
                <w:color w:val="auto"/>
              </w:rPr>
              <w:t xml:space="preserve">Other charges, net </w:t>
            </w:r>
            <w:r>
              <w:rPr>
                <w:rFonts w:ascii="Calibri" w:cs="Calibri" w:eastAsia="Calibri" w:hAnsi="Calibri"/>
                <w:sz w:val="25"/>
                <w:szCs w:val="25"/>
                <w:color w:val="auto"/>
                <w:vertAlign w:val="superscript"/>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6780" w:type="dxa"/>
            <w:vAlign w:val="bottom"/>
            <w:tcBorders>
              <w:top w:val="single" w:sz="8" w:color="CFF0FC"/>
            </w:tcBorders>
            <w:shd w:val="clear" w:color="auto" w:fill="CFF0FC"/>
          </w:tcPr>
          <w:p>
            <w:pPr>
              <w:spacing w:after="0" w:line="199" w:lineRule="exact"/>
              <w:rPr>
                <w:sz w:val="20"/>
                <w:szCs w:val="20"/>
                <w:color w:val="auto"/>
              </w:rPr>
            </w:pPr>
            <w:r>
              <w:rPr>
                <w:rFonts w:ascii="Calibri" w:cs="Calibri" w:eastAsia="Calibri" w:hAnsi="Calibri"/>
                <w:sz w:val="18"/>
                <w:szCs w:val="18"/>
                <w:color w:val="auto"/>
              </w:rPr>
              <w:t>Consolidated (loss) income from operatons before</w:t>
            </w: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0"/>
                <w:szCs w:val="20"/>
                <w:color w:val="auto"/>
              </w:rPr>
            </w:pPr>
          </w:p>
        </w:tc>
        <w:tc>
          <w:tcPr>
            <w:tcW w:w="678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income taxes</w:t>
            </w:r>
          </w:p>
        </w:tc>
        <w:tc>
          <w:tcPr>
            <w:tcW w:w="480" w:type="dxa"/>
            <w:vAlign w:val="bottom"/>
            <w:tcBorders>
              <w:bottom w:val="single" w:sz="8" w:color="CFF0FC"/>
            </w:tcBorders>
            <w:gridSpan w:val="3"/>
            <w:shd w:val="clear" w:color="auto" w:fill="CFF0FC"/>
          </w:tcPr>
          <w:p>
            <w:pPr>
              <w:jc w:val="right"/>
              <w:ind w:right="121"/>
              <w:spacing w:after="0" w:line="216"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CFF0FC"/>
            </w:tcBorders>
            <w:gridSpan w:val="3"/>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(1)</w:t>
            </w:r>
          </w:p>
        </w:tc>
        <w:tc>
          <w:tcPr>
            <w:tcW w:w="400" w:type="dxa"/>
            <w:vAlign w:val="bottom"/>
            <w:tcBorders>
              <w:bottom w:val="single" w:sz="8" w:color="CFF0FC"/>
            </w:tcBorders>
            <w:gridSpan w:val="2"/>
            <w:shd w:val="clear" w:color="auto" w:fill="CFF0FC"/>
          </w:tcPr>
          <w:p>
            <w:pPr>
              <w:jc w:val="right"/>
              <w:ind w:right="181"/>
              <w:spacing w:after="0" w:line="216"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CFF0FC"/>
            </w:tcBorders>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940" w:right="600" w:hanging="365"/>
        <w:spacing w:after="0" w:line="184" w:lineRule="auto"/>
        <w:tabs>
          <w:tab w:leader="none" w:pos="940" w:val="left"/>
        </w:tabs>
        <w:numPr>
          <w:ilvl w:val="0"/>
          <w:numId w:val="10"/>
        </w:numPr>
        <w:rPr>
          <w:rFonts w:ascii="Calibri" w:cs="Calibri" w:eastAsia="Calibri" w:hAnsi="Calibri"/>
          <w:sz w:val="29"/>
          <w:szCs w:val="29"/>
          <w:color w:val="auto"/>
          <w:vertAlign w:val="superscript"/>
        </w:rPr>
      </w:pPr>
      <w:r>
        <w:rPr>
          <w:rFonts w:ascii="Calibri" w:cs="Calibri" w:eastAsia="Calibri" w:hAnsi="Calibri"/>
          <w:sz w:val="17"/>
          <w:szCs w:val="17"/>
          <w:color w:val="auto"/>
        </w:rPr>
        <w:t>Consultng and other costs are primarily professional services and internal costs associated with certain corporate strategic initatves, investgatons and litgaton.</w:t>
      </w:r>
    </w:p>
    <w:p>
      <w:pPr>
        <w:spacing w:after="0" w:line="109" w:lineRule="exact"/>
        <w:rPr>
          <w:rFonts w:ascii="Calibri" w:cs="Calibri" w:eastAsia="Calibri" w:hAnsi="Calibri"/>
          <w:sz w:val="29"/>
          <w:szCs w:val="29"/>
          <w:color w:val="auto"/>
          <w:vertAlign w:val="superscript"/>
        </w:rPr>
      </w:pPr>
    </w:p>
    <w:p>
      <w:pPr>
        <w:ind w:left="940" w:hanging="365"/>
        <w:spacing w:after="0" w:line="184" w:lineRule="auto"/>
        <w:tabs>
          <w:tab w:leader="none" w:pos="940" w:val="left"/>
        </w:tabs>
        <w:numPr>
          <w:ilvl w:val="0"/>
          <w:numId w:val="10"/>
        </w:numPr>
        <w:rPr>
          <w:rFonts w:ascii="Calibri" w:cs="Calibri" w:eastAsia="Calibri" w:hAnsi="Calibri"/>
          <w:sz w:val="29"/>
          <w:szCs w:val="29"/>
          <w:color w:val="auto"/>
          <w:vertAlign w:val="superscript"/>
        </w:rPr>
      </w:pPr>
      <w:r>
        <w:rPr>
          <w:rFonts w:ascii="Calibri" w:cs="Calibri" w:eastAsia="Calibri" w:hAnsi="Calibri"/>
          <w:sz w:val="17"/>
          <w:szCs w:val="17"/>
          <w:color w:val="auto"/>
        </w:rPr>
        <w:t>Consists of third-party costs such as security, maintenance and utlites required to maintain land and buildings in certain locatons not used in any Kodak operatons and the costs, net of any rental income received, of underutlized portons of certain propertes.</w:t>
      </w:r>
    </w:p>
    <w:p>
      <w:pPr>
        <w:ind w:left="940" w:hanging="365"/>
        <w:spacing w:after="0" w:line="205" w:lineRule="auto"/>
        <w:tabs>
          <w:tab w:leader="none" w:pos="940" w:val="left"/>
        </w:tabs>
        <w:numPr>
          <w:ilvl w:val="0"/>
          <w:numId w:val="10"/>
        </w:numPr>
        <w:rPr>
          <w:rFonts w:ascii="Calibri" w:cs="Calibri" w:eastAsia="Calibri" w:hAnsi="Calibri"/>
          <w:sz w:val="31"/>
          <w:szCs w:val="31"/>
          <w:color w:val="auto"/>
          <w:vertAlign w:val="superscript"/>
        </w:rPr>
      </w:pPr>
      <w:r>
        <w:rPr>
          <w:rFonts w:ascii="Calibri" w:cs="Calibri" w:eastAsia="Calibri" w:hAnsi="Calibri"/>
          <w:sz w:val="18"/>
          <w:szCs w:val="18"/>
          <w:color w:val="auto"/>
        </w:rPr>
        <w:t>As reported in the Consolidated Statement of Operatons.</w:t>
      </w:r>
    </w:p>
    <w:p>
      <w:pPr>
        <w:spacing w:after="0" w:line="353"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Kodak decreased workers’ compensaton reserves by approximately $4 million in the three months ended March 31, 2022, driven by changes in discount rates. The decrease in reserves in the three months ended March 31, 2022 impacted gross proft by approximately $3 million and Selling, general and administratve expenses (“SG&amp;A”) by approximately $1 million.</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Segment Measure of Proft and Loss</w:t>
      </w:r>
    </w:p>
    <w:p>
      <w:pPr>
        <w:spacing w:after="0" w:line="235" w:lineRule="auto"/>
        <w:rPr>
          <w:sz w:val="20"/>
          <w:szCs w:val="20"/>
          <w:color w:val="auto"/>
        </w:rPr>
      </w:pPr>
      <w:r>
        <w:rPr>
          <w:rFonts w:ascii="Calibri" w:cs="Calibri" w:eastAsia="Calibri" w:hAnsi="Calibri"/>
          <w:sz w:val="18"/>
          <w:szCs w:val="18"/>
          <w:color w:val="auto"/>
        </w:rPr>
        <w:t>Kodak’s segment measure of proft and loss is an adjusted earnings before interest, taxes, depreciaton and amortzaton (“Operatonal EBITDA”).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20" w:right="559" w:bottom="1440" w:gutter="0" w:footer="0" w:header="0"/>
        </w:sectPr>
      </w:pPr>
    </w:p>
    <w:bookmarkStart w:id="23" w:name="page24"/>
    <w:bookmarkEnd w:id="23"/>
    <w:p>
      <w:pPr>
        <w:spacing w:after="0" w:line="235" w:lineRule="auto"/>
        <w:rPr>
          <w:sz w:val="20"/>
          <w:szCs w:val="20"/>
          <w:color w:val="auto"/>
        </w:rPr>
      </w:pPr>
      <w:r>
        <w:rPr>
          <w:rFonts w:ascii="Calibri" w:cs="Calibri" w:eastAsia="Calibri" w:hAnsi="Calibri"/>
          <w:sz w:val="18"/>
          <w:szCs w:val="18"/>
          <w:color w:val="auto"/>
        </w:rPr>
        <w:t>As demonstrated in the above table, Operatonal EBITDA represents the (loss) earnings from operatons excluding the provision for income taxes; non-service cost components of pension and other postemployment benefts (“OPEB”) income; depreciaton and amortzaton expense; restructuring costs; stock-based compensaton expense; consultng and other costs; idle costs; other operatng income, net (unless otherwise indicated); interest expense and other charges, net.</w:t>
      </w:r>
    </w:p>
    <w:p>
      <w:pPr>
        <w:spacing w:after="0" w:line="24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Kodak’s segments are measured using Operatonal EBITDA both before and afer allocaton of corporate SG&amp;A. The segment earnings measure reported is afer allocaton of corporate SG&amp;A as this most closely aligns with U.S. GAAP. Research and Development actvites not directly related to the other segments are reported within the Advanced Materials and Chemicals segment.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16: FINANCIAL INSTRUMENTS</w:t>
      </w:r>
    </w:p>
    <w:p>
      <w:pPr>
        <w:spacing w:after="0" w:line="244"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Kodak, as a result of its global operatng and fnancing actvites, is exposed to changes in foreign currency exchange rates and interest rates, which may adversely afect its results of operatons and fnancial positon. Kodak manages such exposures, in part, with derivatve fnancial instruments. Foreign currency forward contracts are used to mitgate currency risk related to foreign currency denominated assets and liabilites. Kodak’s exposure to changes in interest rates results from its investng and borrowing actvites used to meet its liquidity needs. Kodak does not utlize fnancial instruments for trading or other speculatve purposes.</w:t>
      </w:r>
    </w:p>
    <w:p>
      <w:pPr>
        <w:spacing w:after="0" w:line="24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Kodak’s foreign currency forward contracts are not designated as hedges and are marked to market through net (loss) income at the same tme that the exposed assets and liabilites are remeasured through net (loss) income (both in Other charges, net in the Consolidated Statement of Operatons). The notonal amount of such contracts open at March 31, 2022 and December 31, 2021 was approximately $309 million and $322 million, respectvely. The majority of the contracts of this type held by Kodak as of March 31, 2022 and December 31, 2021 are denominated in euros, Chinese renminbi and Japanese yen.</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color w:val="auto"/>
        </w:rPr>
        <w:t>The net efect of foreign currency forward contracts in the results of operatons is shown in the following table:</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49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740" w:type="dxa"/>
            <w:vAlign w:val="bottom"/>
            <w:gridSpan w:val="4"/>
          </w:tcPr>
          <w:p>
            <w:pPr>
              <w:jc w:val="center"/>
              <w:ind w:left="210"/>
              <w:spacing w:after="0"/>
              <w:rPr>
                <w:sz w:val="20"/>
                <w:szCs w:val="20"/>
                <w:color w:val="auto"/>
              </w:rPr>
            </w:pPr>
            <w:r>
              <w:rPr>
                <w:rFonts w:ascii="Calibri" w:cs="Calibri" w:eastAsia="Calibri" w:hAnsi="Calibri"/>
                <w:sz w:val="18"/>
                <w:szCs w:val="18"/>
                <w:b w:val="1"/>
                <w:bCs w:val="1"/>
                <w:color w:val="auto"/>
                <w:w w:val="97"/>
              </w:rPr>
              <w:t>Three Months Ended</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9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gridSpan w:val="3"/>
          </w:tcPr>
          <w:p>
            <w:pPr>
              <w:jc w:val="center"/>
              <w:ind w:right="610"/>
              <w:spacing w:after="0"/>
              <w:rPr>
                <w:sz w:val="20"/>
                <w:szCs w:val="20"/>
                <w:color w:val="auto"/>
              </w:rPr>
            </w:pPr>
            <w:r>
              <w:rPr>
                <w:rFonts w:ascii="Calibri" w:cs="Calibri" w:eastAsia="Calibri" w:hAnsi="Calibri"/>
                <w:sz w:val="18"/>
                <w:szCs w:val="18"/>
                <w:b w:val="1"/>
                <w:bCs w:val="1"/>
                <w:color w:val="auto"/>
                <w:w w:val="98"/>
              </w:rPr>
              <w:t>March 31,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
        </w:trPr>
        <w:tc>
          <w:tcPr>
            <w:tcW w:w="4980" w:type="dxa"/>
            <w:vAlign w:val="bottom"/>
          </w:tcPr>
          <w:p>
            <w:pPr>
              <w:spacing w:after="0"/>
              <w:rPr>
                <w:sz w:val="2"/>
                <w:szCs w:val="2"/>
                <w:color w:val="auto"/>
              </w:rPr>
            </w:pPr>
          </w:p>
        </w:tc>
        <w:tc>
          <w:tcPr>
            <w:tcW w:w="29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7"/>
        </w:trPr>
        <w:tc>
          <w:tcPr>
            <w:tcW w:w="4980" w:type="dxa"/>
            <w:vAlign w:val="bottom"/>
            <w:tcBorders>
              <w:bottom w:val="single" w:sz="8" w:color="CFF0FC"/>
            </w:tcBorders>
          </w:tcPr>
          <w:p>
            <w:pPr>
              <w:spacing w:after="0"/>
              <w:rPr>
                <w:sz w:val="20"/>
                <w:szCs w:val="20"/>
                <w:color w:val="auto"/>
              </w:rPr>
            </w:pPr>
            <w:r>
              <w:rPr>
                <w:rFonts w:ascii="Calibri" w:cs="Calibri" w:eastAsia="Calibri" w:hAnsi="Calibri"/>
                <w:sz w:val="16"/>
                <w:szCs w:val="16"/>
                <w:color w:val="auto"/>
              </w:rPr>
              <w:t>(in millions)</w:t>
            </w:r>
          </w:p>
        </w:tc>
        <w:tc>
          <w:tcPr>
            <w:tcW w:w="1940" w:type="dxa"/>
            <w:vAlign w:val="bottom"/>
            <w:tcBorders>
              <w:bottom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rPr>
              <w:t>2021</w:t>
            </w:r>
          </w:p>
        </w:tc>
        <w:tc>
          <w:tcPr>
            <w:tcW w:w="3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06"/>
        </w:trPr>
        <w:tc>
          <w:tcPr>
            <w:tcW w:w="498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Net loss from derivatves not designated as</w:t>
            </w:r>
          </w:p>
        </w:tc>
        <w:tc>
          <w:tcPr>
            <w:tcW w:w="19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98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hedging instruments</w:t>
            </w:r>
          </w:p>
        </w:tc>
        <w:tc>
          <w:tcPr>
            <w:tcW w:w="2960" w:type="dxa"/>
            <w:vAlign w:val="bottom"/>
            <w:gridSpan w:val="2"/>
            <w:shd w:val="clear" w:color="auto" w:fill="CFF0FC"/>
          </w:tcPr>
          <w:p>
            <w:pPr>
              <w:jc w:val="right"/>
              <w:ind w:right="830"/>
              <w:spacing w:after="0" w:line="216" w:lineRule="exact"/>
              <w:rPr>
                <w:sz w:val="20"/>
                <w:szCs w:val="20"/>
                <w:color w:val="auto"/>
              </w:rPr>
            </w:pPr>
            <w:r>
              <w:rPr>
                <w:rFonts w:ascii="Calibri" w:cs="Calibri" w:eastAsia="Calibri" w:hAnsi="Calibri"/>
                <w:sz w:val="18"/>
                <w:szCs w:val="18"/>
                <w:color w:val="auto"/>
              </w:rPr>
              <w:t>$</w:t>
            </w:r>
          </w:p>
        </w:tc>
        <w:tc>
          <w:tcPr>
            <w:tcW w:w="48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3</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890"/>
              <w:spacing w:after="0" w:line="216" w:lineRule="exact"/>
              <w:rPr>
                <w:sz w:val="20"/>
                <w:szCs w:val="20"/>
                <w:color w:val="auto"/>
              </w:rPr>
            </w:pPr>
            <w:r>
              <w:rPr>
                <w:rFonts w:ascii="Calibri" w:cs="Calibri" w:eastAsia="Calibri" w:hAnsi="Calibri"/>
                <w:sz w:val="18"/>
                <w:szCs w:val="18"/>
                <w:color w:val="auto"/>
                <w:w w:val="87"/>
              </w:rPr>
              <w:t>$</w:t>
            </w:r>
          </w:p>
        </w:tc>
        <w:tc>
          <w:tcPr>
            <w:tcW w:w="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w:t>
            </w:r>
          </w:p>
        </w:tc>
        <w:tc>
          <w:tcPr>
            <w:tcW w:w="120" w:type="dxa"/>
            <w:vAlign w:val="bottom"/>
            <w:shd w:val="clear" w:color="auto" w:fill="CFF0FC"/>
          </w:tcPr>
          <w:p>
            <w:pPr>
              <w:spacing w:after="0"/>
              <w:rPr>
                <w:sz w:val="18"/>
                <w:szCs w:val="18"/>
                <w:color w:val="auto"/>
              </w:rPr>
            </w:pPr>
          </w:p>
        </w:tc>
      </w:tr>
      <w:tr>
        <w:trPr>
          <w:trHeight w:val="23"/>
        </w:trPr>
        <w:tc>
          <w:tcPr>
            <w:tcW w:w="4980" w:type="dxa"/>
            <w:vAlign w:val="bottom"/>
            <w:shd w:val="clear" w:color="auto" w:fill="CFF0FC"/>
          </w:tcPr>
          <w:p>
            <w:pPr>
              <w:spacing w:after="0"/>
              <w:rPr>
                <w:sz w:val="2"/>
                <w:szCs w:val="2"/>
                <w:color w:val="auto"/>
              </w:rPr>
            </w:pPr>
          </w:p>
        </w:tc>
        <w:tc>
          <w:tcPr>
            <w:tcW w:w="19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color w:val="auto"/>
        </w:rPr>
        <w:t>Kodak had no derivatves designated as hedging instruments for the three months ended March 31, 2022 and 2021.</w:t>
      </w:r>
    </w:p>
    <w:p>
      <w:pPr>
        <w:spacing w:after="0" w:line="24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In the event of a default under the Company’s Credit Agreements, or a default under any derivatve contract or similar obligaton of Kodak, subject to certain minimum thresholds, the derivatve counterpartes would have the right, although not the obligaton, to require immediate setlement of some or all open derivatve contracts at their then-current fair value, but with liability positons neted against asset positons with the same counterparty.</w:t>
      </w:r>
    </w:p>
    <w:p>
      <w:pPr>
        <w:spacing w:after="0" w:line="24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 concluded that the 2021 Convertble Notes are considered more akin to a debt-type instrument and that the economic characteristcs and risks of certain of the embedded conversion features are not considered clearly and closely related to the Convertble Notes. The embedded conversion features not considered clearly and closely related are the conversion at the opton of the holder (“Optonal Conversion”), the mandatory conversion by Kodak (“Mandatory Conversion”) and the conversion in the event of a fundamental transacton by the holder at the then applicable conversion rate (“Fundamental Change”). Accordingly, these embedded conversion features were bifurcated from the Convertble Notes and separately accounted for on a combined basis as a single derivatve asset or liability. The derivatve was in a liability positon at March 31, 2022 and December 31, 2021 and was reported in Other long-term liabilites in the Consolidated Statement of Financial Positon. The derivatve is being accounted for at fair value with changes in fair value included in Other charges, net in the Consolidated Statement of Operatons.</w:t>
      </w:r>
    </w:p>
    <w:p>
      <w:pPr>
        <w:spacing w:after="0" w:line="250"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Company concluded that the Series B Preferred Stock and the Series C Preferred Stock are considered more akin to a debt-type instrument and that the economic characteristcs and risks of the conversion in the event of a Fundamental Change is not considered clearly and closely related to the Series B and Series C Preferred Stock. Accordingly, this embedded conversion feature was bifurcated from both the Series B and Series C Preferred Stock and both are separately accounted for as a single derivatve asset or liability.</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4" w:name="page25"/>
    <w:bookmarkEnd w:id="24"/>
    <w:p>
      <w:pPr>
        <w:ind w:right="300"/>
        <w:spacing w:after="0" w:line="235" w:lineRule="auto"/>
        <w:rPr>
          <w:sz w:val="20"/>
          <w:szCs w:val="20"/>
          <w:color w:val="auto"/>
        </w:rPr>
      </w:pPr>
      <w:r>
        <w:rPr>
          <w:rFonts w:ascii="Calibri" w:cs="Calibri" w:eastAsia="Calibri" w:hAnsi="Calibri"/>
          <w:sz w:val="18"/>
          <w:szCs w:val="18"/>
          <w:color w:val="auto"/>
        </w:rPr>
        <w:t>Both derivatves were in a liability positon at March 31, 2022 and December 31, 2021 and were reported in Other long-term liabilites in the Consolidated Statement of Financial Positon. The derivatves are being accounted for at fair value with changes in fair value included in Other charges, net in the Consolidated Statement of Operatons.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Fair Value</w:t>
      </w:r>
    </w:p>
    <w:p>
      <w:pPr>
        <w:spacing w:after="0" w:line="1"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Fair values of Kodak’s foreign currency forward contracts are determined using observable inputs (Level 2 fair value measurements) and are based on the present value of expected future cash fows (an income approach valuaton technique) considering the risks involved and using discount rates appropriate for the duraton of the contracts. The gross fair value of foreign currency forward contracts in an asset positon are reported in Other current assets and the gross fair value of foreign currency forward contracts in a liability positon are reported in Other current liabilites in the Consolidated Statement of Financial Positon. The gross fair value of forward contracts in an asset positon as of both March 31, 2022 and December 31, 2021 was $0 million. The gross fair value of foreign currency forward contracts in a liability positon as of March 31, 2022 and December 31, 2021 was $3 million and $0 million, respectvely.</w:t>
      </w:r>
    </w:p>
    <w:p>
      <w:pPr>
        <w:spacing w:after="0" w:line="237" w:lineRule="exact"/>
        <w:rPr>
          <w:sz w:val="20"/>
          <w:szCs w:val="20"/>
          <w:color w:val="auto"/>
        </w:rPr>
      </w:pPr>
    </w:p>
    <w:p>
      <w:pPr>
        <w:ind w:right="720"/>
        <w:spacing w:after="0" w:line="235" w:lineRule="auto"/>
        <w:rPr>
          <w:sz w:val="20"/>
          <w:szCs w:val="20"/>
          <w:color w:val="auto"/>
        </w:rPr>
      </w:pPr>
      <w:r>
        <w:rPr>
          <w:rFonts w:ascii="Calibri" w:cs="Calibri" w:eastAsia="Calibri" w:hAnsi="Calibri"/>
          <w:sz w:val="18"/>
          <w:szCs w:val="18"/>
          <w:color w:val="auto"/>
        </w:rPr>
        <w:t>Transfers between levels of the fair value hierarchy are recognized based on the actual date of the event or change in circumstances that caused the transfer. There were no transfers between levels of the fair value hierarchy during the three months ended March 31, 2022.</w:t>
      </w:r>
    </w:p>
    <w:p>
      <w:pPr>
        <w:spacing w:after="0" w:line="245" w:lineRule="exact"/>
        <w:rPr>
          <w:sz w:val="20"/>
          <w:szCs w:val="20"/>
          <w:color w:val="auto"/>
        </w:rPr>
      </w:pPr>
    </w:p>
    <w:p>
      <w:pPr>
        <w:ind w:right="480"/>
        <w:spacing w:after="0" w:line="258" w:lineRule="auto"/>
        <w:rPr>
          <w:sz w:val="20"/>
          <w:szCs w:val="20"/>
          <w:color w:val="auto"/>
        </w:rPr>
      </w:pPr>
      <w:r>
        <w:rPr>
          <w:rFonts w:ascii="Calibri" w:cs="Calibri" w:eastAsia="Calibri" w:hAnsi="Calibri"/>
          <w:sz w:val="17"/>
          <w:szCs w:val="17"/>
          <w:color w:val="auto"/>
        </w:rPr>
        <w:t>The fair value of the embedded conversion features derivatves was calculated using unobservable inputs (Level 3 fair measurements). The value of the embedded derivatves associated with the Convertble Notes and Series B and Series C Preferred Stock were calculated using a binomial latce model.</w:t>
      </w:r>
    </w:p>
    <w:p>
      <w:pPr>
        <w:spacing w:after="0" w:line="22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present the key inputs in the determinaton of fair value for the embedded conversion features: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gridSpan w:val="2"/>
          </w:tcPr>
          <w:p>
            <w:pPr>
              <w:spacing w:after="0"/>
              <w:rPr>
                <w:sz w:val="20"/>
                <w:szCs w:val="20"/>
                <w:color w:val="auto"/>
              </w:rPr>
            </w:pPr>
            <w:r>
              <w:rPr>
                <w:rFonts w:ascii="Calibri" w:cs="Calibri" w:eastAsia="Calibri" w:hAnsi="Calibri"/>
                <w:sz w:val="18"/>
                <w:szCs w:val="18"/>
                <w:color w:val="auto"/>
              </w:rPr>
              <w:t>2021 Convertble Notes:</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3"/>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5"/>
          </w:tcPr>
          <w:p>
            <w:pPr>
              <w:ind w:left="640"/>
              <w:spacing w:after="0"/>
              <w:rPr>
                <w:sz w:val="20"/>
                <w:szCs w:val="20"/>
                <w:color w:val="auto"/>
              </w:rPr>
            </w:pPr>
            <w:r>
              <w:rPr>
                <w:rFonts w:ascii="Calibri" w:cs="Calibri" w:eastAsia="Calibri" w:hAnsi="Calibri"/>
                <w:sz w:val="18"/>
                <w:szCs w:val="18"/>
                <w:b w:val="1"/>
                <w:bCs w:val="1"/>
                <w:color w:val="auto"/>
              </w:rPr>
              <w:t>Valuaton Date</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11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Calibri" w:cs="Calibri" w:eastAsia="Calibri" w:hAnsi="Calibri"/>
                <w:sz w:val="18"/>
                <w:szCs w:val="18"/>
                <w:b w:val="1"/>
                <w:bCs w:val="1"/>
                <w:color w:val="auto"/>
              </w:rPr>
              <w:t>March 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December 31,</w:t>
            </w: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370"/>
              <w:spacing w:after="0"/>
              <w:rPr>
                <w:sz w:val="20"/>
                <w:szCs w:val="20"/>
                <w:color w:val="auto"/>
              </w:rPr>
            </w:pPr>
            <w:r>
              <w:rPr>
                <w:rFonts w:ascii="Calibri" w:cs="Calibri" w:eastAsia="Calibri" w:hAnsi="Calibri"/>
                <w:sz w:val="18"/>
                <w:szCs w:val="18"/>
                <w:b w:val="1"/>
                <w:bCs w:val="1"/>
                <w:color w:val="auto"/>
                <w:w w:val="98"/>
              </w:rPr>
              <w:t>2021</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
        </w:trPr>
        <w:tc>
          <w:tcPr>
            <w:tcW w:w="1140" w:type="dxa"/>
            <w:vAlign w:val="bottom"/>
          </w:tcPr>
          <w:p>
            <w:pPr>
              <w:spacing w:after="0"/>
              <w:rPr>
                <w:sz w:val="2"/>
                <w:szCs w:val="2"/>
                <w:color w:val="auto"/>
              </w:rPr>
            </w:pPr>
          </w:p>
        </w:tc>
        <w:tc>
          <w:tcPr>
            <w:tcW w:w="4240" w:type="dxa"/>
            <w:vAlign w:val="bottom"/>
            <w:tcBorders>
              <w:bottom w:val="single" w:sz="8" w:color="CFF0FC"/>
            </w:tcBorders>
          </w:tcPr>
          <w:p>
            <w:pPr>
              <w:spacing w:after="0"/>
              <w:rPr>
                <w:sz w:val="2"/>
                <w:szCs w:val="2"/>
                <w:color w:val="auto"/>
              </w:rPr>
            </w:pPr>
          </w:p>
        </w:tc>
        <w:tc>
          <w:tcPr>
            <w:tcW w:w="18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4240" w:type="dxa"/>
            <w:vAlign w:val="bottom"/>
            <w:shd w:val="clear" w:color="auto" w:fill="CFF0FC"/>
          </w:tcPr>
          <w:p>
            <w:pPr>
              <w:ind w:left="240"/>
              <w:spacing w:after="0" w:line="199" w:lineRule="exact"/>
              <w:rPr>
                <w:sz w:val="20"/>
                <w:szCs w:val="20"/>
                <w:color w:val="auto"/>
              </w:rPr>
            </w:pPr>
            <w:r>
              <w:rPr>
                <w:rFonts w:ascii="Calibri" w:cs="Calibri" w:eastAsia="Calibri" w:hAnsi="Calibri"/>
                <w:sz w:val="18"/>
                <w:szCs w:val="18"/>
                <w:color w:val="auto"/>
              </w:rPr>
              <w:t>Total value of embedded derivatve liability ($ millions)</w:t>
            </w:r>
          </w:p>
        </w:tc>
        <w:tc>
          <w:tcPr>
            <w:tcW w:w="18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1"/>
              <w:spacing w:after="0"/>
              <w:rPr>
                <w:sz w:val="20"/>
                <w:szCs w:val="20"/>
                <w:color w:val="auto"/>
              </w:rPr>
            </w:pPr>
            <w:r>
              <w:rPr>
                <w:rFonts w:ascii="Calibri" w:cs="Calibri" w:eastAsia="Calibri" w:hAnsi="Calibri"/>
                <w:sz w:val="16"/>
                <w:szCs w:val="16"/>
                <w:color w:val="auto"/>
                <w:w w:val="73"/>
              </w:rPr>
              <w:t>$</w:t>
            </w:r>
          </w:p>
        </w:tc>
        <w:tc>
          <w:tcPr>
            <w:tcW w:w="1200" w:type="dxa"/>
            <w:vAlign w:val="bottom"/>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14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2"/>
        </w:trPr>
        <w:tc>
          <w:tcPr>
            <w:tcW w:w="1140" w:type="dxa"/>
            <w:vAlign w:val="bottom"/>
          </w:tcPr>
          <w:p>
            <w:pPr>
              <w:spacing w:after="0"/>
              <w:rPr>
                <w:sz w:val="19"/>
                <w:szCs w:val="19"/>
                <w:color w:val="auto"/>
              </w:rPr>
            </w:pPr>
          </w:p>
        </w:tc>
        <w:tc>
          <w:tcPr>
            <w:tcW w:w="4240" w:type="dxa"/>
            <w:vAlign w:val="bottom"/>
          </w:tcPr>
          <w:p>
            <w:pPr>
              <w:ind w:left="240"/>
              <w:spacing w:after="0" w:line="215" w:lineRule="exact"/>
              <w:rPr>
                <w:sz w:val="20"/>
                <w:szCs w:val="20"/>
                <w:color w:val="auto"/>
              </w:rPr>
            </w:pPr>
            <w:r>
              <w:rPr>
                <w:rFonts w:ascii="Calibri" w:cs="Calibri" w:eastAsia="Calibri" w:hAnsi="Calibri"/>
                <w:sz w:val="18"/>
                <w:szCs w:val="18"/>
                <w:color w:val="auto"/>
              </w:rPr>
              <w:t>Kodak's closing stock price</w:t>
            </w:r>
          </w:p>
        </w:tc>
        <w:tc>
          <w:tcPr>
            <w:tcW w:w="2000" w:type="dxa"/>
            <w:vAlign w:val="bottom"/>
            <w:gridSpan w:val="3"/>
          </w:tcPr>
          <w:p>
            <w:pPr>
              <w:jc w:val="right"/>
              <w:ind w:right="41"/>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6.55</w:t>
            </w:r>
          </w:p>
        </w:tc>
        <w:tc>
          <w:tcPr>
            <w:tcW w:w="100" w:type="dxa"/>
            <w:vAlign w:val="bottom"/>
          </w:tcPr>
          <w:p>
            <w:pPr>
              <w:spacing w:after="0"/>
              <w:rPr>
                <w:sz w:val="19"/>
                <w:szCs w:val="19"/>
                <w:color w:val="auto"/>
              </w:rPr>
            </w:pPr>
          </w:p>
        </w:tc>
        <w:tc>
          <w:tcPr>
            <w:tcW w:w="1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4.68</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7"/>
        </w:trPr>
        <w:tc>
          <w:tcPr>
            <w:tcW w:w="1140" w:type="dxa"/>
            <w:vAlign w:val="bottom"/>
          </w:tcPr>
          <w:p>
            <w:pPr>
              <w:spacing w:after="0"/>
              <w:rPr>
                <w:sz w:val="20"/>
                <w:szCs w:val="20"/>
                <w:color w:val="auto"/>
              </w:rPr>
            </w:pPr>
          </w:p>
        </w:tc>
        <w:tc>
          <w:tcPr>
            <w:tcW w:w="4240" w:type="dxa"/>
            <w:vAlign w:val="bottom"/>
            <w:shd w:val="clear" w:color="auto" w:fill="CFF0FC"/>
          </w:tcPr>
          <w:p>
            <w:pPr>
              <w:ind w:left="240"/>
              <w:spacing w:after="0"/>
              <w:rPr>
                <w:sz w:val="20"/>
                <w:szCs w:val="20"/>
                <w:color w:val="auto"/>
              </w:rPr>
            </w:pPr>
            <w:r>
              <w:rPr>
                <w:rFonts w:ascii="Calibri" w:cs="Calibri" w:eastAsia="Calibri" w:hAnsi="Calibri"/>
                <w:sz w:val="18"/>
                <w:szCs w:val="18"/>
                <w:color w:val="auto"/>
              </w:rPr>
              <w:t>Expected stock price volatlity</w:t>
            </w:r>
          </w:p>
        </w:tc>
        <w:tc>
          <w:tcPr>
            <w:tcW w:w="1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45.00%</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color w:val="auto"/>
              </w:rPr>
              <w:t>36.00%</w:t>
            </w:r>
          </w:p>
        </w:tc>
        <w:tc>
          <w:tcPr>
            <w:tcW w:w="112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4240" w:type="dxa"/>
            <w:vAlign w:val="bottom"/>
          </w:tcPr>
          <w:p>
            <w:pPr>
              <w:ind w:left="240"/>
              <w:spacing w:after="0" w:line="215" w:lineRule="exact"/>
              <w:rPr>
                <w:sz w:val="20"/>
                <w:szCs w:val="20"/>
                <w:color w:val="auto"/>
              </w:rPr>
            </w:pPr>
            <w:r>
              <w:rPr>
                <w:rFonts w:ascii="Calibri" w:cs="Calibri" w:eastAsia="Calibri" w:hAnsi="Calibri"/>
                <w:sz w:val="18"/>
                <w:szCs w:val="18"/>
                <w:color w:val="auto"/>
              </w:rPr>
              <w:t>Risk free rate</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2.43%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1.17%</w:t>
            </w:r>
          </w:p>
        </w:tc>
        <w:tc>
          <w:tcPr>
            <w:tcW w:w="1120" w:type="dxa"/>
            <w:vAlign w:val="bottom"/>
          </w:tcPr>
          <w:p>
            <w:pPr>
              <w:spacing w:after="0"/>
              <w:rPr>
                <w:sz w:val="19"/>
                <w:szCs w:val="19"/>
                <w:color w:val="auto"/>
              </w:rPr>
            </w:pPr>
          </w:p>
        </w:tc>
      </w:tr>
      <w:tr>
        <w:trPr>
          <w:trHeight w:val="237"/>
        </w:trPr>
        <w:tc>
          <w:tcPr>
            <w:tcW w:w="1140" w:type="dxa"/>
            <w:vAlign w:val="bottom"/>
          </w:tcPr>
          <w:p>
            <w:pPr>
              <w:spacing w:after="0"/>
              <w:rPr>
                <w:sz w:val="20"/>
                <w:szCs w:val="20"/>
                <w:color w:val="auto"/>
              </w:rPr>
            </w:pPr>
          </w:p>
        </w:tc>
        <w:tc>
          <w:tcPr>
            <w:tcW w:w="4240" w:type="dxa"/>
            <w:vAlign w:val="bottom"/>
            <w:shd w:val="clear" w:color="auto" w:fill="CFF0FC"/>
          </w:tcPr>
          <w:p>
            <w:pPr>
              <w:ind w:left="240"/>
              <w:spacing w:after="0"/>
              <w:rPr>
                <w:sz w:val="20"/>
                <w:szCs w:val="20"/>
                <w:color w:val="auto"/>
              </w:rPr>
            </w:pPr>
            <w:r>
              <w:rPr>
                <w:rFonts w:ascii="Calibri" w:cs="Calibri" w:eastAsia="Calibri" w:hAnsi="Calibri"/>
                <w:sz w:val="18"/>
                <w:szCs w:val="18"/>
                <w:color w:val="auto"/>
              </w:rPr>
              <w:t>Implied credit spread on the Convertble Notes</w:t>
            </w:r>
          </w:p>
        </w:tc>
        <w:tc>
          <w:tcPr>
            <w:tcW w:w="1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20.60%</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color w:val="auto"/>
              </w:rPr>
              <w:t>18.89%</w:t>
            </w:r>
          </w:p>
        </w:tc>
        <w:tc>
          <w:tcPr>
            <w:tcW w:w="1120" w:type="dxa"/>
            <w:vAlign w:val="bottom"/>
          </w:tcPr>
          <w:p>
            <w:pPr>
              <w:spacing w:after="0"/>
              <w:rPr>
                <w:sz w:val="20"/>
                <w:szCs w:val="20"/>
                <w:color w:val="auto"/>
              </w:rPr>
            </w:pPr>
          </w:p>
        </w:tc>
      </w:tr>
      <w:tr>
        <w:trPr>
          <w:trHeight w:val="436"/>
        </w:trPr>
        <w:tc>
          <w:tcPr>
            <w:tcW w:w="5380" w:type="dxa"/>
            <w:vAlign w:val="bottom"/>
            <w:gridSpan w:val="2"/>
          </w:tcPr>
          <w:p>
            <w:pPr>
              <w:spacing w:after="0"/>
              <w:rPr>
                <w:sz w:val="20"/>
                <w:szCs w:val="20"/>
                <w:color w:val="auto"/>
              </w:rPr>
            </w:pPr>
            <w:r>
              <w:rPr>
                <w:rFonts w:ascii="Calibri" w:cs="Calibri" w:eastAsia="Calibri" w:hAnsi="Calibri"/>
                <w:sz w:val="18"/>
                <w:szCs w:val="18"/>
                <w:color w:val="auto"/>
              </w:rPr>
              <w:t>Series B Preferred Stock:</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2"/>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5"/>
          </w:tcPr>
          <w:p>
            <w:pPr>
              <w:ind w:left="680"/>
              <w:spacing w:after="0"/>
              <w:rPr>
                <w:sz w:val="20"/>
                <w:szCs w:val="20"/>
                <w:color w:val="auto"/>
              </w:rPr>
            </w:pPr>
            <w:r>
              <w:rPr>
                <w:rFonts w:ascii="Calibri" w:cs="Calibri" w:eastAsia="Calibri" w:hAnsi="Calibri"/>
                <w:sz w:val="18"/>
                <w:szCs w:val="18"/>
                <w:b w:val="1"/>
                <w:bCs w:val="1"/>
                <w:color w:val="auto"/>
                <w:w w:val="98"/>
              </w:rPr>
              <w:t>Valuaton Date</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11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Calibri" w:cs="Calibri" w:eastAsia="Calibri" w:hAnsi="Calibri"/>
                <w:sz w:val="18"/>
                <w:szCs w:val="18"/>
                <w:b w:val="1"/>
                <w:bCs w:val="1"/>
                <w:color w:val="auto"/>
              </w:rPr>
              <w:t>March 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Calibri" w:cs="Calibri" w:eastAsia="Calibri" w:hAnsi="Calibri"/>
                <w:sz w:val="18"/>
                <w:szCs w:val="18"/>
                <w:b w:val="1"/>
                <w:bCs w:val="1"/>
                <w:color w:val="auto"/>
              </w:rPr>
              <w:t>December 31,</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430"/>
              <w:spacing w:after="0"/>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Calibri" w:cs="Calibri" w:eastAsia="Calibri" w:hAnsi="Calibri"/>
                <w:sz w:val="18"/>
                <w:szCs w:val="18"/>
                <w:b w:val="1"/>
                <w:bCs w:val="1"/>
                <w:color w:val="auto"/>
              </w:rPr>
              <w:t>2021</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
        </w:trPr>
        <w:tc>
          <w:tcPr>
            <w:tcW w:w="1140" w:type="dxa"/>
            <w:vAlign w:val="bottom"/>
          </w:tcPr>
          <w:p>
            <w:pPr>
              <w:spacing w:after="0"/>
              <w:rPr>
                <w:sz w:val="2"/>
                <w:szCs w:val="2"/>
                <w:color w:val="auto"/>
              </w:rPr>
            </w:pPr>
          </w:p>
        </w:tc>
        <w:tc>
          <w:tcPr>
            <w:tcW w:w="4240" w:type="dxa"/>
            <w:vAlign w:val="bottom"/>
            <w:tcBorders>
              <w:bottom w:val="single" w:sz="8" w:color="CFF0FC"/>
            </w:tcBorders>
          </w:tcPr>
          <w:p>
            <w:pPr>
              <w:spacing w:after="0"/>
              <w:rPr>
                <w:sz w:val="2"/>
                <w:szCs w:val="2"/>
                <w:color w:val="auto"/>
              </w:rPr>
            </w:pPr>
          </w:p>
        </w:tc>
        <w:tc>
          <w:tcPr>
            <w:tcW w:w="1880" w:type="dxa"/>
            <w:vAlign w:val="bottom"/>
            <w:tcBorders>
              <w:bottom w:val="single" w:sz="8" w:color="CFF0FC"/>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4240" w:type="dxa"/>
            <w:vAlign w:val="bottom"/>
            <w:shd w:val="clear" w:color="auto" w:fill="CFF0FC"/>
          </w:tcPr>
          <w:p>
            <w:pPr>
              <w:ind w:left="240"/>
              <w:spacing w:after="0" w:line="199" w:lineRule="exact"/>
              <w:rPr>
                <w:sz w:val="20"/>
                <w:szCs w:val="20"/>
                <w:color w:val="auto"/>
              </w:rPr>
            </w:pPr>
            <w:r>
              <w:rPr>
                <w:rFonts w:ascii="Calibri" w:cs="Calibri" w:eastAsia="Calibri" w:hAnsi="Calibri"/>
                <w:sz w:val="18"/>
                <w:szCs w:val="18"/>
                <w:color w:val="auto"/>
              </w:rPr>
              <w:t>Total value of embedded derivatve liability ($ millions)</w:t>
            </w:r>
          </w:p>
        </w:tc>
        <w:tc>
          <w:tcPr>
            <w:tcW w:w="188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12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4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2"/>
        </w:trPr>
        <w:tc>
          <w:tcPr>
            <w:tcW w:w="1140" w:type="dxa"/>
            <w:vAlign w:val="bottom"/>
          </w:tcPr>
          <w:p>
            <w:pPr>
              <w:spacing w:after="0"/>
              <w:rPr>
                <w:sz w:val="19"/>
                <w:szCs w:val="19"/>
                <w:color w:val="auto"/>
              </w:rPr>
            </w:pPr>
          </w:p>
        </w:tc>
        <w:tc>
          <w:tcPr>
            <w:tcW w:w="4240" w:type="dxa"/>
            <w:vAlign w:val="bottom"/>
          </w:tcPr>
          <w:p>
            <w:pPr>
              <w:ind w:left="240"/>
              <w:spacing w:after="0" w:line="215" w:lineRule="exact"/>
              <w:rPr>
                <w:sz w:val="20"/>
                <w:szCs w:val="20"/>
                <w:color w:val="auto"/>
              </w:rPr>
            </w:pPr>
            <w:r>
              <w:rPr>
                <w:rFonts w:ascii="Calibri" w:cs="Calibri" w:eastAsia="Calibri" w:hAnsi="Calibri"/>
                <w:sz w:val="18"/>
                <w:szCs w:val="18"/>
                <w:color w:val="auto"/>
              </w:rPr>
              <w:t>Kodak's closing stock price</w:t>
            </w:r>
          </w:p>
        </w:tc>
        <w:tc>
          <w:tcPr>
            <w:tcW w:w="200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6.55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4.68</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7"/>
        </w:trPr>
        <w:tc>
          <w:tcPr>
            <w:tcW w:w="1140" w:type="dxa"/>
            <w:vAlign w:val="bottom"/>
          </w:tcPr>
          <w:p>
            <w:pPr>
              <w:spacing w:after="0"/>
              <w:rPr>
                <w:sz w:val="20"/>
                <w:szCs w:val="20"/>
                <w:color w:val="auto"/>
              </w:rPr>
            </w:pPr>
          </w:p>
        </w:tc>
        <w:tc>
          <w:tcPr>
            <w:tcW w:w="4240" w:type="dxa"/>
            <w:vAlign w:val="bottom"/>
            <w:shd w:val="clear" w:color="auto" w:fill="CFF0FC"/>
          </w:tcPr>
          <w:p>
            <w:pPr>
              <w:ind w:left="240"/>
              <w:spacing w:after="0"/>
              <w:rPr>
                <w:sz w:val="20"/>
                <w:szCs w:val="20"/>
                <w:color w:val="auto"/>
              </w:rPr>
            </w:pPr>
            <w:r>
              <w:rPr>
                <w:rFonts w:ascii="Calibri" w:cs="Calibri" w:eastAsia="Calibri" w:hAnsi="Calibri"/>
                <w:sz w:val="18"/>
                <w:szCs w:val="18"/>
                <w:color w:val="auto"/>
              </w:rPr>
              <w:t>Expected stock price volatlity</w:t>
            </w:r>
          </w:p>
        </w:tc>
        <w:tc>
          <w:tcPr>
            <w:tcW w:w="1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Calibri" w:cs="Calibri" w:eastAsia="Calibri" w:hAnsi="Calibri"/>
                <w:sz w:val="18"/>
                <w:szCs w:val="18"/>
                <w:color w:val="auto"/>
              </w:rPr>
              <w:t>45.00%</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color w:val="auto"/>
              </w:rPr>
              <w:t>36.00%</w:t>
            </w:r>
          </w:p>
        </w:tc>
        <w:tc>
          <w:tcPr>
            <w:tcW w:w="112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4240" w:type="dxa"/>
            <w:vAlign w:val="bottom"/>
          </w:tcPr>
          <w:p>
            <w:pPr>
              <w:ind w:left="240"/>
              <w:spacing w:after="0" w:line="215" w:lineRule="exact"/>
              <w:rPr>
                <w:sz w:val="20"/>
                <w:szCs w:val="20"/>
                <w:color w:val="auto"/>
              </w:rPr>
            </w:pPr>
            <w:r>
              <w:rPr>
                <w:rFonts w:ascii="Calibri" w:cs="Calibri" w:eastAsia="Calibri" w:hAnsi="Calibri"/>
                <w:sz w:val="18"/>
                <w:szCs w:val="18"/>
                <w:color w:val="auto"/>
              </w:rPr>
              <w:t>Risk free rate</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2.43%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1.17%</w:t>
            </w:r>
          </w:p>
        </w:tc>
        <w:tc>
          <w:tcPr>
            <w:tcW w:w="1120" w:type="dxa"/>
            <w:vAlign w:val="bottom"/>
          </w:tcPr>
          <w:p>
            <w:pPr>
              <w:spacing w:after="0"/>
              <w:rPr>
                <w:sz w:val="19"/>
                <w:szCs w:val="19"/>
                <w:color w:val="auto"/>
              </w:rPr>
            </w:pPr>
          </w:p>
        </w:tc>
      </w:tr>
      <w:tr>
        <w:trPr>
          <w:trHeight w:val="237"/>
        </w:trPr>
        <w:tc>
          <w:tcPr>
            <w:tcW w:w="1140" w:type="dxa"/>
            <w:vAlign w:val="bottom"/>
          </w:tcPr>
          <w:p>
            <w:pPr>
              <w:spacing w:after="0"/>
              <w:rPr>
                <w:sz w:val="20"/>
                <w:szCs w:val="20"/>
                <w:color w:val="auto"/>
              </w:rPr>
            </w:pPr>
          </w:p>
        </w:tc>
        <w:tc>
          <w:tcPr>
            <w:tcW w:w="4240" w:type="dxa"/>
            <w:vAlign w:val="bottom"/>
            <w:shd w:val="clear" w:color="auto" w:fill="CFF0FC"/>
          </w:tcPr>
          <w:p>
            <w:pPr>
              <w:ind w:left="240"/>
              <w:spacing w:after="0"/>
              <w:rPr>
                <w:sz w:val="20"/>
                <w:szCs w:val="20"/>
                <w:color w:val="auto"/>
              </w:rPr>
            </w:pPr>
            <w:r>
              <w:rPr>
                <w:rFonts w:ascii="Calibri" w:cs="Calibri" w:eastAsia="Calibri" w:hAnsi="Calibri"/>
                <w:sz w:val="18"/>
                <w:szCs w:val="18"/>
                <w:color w:val="auto"/>
              </w:rPr>
              <w:t>Implied credit spread on the preferred stock</w:t>
            </w:r>
          </w:p>
        </w:tc>
        <w:tc>
          <w:tcPr>
            <w:tcW w:w="1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Calibri" w:cs="Calibri" w:eastAsia="Calibri" w:hAnsi="Calibri"/>
                <w:sz w:val="18"/>
                <w:szCs w:val="18"/>
                <w:color w:val="auto"/>
              </w:rPr>
              <w:t>21.10%</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color w:val="auto"/>
              </w:rPr>
              <w:t>19.39%</w:t>
            </w:r>
          </w:p>
        </w:tc>
        <w:tc>
          <w:tcPr>
            <w:tcW w:w="1120" w:type="dxa"/>
            <w:vAlign w:val="bottom"/>
          </w:tcPr>
          <w:p>
            <w:pPr>
              <w:spacing w:after="0"/>
              <w:rPr>
                <w:sz w:val="20"/>
                <w:szCs w:val="20"/>
                <w:color w:val="auto"/>
              </w:rPr>
            </w:pPr>
          </w:p>
        </w:tc>
      </w:tr>
      <w:tr>
        <w:trPr>
          <w:trHeight w:val="436"/>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00" w:type="dxa"/>
            <w:vAlign w:val="bottom"/>
          </w:tcPr>
          <w:p>
            <w:pPr>
              <w:jc w:val="right"/>
              <w:ind w:right="131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98"/>
        </w:trPr>
        <w:tc>
          <w:tcPr>
            <w:tcW w:w="1140" w:type="dxa"/>
            <w:vAlign w:val="bottom"/>
            <w:tcBorders>
              <w:bottom w:val="single" w:sz="8" w:color="9A9A9A"/>
            </w:tcBorders>
          </w:tcPr>
          <w:p>
            <w:pPr>
              <w:spacing w:after="0"/>
              <w:rPr>
                <w:sz w:val="8"/>
                <w:szCs w:val="8"/>
                <w:color w:val="auto"/>
              </w:rPr>
            </w:pPr>
          </w:p>
        </w:tc>
        <w:tc>
          <w:tcPr>
            <w:tcW w:w="42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0"/>
        </w:trPr>
        <w:tc>
          <w:tcPr>
            <w:tcW w:w="5980" w:type="dxa"/>
            <w:vAlign w:val="bottom"/>
            <w:gridSpan w:val="2"/>
          </w:tcPr>
          <w:p>
            <w:pPr>
              <w:spacing w:after="0"/>
              <w:rPr>
                <w:sz w:val="20"/>
                <w:szCs w:val="20"/>
                <w:color w:val="auto"/>
              </w:rPr>
            </w:pPr>
            <w:r>
              <w:rPr>
                <w:rFonts w:ascii="Calibri" w:cs="Calibri" w:eastAsia="Calibri" w:hAnsi="Calibri"/>
                <w:sz w:val="18"/>
                <w:szCs w:val="18"/>
                <w:color w:val="auto"/>
              </w:rPr>
              <w:t>Series C Preferred Stock:</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73"/>
        </w:trPr>
        <w:tc>
          <w:tcPr>
            <w:tcW w:w="11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jc w:val="right"/>
              <w:ind w:right="880"/>
              <w:spacing w:after="0"/>
              <w:rPr>
                <w:sz w:val="20"/>
                <w:szCs w:val="20"/>
                <w:color w:val="auto"/>
              </w:rPr>
            </w:pPr>
            <w:r>
              <w:rPr>
                <w:rFonts w:ascii="Calibri" w:cs="Calibri" w:eastAsia="Calibri" w:hAnsi="Calibri"/>
                <w:sz w:val="18"/>
                <w:szCs w:val="18"/>
                <w:b w:val="1"/>
                <w:bCs w:val="1"/>
                <w:color w:val="auto"/>
              </w:rPr>
              <w:t>Valuaton Date</w:t>
            </w:r>
          </w:p>
        </w:tc>
      </w:tr>
      <w:tr>
        <w:trPr>
          <w:trHeight w:val="229"/>
        </w:trPr>
        <w:tc>
          <w:tcPr>
            <w:tcW w:w="11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Calibri" w:cs="Calibri" w:eastAsia="Calibri" w:hAnsi="Calibri"/>
                <w:sz w:val="18"/>
                <w:szCs w:val="18"/>
                <w:b w:val="1"/>
                <w:bCs w:val="1"/>
                <w:color w:val="auto"/>
                <w:w w:val="98"/>
              </w:rPr>
              <w:t>March 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Calibri" w:cs="Calibri" w:eastAsia="Calibri" w:hAnsi="Calibri"/>
                <w:sz w:val="18"/>
                <w:szCs w:val="18"/>
                <w:b w:val="1"/>
                <w:bCs w:val="1"/>
                <w:color w:val="auto"/>
                <w:w w:val="96"/>
              </w:rPr>
              <w:t>December 31,</w:t>
            </w:r>
          </w:p>
        </w:tc>
      </w:tr>
      <w:tr>
        <w:trPr>
          <w:trHeight w:val="230"/>
        </w:trPr>
        <w:tc>
          <w:tcPr>
            <w:tcW w:w="11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2022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Calibri" w:cs="Calibri" w:eastAsia="Calibri" w:hAnsi="Calibri"/>
                <w:sz w:val="18"/>
                <w:szCs w:val="18"/>
                <w:b w:val="1"/>
                <w:bCs w:val="1"/>
                <w:color w:val="auto"/>
              </w:rPr>
              <w:t>2021</w:t>
            </w:r>
          </w:p>
        </w:tc>
        <w:tc>
          <w:tcPr>
            <w:tcW w:w="140" w:type="dxa"/>
            <w:vAlign w:val="bottom"/>
          </w:tcPr>
          <w:p>
            <w:pPr>
              <w:spacing w:after="0"/>
              <w:rPr>
                <w:sz w:val="19"/>
                <w:szCs w:val="19"/>
                <w:color w:val="auto"/>
              </w:rPr>
            </w:pPr>
          </w:p>
        </w:tc>
      </w:tr>
      <w:tr>
        <w:trPr>
          <w:trHeight w:val="23"/>
        </w:trPr>
        <w:tc>
          <w:tcPr>
            <w:tcW w:w="1140" w:type="dxa"/>
            <w:vAlign w:val="bottom"/>
          </w:tcPr>
          <w:p>
            <w:pPr>
              <w:spacing w:after="0"/>
              <w:rPr>
                <w:sz w:val="2"/>
                <w:szCs w:val="2"/>
                <w:color w:val="auto"/>
              </w:rPr>
            </w:pPr>
          </w:p>
        </w:tc>
        <w:tc>
          <w:tcPr>
            <w:tcW w:w="4840" w:type="dxa"/>
            <w:vAlign w:val="bottom"/>
            <w:tcBorders>
              <w:bottom w:val="single" w:sz="8" w:color="CFF0FC"/>
            </w:tcBorders>
          </w:tcPr>
          <w:p>
            <w:pPr>
              <w:spacing w:after="0"/>
              <w:rPr>
                <w:sz w:val="2"/>
                <w:szCs w:val="2"/>
                <w:color w:val="auto"/>
              </w:rPr>
            </w:pPr>
          </w:p>
        </w:tc>
        <w:tc>
          <w:tcPr>
            <w:tcW w:w="14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r>
      <w:tr>
        <w:trPr>
          <w:trHeight w:val="199"/>
        </w:trPr>
        <w:tc>
          <w:tcPr>
            <w:tcW w:w="1140" w:type="dxa"/>
            <w:vAlign w:val="bottom"/>
          </w:tcPr>
          <w:p>
            <w:pPr>
              <w:spacing w:after="0"/>
              <w:rPr>
                <w:sz w:val="17"/>
                <w:szCs w:val="17"/>
                <w:color w:val="auto"/>
              </w:rPr>
            </w:pPr>
          </w:p>
        </w:tc>
        <w:tc>
          <w:tcPr>
            <w:tcW w:w="4840" w:type="dxa"/>
            <w:vAlign w:val="bottom"/>
            <w:shd w:val="clear" w:color="auto" w:fill="CFF0FC"/>
          </w:tcPr>
          <w:p>
            <w:pPr>
              <w:ind w:left="240"/>
              <w:spacing w:after="0" w:line="199" w:lineRule="exact"/>
              <w:rPr>
                <w:sz w:val="20"/>
                <w:szCs w:val="20"/>
                <w:color w:val="auto"/>
              </w:rPr>
            </w:pPr>
            <w:r>
              <w:rPr>
                <w:rFonts w:ascii="Calibri" w:cs="Calibri" w:eastAsia="Calibri" w:hAnsi="Calibri"/>
                <w:sz w:val="18"/>
                <w:szCs w:val="18"/>
                <w:color w:val="auto"/>
              </w:rPr>
              <w:t>Total value of embedded derivatve liability</w:t>
            </w: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9"/>
        </w:trPr>
        <w:tc>
          <w:tcPr>
            <w:tcW w:w="1140" w:type="dxa"/>
            <w:vAlign w:val="bottom"/>
          </w:tcPr>
          <w:p>
            <w:pPr>
              <w:spacing w:after="0"/>
              <w:rPr>
                <w:sz w:val="19"/>
                <w:szCs w:val="19"/>
                <w:color w:val="auto"/>
              </w:rPr>
            </w:pPr>
          </w:p>
        </w:tc>
        <w:tc>
          <w:tcPr>
            <w:tcW w:w="4840" w:type="dxa"/>
            <w:vAlign w:val="bottom"/>
            <w:tcBorders>
              <w:bottom w:val="single" w:sz="8" w:color="CFF0FC"/>
            </w:tcBorders>
            <w:shd w:val="clear" w:color="auto" w:fill="CFF0FC"/>
          </w:tcPr>
          <w:p>
            <w:pPr>
              <w:ind w:left="360"/>
              <w:spacing w:after="0" w:line="216" w:lineRule="exact"/>
              <w:rPr>
                <w:sz w:val="20"/>
                <w:szCs w:val="20"/>
                <w:color w:val="auto"/>
              </w:rPr>
            </w:pPr>
            <w:r>
              <w:rPr>
                <w:rFonts w:ascii="Calibri" w:cs="Calibri" w:eastAsia="Calibri" w:hAnsi="Calibri"/>
                <w:sz w:val="18"/>
                <w:szCs w:val="18"/>
                <w:color w:val="auto"/>
              </w:rPr>
              <w:t>($ millions)</w:t>
            </w:r>
          </w:p>
        </w:tc>
        <w:tc>
          <w:tcPr>
            <w:tcW w:w="1560" w:type="dxa"/>
            <w:vAlign w:val="bottom"/>
            <w:tcBorders>
              <w:bottom w:val="single" w:sz="8" w:color="CFF0FC"/>
            </w:tcBorders>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FF0FC"/>
            </w:tcBorders>
            <w:shd w:val="clear" w:color="auto" w:fill="CFF0FC"/>
          </w:tcPr>
          <w:p>
            <w:pPr>
              <w:jc w:val="right"/>
              <w:ind w:right="70"/>
              <w:spacing w:after="0" w:line="216"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2"/>
        </w:trPr>
        <w:tc>
          <w:tcPr>
            <w:tcW w:w="1140" w:type="dxa"/>
            <w:vAlign w:val="bottom"/>
          </w:tcPr>
          <w:p>
            <w:pPr>
              <w:spacing w:after="0"/>
              <w:rPr>
                <w:sz w:val="19"/>
                <w:szCs w:val="19"/>
                <w:color w:val="auto"/>
              </w:rPr>
            </w:pPr>
          </w:p>
        </w:tc>
        <w:tc>
          <w:tcPr>
            <w:tcW w:w="4840" w:type="dxa"/>
            <w:vAlign w:val="bottom"/>
          </w:tcPr>
          <w:p>
            <w:pPr>
              <w:ind w:left="240"/>
              <w:spacing w:after="0" w:line="215" w:lineRule="exact"/>
              <w:rPr>
                <w:sz w:val="20"/>
                <w:szCs w:val="20"/>
                <w:color w:val="auto"/>
              </w:rPr>
            </w:pPr>
            <w:r>
              <w:rPr>
                <w:rFonts w:ascii="Calibri" w:cs="Calibri" w:eastAsia="Calibri" w:hAnsi="Calibri"/>
                <w:sz w:val="18"/>
                <w:szCs w:val="18"/>
                <w:color w:val="auto"/>
              </w:rPr>
              <w:t>Kodak's closing stock price</w:t>
            </w:r>
          </w:p>
        </w:tc>
        <w:tc>
          <w:tcPr>
            <w:tcW w:w="15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6.55</w:t>
            </w:r>
          </w:p>
        </w:tc>
        <w:tc>
          <w:tcPr>
            <w:tcW w:w="2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4.68</w:t>
            </w:r>
          </w:p>
        </w:tc>
        <w:tc>
          <w:tcPr>
            <w:tcW w:w="140" w:type="dxa"/>
            <w:vAlign w:val="bottom"/>
          </w:tcPr>
          <w:p>
            <w:pPr>
              <w:spacing w:after="0"/>
              <w:rPr>
                <w:sz w:val="19"/>
                <w:szCs w:val="19"/>
                <w:color w:val="auto"/>
              </w:rPr>
            </w:pPr>
          </w:p>
        </w:tc>
      </w:tr>
      <w:tr>
        <w:trPr>
          <w:trHeight w:val="237"/>
        </w:trPr>
        <w:tc>
          <w:tcPr>
            <w:tcW w:w="1140" w:type="dxa"/>
            <w:vAlign w:val="bottom"/>
          </w:tcPr>
          <w:p>
            <w:pPr>
              <w:spacing w:after="0"/>
              <w:rPr>
                <w:sz w:val="20"/>
                <w:szCs w:val="20"/>
                <w:color w:val="auto"/>
              </w:rPr>
            </w:pPr>
          </w:p>
        </w:tc>
        <w:tc>
          <w:tcPr>
            <w:tcW w:w="4840" w:type="dxa"/>
            <w:vAlign w:val="bottom"/>
            <w:shd w:val="clear" w:color="auto" w:fill="CFF0FC"/>
          </w:tcPr>
          <w:p>
            <w:pPr>
              <w:ind w:left="240"/>
              <w:spacing w:after="0"/>
              <w:rPr>
                <w:sz w:val="20"/>
                <w:szCs w:val="20"/>
                <w:color w:val="auto"/>
              </w:rPr>
            </w:pPr>
            <w:r>
              <w:rPr>
                <w:rFonts w:ascii="Calibri" w:cs="Calibri" w:eastAsia="Calibri" w:hAnsi="Calibri"/>
                <w:sz w:val="18"/>
                <w:szCs w:val="18"/>
                <w:color w:val="auto"/>
              </w:rPr>
              <w:t>Expected stock price volatlity</w:t>
            </w: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45.00%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color w:val="auto"/>
              </w:rPr>
              <w:t>36.00%</w:t>
            </w:r>
          </w:p>
        </w:tc>
      </w:tr>
      <w:tr>
        <w:trPr>
          <w:trHeight w:val="222"/>
        </w:trPr>
        <w:tc>
          <w:tcPr>
            <w:tcW w:w="1140" w:type="dxa"/>
            <w:vAlign w:val="bottom"/>
          </w:tcPr>
          <w:p>
            <w:pPr>
              <w:spacing w:after="0"/>
              <w:rPr>
                <w:sz w:val="19"/>
                <w:szCs w:val="19"/>
                <w:color w:val="auto"/>
              </w:rPr>
            </w:pPr>
          </w:p>
        </w:tc>
        <w:tc>
          <w:tcPr>
            <w:tcW w:w="4840" w:type="dxa"/>
            <w:vAlign w:val="bottom"/>
          </w:tcPr>
          <w:p>
            <w:pPr>
              <w:ind w:left="240"/>
              <w:spacing w:after="0" w:line="215" w:lineRule="exact"/>
              <w:rPr>
                <w:sz w:val="20"/>
                <w:szCs w:val="20"/>
                <w:color w:val="auto"/>
              </w:rPr>
            </w:pPr>
            <w:r>
              <w:rPr>
                <w:rFonts w:ascii="Calibri" w:cs="Calibri" w:eastAsia="Calibri" w:hAnsi="Calibri"/>
                <w:sz w:val="18"/>
                <w:szCs w:val="18"/>
                <w:color w:val="auto"/>
              </w:rPr>
              <w:t>Risk free rate</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1.17%</w:t>
            </w:r>
          </w:p>
        </w:tc>
      </w:tr>
      <w:tr>
        <w:trPr>
          <w:trHeight w:val="237"/>
        </w:trPr>
        <w:tc>
          <w:tcPr>
            <w:tcW w:w="1140" w:type="dxa"/>
            <w:vAlign w:val="bottom"/>
          </w:tcPr>
          <w:p>
            <w:pPr>
              <w:spacing w:after="0"/>
              <w:rPr>
                <w:sz w:val="20"/>
                <w:szCs w:val="20"/>
                <w:color w:val="auto"/>
              </w:rPr>
            </w:pPr>
          </w:p>
        </w:tc>
        <w:tc>
          <w:tcPr>
            <w:tcW w:w="4840" w:type="dxa"/>
            <w:vAlign w:val="bottom"/>
            <w:shd w:val="clear" w:color="auto" w:fill="CFF0FC"/>
          </w:tcPr>
          <w:p>
            <w:pPr>
              <w:ind w:left="240"/>
              <w:spacing w:after="0"/>
              <w:rPr>
                <w:sz w:val="20"/>
                <w:szCs w:val="20"/>
                <w:color w:val="auto"/>
              </w:rPr>
            </w:pPr>
            <w:r>
              <w:rPr>
                <w:rFonts w:ascii="Calibri" w:cs="Calibri" w:eastAsia="Calibri" w:hAnsi="Calibri"/>
                <w:sz w:val="18"/>
                <w:szCs w:val="18"/>
                <w:color w:val="auto"/>
              </w:rPr>
              <w:t>Implied credit spread on the preferred stock</w:t>
            </w: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23.10%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color w:val="auto"/>
              </w:rPr>
              <w:t>21.39%</w:t>
            </w:r>
          </w:p>
        </w:tc>
      </w:tr>
    </w:tbl>
    <w:p>
      <w:pPr>
        <w:spacing w:after="0" w:line="22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Fundamental Change values at issuance were calculated as the diference between the total value of the Convertble Notes, Series B or Series C Preferred Stock, as applicable, and the sum of the net present value of the cash fows if the Convertble Notes are repaid at their maturity date or Series B and Series C Preferred Stock are redeemed on their redempton date and the values of the other embedded derivatves. The Fundamental Change values reduce the value of the embedded conversion features derivatve liability. Other than events that alter the likelihood of a fundamental change or reorganizaton event, the value of the Fundamental Change refects the value as of the issuance date, amortzed for the passage of tme.</w:t>
      </w:r>
    </w:p>
    <w:p>
      <w:pPr>
        <w:spacing w:after="0" w:line="247"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The fair values of long-term debt (Level 2 fair value measurements) are determined by reference to quoted market prices of similar instruments, if available, or by pricing models based on the value of related cash fows discounted at current market interest rates. The fair values of long-term borrowings were $245 million and $269 million at March 31, 2022 and December 31, 2021, respectvely.</w:t>
      </w:r>
    </w:p>
    <w:p>
      <w:pPr>
        <w:spacing w:after="0" w:line="3"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The carrying values of cash and cash equivalents, restricted cash and the current porton of long-term debt approximate their fair values at both March 31, 2022 and December 31,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b w:val="1"/>
          <w:bCs w:val="1"/>
          <w:color w:val="auto"/>
        </w:rPr>
        <w:t>Item 2. Management’s Discussion and Analysis of Financial Conditon and Results of Operatons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CAUTIONARY STATEMENT PURSUANT TO SAFE HARBOR PROVISIONS OF THE PRIVATE SECURITIES LITIGATION REFORM ACT OF 1995</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This report on Form 10-Q includes “forward–looking statements” as that term is defned under the Private Securites Litgaton Reform Act of 1995.</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Forward–looking statements include statements concerning Kodak’s plans, objectves, goals, strategies, future events, future revenue or performance, capital expenditures, liquidity, investments, fnancing needs and business trends and other informaton that is not historical informaton. When used in this document, the words “estmates,” “expects,” “antcipates,” “projects,” “plans,” “intends,” “believes,” “predicts,” “forecasts,” “strategy,” “contnues,” “goals,” “targets” or future or conditonal verbs, such as “will,” “should,” “could,” or “may,” and similar words and expressions, as well as statements that do not relate strictly to historical or current facts, are intended to identfy forward–looking statements. All forward–looking statements, including management’s examinaton of historical operatng trends and data, are based upon Kodak’s current expectatons and assumptons. Forward-looking statements are subject to risks, uncertaintes and other factors that could cause actual results to difer materially from historical results or those expressed in or implied by such forward-looking statements. Important factors that could cause actual events or results to difer materially from the forward-looking statements include, among others, the risks and uncertaintes described in more detail in the Company’s Annual Report on Form 10–K for the year ended December 31, 2021 under the headings “Business,” “Risk Factors,” “Legal Proceedings,” and/or “Management’s Discussion and Analysis of Financial Conditon and Results of Operatons–Liquidity and Capital Resources,” in the corresponding sectons of this report on Form 10-Q and in other flings the Company makes with the SEC from tme to tme, as well as the following:</w:t>
      </w:r>
    </w:p>
    <w:p>
      <w:pPr>
        <w:spacing w:after="0" w:line="113" w:lineRule="exact"/>
        <w:rPr>
          <w:sz w:val="20"/>
          <w:szCs w:val="20"/>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improve and sustain its operatng structure, cash fow, proftability and other fnancial results;</w:t>
      </w:r>
    </w:p>
    <w:p>
      <w:pPr>
        <w:spacing w:after="0" w:line="10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achieve strategic objectves, cash forecasts, fnancial projectons, and projected growth;</w:t>
      </w:r>
    </w:p>
    <w:p>
      <w:pPr>
        <w:spacing w:after="0" w:line="10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achieve the fnancial and operatonal results contained in its business plans;</w:t>
      </w:r>
    </w:p>
    <w:p>
      <w:pPr>
        <w:spacing w:after="0" w:line="10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comply with the covenants in its various credit facilites;</w:t>
      </w:r>
    </w:p>
    <w:p>
      <w:pPr>
        <w:spacing w:after="0" w:line="109" w:lineRule="exact"/>
        <w:rPr>
          <w:rFonts w:ascii="Times New Roman" w:cs="Times New Roman" w:eastAsia="Times New Roman" w:hAnsi="Times New Roman"/>
          <w:sz w:val="18"/>
          <w:szCs w:val="18"/>
          <w:color w:val="auto"/>
        </w:rPr>
      </w:pPr>
    </w:p>
    <w:p>
      <w:pPr>
        <w:ind w:left="1000" w:right="140" w:hanging="493"/>
        <w:spacing w:after="0" w:line="235" w:lineRule="auto"/>
        <w:tabs>
          <w:tab w:leader="none" w:pos="10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fund contnued investments, capital needs and restructuring payments and service its debt and Series B Preferred Stock and Series C Preferred Stock;</w:t>
      </w:r>
    </w:p>
    <w:p>
      <w:pPr>
        <w:spacing w:after="0" w:line="109" w:lineRule="exact"/>
        <w:rPr>
          <w:rFonts w:ascii="Times New Roman" w:cs="Times New Roman" w:eastAsia="Times New Roman" w:hAnsi="Times New Roman"/>
          <w:sz w:val="18"/>
          <w:szCs w:val="18"/>
          <w:color w:val="auto"/>
        </w:rPr>
      </w:pPr>
    </w:p>
    <w:p>
      <w:pPr>
        <w:ind w:left="1000" w:right="20" w:hanging="493"/>
        <w:spacing w:after="0" w:line="235" w:lineRule="auto"/>
        <w:tabs>
          <w:tab w:leader="none" w:pos="10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performance by third partes of their obligatons to supply products, components or services to Kodak and Kodak’s ability to address supply chain disruptons and contnue to obtain raw materials and components available from single or limited sources of supply, which may be adversely afected by the COVID-19 pandemic;</w:t>
      </w:r>
    </w:p>
    <w:p>
      <w:pPr>
        <w:spacing w:after="0" w:line="110" w:lineRule="exact"/>
        <w:rPr>
          <w:rFonts w:ascii="Times New Roman" w:cs="Times New Roman" w:eastAsia="Times New Roman" w:hAnsi="Times New Roman"/>
          <w:sz w:val="18"/>
          <w:szCs w:val="18"/>
          <w:color w:val="auto"/>
        </w:rPr>
      </w:pPr>
    </w:p>
    <w:p>
      <w:pPr>
        <w:ind w:left="1000" w:right="320" w:hanging="493"/>
        <w:spacing w:after="0" w:line="235" w:lineRule="auto"/>
        <w:tabs>
          <w:tab w:leader="none" w:pos="10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impact of the global economic environment or medical epidemics such as the COVID-19 pandemic, including the restrictons and other actons taken in response to the COVID-19 pandemic, and Kodak’s ability to efectvely mitgate or recoup associated increased costs of materials, labor, shipping and operatons;</w:t>
      </w:r>
    </w:p>
    <w:p>
      <w:pPr>
        <w:spacing w:after="0" w:line="110" w:lineRule="exact"/>
        <w:rPr>
          <w:rFonts w:ascii="Times New Roman" w:cs="Times New Roman" w:eastAsia="Times New Roman" w:hAnsi="Times New Roman"/>
          <w:sz w:val="18"/>
          <w:szCs w:val="18"/>
          <w:color w:val="auto"/>
        </w:rPr>
      </w:pPr>
    </w:p>
    <w:p>
      <w:pPr>
        <w:ind w:left="1000" w:right="600" w:hanging="493"/>
        <w:spacing w:after="0" w:line="235" w:lineRule="auto"/>
        <w:tabs>
          <w:tab w:leader="none" w:pos="10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impacts of the war in Ukraine and the internatonal response thereto on Kodak’s business and operatons, including the cost of and availability of aluminum and other raw materials and components, shipping costs, transit tmes and energy costs;</w:t>
      </w:r>
    </w:p>
    <w:p>
      <w:pPr>
        <w:spacing w:after="0" w:line="10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foreign currency exchange rates, commodity prices, interest rates and tarif rates;</w:t>
      </w:r>
    </w:p>
    <w:p>
      <w:pPr>
        <w:spacing w:after="0" w:line="109" w:lineRule="exact"/>
        <w:rPr>
          <w:rFonts w:ascii="Times New Roman" w:cs="Times New Roman" w:eastAsia="Times New Roman" w:hAnsi="Times New Roman"/>
          <w:sz w:val="18"/>
          <w:szCs w:val="18"/>
          <w:color w:val="auto"/>
        </w:rPr>
      </w:pPr>
    </w:p>
    <w:p>
      <w:pPr>
        <w:ind w:left="1000" w:right="80" w:hanging="493"/>
        <w:spacing w:after="0" w:line="235" w:lineRule="auto"/>
        <w:tabs>
          <w:tab w:leader="none" w:pos="10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impact of the investgatons, litgaton and claims arising out of the circumstances surrounding the announcement on July 28, 2020, by the U.S. Internatonal Development Finance Corporaton of the signing of a non‐binding leter of interest to provide a subsidiary of Kodak with a potental loan to support the launch of an initatve for the manufacture of pharmaceutcal ingredients for essental generic drugs;</w:t>
      </w:r>
    </w:p>
    <w:p>
      <w:pPr>
        <w:spacing w:after="0" w:line="110" w:lineRule="exact"/>
        <w:rPr>
          <w:rFonts w:ascii="Times New Roman" w:cs="Times New Roman" w:eastAsia="Times New Roman" w:hAnsi="Times New Roman"/>
          <w:sz w:val="18"/>
          <w:szCs w:val="18"/>
          <w:color w:val="auto"/>
        </w:rPr>
      </w:pPr>
    </w:p>
    <w:p>
      <w:pPr>
        <w:jc w:val="both"/>
        <w:ind w:left="1000" w:right="360" w:hanging="493"/>
        <w:spacing w:after="0" w:line="258" w:lineRule="auto"/>
        <w:tabs>
          <w:tab w:leader="none" w:pos="1000" w:val="left"/>
        </w:tabs>
        <w:numPr>
          <w:ilvl w:val="0"/>
          <w:numId w:val="11"/>
        </w:numPr>
        <w:rPr>
          <w:rFonts w:ascii="Times New Roman" w:cs="Times New Roman" w:eastAsia="Times New Roman" w:hAnsi="Times New Roman"/>
          <w:sz w:val="17"/>
          <w:szCs w:val="17"/>
          <w:color w:val="auto"/>
        </w:rPr>
      </w:pPr>
      <w:r>
        <w:rPr>
          <w:rFonts w:ascii="Calibri" w:cs="Calibri" w:eastAsia="Calibri" w:hAnsi="Calibri"/>
          <w:sz w:val="17"/>
          <w:szCs w:val="17"/>
          <w:color w:val="auto"/>
        </w:rPr>
        <w:t>Kodak’s ability to efectvely antcipate technology and industry trends and develop and market new products, solutons and technologies, including products based on its technology and expertse that relate to industries in which it does not currently conduct material business;</w:t>
      </w:r>
    </w:p>
    <w:p>
      <w:pPr>
        <w:spacing w:after="0" w:line="89" w:lineRule="exact"/>
        <w:rPr>
          <w:rFonts w:ascii="Times New Roman" w:cs="Times New Roman" w:eastAsia="Times New Roman" w:hAnsi="Times New Roman"/>
          <w:sz w:val="17"/>
          <w:szCs w:val="17"/>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efectvely compete with large, well-fnanced industry partcipants;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27" w:name="page28"/>
    <w:bookmarkEnd w:id="27"/>
    <w:p>
      <w:pPr>
        <w:ind w:left="1000" w:right="460" w:hanging="493"/>
        <w:spacing w:after="0" w:line="258" w:lineRule="auto"/>
        <w:tabs>
          <w:tab w:leader="none" w:pos="1000" w:val="left"/>
        </w:tabs>
        <w:numPr>
          <w:ilvl w:val="0"/>
          <w:numId w:val="12"/>
        </w:numPr>
        <w:rPr>
          <w:rFonts w:ascii="Times New Roman" w:cs="Times New Roman" w:eastAsia="Times New Roman" w:hAnsi="Times New Roman"/>
          <w:sz w:val="17"/>
          <w:szCs w:val="17"/>
          <w:color w:val="auto"/>
        </w:rPr>
      </w:pPr>
      <w:r>
        <w:rPr>
          <w:rFonts w:ascii="Calibri" w:cs="Calibri" w:eastAsia="Calibri" w:hAnsi="Calibri"/>
          <w:sz w:val="17"/>
          <w:szCs w:val="17"/>
          <w:color w:val="auto"/>
        </w:rPr>
        <w:t>Contnued sufcient availability of borrowings and leters of credit under the Amended ABL Credit Agreement and L/C Facility Agreement, Kodak’s ability to obtain additonal fnancing if and as needed and Kodak’s ability to provide or facilitate fnancing for its customers;</w:t>
      </w:r>
    </w:p>
    <w:p>
      <w:pPr>
        <w:spacing w:after="0" w:line="93" w:lineRule="exact"/>
        <w:rPr>
          <w:rFonts w:ascii="Times New Roman" w:cs="Times New Roman" w:eastAsia="Times New Roman" w:hAnsi="Times New Roman"/>
          <w:sz w:val="17"/>
          <w:szCs w:val="17"/>
          <w:color w:val="auto"/>
        </w:rPr>
      </w:pPr>
    </w:p>
    <w:p>
      <w:pPr>
        <w:ind w:left="1000" w:right="280" w:hanging="493"/>
        <w:spacing w:after="0" w:line="235" w:lineRule="auto"/>
        <w:tabs>
          <w:tab w:leader="none" w:pos="10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efect strategic transactons, such as acquisitons, strategic alliances, divesttures and similar transactons, or to achieve the benefts sought to be achieved from such strategic transactons; and</w:t>
      </w:r>
    </w:p>
    <w:p>
      <w:pPr>
        <w:spacing w:after="0" w:line="109" w:lineRule="exact"/>
        <w:rPr>
          <w:rFonts w:ascii="Times New Roman" w:cs="Times New Roman" w:eastAsia="Times New Roman" w:hAnsi="Times New Roman"/>
          <w:sz w:val="18"/>
          <w:szCs w:val="18"/>
          <w:color w:val="auto"/>
        </w:rPr>
      </w:pPr>
    </w:p>
    <w:p>
      <w:pPr>
        <w:ind w:left="1000" w:right="480" w:hanging="493"/>
        <w:spacing w:after="0" w:line="235" w:lineRule="auto"/>
        <w:tabs>
          <w:tab w:leader="none" w:pos="10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potental impact of force majeure events, cyber‐atacks or other data security incidents that could disrupt or otherwise harm Kodak’s operatons.</w:t>
      </w:r>
    </w:p>
    <w:p>
      <w:pPr>
        <w:spacing w:after="0" w:line="218" w:lineRule="exact"/>
        <w:rPr>
          <w:sz w:val="20"/>
          <w:szCs w:val="20"/>
          <w:color w:val="auto"/>
        </w:rPr>
      </w:pPr>
    </w:p>
    <w:p>
      <w:pPr>
        <w:jc w:val="both"/>
        <w:ind w:right="180"/>
        <w:spacing w:after="0" w:line="235" w:lineRule="auto"/>
        <w:rPr>
          <w:sz w:val="20"/>
          <w:szCs w:val="20"/>
          <w:color w:val="auto"/>
        </w:rPr>
      </w:pPr>
      <w:r>
        <w:rPr>
          <w:rFonts w:ascii="Calibri" w:cs="Calibri" w:eastAsia="Calibri" w:hAnsi="Calibri"/>
          <w:sz w:val="18"/>
          <w:szCs w:val="18"/>
          <w:color w:val="auto"/>
        </w:rPr>
        <w:t>Future events and other factors may cause Kodak’s actual results to difer materially from the forward–looking statements. All forward–looking statements atributable to Kodak or persons actng on its behalf apply only as of the date of this report on Form 10-Q and are expressly qualifed in their entrety by the cautonary statements included or referenced in this document.</w:t>
      </w:r>
    </w:p>
    <w:p>
      <w:pPr>
        <w:spacing w:after="0" w:line="21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Kodak undertakes no obligaton to update or revise forward–looking statements to refect events or circumstances that arise afer the date made or to refect the occurrence of unantcipated events, except as required by law.</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EXECUTIVE OVERVIEW</w:t>
      </w:r>
    </w:p>
    <w:p>
      <w:pPr>
        <w:spacing w:after="0" w:line="244"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Kodak is a global manufacturer focused on commercial print and advanced materials and chemicals. Kodak provides industry-leading hardware, sofware, consumables and services primarily to customers in commercial print, packaging, publishing, manufacturing and entertainment. With 31,000 patents earned over 130 years of R&amp;D, Kodak believes in the power of technology and science to enhance what the world sees and creates. Kodak’s innovatve, award-winning products, combined with its customer-frst approach, allows Kodak to atract customers worldwide. Kodak is commited to environmental stewardship, including industry leadership in developing sustainable solutons for print.</w:t>
      </w:r>
    </w:p>
    <w:p>
      <w:pPr>
        <w:spacing w:after="0" w:line="247"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color w:val="auto"/>
        </w:rPr>
        <w:t>Consolidated revenues in the three months ended March 31, 2022 were $290 million, an improvement of $25 million (9%) when compared to the three months ended March 31, 2021. Currency impacted revenue unfavorably in 2022 compared to 2021 ($10 million).</w:t>
      </w:r>
    </w:p>
    <w:p>
      <w:pPr>
        <w:spacing w:after="0" w:line="245" w:lineRule="exact"/>
        <w:rPr>
          <w:sz w:val="20"/>
          <w:szCs w:val="20"/>
          <w:color w:val="auto"/>
        </w:rPr>
      </w:pPr>
    </w:p>
    <w:p>
      <w:pPr>
        <w:ind w:right="420"/>
        <w:spacing w:after="0" w:line="252" w:lineRule="auto"/>
        <w:rPr>
          <w:sz w:val="20"/>
          <w:szCs w:val="20"/>
          <w:color w:val="auto"/>
        </w:rPr>
      </w:pPr>
      <w:r>
        <w:rPr>
          <w:rFonts w:ascii="Calibri" w:cs="Calibri" w:eastAsia="Calibri" w:hAnsi="Calibri"/>
          <w:sz w:val="17"/>
          <w:szCs w:val="17"/>
          <w:color w:val="auto"/>
        </w:rPr>
        <w:t>Traditonal Printng’s revenues, which accounted for 59% of Kodak’s total revenues three months ended March 31, 2022, improved by $24 million (16%) compared to the three months ended March 31, 2021. Volume for SONORA Process Free Plates improved by 24% compared to the same period in 2021. Digital Printng revenues declined $8 million (13%) in three months ended March 31, 2022 with revenues for PROSPER annuites growing by 2% when compared to the same period in 2021. Advanced Materials and Chemicals revenue improved $8 million (17%) from 2021 to 2022.</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Impact of COVID‐19 and Other Global Events</w:t>
      </w:r>
      <w:r>
        <w:rPr>
          <w:rFonts w:ascii="Calibri" w:cs="Calibri" w:eastAsia="Calibri" w:hAnsi="Calibri"/>
          <w:sz w:val="18"/>
          <w:szCs w:val="18"/>
          <w:b w:val="1"/>
          <w:bCs w:val="1"/>
          <w:i w:val="1"/>
          <w:iCs w:val="1"/>
          <w:color w:val="auto"/>
        </w:rPr>
        <w:t>:</w:t>
      </w:r>
    </w:p>
    <w:p>
      <w:pPr>
        <w:spacing w:after="0" w:line="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ongoing global impacts associated with the COVID‐19 pandemic, the war in Ukraine and other global events contnue to impact Kodak’s operatons. Kodak is experiencing supply chain disruptons, shortages in materials and labor, and increased labor, material and distributon costs. Kodak has implemented numerous measures to mitgate these challenges, including increasing safety stock on certain sole‐sourced materials, increasing lead‐tmes, providing suppliers with longer forecasts of future demand, certfying additonal sources or substtute materials where possible and implementng pricing</w:t>
      </w:r>
    </w:p>
    <w:p>
      <w:pPr>
        <w:spacing w:after="0" w:line="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actons. While Kodak has been able to meet current demand and has implemented numerous measures to mitgate these challenges, the full impact of the COVID‐19 pandemic, the war in Ukraine and other global events on Kodak’s operatons and fnancial performance remains uncertain and will depend on several factors such as the duraton of supply chain disruptons, the ability to secure raw materials and components, the ability to ofset higher labor, material and distributon costs through pricing actons and the duraton of the COVID‐19 pandemic, including vaccinaton coverage, infecton rates, as well as local government restrictons. Kodak contnues to work closely with government and health ofcials in the jurisdictons where it operates to protect employees worldwide, with partcular measures in place for those working in plants and distributon facilites. Beginning in April 2022, Kodak closed its manufacturing facility located in Shanghai, China in response to a mandatory government lockdown. The lockdown is on-going and its potental impact on Kodak’s operatons will depend on its duraton. None of Kodak’s other manufacturing facilites have been ordered to close by governmental authorites.</w:t>
      </w:r>
    </w:p>
    <w:p>
      <w:pPr>
        <w:spacing w:after="0" w:line="25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 contnues to monitor the rapidly evolving events surrounding the war in Ukraine and the various sanctons imposed in response to the war. This military confict and the internatonal response has disrupted Kodak’s ability to operate its Russian subsidiary in the ordinary course, afectng its ability to pay vendors and employees, receive amounts owed from customers in Russia and deliver product.</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8" w:name="page29"/>
    <w:bookmarkEnd w:id="28"/>
    <w:p>
      <w:pPr>
        <w:ind w:right="80"/>
        <w:spacing w:after="0" w:line="235" w:lineRule="auto"/>
        <w:rPr>
          <w:sz w:val="20"/>
          <w:szCs w:val="20"/>
          <w:color w:val="auto"/>
        </w:rPr>
      </w:pPr>
      <w:r>
        <w:rPr>
          <w:rFonts w:ascii="Calibri" w:cs="Calibri" w:eastAsia="Calibri" w:hAnsi="Calibri"/>
          <w:sz w:val="18"/>
          <w:szCs w:val="18"/>
          <w:color w:val="auto"/>
        </w:rPr>
        <w:t>Kodak is currently assessing the strategic optons of its Russian subsidiary and is in compliance with all sanctons. The direct operatons of Kodak’s Russian subsidiary are not material to the Company’s fnancial statements (less than 1% of total consolidated revenues for 2021), and there were no material impacts to the consolidated results as of and for the quarter ended March 31, 2022. The worldwide supply of aluminum and electronic components is expected to decrease as suppliers divert from Russian sources, which may further constrain Kodak’s ability to secure these materials directly from the Company’s suppliers. As a result, Kodak may face increased costs and manufacturing and shipping delays. Kodak is antcipatng increased costs for energy and transportaton as a result of the confict. The extent to which the military confict in Ukraine will impact the global economy and Kodak’s business and operatons remains uncertain.</w:t>
      </w:r>
    </w:p>
    <w:p>
      <w:pPr>
        <w:spacing w:after="0" w:line="24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Both the Traditonal Printng and Digital Printng segments have been impacted by supply chain disruptons, travel restrictons, higher raw material costs and increased labor costs. To mitgate the impact of higher aluminum, energy and packaging costs, the Traditonal Printng segment implemented certain pricing actons including surcharges on purchases of plates largely beginning in the later part of the second quarter of 2021 that contnue to be periodically reviewed and adjusted accordingly. Both segments have implemented numerous measures to mitgate the supply chain disruptons while meetng current demand, but Kodak expects the ability to contnue to secure raw materials and components, and the ability to ofset higher raw material costs through surcharges for the Traditonal Printng segment, will remain a challenge throughout 2022.</w:t>
      </w:r>
    </w:p>
    <w:p>
      <w:pPr>
        <w:spacing w:after="0" w:line="248"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The Advanced Materials and Chemicals segment has experienced supply chain disruptons and shortages associated with raw materials as well as labor shortages in certain manufacturing areas. The segment has implemented numerous measures to mitgate these challenges while meetng current demand, however, the duraton and extent of supply chain disruptons and labor shortages remain unclear.</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Kodak’s strategy</w:t>
      </w:r>
      <w:r>
        <w:rPr>
          <w:rFonts w:ascii="Calibri" w:cs="Calibri" w:eastAsia="Calibri" w:hAnsi="Calibri"/>
          <w:sz w:val="18"/>
          <w:szCs w:val="18"/>
          <w:b w:val="1"/>
          <w:bCs w:val="1"/>
          <w:i w:val="1"/>
          <w:iCs w:val="1"/>
          <w:color w:val="auto"/>
        </w:rPr>
        <w:t>:</w:t>
      </w:r>
    </w:p>
    <w:p>
      <w:pPr>
        <w:spacing w:after="0" w:line="235" w:lineRule="auto"/>
        <w:rPr>
          <w:sz w:val="20"/>
          <w:szCs w:val="20"/>
          <w:color w:val="auto"/>
        </w:rPr>
      </w:pPr>
      <w:r>
        <w:rPr>
          <w:rFonts w:ascii="Calibri" w:cs="Calibri" w:eastAsia="Calibri" w:hAnsi="Calibri"/>
          <w:sz w:val="18"/>
          <w:szCs w:val="18"/>
          <w:color w:val="auto"/>
        </w:rPr>
        <w:t>The flm industry and segments within the print industry face competton from digital substtuton. Kodak’s strategy is to:</w:t>
      </w:r>
    </w:p>
    <w:p>
      <w:pPr>
        <w:spacing w:after="0" w:line="245" w:lineRule="exact"/>
        <w:rPr>
          <w:sz w:val="20"/>
          <w:szCs w:val="20"/>
          <w:color w:val="auto"/>
        </w:rPr>
      </w:pPr>
    </w:p>
    <w:p>
      <w:pPr>
        <w:ind w:left="1000" w:right="340" w:hanging="371"/>
        <w:spacing w:after="0" w:line="235" w:lineRule="auto"/>
        <w:tabs>
          <w:tab w:leader="none" w:pos="10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Focus product investment in core competency areas of print and advanced materials, leveraging Kodak’s proprietary technologies to deliver technologically advanced products in the product goods packaging, graphic communicatons, and functonal printng markets;</w:t>
      </w:r>
    </w:p>
    <w:p>
      <w:pPr>
        <w:spacing w:after="0" w:line="239" w:lineRule="exact"/>
        <w:rPr>
          <w:rFonts w:ascii="Times New Roman" w:cs="Times New Roman" w:eastAsia="Times New Roman" w:hAnsi="Times New Roman"/>
          <w:sz w:val="18"/>
          <w:szCs w:val="18"/>
          <w:color w:val="auto"/>
        </w:rPr>
      </w:pPr>
    </w:p>
    <w:p>
      <w:pPr>
        <w:ind w:left="1000" w:hanging="371"/>
        <w:spacing w:after="0"/>
        <w:tabs>
          <w:tab w:leader="none" w:pos="10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Grow revenues through a focus on customers across Kodak’s print divisions, increasing overall share;</w:t>
      </w:r>
    </w:p>
    <w:p>
      <w:pPr>
        <w:spacing w:after="0" w:line="239" w:lineRule="exact"/>
        <w:rPr>
          <w:rFonts w:ascii="Times New Roman" w:cs="Times New Roman" w:eastAsia="Times New Roman" w:hAnsi="Times New Roman"/>
          <w:sz w:val="18"/>
          <w:szCs w:val="18"/>
          <w:color w:val="auto"/>
        </w:rPr>
      </w:pPr>
    </w:p>
    <w:p>
      <w:pPr>
        <w:ind w:left="1000" w:hanging="371"/>
        <w:spacing w:after="0"/>
        <w:tabs>
          <w:tab w:leader="none" w:pos="10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Promote the use of flm and expand the applicatons of Kodak’s flm and chemicals to best utlize the existng infrastructure; and</w:t>
      </w:r>
    </w:p>
    <w:p>
      <w:pPr>
        <w:spacing w:after="0" w:line="225" w:lineRule="exact"/>
        <w:rPr>
          <w:rFonts w:ascii="Times New Roman" w:cs="Times New Roman" w:eastAsia="Times New Roman" w:hAnsi="Times New Roman"/>
          <w:sz w:val="18"/>
          <w:szCs w:val="18"/>
          <w:color w:val="auto"/>
        </w:rPr>
      </w:pPr>
    </w:p>
    <w:p>
      <w:pPr>
        <w:ind w:left="980" w:hanging="351"/>
        <w:spacing w:after="0"/>
        <w:tabs>
          <w:tab w:leader="none" w:pos="9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 to streamline processes to drive cost reductons and improve operatng leverage.</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A discussion of opportunites and challenges related to Kodak’s strategy follows:</w:t>
      </w:r>
    </w:p>
    <w:p>
      <w:pPr>
        <w:spacing w:after="0" w:line="204" w:lineRule="exact"/>
        <w:rPr>
          <w:sz w:val="20"/>
          <w:szCs w:val="20"/>
          <w:color w:val="auto"/>
        </w:rPr>
      </w:pPr>
    </w:p>
    <w:p>
      <w:pPr>
        <w:ind w:left="920" w:right="20" w:hanging="359"/>
        <w:spacing w:after="0" w:line="217" w:lineRule="auto"/>
        <w:tabs>
          <w:tab w:leader="none" w:pos="9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Traditonal Printng’s digital plate products include traditonal digital plates and KODAK SONORA Process Free Plates. SONORA Process Free Plates allow Kodak customers to skip the plate processing step prior to mountng plates on a printng press. This improvement in the printng process saves tme and costs for customers. Also, SONORA Process Free Plates reduce the environmental impact of the printng process because they eliminate the use of chemicals (including solvents), water and power that is otherwise required to process a traditonal plate. The segment is experiencing challenges from higher prices and availability of raw materials, digital substtuton and compettve pricing pressures. Kodak seeks to mitgate the impact of increases in manufacturing costs, including aluminum prices, through a combinaton of surcharges and price increases, improved producton efciency and cost reducton initatves. In additon, Kodak seeks to ofset the impact of long‐term market dynamics on pricing and volume pressures through innovatons in Kodak product lines.</w:t>
      </w:r>
    </w:p>
    <w:p>
      <w:pPr>
        <w:spacing w:after="0" w:line="219" w:lineRule="exact"/>
        <w:rPr>
          <w:rFonts w:ascii="Times New Roman" w:cs="Times New Roman" w:eastAsia="Times New Roman" w:hAnsi="Times New Roman"/>
          <w:sz w:val="18"/>
          <w:szCs w:val="18"/>
          <w:color w:val="auto"/>
        </w:rPr>
      </w:pPr>
    </w:p>
    <w:p>
      <w:pPr>
        <w:ind w:left="920" w:right="140" w:hanging="359"/>
        <w:spacing w:after="0" w:line="235" w:lineRule="auto"/>
        <w:tabs>
          <w:tab w:leader="none" w:pos="9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 Digital Printng, the PROSPER business is expected to grow as the legacy VERSAMARK business contnues to decline as a percentage of the segment’s total revenue. The PROSPER Inkjet Systems business is expected to contnue to build proftability. Investment in the next generaton technology, Ultrastream, is focused on the ability to place Ultrastream writng systems in Kodak branded presses and in various original equipment manufacturers in applicatons ranging from commercial print to packaging. The Electrophotographic Printng Solutons business expects to introduce a new printer in 2022, ASCEND, aimed at the retail, point of purchase and packaging markets.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ind w:left="920" w:right="340" w:hanging="359"/>
        <w:spacing w:after="0" w:line="235" w:lineRule="auto"/>
        <w:tabs>
          <w:tab w:leader="none" w:pos="9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Advanced Materials and Chemicals is using Kodak’s deep expertse in chemistry and strengths in depositon and coatng processes that come from decades of experience in flm manufacturing to work on new initatves:</w:t>
      </w:r>
    </w:p>
    <w:p>
      <w:pPr>
        <w:spacing w:after="0" w:line="233" w:lineRule="exact"/>
        <w:rPr>
          <w:rFonts w:ascii="Times New Roman" w:cs="Times New Roman" w:eastAsia="Times New Roman" w:hAnsi="Times New Roman"/>
          <w:sz w:val="18"/>
          <w:szCs w:val="18"/>
          <w:color w:val="auto"/>
        </w:rPr>
      </w:pPr>
    </w:p>
    <w:p>
      <w:pPr>
        <w:ind w:left="1300" w:right="60" w:hanging="365"/>
        <w:spacing w:after="0" w:line="23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Calibri" w:cs="Calibri" w:eastAsia="Calibri" w:hAnsi="Calibri"/>
          <w:sz w:val="18"/>
          <w:szCs w:val="18"/>
          <w:color w:val="auto"/>
        </w:rPr>
        <w:t>Electric Vehicle (“EV”)/Energy Storage Batery Material Manufacturing</w:t>
      </w:r>
      <w:r>
        <w:rPr>
          <w:rFonts w:ascii="Courier New" w:cs="Courier New" w:eastAsia="Courier New" w:hAnsi="Courier New"/>
          <w:sz w:val="18"/>
          <w:szCs w:val="18"/>
          <w:color w:val="auto"/>
        </w:rPr>
        <w:t xml:space="preserve"> </w:t>
      </w:r>
      <w:r>
        <w:rPr>
          <w:rFonts w:ascii="Calibri" w:cs="Calibri" w:eastAsia="Calibri" w:hAnsi="Calibri"/>
          <w:sz w:val="18"/>
          <w:szCs w:val="18"/>
          <w:i w:val="1"/>
          <w:iCs w:val="1"/>
          <w:color w:val="auto"/>
        </w:rPr>
        <w:t>-</w:t>
      </w:r>
      <w:r>
        <w:rPr>
          <w:rFonts w:ascii="Courier New" w:cs="Courier New" w:eastAsia="Courier New" w:hAnsi="Courier New"/>
          <w:sz w:val="18"/>
          <w:szCs w:val="18"/>
          <w:color w:val="auto"/>
        </w:rPr>
        <w:t xml:space="preserve"> </w:t>
      </w:r>
      <w:r>
        <w:rPr>
          <w:rFonts w:ascii="Calibri" w:cs="Calibri" w:eastAsia="Calibri" w:hAnsi="Calibri"/>
          <w:sz w:val="18"/>
          <w:szCs w:val="18"/>
          <w:color w:val="auto"/>
        </w:rPr>
        <w:t>Coatng of substrates is a critcal aspect of manufacturing materials</w:t>
      </w:r>
      <w:r>
        <w:rPr>
          <w:rFonts w:ascii="Courier New" w:cs="Courier New" w:eastAsia="Courier New" w:hAnsi="Courier New"/>
          <w:sz w:val="18"/>
          <w:szCs w:val="18"/>
          <w:color w:val="auto"/>
        </w:rPr>
        <w:t xml:space="preserve"> </w:t>
      </w:r>
      <w:r>
        <w:rPr>
          <w:rFonts w:ascii="Calibri" w:cs="Calibri" w:eastAsia="Calibri" w:hAnsi="Calibri"/>
          <w:sz w:val="18"/>
          <w:szCs w:val="18"/>
          <w:color w:val="auto"/>
        </w:rPr>
        <w:t>for bateries and Kodak plans to capitalize on its expertse in coatng technology to develop opportunites in this area.</w:t>
      </w:r>
    </w:p>
    <w:p>
      <w:pPr>
        <w:spacing w:after="0" w:line="233" w:lineRule="exact"/>
        <w:rPr>
          <w:rFonts w:ascii="Times New Roman" w:cs="Times New Roman" w:eastAsia="Times New Roman" w:hAnsi="Times New Roman"/>
          <w:sz w:val="18"/>
          <w:szCs w:val="18"/>
          <w:color w:val="auto"/>
        </w:rPr>
      </w:pPr>
    </w:p>
    <w:p>
      <w:pPr>
        <w:ind w:left="1300" w:right="80" w:hanging="365"/>
        <w:spacing w:after="0" w:line="23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Calibri" w:cs="Calibri" w:eastAsia="Calibri" w:hAnsi="Calibri"/>
          <w:sz w:val="18"/>
          <w:szCs w:val="18"/>
          <w:color w:val="auto"/>
        </w:rPr>
        <w:t>Light-Blocking Technology - Kodak plans to leverage a proprietary technology initally developed for electrophotographic toners to</w:t>
      </w:r>
      <w:r>
        <w:rPr>
          <w:rFonts w:ascii="Courier New" w:cs="Courier New" w:eastAsia="Courier New" w:hAnsi="Courier New"/>
          <w:sz w:val="18"/>
          <w:szCs w:val="18"/>
          <w:color w:val="auto"/>
        </w:rPr>
        <w:t xml:space="preserve"> </w:t>
      </w:r>
      <w:r>
        <w:rPr>
          <w:rFonts w:ascii="Calibri" w:cs="Calibri" w:eastAsia="Calibri" w:hAnsi="Calibri"/>
          <w:sz w:val="18"/>
          <w:szCs w:val="18"/>
          <w:color w:val="auto"/>
        </w:rPr>
        <w:t>commercialize a carbon‐less fabric coatng designed to ofer superior light management, from complete blackout to selectve light fltering, and coatng compatbility with an unmatched range of fabrics.</w:t>
      </w:r>
    </w:p>
    <w:p>
      <w:pPr>
        <w:spacing w:after="0" w:line="234" w:lineRule="exact"/>
        <w:rPr>
          <w:rFonts w:ascii="Times New Roman" w:cs="Times New Roman" w:eastAsia="Times New Roman" w:hAnsi="Times New Roman"/>
          <w:sz w:val="18"/>
          <w:szCs w:val="18"/>
          <w:color w:val="auto"/>
        </w:rPr>
      </w:pPr>
    </w:p>
    <w:p>
      <w:pPr>
        <w:ind w:left="1300" w:right="40" w:hanging="365"/>
        <w:spacing w:after="0" w:line="23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Calibri" w:cs="Calibri" w:eastAsia="Calibri" w:hAnsi="Calibri"/>
          <w:sz w:val="18"/>
          <w:szCs w:val="18"/>
          <w:color w:val="auto"/>
        </w:rPr>
        <w:t>Transparent Antennas - Kodak plans to leverage its proprietary copper micro‐wire technologies and high‐resoluton printng expertse to</w:t>
      </w:r>
      <w:r>
        <w:rPr>
          <w:rFonts w:ascii="Courier New" w:cs="Courier New" w:eastAsia="Courier New" w:hAnsi="Courier New"/>
          <w:sz w:val="18"/>
          <w:szCs w:val="18"/>
          <w:color w:val="auto"/>
        </w:rPr>
        <w:t xml:space="preserve"> </w:t>
      </w:r>
      <w:r>
        <w:rPr>
          <w:rFonts w:ascii="Calibri" w:cs="Calibri" w:eastAsia="Calibri" w:hAnsi="Calibri"/>
          <w:sz w:val="18"/>
          <w:szCs w:val="18"/>
          <w:color w:val="auto"/>
        </w:rPr>
        <w:t>contract‐manufacture custom transparent antennas for automotve, commercial constructon, and other applicatons requiring excellent radio frequency (“RF”) and optcal performance. The integraton of antennas is growing worldwide due to the rapid expansion of 5G and an overall increase in RF communicatons, and the ubiquity of glass surfaces makes transparent antennas atractve for multple end‐use markets.</w:t>
      </w:r>
    </w:p>
    <w:p>
      <w:pPr>
        <w:spacing w:after="0" w:line="236" w:lineRule="exact"/>
        <w:rPr>
          <w:rFonts w:ascii="Times New Roman" w:cs="Times New Roman" w:eastAsia="Times New Roman" w:hAnsi="Times New Roman"/>
          <w:sz w:val="18"/>
          <w:szCs w:val="18"/>
          <w:color w:val="auto"/>
        </w:rPr>
      </w:pPr>
    </w:p>
    <w:p>
      <w:pPr>
        <w:ind w:left="1300" w:right="140" w:hanging="365"/>
        <w:spacing w:after="0" w:line="264" w:lineRule="auto"/>
        <w:rPr>
          <w:rFonts w:ascii="Times New Roman" w:cs="Times New Roman" w:eastAsia="Times New Roman" w:hAnsi="Times New Roman"/>
          <w:sz w:val="18"/>
          <w:szCs w:val="18"/>
          <w:color w:val="auto"/>
        </w:rPr>
      </w:pPr>
      <w:r>
        <w:rPr>
          <w:rFonts w:ascii="Courier New" w:cs="Courier New" w:eastAsia="Courier New" w:hAnsi="Courier New"/>
          <w:sz w:val="17"/>
          <w:szCs w:val="17"/>
          <w:color w:val="auto"/>
        </w:rPr>
        <w:t xml:space="preserve">o </w:t>
      </w:r>
      <w:r>
        <w:rPr>
          <w:rFonts w:ascii="Calibri" w:cs="Calibri" w:eastAsia="Calibri" w:hAnsi="Calibri"/>
          <w:sz w:val="17"/>
          <w:szCs w:val="17"/>
          <w:color w:val="auto"/>
        </w:rPr>
        <w:t>Reagent Manufacturing - Kodak plans to capitalize on its existng chemical manufacturing expertse, including current producton of</w:t>
      </w:r>
      <w:r>
        <w:rPr>
          <w:rFonts w:ascii="Courier New" w:cs="Courier New" w:eastAsia="Courier New" w:hAnsi="Courier New"/>
          <w:sz w:val="17"/>
          <w:szCs w:val="17"/>
          <w:color w:val="auto"/>
        </w:rPr>
        <w:t xml:space="preserve"> </w:t>
      </w:r>
      <w:r>
        <w:rPr>
          <w:rFonts w:ascii="Calibri" w:cs="Calibri" w:eastAsia="Calibri" w:hAnsi="Calibri"/>
          <w:sz w:val="17"/>
          <w:szCs w:val="17"/>
          <w:color w:val="auto"/>
        </w:rPr>
        <w:t>unregulated Key Startng Materials for pharmaceutcals, to implement an expansion into manufacturing Diagnostc Test Reagent solutons.</w:t>
      </w:r>
    </w:p>
    <w:p>
      <w:pPr>
        <w:spacing w:after="0" w:line="223" w:lineRule="exact"/>
        <w:rPr>
          <w:rFonts w:ascii="Times New Roman" w:cs="Times New Roman" w:eastAsia="Times New Roman" w:hAnsi="Times New Roman"/>
          <w:sz w:val="18"/>
          <w:szCs w:val="18"/>
          <w:color w:val="auto"/>
        </w:rPr>
      </w:pPr>
    </w:p>
    <w:p>
      <w:pPr>
        <w:ind w:left="920" w:right="160" w:hanging="359"/>
        <w:spacing w:after="0" w:line="235" w:lineRule="auto"/>
        <w:tabs>
          <w:tab w:leader="none" w:pos="9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Film and related component manufacturing operatons and Kodak Research Laboratories utlize capacity at Eastman Business Park, which helps cost absorpton for both Kodak operatons and tenants at Eastman Business Park.</w:t>
      </w:r>
    </w:p>
    <w:p>
      <w:pPr>
        <w:spacing w:after="0" w:line="204" w:lineRule="exact"/>
        <w:rPr>
          <w:rFonts w:ascii="Times New Roman" w:cs="Times New Roman" w:eastAsia="Times New Roman" w:hAnsi="Times New Roman"/>
          <w:sz w:val="18"/>
          <w:szCs w:val="18"/>
          <w:color w:val="auto"/>
        </w:rPr>
      </w:pPr>
    </w:p>
    <w:p>
      <w:pPr>
        <w:ind w:left="920" w:right="340" w:hanging="359"/>
        <w:spacing w:after="0" w:line="235" w:lineRule="auto"/>
        <w:tabs>
          <w:tab w:leader="none" w:pos="9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 plans to capitalize on its intellectual property through new business or licensing opportunites in 3D printng materials, smart material applicatons, and printed electronics markets.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2022 COMPARED TO 2021</w:t>
      </w:r>
    </w:p>
    <w:p>
      <w:pPr>
        <w:spacing w:after="0" w:line="235" w:lineRule="auto"/>
        <w:rPr>
          <w:sz w:val="20"/>
          <w:szCs w:val="20"/>
          <w:color w:val="auto"/>
        </w:rPr>
      </w:pPr>
      <w:r>
        <w:rPr>
          <w:rFonts w:ascii="Calibri" w:cs="Calibri" w:eastAsia="Calibri" w:hAnsi="Calibri"/>
          <w:sz w:val="18"/>
          <w:szCs w:val="18"/>
          <w:b w:val="1"/>
          <w:bCs w:val="1"/>
          <w:color w:val="auto"/>
        </w:rPr>
        <w:t>FIRST QUARTER RESULTS OF OPERATIONS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60" w:type="dxa"/>
            <w:vAlign w:val="bottom"/>
            <w:gridSpan w:val="7"/>
          </w:tcPr>
          <w:p>
            <w:pPr>
              <w:jc w:val="right"/>
              <w:ind w:right="740"/>
              <w:spacing w:after="0"/>
              <w:rPr>
                <w:sz w:val="20"/>
                <w:szCs w:val="20"/>
                <w:color w:val="auto"/>
              </w:rPr>
            </w:pPr>
            <w:r>
              <w:rPr>
                <w:rFonts w:ascii="Calibri" w:cs="Calibri" w:eastAsia="Calibri" w:hAnsi="Calibri"/>
                <w:sz w:val="16"/>
                <w:szCs w:val="16"/>
                <w:b w:val="1"/>
                <w:bCs w:val="1"/>
                <w:color w:val="auto"/>
              </w:rPr>
              <w:t>Three Months Ended March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right"/>
              <w:ind w:right="679"/>
              <w:spacing w:after="0" w:line="187" w:lineRule="exact"/>
              <w:rPr>
                <w:sz w:val="20"/>
                <w:szCs w:val="20"/>
                <w:color w:val="auto"/>
              </w:rPr>
            </w:pPr>
            <w:r>
              <w:rPr>
                <w:rFonts w:ascii="Calibri" w:cs="Calibri" w:eastAsia="Calibri" w:hAnsi="Calibri"/>
                <w:sz w:val="16"/>
                <w:szCs w:val="16"/>
                <w:b w:val="1"/>
                <w:bCs w:val="1"/>
                <w:color w:val="auto"/>
              </w:rPr>
              <w:t>% of</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580"/>
              <w:spacing w:after="0" w:line="187" w:lineRule="exact"/>
              <w:rPr>
                <w:sz w:val="20"/>
                <w:szCs w:val="20"/>
                <w:color w:val="auto"/>
              </w:rPr>
            </w:pPr>
            <w:r>
              <w:rPr>
                <w:rFonts w:ascii="Calibri" w:cs="Calibri" w:eastAsia="Calibri" w:hAnsi="Calibri"/>
                <w:sz w:val="16"/>
                <w:szCs w:val="16"/>
                <w:b w:val="1"/>
                <w:bCs w:val="1"/>
                <w:color w:val="auto"/>
              </w:rPr>
              <w:t>% of</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60" w:type="dxa"/>
            <w:vAlign w:val="bottom"/>
          </w:tcPr>
          <w:p>
            <w:pPr>
              <w:spacing w:after="0"/>
              <w:rPr>
                <w:sz w:val="20"/>
                <w:szCs w:val="20"/>
                <w:color w:val="auto"/>
              </w:rPr>
            </w:pPr>
            <w:r>
              <w:rPr>
                <w:rFonts w:ascii="Calibri" w:cs="Calibri" w:eastAsia="Calibri" w:hAnsi="Calibri"/>
                <w:sz w:val="16"/>
                <w:szCs w:val="16"/>
                <w:color w:val="auto"/>
              </w:rPr>
              <w:t>(in millions)</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79"/>
              <w:spacing w:after="0"/>
              <w:rPr>
                <w:sz w:val="20"/>
                <w:szCs w:val="20"/>
                <w:color w:val="auto"/>
              </w:rPr>
            </w:pPr>
            <w:r>
              <w:rPr>
                <w:rFonts w:ascii="Calibri" w:cs="Calibri" w:eastAsia="Calibri" w:hAnsi="Calibri"/>
                <w:sz w:val="16"/>
                <w:szCs w:val="16"/>
                <w:b w:val="1"/>
                <w:bCs w:val="1"/>
                <w:color w:val="auto"/>
              </w:rPr>
              <w:t>2022</w:t>
            </w:r>
          </w:p>
        </w:tc>
        <w:tc>
          <w:tcPr>
            <w:tcW w:w="240" w:type="dxa"/>
            <w:vAlign w:val="bottom"/>
          </w:tcPr>
          <w:p>
            <w:pPr>
              <w:spacing w:after="0"/>
              <w:rPr>
                <w:sz w:val="17"/>
                <w:szCs w:val="17"/>
                <w:color w:val="auto"/>
              </w:rPr>
            </w:pPr>
          </w:p>
        </w:tc>
        <w:tc>
          <w:tcPr>
            <w:tcW w:w="1320" w:type="dxa"/>
            <w:vAlign w:val="bottom"/>
            <w:gridSpan w:val="3"/>
          </w:tcPr>
          <w:p>
            <w:pPr>
              <w:jc w:val="right"/>
              <w:ind w:right="659"/>
              <w:spacing w:after="0"/>
              <w:rPr>
                <w:sz w:val="20"/>
                <w:szCs w:val="20"/>
                <w:color w:val="auto"/>
              </w:rPr>
            </w:pPr>
            <w:r>
              <w:rPr>
                <w:rFonts w:ascii="Calibri" w:cs="Calibri" w:eastAsia="Calibri" w:hAnsi="Calibri"/>
                <w:sz w:val="16"/>
                <w:szCs w:val="16"/>
                <w:b w:val="1"/>
                <w:bCs w:val="1"/>
                <w:color w:val="auto"/>
              </w:rPr>
              <w:t>Sales</w:t>
            </w:r>
          </w:p>
        </w:tc>
        <w:tc>
          <w:tcPr>
            <w:tcW w:w="660" w:type="dxa"/>
            <w:vAlign w:val="bottom"/>
          </w:tcPr>
          <w:p>
            <w:pPr>
              <w:jc w:val="right"/>
              <w:ind w:right="179"/>
              <w:spacing w:after="0"/>
              <w:rPr>
                <w:sz w:val="20"/>
                <w:szCs w:val="20"/>
                <w:color w:val="auto"/>
              </w:rPr>
            </w:pPr>
            <w:r>
              <w:rPr>
                <w:rFonts w:ascii="Calibri" w:cs="Calibri" w:eastAsia="Calibri" w:hAnsi="Calibri"/>
                <w:sz w:val="16"/>
                <w:szCs w:val="16"/>
                <w:b w:val="1"/>
                <w:bCs w:val="1"/>
                <w:color w:val="auto"/>
              </w:rPr>
              <w:t>2021</w:t>
            </w:r>
          </w:p>
        </w:tc>
        <w:tc>
          <w:tcPr>
            <w:tcW w:w="24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Calibri" w:cs="Calibri" w:eastAsia="Calibri" w:hAnsi="Calibri"/>
                <w:sz w:val="16"/>
                <w:szCs w:val="16"/>
                <w:b w:val="1"/>
                <w:bCs w:val="1"/>
                <w:color w:val="auto"/>
              </w:rPr>
              <w:t>Sales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Calibri" w:cs="Calibri" w:eastAsia="Calibri" w:hAnsi="Calibri"/>
                <w:sz w:val="16"/>
                <w:szCs w:val="16"/>
                <w:b w:val="1"/>
                <w:bCs w:val="1"/>
                <w:color w:val="auto"/>
                <w:w w:val="98"/>
              </w:rPr>
              <w:t>$ Change</w:t>
            </w:r>
          </w:p>
        </w:tc>
        <w:tc>
          <w:tcPr>
            <w:tcW w:w="0" w:type="dxa"/>
            <w:vAlign w:val="bottom"/>
          </w:tcPr>
          <w:p>
            <w:pPr>
              <w:spacing w:after="0"/>
              <w:rPr>
                <w:sz w:val="1"/>
                <w:szCs w:val="1"/>
                <w:color w:val="auto"/>
              </w:rPr>
            </w:pPr>
          </w:p>
        </w:tc>
      </w:tr>
      <w:tr>
        <w:trPr>
          <w:trHeight w:val="28"/>
        </w:trPr>
        <w:tc>
          <w:tcPr>
            <w:tcW w:w="4660" w:type="dxa"/>
            <w:vAlign w:val="bottom"/>
            <w:tcBorders>
              <w:bottom w:val="single" w:sz="8" w:color="CFF0FC"/>
            </w:tcBorders>
          </w:tcPr>
          <w:p>
            <w:pPr>
              <w:spacing w:after="0"/>
              <w:rPr>
                <w:sz w:val="2"/>
                <w:szCs w:val="2"/>
                <w:color w:val="auto"/>
              </w:rPr>
            </w:pPr>
          </w:p>
        </w:tc>
        <w:tc>
          <w:tcPr>
            <w:tcW w:w="12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tcBorders>
              <w:bottom w:val="single" w:sz="8" w:color="CFF0FC"/>
            </w:tcBorders>
            <w:shd w:val="clear" w:color="auto" w:fill="CFF0FC"/>
          </w:tcPr>
          <w:p>
            <w:pPr>
              <w:spacing w:after="0" w:line="182" w:lineRule="exact"/>
              <w:rPr>
                <w:sz w:val="20"/>
                <w:szCs w:val="20"/>
                <w:color w:val="auto"/>
              </w:rPr>
            </w:pPr>
            <w:r>
              <w:rPr>
                <w:rFonts w:ascii="Calibri" w:cs="Calibri" w:eastAsia="Calibri" w:hAnsi="Calibri"/>
                <w:sz w:val="16"/>
                <w:szCs w:val="16"/>
                <w:color w:val="auto"/>
              </w:rPr>
              <w:t>Revenues</w:t>
            </w:r>
          </w:p>
        </w:tc>
        <w:tc>
          <w:tcPr>
            <w:tcW w:w="1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66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290</w:t>
            </w: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66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265</w:t>
            </w:r>
          </w:p>
        </w:tc>
        <w:tc>
          <w:tcPr>
            <w:tcW w:w="24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7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line="193" w:lineRule="exact"/>
              <w:rPr>
                <w:sz w:val="20"/>
                <w:szCs w:val="20"/>
                <w:color w:val="auto"/>
              </w:rPr>
            </w:pPr>
            <w:r>
              <w:rPr>
                <w:rFonts w:ascii="Calibri" w:cs="Calibri" w:eastAsia="Calibri" w:hAnsi="Calibri"/>
                <w:sz w:val="16"/>
                <w:szCs w:val="16"/>
                <w:color w:val="auto"/>
              </w:rPr>
              <w:t>Cost of revenues</w:t>
            </w: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line="193" w:lineRule="exact"/>
              <w:rPr>
                <w:sz w:val="20"/>
                <w:szCs w:val="20"/>
                <w:color w:val="auto"/>
              </w:rPr>
            </w:pPr>
            <w:r>
              <w:rPr>
                <w:rFonts w:ascii="Calibri" w:cs="Calibri" w:eastAsia="Calibri" w:hAnsi="Calibri"/>
                <w:sz w:val="16"/>
                <w:szCs w:val="16"/>
                <w:color w:val="auto"/>
              </w:rPr>
              <w:t>257</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line="193" w:lineRule="exact"/>
              <w:rPr>
                <w:sz w:val="20"/>
                <w:szCs w:val="20"/>
                <w:color w:val="auto"/>
              </w:rPr>
            </w:pPr>
            <w:r>
              <w:rPr>
                <w:rFonts w:ascii="Calibri" w:cs="Calibri" w:eastAsia="Calibri" w:hAnsi="Calibri"/>
                <w:sz w:val="16"/>
                <w:szCs w:val="16"/>
                <w:color w:val="auto"/>
              </w:rPr>
              <w:t>225</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Calibri" w:cs="Calibri" w:eastAsia="Calibri" w:hAnsi="Calibri"/>
                <w:sz w:val="16"/>
                <w:szCs w:val="16"/>
                <w:color w:val="auto"/>
              </w:rPr>
              <w:t>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66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660" w:type="dxa"/>
            <w:vAlign w:val="bottom"/>
            <w:tcBorders>
              <w:bottom w:val="single" w:sz="8" w:color="CFF0FC"/>
            </w:tcBorders>
            <w:shd w:val="clear" w:color="auto" w:fill="CFF0FC"/>
          </w:tcPr>
          <w:p>
            <w:pPr>
              <w:ind w:left="260"/>
              <w:spacing w:after="0" w:line="182" w:lineRule="exact"/>
              <w:rPr>
                <w:sz w:val="20"/>
                <w:szCs w:val="20"/>
                <w:color w:val="auto"/>
              </w:rPr>
            </w:pPr>
            <w:r>
              <w:rPr>
                <w:rFonts w:ascii="Calibri" w:cs="Calibri" w:eastAsia="Calibri" w:hAnsi="Calibri"/>
                <w:sz w:val="16"/>
                <w:szCs w:val="16"/>
                <w:color w:val="auto"/>
              </w:rPr>
              <w:t>Gross proft</w:t>
            </w:r>
          </w:p>
        </w:tc>
        <w:tc>
          <w:tcPr>
            <w:tcW w:w="1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33</w:t>
            </w:r>
          </w:p>
        </w:tc>
        <w:tc>
          <w:tcPr>
            <w:tcW w:w="24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220"/>
              <w:spacing w:after="0" w:line="182" w:lineRule="exact"/>
              <w:rPr>
                <w:sz w:val="20"/>
                <w:szCs w:val="20"/>
                <w:color w:val="auto"/>
              </w:rPr>
            </w:pPr>
            <w:r>
              <w:rPr>
                <w:rFonts w:ascii="Calibri" w:cs="Calibri" w:eastAsia="Calibri" w:hAnsi="Calibri"/>
                <w:sz w:val="16"/>
                <w:szCs w:val="16"/>
                <w:color w:val="auto"/>
              </w:rPr>
              <w:t>11%</w:t>
            </w:r>
          </w:p>
        </w:tc>
        <w:tc>
          <w:tcPr>
            <w:tcW w:w="16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40</w:t>
            </w:r>
          </w:p>
        </w:tc>
        <w:tc>
          <w:tcPr>
            <w:tcW w:w="24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gridSpan w:val="2"/>
            <w:shd w:val="clear" w:color="auto" w:fill="CFF0FC"/>
          </w:tcPr>
          <w:p>
            <w:pPr>
              <w:jc w:val="right"/>
              <w:ind w:right="200"/>
              <w:spacing w:after="0" w:line="182" w:lineRule="exact"/>
              <w:rPr>
                <w:sz w:val="20"/>
                <w:szCs w:val="20"/>
                <w:color w:val="auto"/>
              </w:rPr>
            </w:pPr>
            <w:r>
              <w:rPr>
                <w:rFonts w:ascii="Calibri" w:cs="Calibri" w:eastAsia="Calibri" w:hAnsi="Calibri"/>
                <w:sz w:val="16"/>
                <w:szCs w:val="16"/>
                <w:color w:val="auto"/>
              </w:rPr>
              <w:t>15%</w:t>
            </w:r>
          </w:p>
        </w:tc>
        <w:tc>
          <w:tcPr>
            <w:tcW w:w="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gridSpan w:val="2"/>
            <w:shd w:val="clear" w:color="auto" w:fill="CFF0FC"/>
          </w:tcPr>
          <w:p>
            <w:pPr>
              <w:jc w:val="right"/>
              <w:ind w:right="60"/>
              <w:spacing w:after="0" w:line="187" w:lineRule="exact"/>
              <w:rPr>
                <w:sz w:val="20"/>
                <w:szCs w:val="20"/>
                <w:color w:val="auto"/>
              </w:rPr>
            </w:pPr>
            <w:r>
              <w:rPr>
                <w:rFonts w:ascii="Calibri" w:cs="Calibri" w:eastAsia="Calibri" w:hAnsi="Calibri"/>
                <w:sz w:val="16"/>
                <w:szCs w:val="16"/>
                <w:color w:val="auto"/>
              </w:rPr>
              <w:t>(7)</w:t>
            </w:r>
          </w:p>
        </w:tc>
        <w:tc>
          <w:tcPr>
            <w:tcW w:w="0" w:type="dxa"/>
            <w:vAlign w:val="bottom"/>
          </w:tcPr>
          <w:p>
            <w:pPr>
              <w:spacing w:after="0"/>
              <w:rPr>
                <w:sz w:val="1"/>
                <w:szCs w:val="1"/>
                <w:color w:val="auto"/>
              </w:rPr>
            </w:pPr>
          </w:p>
        </w:tc>
      </w:tr>
      <w:tr>
        <w:trPr>
          <w:trHeight w:val="193"/>
        </w:trPr>
        <w:tc>
          <w:tcPr>
            <w:tcW w:w="4660" w:type="dxa"/>
            <w:vAlign w:val="bottom"/>
          </w:tcPr>
          <w:p>
            <w:pPr>
              <w:spacing w:after="0" w:line="193" w:lineRule="exact"/>
              <w:rPr>
                <w:sz w:val="20"/>
                <w:szCs w:val="20"/>
                <w:color w:val="auto"/>
              </w:rPr>
            </w:pPr>
            <w:r>
              <w:rPr>
                <w:rFonts w:ascii="Calibri" w:cs="Calibri" w:eastAsia="Calibri" w:hAnsi="Calibri"/>
                <w:sz w:val="16"/>
                <w:szCs w:val="16"/>
                <w:color w:val="auto"/>
              </w:rPr>
              <w:t>Selling, general and administratve expenses</w:t>
            </w: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line="193" w:lineRule="exact"/>
              <w:rPr>
                <w:sz w:val="20"/>
                <w:szCs w:val="20"/>
                <w:color w:val="auto"/>
              </w:rPr>
            </w:pPr>
            <w:r>
              <w:rPr>
                <w:rFonts w:ascii="Calibri" w:cs="Calibri" w:eastAsia="Calibri" w:hAnsi="Calibri"/>
                <w:sz w:val="16"/>
                <w:szCs w:val="16"/>
                <w:color w:val="auto"/>
              </w:rPr>
              <w:t>43</w:t>
            </w:r>
          </w:p>
        </w:tc>
        <w:tc>
          <w:tcPr>
            <w:tcW w:w="240" w:type="dxa"/>
            <w:vAlign w:val="bottom"/>
          </w:tcPr>
          <w:p>
            <w:pPr>
              <w:spacing w:after="0"/>
              <w:rPr>
                <w:sz w:val="16"/>
                <w:szCs w:val="16"/>
                <w:color w:val="auto"/>
              </w:rPr>
            </w:pPr>
          </w:p>
        </w:tc>
        <w:tc>
          <w:tcPr>
            <w:tcW w:w="1160" w:type="dxa"/>
            <w:vAlign w:val="bottom"/>
            <w:gridSpan w:val="2"/>
          </w:tcPr>
          <w:p>
            <w:pPr>
              <w:jc w:val="right"/>
              <w:ind w:right="220"/>
              <w:spacing w:after="0" w:line="193" w:lineRule="exact"/>
              <w:rPr>
                <w:sz w:val="20"/>
                <w:szCs w:val="20"/>
                <w:color w:val="auto"/>
              </w:rPr>
            </w:pPr>
            <w:r>
              <w:rPr>
                <w:rFonts w:ascii="Calibri" w:cs="Calibri" w:eastAsia="Calibri" w:hAnsi="Calibri"/>
                <w:sz w:val="16"/>
                <w:szCs w:val="16"/>
                <w:color w:val="auto"/>
              </w:rPr>
              <w:t>15%</w:t>
            </w:r>
          </w:p>
        </w:tc>
        <w:tc>
          <w:tcPr>
            <w:tcW w:w="160" w:type="dxa"/>
            <w:vAlign w:val="bottom"/>
          </w:tcPr>
          <w:p>
            <w:pPr>
              <w:spacing w:after="0"/>
              <w:rPr>
                <w:sz w:val="16"/>
                <w:szCs w:val="16"/>
                <w:color w:val="auto"/>
              </w:rPr>
            </w:pPr>
          </w:p>
        </w:tc>
        <w:tc>
          <w:tcPr>
            <w:tcW w:w="660" w:type="dxa"/>
            <w:vAlign w:val="bottom"/>
          </w:tcPr>
          <w:p>
            <w:pPr>
              <w:jc w:val="right"/>
              <w:spacing w:after="0" w:line="193" w:lineRule="exact"/>
              <w:rPr>
                <w:sz w:val="20"/>
                <w:szCs w:val="20"/>
                <w:color w:val="auto"/>
              </w:rPr>
            </w:pPr>
            <w:r>
              <w:rPr>
                <w:rFonts w:ascii="Calibri" w:cs="Calibri" w:eastAsia="Calibri" w:hAnsi="Calibri"/>
                <w:sz w:val="16"/>
                <w:szCs w:val="16"/>
                <w:color w:val="auto"/>
              </w:rPr>
              <w:t>46</w:t>
            </w:r>
          </w:p>
        </w:tc>
        <w:tc>
          <w:tcPr>
            <w:tcW w:w="240" w:type="dxa"/>
            <w:vAlign w:val="bottom"/>
          </w:tcPr>
          <w:p>
            <w:pPr>
              <w:spacing w:after="0"/>
              <w:rPr>
                <w:sz w:val="16"/>
                <w:szCs w:val="16"/>
                <w:color w:val="auto"/>
              </w:rPr>
            </w:pPr>
          </w:p>
        </w:tc>
        <w:tc>
          <w:tcPr>
            <w:tcW w:w="1140" w:type="dxa"/>
            <w:vAlign w:val="bottom"/>
            <w:gridSpan w:val="2"/>
          </w:tcPr>
          <w:p>
            <w:pPr>
              <w:jc w:val="right"/>
              <w:ind w:right="200"/>
              <w:spacing w:after="0" w:line="193" w:lineRule="exact"/>
              <w:rPr>
                <w:sz w:val="20"/>
                <w:szCs w:val="20"/>
                <w:color w:val="auto"/>
              </w:rPr>
            </w:pPr>
            <w:r>
              <w:rPr>
                <w:rFonts w:ascii="Calibri" w:cs="Calibri" w:eastAsia="Calibri" w:hAnsi="Calibri"/>
                <w:sz w:val="16"/>
                <w:szCs w:val="16"/>
                <w:color w:val="auto"/>
              </w:rPr>
              <w:t>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(3)</w:t>
            </w:r>
          </w:p>
        </w:tc>
        <w:tc>
          <w:tcPr>
            <w:tcW w:w="0" w:type="dxa"/>
            <w:vAlign w:val="bottom"/>
          </w:tcPr>
          <w:p>
            <w:pPr>
              <w:spacing w:after="0"/>
              <w:rPr>
                <w:sz w:val="1"/>
                <w:szCs w:val="1"/>
                <w:color w:val="auto"/>
              </w:rPr>
            </w:pPr>
          </w:p>
        </w:tc>
      </w:tr>
      <w:tr>
        <w:trPr>
          <w:trHeight w:val="23"/>
        </w:trPr>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Research and development costs</w:t>
            </w:r>
          </w:p>
        </w:tc>
        <w:tc>
          <w:tcPr>
            <w:tcW w:w="1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w:t>
            </w:r>
          </w:p>
        </w:tc>
        <w:tc>
          <w:tcPr>
            <w:tcW w:w="2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3%</w:t>
            </w: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w:t>
            </w:r>
          </w:p>
        </w:tc>
        <w:tc>
          <w:tcPr>
            <w:tcW w:w="2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2"/>
            <w:shd w:val="clear" w:color="auto" w:fill="CFF0FC"/>
          </w:tcPr>
          <w:p>
            <w:pPr>
              <w:jc w:val="right"/>
              <w:ind w:right="200"/>
              <w:spacing w:after="0" w:line="193" w:lineRule="exact"/>
              <w:rPr>
                <w:sz w:val="20"/>
                <w:szCs w:val="20"/>
                <w:color w:val="auto"/>
              </w:rPr>
            </w:pPr>
            <w:r>
              <w:rPr>
                <w:rFonts w:ascii="Calibri" w:cs="Calibri" w:eastAsia="Calibri" w:hAnsi="Calibri"/>
                <w:sz w:val="16"/>
                <w:szCs w:val="16"/>
                <w:color w:val="auto"/>
              </w:rPr>
              <w:t>3%</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line="193" w:lineRule="exact"/>
              <w:rPr>
                <w:sz w:val="20"/>
                <w:szCs w:val="20"/>
                <w:color w:val="auto"/>
              </w:rPr>
            </w:pPr>
            <w:r>
              <w:rPr>
                <w:rFonts w:ascii="Calibri" w:cs="Calibri" w:eastAsia="Calibri" w:hAnsi="Calibri"/>
                <w:sz w:val="16"/>
                <w:szCs w:val="16"/>
                <w:color w:val="auto"/>
              </w:rPr>
              <w:t>Restructuring costs and other</w:t>
            </w: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4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gridSpan w:val="2"/>
          </w:tcPr>
          <w:p>
            <w:pPr>
              <w:jc w:val="right"/>
              <w:ind w:right="220"/>
              <w:spacing w:after="0" w:line="193" w:lineRule="exact"/>
              <w:rPr>
                <w:sz w:val="20"/>
                <w:szCs w:val="20"/>
                <w:color w:val="auto"/>
              </w:rPr>
            </w:pPr>
            <w:r>
              <w:rPr>
                <w:rFonts w:ascii="Calibri" w:cs="Calibri" w:eastAsia="Calibri" w:hAnsi="Calibri"/>
                <w:sz w:val="16"/>
                <w:szCs w:val="16"/>
                <w:color w:val="auto"/>
              </w:rPr>
              <w:t>0%</w:t>
            </w:r>
          </w:p>
        </w:tc>
        <w:tc>
          <w:tcPr>
            <w:tcW w:w="160" w:type="dxa"/>
            <w:vAlign w:val="bottom"/>
          </w:tcPr>
          <w:p>
            <w:pPr>
              <w:spacing w:after="0"/>
              <w:rPr>
                <w:sz w:val="16"/>
                <w:szCs w:val="16"/>
                <w:color w:val="auto"/>
              </w:rPr>
            </w:pPr>
          </w:p>
        </w:tc>
        <w:tc>
          <w:tcPr>
            <w:tcW w:w="66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240" w:type="dxa"/>
            <w:vAlign w:val="bottom"/>
          </w:tcPr>
          <w:p>
            <w:pPr>
              <w:spacing w:after="0"/>
              <w:rPr>
                <w:sz w:val="16"/>
                <w:szCs w:val="16"/>
                <w:color w:val="auto"/>
              </w:rPr>
            </w:pPr>
          </w:p>
        </w:tc>
        <w:tc>
          <w:tcPr>
            <w:tcW w:w="1140" w:type="dxa"/>
            <w:vAlign w:val="bottom"/>
            <w:gridSpan w:val="2"/>
          </w:tcPr>
          <w:p>
            <w:pPr>
              <w:jc w:val="right"/>
              <w:ind w:right="200"/>
              <w:spacing w:after="0" w:line="193" w:lineRule="exact"/>
              <w:rPr>
                <w:sz w:val="20"/>
                <w:szCs w:val="20"/>
                <w:color w:val="auto"/>
              </w:rPr>
            </w:pPr>
            <w:r>
              <w:rPr>
                <w:rFonts w:ascii="Calibri" w:cs="Calibri" w:eastAsia="Calibri" w:hAnsi="Calibri"/>
                <w:sz w:val="16"/>
                <w:szCs w:val="16"/>
                <w:color w:val="auto"/>
              </w:rPr>
              <w:t>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(1)</w:t>
            </w: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Other operatng income, net</w:t>
            </w:r>
          </w:p>
        </w:tc>
        <w:tc>
          <w:tcPr>
            <w:tcW w:w="1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gridSpan w:val="2"/>
            <w:shd w:val="clear" w:color="auto" w:fill="CFF0FC"/>
          </w:tcPr>
          <w:p>
            <w:pPr>
              <w:jc w:val="right"/>
              <w:ind w:right="24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Borders>
              <w:bottom w:val="single" w:sz="8" w:color="CFF0FC"/>
            </w:tcBorders>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0%</w:t>
            </w: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gridSpan w:val="2"/>
            <w:shd w:val="clear" w:color="auto" w:fill="CFF0FC"/>
          </w:tcPr>
          <w:p>
            <w:pPr>
              <w:jc w:val="right"/>
              <w:ind w:right="200"/>
              <w:spacing w:after="0" w:line="193" w:lineRule="exact"/>
              <w:rPr>
                <w:sz w:val="20"/>
                <w:szCs w:val="20"/>
                <w:color w:val="auto"/>
              </w:rPr>
            </w:pPr>
            <w:r>
              <w:rPr>
                <w:rFonts w:ascii="Calibri" w:cs="Calibri" w:eastAsia="Calibri" w:hAnsi="Calibri"/>
                <w:sz w:val="16"/>
                <w:szCs w:val="16"/>
                <w:color w:val="auto"/>
              </w:rPr>
              <w:t>(1)</w:t>
            </w:r>
          </w:p>
        </w:tc>
        <w:tc>
          <w:tcPr>
            <w:tcW w:w="1140" w:type="dxa"/>
            <w:vAlign w:val="bottom"/>
            <w:tcBorders>
              <w:bottom w:val="single" w:sz="8" w:color="CFF0FC"/>
            </w:tcBorders>
            <w:gridSpan w:val="2"/>
            <w:shd w:val="clear" w:color="auto" w:fill="CFF0FC"/>
          </w:tcPr>
          <w:p>
            <w:pPr>
              <w:jc w:val="right"/>
              <w:ind w:right="160"/>
              <w:spacing w:after="0" w:line="193" w:lineRule="exact"/>
              <w:rPr>
                <w:sz w:val="20"/>
                <w:szCs w:val="20"/>
                <w:color w:val="auto"/>
              </w:rPr>
            </w:pPr>
            <w:r>
              <w:rPr>
                <w:rFonts w:ascii="Calibri" w:cs="Calibri" w:eastAsia="Calibri" w:hAnsi="Calibri"/>
                <w:sz w:val="16"/>
                <w:szCs w:val="16"/>
                <w:color w:val="auto"/>
              </w:rPr>
              <w:t>(0)%</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660" w:type="dxa"/>
            <w:vAlign w:val="bottom"/>
          </w:tcPr>
          <w:p>
            <w:pPr>
              <w:spacing w:after="0" w:line="182" w:lineRule="exact"/>
              <w:rPr>
                <w:sz w:val="20"/>
                <w:szCs w:val="20"/>
                <w:color w:val="auto"/>
              </w:rPr>
            </w:pPr>
            <w:r>
              <w:rPr>
                <w:rFonts w:ascii="Calibri" w:cs="Calibri" w:eastAsia="Calibri" w:hAnsi="Calibri"/>
                <w:sz w:val="16"/>
                <w:szCs w:val="16"/>
                <w:color w:val="auto"/>
              </w:rPr>
              <w:t>Loss from operatons before interest expense,</w:t>
            </w:r>
          </w:p>
        </w:tc>
        <w:tc>
          <w:tcPr>
            <w:tcW w:w="1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20"/>
              <w:spacing w:after="0"/>
              <w:rPr>
                <w:sz w:val="20"/>
                <w:szCs w:val="20"/>
                <w:color w:val="auto"/>
              </w:rPr>
            </w:pPr>
            <w:r>
              <w:rPr>
                <w:rFonts w:ascii="Calibri" w:cs="Calibri" w:eastAsia="Calibri" w:hAnsi="Calibri"/>
                <w:sz w:val="16"/>
                <w:szCs w:val="16"/>
                <w:color w:val="auto"/>
              </w:rPr>
              <w:t>pension income excluding service cost component,</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20"/>
              <w:spacing w:after="0"/>
              <w:rPr>
                <w:sz w:val="20"/>
                <w:szCs w:val="20"/>
                <w:color w:val="auto"/>
              </w:rPr>
            </w:pPr>
            <w:r>
              <w:rPr>
                <w:rFonts w:ascii="Calibri" w:cs="Calibri" w:eastAsia="Calibri" w:hAnsi="Calibri"/>
                <w:sz w:val="16"/>
                <w:szCs w:val="16"/>
                <w:color w:val="auto"/>
              </w:rPr>
              <w:t>other charges, net and income taxes</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(19)</w:t>
            </w:r>
          </w:p>
        </w:tc>
        <w:tc>
          <w:tcPr>
            <w:tcW w:w="116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(7)%</w:t>
            </w:r>
          </w:p>
        </w:tc>
        <w:tc>
          <w:tcPr>
            <w:tcW w:w="16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Calibri" w:cs="Calibri" w:eastAsia="Calibri" w:hAnsi="Calibri"/>
                <w:sz w:val="16"/>
                <w:szCs w:val="16"/>
                <w:color w:val="auto"/>
              </w:rPr>
              <w:t>(14)</w:t>
            </w:r>
          </w:p>
        </w:tc>
        <w:tc>
          <w:tcPr>
            <w:tcW w:w="114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Calibri" w:cs="Calibri" w:eastAsia="Calibri" w:hAnsi="Calibri"/>
                <w:sz w:val="16"/>
                <w:szCs w:val="16"/>
                <w:color w:val="auto"/>
              </w:rPr>
              <w:t>(5)</w:t>
            </w:r>
          </w:p>
        </w:tc>
        <w:tc>
          <w:tcPr>
            <w:tcW w:w="0" w:type="dxa"/>
            <w:vAlign w:val="bottom"/>
          </w:tcPr>
          <w:p>
            <w:pPr>
              <w:spacing w:after="0"/>
              <w:rPr>
                <w:sz w:val="1"/>
                <w:szCs w:val="1"/>
                <w:color w:val="auto"/>
              </w:rPr>
            </w:pPr>
          </w:p>
        </w:tc>
      </w:tr>
      <w:tr>
        <w:trPr>
          <w:trHeight w:val="28"/>
        </w:trPr>
        <w:tc>
          <w:tcPr>
            <w:tcW w:w="4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Interest expense</w:t>
            </w:r>
          </w:p>
        </w:tc>
        <w:tc>
          <w:tcPr>
            <w:tcW w:w="1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w:t>
            </w:r>
          </w:p>
        </w:tc>
        <w:tc>
          <w:tcPr>
            <w:tcW w:w="2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3%</w:t>
            </w: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w:t>
            </w:r>
          </w:p>
        </w:tc>
        <w:tc>
          <w:tcPr>
            <w:tcW w:w="2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2"/>
            <w:shd w:val="clear" w:color="auto" w:fill="CFF0FC"/>
          </w:tcPr>
          <w:p>
            <w:pPr>
              <w:jc w:val="right"/>
              <w:ind w:right="200"/>
              <w:spacing w:after="0" w:line="193" w:lineRule="exact"/>
              <w:rPr>
                <w:sz w:val="20"/>
                <w:szCs w:val="20"/>
                <w:color w:val="auto"/>
              </w:rPr>
            </w:pPr>
            <w:r>
              <w:rPr>
                <w:rFonts w:ascii="Calibri" w:cs="Calibri" w:eastAsia="Calibri" w:hAnsi="Calibri"/>
                <w:sz w:val="16"/>
                <w:szCs w:val="16"/>
                <w:color w:val="auto"/>
              </w:rPr>
              <w:t>2%</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line="193" w:lineRule="exact"/>
              <w:rPr>
                <w:sz w:val="20"/>
                <w:szCs w:val="20"/>
                <w:color w:val="auto"/>
              </w:rPr>
            </w:pPr>
            <w:r>
              <w:rPr>
                <w:rFonts w:ascii="Calibri" w:cs="Calibri" w:eastAsia="Calibri" w:hAnsi="Calibri"/>
                <w:sz w:val="16"/>
                <w:szCs w:val="16"/>
                <w:color w:val="auto"/>
              </w:rPr>
              <w:t>Pension income excluding service cost component</w:t>
            </w: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(30)</w:t>
            </w:r>
          </w:p>
        </w:tc>
        <w:tc>
          <w:tcPr>
            <w:tcW w:w="116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(10)%</w:t>
            </w:r>
          </w:p>
        </w:tc>
        <w:tc>
          <w:tcPr>
            <w:tcW w:w="160" w:type="dxa"/>
            <w:vAlign w:val="bottom"/>
          </w:tcPr>
          <w:p>
            <w:pPr>
              <w:spacing w:after="0"/>
              <w:rPr>
                <w:sz w:val="16"/>
                <w:szCs w:val="16"/>
                <w:color w:val="auto"/>
              </w:rPr>
            </w:pPr>
          </w:p>
        </w:tc>
        <w:tc>
          <w:tcPr>
            <w:tcW w:w="900" w:type="dxa"/>
            <w:vAlign w:val="bottom"/>
            <w:gridSpan w:val="2"/>
          </w:tcPr>
          <w:p>
            <w:pPr>
              <w:jc w:val="right"/>
              <w:ind w:right="200"/>
              <w:spacing w:after="0" w:line="193" w:lineRule="exact"/>
              <w:rPr>
                <w:sz w:val="20"/>
                <w:szCs w:val="20"/>
                <w:color w:val="auto"/>
              </w:rPr>
            </w:pPr>
            <w:r>
              <w:rPr>
                <w:rFonts w:ascii="Calibri" w:cs="Calibri" w:eastAsia="Calibri" w:hAnsi="Calibri"/>
                <w:sz w:val="16"/>
                <w:szCs w:val="16"/>
                <w:color w:val="auto"/>
              </w:rPr>
              <w:t>(25)</w:t>
            </w:r>
          </w:p>
        </w:tc>
        <w:tc>
          <w:tcPr>
            <w:tcW w:w="114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(5)</w:t>
            </w:r>
          </w:p>
        </w:tc>
        <w:tc>
          <w:tcPr>
            <w:tcW w:w="0" w:type="dxa"/>
            <w:vAlign w:val="bottom"/>
          </w:tcPr>
          <w:p>
            <w:pPr>
              <w:spacing w:after="0"/>
              <w:rPr>
                <w:sz w:val="1"/>
                <w:szCs w:val="1"/>
                <w:color w:val="auto"/>
              </w:rPr>
            </w:pPr>
          </w:p>
        </w:tc>
      </w:tr>
      <w:tr>
        <w:trPr>
          <w:trHeight w:val="23"/>
        </w:trPr>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Other charges, net</w:t>
            </w:r>
          </w:p>
        </w:tc>
        <w:tc>
          <w:tcPr>
            <w:tcW w:w="1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w:t>
            </w:r>
          </w:p>
        </w:tc>
        <w:tc>
          <w:tcPr>
            <w:tcW w:w="2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1%</w:t>
            </w:r>
          </w:p>
        </w:tc>
        <w:tc>
          <w:tcPr>
            <w:tcW w:w="1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tcBorders>
              <w:bottom w:val="single" w:sz="8" w:color="CFF0FC"/>
            </w:tcBorders>
            <w:gridSpan w:val="2"/>
            <w:shd w:val="clear" w:color="auto" w:fill="CFF0FC"/>
          </w:tcPr>
          <w:p>
            <w:pPr>
              <w:jc w:val="right"/>
              <w:ind w:right="200"/>
              <w:spacing w:after="0" w:line="193" w:lineRule="exact"/>
              <w:rPr>
                <w:sz w:val="20"/>
                <w:szCs w:val="20"/>
                <w:color w:val="auto"/>
              </w:rPr>
            </w:pPr>
            <w:r>
              <w:rPr>
                <w:rFonts w:ascii="Calibri" w:cs="Calibri" w:eastAsia="Calibri" w:hAnsi="Calibri"/>
                <w:sz w:val="16"/>
                <w:szCs w:val="16"/>
                <w:color w:val="auto"/>
              </w:rPr>
              <w:t>0%</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Calibri" w:cs="Calibri" w:eastAsia="Calibri" w:hAnsi="Calibri"/>
                <w:sz w:val="16"/>
                <w:szCs w:val="16"/>
                <w:color w:val="auto"/>
              </w:rPr>
              <w:t>(Loss) earnings from operatons before income taxes</w:t>
            </w:r>
          </w:p>
        </w:tc>
        <w:tc>
          <w:tcPr>
            <w:tcW w:w="1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vMerge w:val="restart"/>
          </w:tcPr>
          <w:p>
            <w:pPr>
              <w:jc w:val="right"/>
              <w:ind w:right="160"/>
              <w:spacing w:after="0"/>
              <w:rPr>
                <w:sz w:val="20"/>
                <w:szCs w:val="20"/>
                <w:color w:val="auto"/>
              </w:rPr>
            </w:pPr>
            <w:r>
              <w:rPr>
                <w:rFonts w:ascii="Calibri" w:cs="Calibri" w:eastAsia="Calibri" w:hAnsi="Calibri"/>
                <w:sz w:val="16"/>
                <w:szCs w:val="16"/>
                <w:color w:val="auto"/>
              </w:rPr>
              <w:t>(0)%</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vMerge w:val="restart"/>
          </w:tcPr>
          <w:p>
            <w:pPr>
              <w:jc w:val="right"/>
              <w:ind w:right="200"/>
              <w:spacing w:after="0"/>
              <w:rPr>
                <w:sz w:val="20"/>
                <w:szCs w:val="20"/>
                <w:color w:val="auto"/>
              </w:rPr>
            </w:pPr>
            <w:r>
              <w:rPr>
                <w:rFonts w:ascii="Calibri" w:cs="Calibri" w:eastAsia="Calibri" w:hAnsi="Calibri"/>
                <w:sz w:val="16"/>
                <w:szCs w:val="16"/>
                <w:color w:val="auto"/>
              </w:rPr>
              <w:t>3%</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6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80"/>
              <w:spacing w:after="0" w:line="187" w:lineRule="exact"/>
              <w:rPr>
                <w:sz w:val="20"/>
                <w:szCs w:val="20"/>
                <w:color w:val="auto"/>
              </w:rPr>
            </w:pPr>
            <w:r>
              <w:rPr>
                <w:rFonts w:ascii="Calibri" w:cs="Calibri" w:eastAsia="Calibri" w:hAnsi="Calibri"/>
                <w:sz w:val="16"/>
                <w:szCs w:val="16"/>
                <w:color w:val="auto"/>
              </w:rPr>
              <w:t>(1)</w:t>
            </w: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7</w:t>
            </w: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60"/>
              <w:spacing w:after="0" w:line="187" w:lineRule="exact"/>
              <w:rPr>
                <w:sz w:val="20"/>
                <w:szCs w:val="20"/>
                <w:color w:val="auto"/>
              </w:rPr>
            </w:pPr>
            <w:r>
              <w:rPr>
                <w:rFonts w:ascii="Calibri" w:cs="Calibri" w:eastAsia="Calibri" w:hAnsi="Calibri"/>
                <w:sz w:val="16"/>
                <w:szCs w:val="16"/>
                <w:color w:val="auto"/>
              </w:rPr>
              <w:t>(8)</w:t>
            </w:r>
          </w:p>
        </w:tc>
        <w:tc>
          <w:tcPr>
            <w:tcW w:w="0" w:type="dxa"/>
            <w:vAlign w:val="bottom"/>
          </w:tcPr>
          <w:p>
            <w:pPr>
              <w:spacing w:after="0"/>
              <w:rPr>
                <w:sz w:val="1"/>
                <w:szCs w:val="1"/>
                <w:color w:val="auto"/>
              </w:rPr>
            </w:pPr>
          </w:p>
        </w:tc>
      </w:tr>
      <w:tr>
        <w:trPr>
          <w:trHeight w:val="23"/>
        </w:trPr>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Provision for income taxes</w:t>
            </w:r>
          </w:p>
        </w:tc>
        <w:tc>
          <w:tcPr>
            <w:tcW w:w="1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w:t>
            </w:r>
          </w:p>
        </w:tc>
        <w:tc>
          <w:tcPr>
            <w:tcW w:w="2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1%</w:t>
            </w: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w:t>
            </w:r>
          </w:p>
        </w:tc>
        <w:tc>
          <w:tcPr>
            <w:tcW w:w="2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2"/>
            <w:shd w:val="clear" w:color="auto" w:fill="CFF0FC"/>
          </w:tcPr>
          <w:p>
            <w:pPr>
              <w:jc w:val="right"/>
              <w:ind w:right="200"/>
              <w:spacing w:after="0" w:line="193" w:lineRule="exact"/>
              <w:rPr>
                <w:sz w:val="20"/>
                <w:szCs w:val="20"/>
                <w:color w:val="auto"/>
              </w:rPr>
            </w:pPr>
            <w:r>
              <w:rPr>
                <w:rFonts w:ascii="Calibri" w:cs="Calibri" w:eastAsia="Calibri" w:hAnsi="Calibri"/>
                <w:sz w:val="16"/>
                <w:szCs w:val="16"/>
                <w:color w:val="auto"/>
              </w:rPr>
              <w:t>0%</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Calibri" w:cs="Calibri" w:eastAsia="Calibri" w:hAnsi="Calibri"/>
                <w:sz w:val="16"/>
                <w:szCs w:val="16"/>
                <w:color w:val="auto"/>
              </w:rPr>
              <w:t>Net (loss) income</w:t>
            </w:r>
          </w:p>
        </w:tc>
        <w:tc>
          <w:tcPr>
            <w:tcW w:w="1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vMerge w:val="restart"/>
          </w:tcPr>
          <w:p>
            <w:pPr>
              <w:jc w:val="right"/>
              <w:ind w:right="160"/>
              <w:spacing w:after="0"/>
              <w:rPr>
                <w:sz w:val="20"/>
                <w:szCs w:val="20"/>
                <w:color w:val="auto"/>
              </w:rPr>
            </w:pPr>
            <w:r>
              <w:rPr>
                <w:rFonts w:ascii="Calibri" w:cs="Calibri" w:eastAsia="Calibri" w:hAnsi="Calibri"/>
                <w:sz w:val="16"/>
                <w:szCs w:val="16"/>
                <w:color w:val="auto"/>
              </w:rPr>
              <w:t>(1)%</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vMerge w:val="restart"/>
          </w:tcPr>
          <w:p>
            <w:pPr>
              <w:jc w:val="right"/>
              <w:ind w:right="200"/>
              <w:spacing w:after="0"/>
              <w:rPr>
                <w:sz w:val="20"/>
                <w:szCs w:val="20"/>
                <w:color w:val="auto"/>
              </w:rPr>
            </w:pPr>
            <w:r>
              <w:rPr>
                <w:rFonts w:ascii="Calibri" w:cs="Calibri" w:eastAsia="Calibri" w:hAnsi="Calibri"/>
                <w:sz w:val="16"/>
                <w:szCs w:val="16"/>
                <w:color w:val="auto"/>
              </w:rPr>
              <w:t>2%</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60" w:type="dxa"/>
            <w:vAlign w:val="bottom"/>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900" w:type="dxa"/>
            <w:vAlign w:val="bottom"/>
            <w:gridSpan w:val="2"/>
          </w:tcPr>
          <w:p>
            <w:pPr>
              <w:jc w:val="right"/>
              <w:ind w:right="180"/>
              <w:spacing w:after="0" w:line="187" w:lineRule="exact"/>
              <w:rPr>
                <w:sz w:val="20"/>
                <w:szCs w:val="20"/>
                <w:color w:val="auto"/>
              </w:rPr>
            </w:pPr>
            <w:r>
              <w:rPr>
                <w:rFonts w:ascii="Calibri" w:cs="Calibri" w:eastAsia="Calibri" w:hAnsi="Calibri"/>
                <w:sz w:val="16"/>
                <w:szCs w:val="16"/>
                <w:color w:val="auto"/>
              </w:rPr>
              <w:t>(3)</w:t>
            </w:r>
          </w:p>
        </w:tc>
        <w:tc>
          <w:tcPr>
            <w:tcW w:w="1160" w:type="dxa"/>
            <w:vAlign w:val="bottom"/>
            <w:gridSpan w:val="2"/>
            <w:vMerge w:val="continue"/>
          </w:tcPr>
          <w:p>
            <w:pPr>
              <w:spacing w:after="0"/>
              <w:rPr>
                <w:sz w:val="16"/>
                <w:szCs w:val="16"/>
                <w:color w:val="auto"/>
              </w:rPr>
            </w:pPr>
          </w:p>
        </w:tc>
        <w:tc>
          <w:tcPr>
            <w:tcW w:w="160" w:type="dxa"/>
            <w:vAlign w:val="bottom"/>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660" w:type="dxa"/>
            <w:vAlign w:val="bottom"/>
          </w:tcPr>
          <w:p>
            <w:pPr>
              <w:jc w:val="right"/>
              <w:spacing w:after="0" w:line="187" w:lineRule="exact"/>
              <w:rPr>
                <w:sz w:val="20"/>
                <w:szCs w:val="20"/>
                <w:color w:val="auto"/>
              </w:rPr>
            </w:pPr>
            <w:r>
              <w:rPr>
                <w:rFonts w:ascii="Calibri" w:cs="Calibri" w:eastAsia="Calibri" w:hAnsi="Calibri"/>
                <w:sz w:val="16"/>
                <w:szCs w:val="16"/>
                <w:color w:val="auto"/>
              </w:rPr>
              <w:t>6</w:t>
            </w: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840" w:type="dxa"/>
            <w:vAlign w:val="bottom"/>
            <w:gridSpan w:val="2"/>
          </w:tcPr>
          <w:p>
            <w:pPr>
              <w:jc w:val="right"/>
              <w:ind w:right="60"/>
              <w:spacing w:after="0" w:line="187" w:lineRule="exact"/>
              <w:rPr>
                <w:sz w:val="20"/>
                <w:szCs w:val="20"/>
                <w:color w:val="auto"/>
              </w:rPr>
            </w:pPr>
            <w:r>
              <w:rPr>
                <w:rFonts w:ascii="Calibri" w:cs="Calibri" w:eastAsia="Calibri" w:hAnsi="Calibri"/>
                <w:sz w:val="16"/>
                <w:szCs w:val="16"/>
                <w:color w:val="auto"/>
              </w:rPr>
              <w:t>(9)</w:t>
            </w: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b w:val="1"/>
          <w:bCs w:val="1"/>
          <w:color w:val="auto"/>
        </w:rPr>
        <w:t>Revenue</w:t>
      </w:r>
    </w:p>
    <w:p>
      <w:pPr>
        <w:spacing w:after="0" w:line="244"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For the three months ended March 31, 2022 revenues improved $25 million compared with the same period in 2021, driven by improved pricing and increased volume within Traditonal Printng ($22 million and $10 million, respectvely) and increased volume within Advanced Materials and Chemicals ($8 million). Ofsetng these favorable impacts was lower volume in Digital Printng ($6 million) and unfavorable foreign currency ($10 million). See segment discussions for additonal details.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Gross Proft</w:t>
      </w:r>
    </w:p>
    <w:p>
      <w:pPr>
        <w:spacing w:after="0" w:line="24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Gross proft for the three months ended March 31, 2022 declined approximately $7 million compared with the same period in 2021, primarily due to higher aluminum costs in Traditonal Printng ($15 million), higher manufacturing costs in Traditonal Printng ($14 million), Digital Printng ($5 million) and Advanced Materials and Chemicals ($3 million) and unfavorable foreign currency ($2 million). Partally ofsetng these unfavorable impacts was improved pricing and higher volumes in Traditonal Printng ($22 million and $1 million, respectvely), higher volume in Advanced Materials and Chemicals ($4 million) and a decrease in workers’ compensaton reserves ($3 million). See segment discussions for additonal details.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Selling, General and Administratve Expenses</w:t>
      </w:r>
    </w:p>
    <w:p>
      <w:pPr>
        <w:spacing w:after="0" w:line="1"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Consolidated SG&amp;A decreased $3 million in the three months ended March 31, 2022. The decrease was primarily due to lower consultng and other costs primarily associated with investgatons and litgaton compared to the prior year period.</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Research and Development Costs</w:t>
      </w:r>
    </w:p>
    <w:p>
      <w:pPr>
        <w:spacing w:after="0" w:line="235" w:lineRule="auto"/>
        <w:rPr>
          <w:sz w:val="20"/>
          <w:szCs w:val="20"/>
          <w:color w:val="auto"/>
        </w:rPr>
      </w:pPr>
      <w:r>
        <w:rPr>
          <w:rFonts w:ascii="Calibri" w:cs="Calibri" w:eastAsia="Calibri" w:hAnsi="Calibri"/>
          <w:sz w:val="18"/>
          <w:szCs w:val="18"/>
          <w:color w:val="auto"/>
        </w:rPr>
        <w:t>Consolidated R&amp;D expenses increased $1 million.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REPORTABLE SEGMENTS</w:t>
      </w:r>
    </w:p>
    <w:p>
      <w:pPr>
        <w:spacing w:after="0" w:line="244"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Kodak has four reportable segments: Traditonal Printng, Digital Printng, Advanced Materials and Chemicals, and Brand. The balance of Kodak’s operatons, which do not meet the criteria of a reportable segment, are reported in All Other and primarily represent the Eastman Business Park operatons. Refer to the 2021 Form 10-K for a descripton of the Company’s segments.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Segment Revenues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5"/>
          </w:tcPr>
          <w:p>
            <w:pPr>
              <w:ind w:left="460"/>
              <w:spacing w:after="0"/>
              <w:rPr>
                <w:sz w:val="20"/>
                <w:szCs w:val="20"/>
                <w:color w:val="auto"/>
              </w:rPr>
            </w:pPr>
            <w:r>
              <w:rPr>
                <w:rFonts w:ascii="Calibri" w:cs="Calibri" w:eastAsia="Calibri" w:hAnsi="Calibri"/>
                <w:sz w:val="18"/>
                <w:szCs w:val="18"/>
                <w:b w:val="1"/>
                <w:bCs w:val="1"/>
                <w:color w:val="auto"/>
              </w:rPr>
              <w:t>Three Months Ended</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3"/>
          </w:tcPr>
          <w:p>
            <w:pPr>
              <w:jc w:val="right"/>
              <w:ind w:right="50"/>
              <w:spacing w:after="0"/>
              <w:rPr>
                <w:sz w:val="20"/>
                <w:szCs w:val="20"/>
                <w:color w:val="auto"/>
              </w:rPr>
            </w:pPr>
            <w:r>
              <w:rPr>
                <w:rFonts w:ascii="Calibri" w:cs="Calibri" w:eastAsia="Calibri" w:hAnsi="Calibri"/>
                <w:sz w:val="18"/>
                <w:szCs w:val="18"/>
                <w:b w:val="1"/>
                <w:bCs w:val="1"/>
                <w:color w:val="auto"/>
              </w:rPr>
              <w:t>March 31,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80" w:type="dxa"/>
            <w:vAlign w:val="bottom"/>
            <w:tcBorders>
              <w:bottom w:val="single" w:sz="8" w:color="CFF0FC"/>
            </w:tcBorders>
          </w:tcPr>
          <w:p>
            <w:pPr>
              <w:spacing w:after="0"/>
              <w:rPr>
                <w:sz w:val="20"/>
                <w:szCs w:val="20"/>
                <w:color w:val="auto"/>
              </w:rPr>
            </w:pPr>
            <w:r>
              <w:rPr>
                <w:rFonts w:ascii="Calibri" w:cs="Calibri" w:eastAsia="Calibri" w:hAnsi="Calibri"/>
                <w:sz w:val="16"/>
                <w:szCs w:val="16"/>
                <w:color w:val="auto"/>
              </w:rPr>
              <w:t>(in millions)</w:t>
            </w:r>
          </w:p>
        </w:tc>
        <w:tc>
          <w:tcPr>
            <w:tcW w:w="3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line="215" w:lineRule="exact"/>
              <w:rPr>
                <w:sz w:val="20"/>
                <w:szCs w:val="20"/>
                <w:color w:val="auto"/>
              </w:rPr>
            </w:pPr>
            <w:r>
              <w:rPr>
                <w:rFonts w:ascii="Calibri" w:cs="Calibri" w:eastAsia="Calibri" w:hAnsi="Calibri"/>
                <w:sz w:val="18"/>
                <w:szCs w:val="18"/>
                <w:b w:val="1"/>
                <w:bCs w:val="1"/>
                <w:color w:val="auto"/>
              </w:rPr>
              <w:t>2022</w:t>
            </w:r>
          </w:p>
        </w:tc>
        <w:tc>
          <w:tcPr>
            <w:tcW w:w="2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line="215" w:lineRule="exact"/>
              <w:rPr>
                <w:sz w:val="20"/>
                <w:szCs w:val="20"/>
                <w:color w:val="auto"/>
              </w:rPr>
            </w:pPr>
            <w:r>
              <w:rPr>
                <w:rFonts w:ascii="Calibri" w:cs="Calibri" w:eastAsia="Calibri" w:hAnsi="Calibri"/>
                <w:sz w:val="18"/>
                <w:szCs w:val="18"/>
                <w:b w:val="1"/>
                <w:bCs w:val="1"/>
                <w:color w:val="auto"/>
              </w:rPr>
              <w:t>2021</w:t>
            </w:r>
          </w:p>
        </w:tc>
        <w:tc>
          <w:tcPr>
            <w:tcW w:w="12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Traditonal Printng</w:t>
            </w:r>
          </w:p>
        </w:tc>
        <w:tc>
          <w:tcPr>
            <w:tcW w:w="3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680" w:type="dxa"/>
            <w:vAlign w:val="bottom"/>
          </w:tcPr>
          <w:p>
            <w:pPr>
              <w:spacing w:after="0" w:line="215" w:lineRule="exact"/>
              <w:rPr>
                <w:sz w:val="20"/>
                <w:szCs w:val="20"/>
                <w:color w:val="auto"/>
              </w:rPr>
            </w:pPr>
            <w:r>
              <w:rPr>
                <w:rFonts w:ascii="Calibri" w:cs="Calibri" w:eastAsia="Calibri" w:hAnsi="Calibri"/>
                <w:sz w:val="18"/>
                <w:szCs w:val="18"/>
                <w:color w:val="auto"/>
              </w:rPr>
              <w:t>Digital Printng</w:t>
            </w:r>
          </w:p>
        </w:tc>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56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64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80" w:type="dxa"/>
            <w:vAlign w:val="bottom"/>
            <w:shd w:val="clear" w:color="auto" w:fill="CFF0FC"/>
          </w:tcPr>
          <w:p>
            <w:pPr>
              <w:spacing w:after="0"/>
              <w:rPr>
                <w:sz w:val="20"/>
                <w:szCs w:val="20"/>
                <w:color w:val="auto"/>
              </w:rPr>
            </w:pPr>
            <w:r>
              <w:rPr>
                <w:rFonts w:ascii="Calibri" w:cs="Calibri" w:eastAsia="Calibri" w:hAnsi="Calibri"/>
                <w:sz w:val="18"/>
                <w:szCs w:val="18"/>
                <w:color w:val="auto"/>
              </w:rPr>
              <w:t>Advanced Materials and Chemicals</w:t>
            </w:r>
          </w:p>
        </w:tc>
        <w:tc>
          <w:tcPr>
            <w:tcW w:w="3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54</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46</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680" w:type="dxa"/>
            <w:vAlign w:val="bottom"/>
          </w:tcPr>
          <w:p>
            <w:pPr>
              <w:spacing w:after="0" w:line="215" w:lineRule="exact"/>
              <w:rPr>
                <w:sz w:val="20"/>
                <w:szCs w:val="20"/>
                <w:color w:val="auto"/>
              </w:rPr>
            </w:pPr>
            <w:r>
              <w:rPr>
                <w:rFonts w:ascii="Calibri" w:cs="Calibri" w:eastAsia="Calibri" w:hAnsi="Calibri"/>
                <w:sz w:val="18"/>
                <w:szCs w:val="18"/>
                <w:color w:val="auto"/>
              </w:rPr>
              <w:t>Brand</w:t>
            </w:r>
          </w:p>
        </w:tc>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80" w:type="dxa"/>
            <w:vAlign w:val="bottom"/>
            <w:shd w:val="clear" w:color="auto" w:fill="CFF0FC"/>
          </w:tcPr>
          <w:p>
            <w:pPr>
              <w:spacing w:after="0"/>
              <w:rPr>
                <w:sz w:val="20"/>
                <w:szCs w:val="20"/>
                <w:color w:val="auto"/>
              </w:rPr>
            </w:pPr>
            <w:r>
              <w:rPr>
                <w:rFonts w:ascii="Calibri" w:cs="Calibri" w:eastAsia="Calibri" w:hAnsi="Calibri"/>
                <w:sz w:val="18"/>
                <w:szCs w:val="18"/>
                <w:color w:val="auto"/>
              </w:rPr>
              <w:t>All Other</w:t>
            </w:r>
          </w:p>
        </w:tc>
        <w:tc>
          <w:tcPr>
            <w:tcW w:w="32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4</w:t>
            </w:r>
          </w:p>
        </w:tc>
        <w:tc>
          <w:tcPr>
            <w:tcW w:w="26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4</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80" w:type="dxa"/>
            <w:vAlign w:val="bottom"/>
          </w:tcPr>
          <w:p>
            <w:pPr>
              <w:ind w:left="240"/>
              <w:spacing w:after="0" w:line="199" w:lineRule="exact"/>
              <w:rPr>
                <w:sz w:val="20"/>
                <w:szCs w:val="20"/>
                <w:color w:val="auto"/>
              </w:rPr>
            </w:pPr>
            <w:r>
              <w:rPr>
                <w:rFonts w:ascii="Calibri" w:cs="Calibri" w:eastAsia="Calibri" w:hAnsi="Calibri"/>
                <w:sz w:val="18"/>
                <w:szCs w:val="18"/>
                <w:color w:val="auto"/>
              </w:rPr>
              <w:t>Consolidated total</w:t>
            </w:r>
          </w:p>
        </w:tc>
        <w:tc>
          <w:tcPr>
            <w:tcW w:w="32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290</w:t>
            </w:r>
          </w:p>
        </w:tc>
        <w:tc>
          <w:tcPr>
            <w:tcW w:w="2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265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40" w:type="dxa"/>
            <w:vAlign w:val="bottom"/>
            <w:vMerge w:val="restart"/>
          </w:tcPr>
          <w:p>
            <w:pPr>
              <w:jc w:val="right"/>
              <w:ind w:right="1630"/>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b w:val="1"/>
          <w:bCs w:val="1"/>
          <w:color w:val="auto"/>
        </w:rPr>
        <w:t>Segment Operatonal EBITDA and Consolidated (Loss) Income from Operatons Before Income Taxes</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5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6"/>
          </w:tcPr>
          <w:p>
            <w:pPr>
              <w:jc w:val="right"/>
              <w:ind w:right="880"/>
              <w:spacing w:after="0"/>
              <w:rPr>
                <w:sz w:val="20"/>
                <w:szCs w:val="20"/>
                <w:color w:val="auto"/>
              </w:rPr>
            </w:pPr>
            <w:r>
              <w:rPr>
                <w:rFonts w:ascii="Calibri" w:cs="Calibri" w:eastAsia="Calibri" w:hAnsi="Calibri"/>
                <w:sz w:val="18"/>
                <w:szCs w:val="18"/>
                <w:b w:val="1"/>
                <w:bCs w:val="1"/>
                <w:color w:val="auto"/>
              </w:rPr>
              <w:t>Three Months Ended</w:t>
            </w:r>
          </w:p>
        </w:tc>
      </w:tr>
      <w:tr>
        <w:trPr>
          <w:trHeight w:val="229"/>
        </w:trPr>
        <w:tc>
          <w:tcPr>
            <w:tcW w:w="5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4"/>
          </w:tcPr>
          <w:p>
            <w:pPr>
              <w:jc w:val="right"/>
              <w:ind w:right="84"/>
              <w:spacing w:after="0"/>
              <w:rPr>
                <w:sz w:val="20"/>
                <w:szCs w:val="20"/>
                <w:color w:val="auto"/>
              </w:rPr>
            </w:pPr>
            <w:r>
              <w:rPr>
                <w:rFonts w:ascii="Calibri" w:cs="Calibri" w:eastAsia="Calibri" w:hAnsi="Calibri"/>
                <w:sz w:val="18"/>
                <w:szCs w:val="18"/>
                <w:b w:val="1"/>
                <w:bCs w:val="1"/>
                <w:color w:val="auto"/>
              </w:rPr>
              <w:t>March 31,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5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5020" w:type="dxa"/>
            <w:vAlign w:val="bottom"/>
            <w:tcBorders>
              <w:bottom w:val="single" w:sz="8" w:color="CFF0FC"/>
            </w:tcBorders>
          </w:tcPr>
          <w:p>
            <w:pPr>
              <w:spacing w:after="0"/>
              <w:rPr>
                <w:sz w:val="20"/>
                <w:szCs w:val="20"/>
                <w:color w:val="auto"/>
              </w:rPr>
            </w:pPr>
            <w:r>
              <w:rPr>
                <w:rFonts w:ascii="Calibri" w:cs="Calibri" w:eastAsia="Calibri" w:hAnsi="Calibri"/>
                <w:sz w:val="16"/>
                <w:szCs w:val="16"/>
                <w:color w:val="auto"/>
              </w:rPr>
              <w:t>(in millions)</w:t>
            </w:r>
          </w:p>
        </w:tc>
        <w:tc>
          <w:tcPr>
            <w:tcW w:w="19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line="215" w:lineRule="exact"/>
              <w:rPr>
                <w:sz w:val="20"/>
                <w:szCs w:val="20"/>
                <w:color w:val="auto"/>
              </w:rPr>
            </w:pPr>
            <w:r>
              <w:rPr>
                <w:rFonts w:ascii="Calibri" w:cs="Calibri" w:eastAsia="Calibri" w:hAnsi="Calibri"/>
                <w:sz w:val="18"/>
                <w:szCs w:val="18"/>
                <w:b w:val="1"/>
                <w:bCs w:val="1"/>
                <w:color w:val="auto"/>
              </w:rPr>
              <w:t>2022</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line="215" w:lineRule="exact"/>
              <w:rPr>
                <w:sz w:val="20"/>
                <w:szCs w:val="20"/>
                <w:color w:val="auto"/>
              </w:rPr>
            </w:pPr>
            <w:r>
              <w:rPr>
                <w:rFonts w:ascii="Calibri" w:cs="Calibri" w:eastAsia="Calibri" w:hAnsi="Calibri"/>
                <w:sz w:val="18"/>
                <w:szCs w:val="18"/>
                <w:b w:val="1"/>
                <w:bCs w:val="1"/>
                <w:color w:val="auto"/>
              </w:rPr>
              <w:t>2021</w:t>
            </w:r>
          </w:p>
        </w:tc>
        <w:tc>
          <w:tcPr>
            <w:tcW w:w="100" w:type="dxa"/>
            <w:vAlign w:val="bottom"/>
            <w:tcBorders>
              <w:bottom w:val="single" w:sz="8" w:color="CFF0FC"/>
            </w:tcBorders>
          </w:tcPr>
          <w:p>
            <w:pPr>
              <w:spacing w:after="0"/>
              <w:rPr>
                <w:sz w:val="18"/>
                <w:szCs w:val="18"/>
                <w:color w:val="auto"/>
              </w:rPr>
            </w:pPr>
          </w:p>
        </w:tc>
      </w:tr>
      <w:tr>
        <w:trPr>
          <w:trHeight w:val="230"/>
        </w:trPr>
        <w:tc>
          <w:tcPr>
            <w:tcW w:w="502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Traditonal Printng</w:t>
            </w:r>
          </w:p>
        </w:tc>
        <w:tc>
          <w:tcPr>
            <w:tcW w:w="19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34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(2)</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44"/>
              <w:spacing w:after="0"/>
              <w:rPr>
                <w:sz w:val="20"/>
                <w:szCs w:val="20"/>
                <w:color w:val="auto"/>
              </w:rPr>
            </w:pPr>
            <w:r>
              <w:rPr>
                <w:rFonts w:ascii="Calibri" w:cs="Calibri" w:eastAsia="Calibri" w:hAnsi="Calibri"/>
                <w:sz w:val="11"/>
                <w:szCs w:val="11"/>
                <w:color w:val="auto"/>
                <w:w w:val="70"/>
              </w:rPr>
              <w:t>$</w:t>
            </w:r>
          </w:p>
        </w:tc>
        <w:tc>
          <w:tcPr>
            <w:tcW w:w="10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shd w:val="clear" w:color="auto" w:fill="CFF0FC"/>
          </w:tcPr>
          <w:p>
            <w:pPr>
              <w:spacing w:after="0"/>
              <w:rPr>
                <w:sz w:val="19"/>
                <w:szCs w:val="19"/>
                <w:color w:val="auto"/>
              </w:rPr>
            </w:pPr>
          </w:p>
        </w:tc>
      </w:tr>
      <w:tr>
        <w:trPr>
          <w:trHeight w:val="222"/>
        </w:trPr>
        <w:tc>
          <w:tcPr>
            <w:tcW w:w="5020" w:type="dxa"/>
            <w:vAlign w:val="bottom"/>
          </w:tcPr>
          <w:p>
            <w:pPr>
              <w:spacing w:after="0" w:line="215" w:lineRule="exact"/>
              <w:rPr>
                <w:sz w:val="20"/>
                <w:szCs w:val="20"/>
                <w:color w:val="auto"/>
              </w:rPr>
            </w:pPr>
            <w:r>
              <w:rPr>
                <w:rFonts w:ascii="Calibri" w:cs="Calibri" w:eastAsia="Calibri" w:hAnsi="Calibri"/>
                <w:sz w:val="18"/>
                <w:szCs w:val="18"/>
                <w:color w:val="auto"/>
              </w:rPr>
              <w:t>Digital Printng</w:t>
            </w: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5020" w:type="dxa"/>
            <w:vAlign w:val="bottom"/>
            <w:shd w:val="clear" w:color="auto" w:fill="CFF0FC"/>
          </w:tcPr>
          <w:p>
            <w:pPr>
              <w:spacing w:after="0"/>
              <w:rPr>
                <w:sz w:val="20"/>
                <w:szCs w:val="20"/>
                <w:color w:val="auto"/>
              </w:rPr>
            </w:pPr>
            <w:r>
              <w:rPr>
                <w:rFonts w:ascii="Calibri" w:cs="Calibri" w:eastAsia="Calibri" w:hAnsi="Calibri"/>
                <w:sz w:val="18"/>
                <w:szCs w:val="18"/>
                <w:color w:val="auto"/>
              </w:rPr>
              <w:t>Advanced Materials and Chemicals</w:t>
            </w:r>
          </w:p>
        </w:tc>
        <w:tc>
          <w:tcPr>
            <w:tcW w:w="1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8"/>
                <w:szCs w:val="18"/>
                <w:color w:val="auto"/>
              </w:rPr>
              <w:t>(3)</w:t>
            </w: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Calibri" w:cs="Calibri" w:eastAsia="Calibri" w:hAnsi="Calibri"/>
                <w:sz w:val="18"/>
                <w:szCs w:val="18"/>
                <w:color w:val="auto"/>
              </w:rPr>
              <w:t>(4)</w:t>
            </w:r>
          </w:p>
        </w:tc>
      </w:tr>
      <w:tr>
        <w:trPr>
          <w:trHeight w:val="222"/>
        </w:trPr>
        <w:tc>
          <w:tcPr>
            <w:tcW w:w="5020" w:type="dxa"/>
            <w:vAlign w:val="bottom"/>
          </w:tcPr>
          <w:p>
            <w:pPr>
              <w:spacing w:after="0" w:line="215" w:lineRule="exact"/>
              <w:rPr>
                <w:sz w:val="20"/>
                <w:szCs w:val="20"/>
                <w:color w:val="auto"/>
              </w:rPr>
            </w:pPr>
            <w:r>
              <w:rPr>
                <w:rFonts w:ascii="Calibri" w:cs="Calibri" w:eastAsia="Calibri" w:hAnsi="Calibri"/>
                <w:sz w:val="18"/>
                <w:szCs w:val="18"/>
                <w:color w:val="auto"/>
              </w:rPr>
              <w:t>Brand</w:t>
            </w: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9"/>
                <w:szCs w:val="19"/>
                <w:color w:val="auto"/>
              </w:rPr>
            </w:pPr>
          </w:p>
        </w:tc>
      </w:tr>
      <w:tr>
        <w:trPr>
          <w:trHeight w:val="237"/>
        </w:trPr>
        <w:tc>
          <w:tcPr>
            <w:tcW w:w="5020" w:type="dxa"/>
            <w:vAlign w:val="bottom"/>
            <w:shd w:val="clear" w:color="auto" w:fill="CFF0FC"/>
          </w:tcPr>
          <w:p>
            <w:pPr>
              <w:spacing w:after="0"/>
              <w:rPr>
                <w:sz w:val="20"/>
                <w:szCs w:val="20"/>
                <w:color w:val="auto"/>
              </w:rPr>
            </w:pPr>
            <w:r>
              <w:rPr>
                <w:rFonts w:ascii="Calibri" w:cs="Calibri" w:eastAsia="Calibri" w:hAnsi="Calibri"/>
                <w:sz w:val="18"/>
                <w:szCs w:val="18"/>
                <w:color w:val="auto"/>
              </w:rPr>
              <w:t>Depreciaton and amortzaton</w:t>
            </w:r>
          </w:p>
        </w:tc>
        <w:tc>
          <w:tcPr>
            <w:tcW w:w="1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8"/>
                <w:szCs w:val="18"/>
                <w:color w:val="auto"/>
              </w:rPr>
              <w:t>(7)</w:t>
            </w: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Calibri" w:cs="Calibri" w:eastAsia="Calibri" w:hAnsi="Calibri"/>
                <w:sz w:val="18"/>
                <w:szCs w:val="18"/>
                <w:color w:val="auto"/>
              </w:rPr>
              <w:t>(8)</w:t>
            </w:r>
          </w:p>
        </w:tc>
      </w:tr>
      <w:tr>
        <w:trPr>
          <w:trHeight w:val="222"/>
        </w:trPr>
        <w:tc>
          <w:tcPr>
            <w:tcW w:w="5020" w:type="dxa"/>
            <w:vAlign w:val="bottom"/>
          </w:tcPr>
          <w:p>
            <w:pPr>
              <w:spacing w:after="0" w:line="215" w:lineRule="exact"/>
              <w:rPr>
                <w:sz w:val="20"/>
                <w:szCs w:val="20"/>
                <w:color w:val="auto"/>
              </w:rPr>
            </w:pPr>
            <w:r>
              <w:rPr>
                <w:rFonts w:ascii="Calibri" w:cs="Calibri" w:eastAsia="Calibri" w:hAnsi="Calibri"/>
                <w:sz w:val="18"/>
                <w:szCs w:val="18"/>
                <w:color w:val="auto"/>
              </w:rPr>
              <w:t>Restructuring costs and other</w:t>
            </w: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w:t>
            </w:r>
          </w:p>
        </w:tc>
      </w:tr>
      <w:tr>
        <w:trPr>
          <w:trHeight w:val="237"/>
        </w:trPr>
        <w:tc>
          <w:tcPr>
            <w:tcW w:w="5020" w:type="dxa"/>
            <w:vAlign w:val="bottom"/>
            <w:shd w:val="clear" w:color="auto" w:fill="CFF0FC"/>
          </w:tcPr>
          <w:p>
            <w:pPr>
              <w:spacing w:after="0"/>
              <w:rPr>
                <w:sz w:val="20"/>
                <w:szCs w:val="20"/>
                <w:color w:val="auto"/>
              </w:rPr>
            </w:pPr>
            <w:r>
              <w:rPr>
                <w:rFonts w:ascii="Calibri" w:cs="Calibri" w:eastAsia="Calibri" w:hAnsi="Calibri"/>
                <w:sz w:val="18"/>
                <w:szCs w:val="18"/>
                <w:color w:val="auto"/>
              </w:rPr>
              <w:t>Stock based compensaton</w:t>
            </w:r>
          </w:p>
        </w:tc>
        <w:tc>
          <w:tcPr>
            <w:tcW w:w="1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8"/>
                <w:szCs w:val="18"/>
                <w:color w:val="auto"/>
              </w:rPr>
              <w:t>(2)</w:t>
            </w: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Calibri" w:cs="Calibri" w:eastAsia="Calibri" w:hAnsi="Calibri"/>
                <w:sz w:val="18"/>
                <w:szCs w:val="18"/>
                <w:color w:val="auto"/>
              </w:rPr>
              <w:t>(3)</w:t>
            </w:r>
          </w:p>
        </w:tc>
      </w:tr>
      <w:tr>
        <w:trPr>
          <w:trHeight w:val="229"/>
        </w:trPr>
        <w:tc>
          <w:tcPr>
            <w:tcW w:w="5020" w:type="dxa"/>
            <w:vAlign w:val="bottom"/>
          </w:tcPr>
          <w:p>
            <w:pPr>
              <w:spacing w:after="0" w:line="229" w:lineRule="exact"/>
              <w:rPr>
                <w:sz w:val="20"/>
                <w:szCs w:val="20"/>
                <w:color w:val="auto"/>
              </w:rPr>
            </w:pPr>
            <w:r>
              <w:rPr>
                <w:rFonts w:ascii="Calibri" w:cs="Calibri" w:eastAsia="Calibri" w:hAnsi="Calibri"/>
                <w:sz w:val="16"/>
                <w:szCs w:val="16"/>
                <w:color w:val="auto"/>
              </w:rPr>
              <w:t xml:space="preserve">Consultng and other costs </w:t>
            </w:r>
            <w:r>
              <w:rPr>
                <w:rFonts w:ascii="Calibri" w:cs="Calibri" w:eastAsia="Calibri" w:hAnsi="Calibri"/>
                <w:sz w:val="25"/>
                <w:szCs w:val="25"/>
                <w:color w:val="auto"/>
                <w:vertAlign w:val="superscript"/>
              </w:rPr>
              <w:t>(1)</w:t>
            </w: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w:t>
            </w:r>
          </w:p>
        </w:tc>
      </w:tr>
      <w:tr>
        <w:trPr>
          <w:trHeight w:val="230"/>
        </w:trPr>
        <w:tc>
          <w:tcPr>
            <w:tcW w:w="5020" w:type="dxa"/>
            <w:vAlign w:val="bottom"/>
            <w:shd w:val="clear" w:color="auto" w:fill="CFF0FC"/>
          </w:tcPr>
          <w:p>
            <w:pPr>
              <w:spacing w:after="0" w:line="229" w:lineRule="exact"/>
              <w:rPr>
                <w:sz w:val="20"/>
                <w:szCs w:val="20"/>
                <w:color w:val="auto"/>
              </w:rPr>
            </w:pPr>
            <w:r>
              <w:rPr>
                <w:rFonts w:ascii="Calibri" w:cs="Calibri" w:eastAsia="Calibri" w:hAnsi="Calibri"/>
                <w:sz w:val="16"/>
                <w:szCs w:val="16"/>
                <w:color w:val="auto"/>
              </w:rPr>
              <w:t xml:space="preserve">Idle costs </w:t>
            </w:r>
            <w:r>
              <w:rPr>
                <w:rFonts w:ascii="Calibri" w:cs="Calibri" w:eastAsia="Calibri" w:hAnsi="Calibri"/>
                <w:sz w:val="25"/>
                <w:szCs w:val="25"/>
                <w:color w:val="auto"/>
                <w:vertAlign w:val="superscript"/>
              </w:rPr>
              <w:t>(2)</w:t>
            </w:r>
          </w:p>
        </w:tc>
        <w:tc>
          <w:tcPr>
            <w:tcW w:w="1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(1)</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w:t>
            </w:r>
          </w:p>
        </w:tc>
      </w:tr>
      <w:tr>
        <w:trPr>
          <w:trHeight w:val="229"/>
        </w:trPr>
        <w:tc>
          <w:tcPr>
            <w:tcW w:w="5020" w:type="dxa"/>
            <w:vAlign w:val="bottom"/>
          </w:tcPr>
          <w:p>
            <w:pPr>
              <w:spacing w:after="0" w:line="229" w:lineRule="exact"/>
              <w:rPr>
                <w:sz w:val="20"/>
                <w:szCs w:val="20"/>
                <w:color w:val="auto"/>
              </w:rPr>
            </w:pPr>
            <w:r>
              <w:rPr>
                <w:rFonts w:ascii="Calibri" w:cs="Calibri" w:eastAsia="Calibri" w:hAnsi="Calibri"/>
                <w:sz w:val="16"/>
                <w:szCs w:val="16"/>
                <w:color w:val="auto"/>
              </w:rPr>
              <w:t xml:space="preserve">Other operatng income, net </w:t>
            </w:r>
            <w:r>
              <w:rPr>
                <w:rFonts w:ascii="Calibri" w:cs="Calibri" w:eastAsia="Calibri" w:hAnsi="Calibri"/>
                <w:sz w:val="25"/>
                <w:szCs w:val="25"/>
                <w:color w:val="auto"/>
                <w:vertAlign w:val="superscript"/>
              </w:rPr>
              <w:t>(3)</w:t>
            </w: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line="229" w:lineRule="exact"/>
              <w:rPr>
                <w:sz w:val="20"/>
                <w:szCs w:val="20"/>
                <w:color w:val="auto"/>
              </w:rPr>
            </w:pPr>
            <w:r>
              <w:rPr>
                <w:rFonts w:ascii="Calibri" w:cs="Calibri" w:eastAsia="Calibri" w:hAnsi="Calibri"/>
                <w:sz w:val="16"/>
                <w:szCs w:val="16"/>
                <w:color w:val="auto"/>
              </w:rPr>
              <w:t xml:space="preserve">Interest expense </w:t>
            </w:r>
            <w:r>
              <w:rPr>
                <w:rFonts w:ascii="Calibri" w:cs="Calibri" w:eastAsia="Calibri" w:hAnsi="Calibri"/>
                <w:sz w:val="25"/>
                <w:szCs w:val="25"/>
                <w:color w:val="auto"/>
                <w:vertAlign w:val="superscript"/>
              </w:rPr>
              <w:t>(3)</w:t>
            </w:r>
          </w:p>
        </w:tc>
        <w:tc>
          <w:tcPr>
            <w:tcW w:w="1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(9)</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w:t>
            </w:r>
          </w:p>
        </w:tc>
      </w:tr>
      <w:tr>
        <w:trPr>
          <w:trHeight w:val="206"/>
        </w:trPr>
        <w:tc>
          <w:tcPr>
            <w:tcW w:w="5020" w:type="dxa"/>
            <w:vAlign w:val="bottom"/>
          </w:tcPr>
          <w:p>
            <w:pPr>
              <w:spacing w:after="0" w:line="206" w:lineRule="exact"/>
              <w:rPr>
                <w:sz w:val="20"/>
                <w:szCs w:val="20"/>
                <w:color w:val="auto"/>
              </w:rPr>
            </w:pPr>
            <w:r>
              <w:rPr>
                <w:rFonts w:ascii="Calibri" w:cs="Calibri" w:eastAsia="Calibri" w:hAnsi="Calibri"/>
                <w:sz w:val="18"/>
                <w:szCs w:val="18"/>
                <w:color w:val="auto"/>
              </w:rPr>
              <w:t>Pension income excluding service cost</w:t>
            </w: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5020" w:type="dxa"/>
            <w:vAlign w:val="bottom"/>
          </w:tcPr>
          <w:p>
            <w:pPr>
              <w:ind w:left="120"/>
              <w:spacing w:after="0" w:line="239" w:lineRule="exact"/>
              <w:rPr>
                <w:sz w:val="20"/>
                <w:szCs w:val="20"/>
                <w:color w:val="auto"/>
              </w:rPr>
            </w:pPr>
            <w:r>
              <w:rPr>
                <w:rFonts w:ascii="Calibri" w:cs="Calibri" w:eastAsia="Calibri" w:hAnsi="Calibri"/>
                <w:sz w:val="16"/>
                <w:szCs w:val="16"/>
                <w:color w:val="auto"/>
              </w:rPr>
              <w:t xml:space="preserve">component </w:t>
            </w:r>
            <w:r>
              <w:rPr>
                <w:rFonts w:ascii="Calibri" w:cs="Calibri" w:eastAsia="Calibri" w:hAnsi="Calibri"/>
                <w:sz w:val="26"/>
                <w:szCs w:val="26"/>
                <w:color w:val="auto"/>
                <w:vertAlign w:val="superscript"/>
              </w:rPr>
              <w:t>(3)</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line="216" w:lineRule="exact"/>
              <w:rPr>
                <w:sz w:val="20"/>
                <w:szCs w:val="20"/>
                <w:color w:val="auto"/>
              </w:rPr>
            </w:pPr>
            <w:r>
              <w:rPr>
                <w:rFonts w:ascii="Calibri" w:cs="Calibri" w:eastAsia="Calibri" w:hAnsi="Calibri"/>
                <w:sz w:val="18"/>
                <w:szCs w:val="18"/>
                <w:color w:val="auto"/>
              </w:rPr>
              <w:t>30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line="216" w:lineRule="exact"/>
              <w:rPr>
                <w:sz w:val="20"/>
                <w:szCs w:val="20"/>
                <w:color w:val="auto"/>
              </w:rPr>
            </w:pPr>
            <w:r>
              <w:rPr>
                <w:rFonts w:ascii="Calibri" w:cs="Calibri" w:eastAsia="Calibri" w:hAnsi="Calibri"/>
                <w:sz w:val="18"/>
                <w:szCs w:val="18"/>
                <w:color w:val="auto"/>
              </w:rPr>
              <w:t>25</w:t>
            </w:r>
          </w:p>
        </w:tc>
        <w:tc>
          <w:tcPr>
            <w:tcW w:w="100" w:type="dxa"/>
            <w:vAlign w:val="bottom"/>
          </w:tcPr>
          <w:p>
            <w:pPr>
              <w:spacing w:after="0"/>
              <w:rPr>
                <w:sz w:val="20"/>
                <w:szCs w:val="20"/>
                <w:color w:val="auto"/>
              </w:rPr>
            </w:pPr>
          </w:p>
        </w:tc>
      </w:tr>
      <w:tr>
        <w:trPr>
          <w:trHeight w:val="229"/>
        </w:trPr>
        <w:tc>
          <w:tcPr>
            <w:tcW w:w="5020" w:type="dxa"/>
            <w:vAlign w:val="bottom"/>
            <w:shd w:val="clear" w:color="auto" w:fill="CFF0FC"/>
          </w:tcPr>
          <w:p>
            <w:pPr>
              <w:spacing w:after="0" w:line="229" w:lineRule="exact"/>
              <w:rPr>
                <w:sz w:val="20"/>
                <w:szCs w:val="20"/>
                <w:color w:val="auto"/>
              </w:rPr>
            </w:pPr>
            <w:r>
              <w:rPr>
                <w:rFonts w:ascii="Calibri" w:cs="Calibri" w:eastAsia="Calibri" w:hAnsi="Calibri"/>
                <w:sz w:val="16"/>
                <w:szCs w:val="16"/>
                <w:color w:val="auto"/>
              </w:rPr>
              <w:t xml:space="preserve">Other charges, net </w:t>
            </w:r>
            <w:r>
              <w:rPr>
                <w:rFonts w:ascii="Calibri" w:cs="Calibri" w:eastAsia="Calibri" w:hAnsi="Calibri"/>
                <w:sz w:val="25"/>
                <w:szCs w:val="25"/>
                <w:color w:val="auto"/>
                <w:vertAlign w:val="superscript"/>
              </w:rPr>
              <w:t>(3)</w:t>
            </w:r>
          </w:p>
        </w:tc>
        <w:tc>
          <w:tcPr>
            <w:tcW w:w="1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(3)</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00"/>
        </w:trPr>
        <w:tc>
          <w:tcPr>
            <w:tcW w:w="5020" w:type="dxa"/>
            <w:vAlign w:val="bottom"/>
          </w:tcPr>
          <w:p>
            <w:pPr>
              <w:spacing w:after="0" w:line="199" w:lineRule="exact"/>
              <w:rPr>
                <w:sz w:val="20"/>
                <w:szCs w:val="20"/>
                <w:color w:val="auto"/>
              </w:rPr>
            </w:pPr>
            <w:r>
              <w:rPr>
                <w:rFonts w:ascii="Calibri" w:cs="Calibri" w:eastAsia="Calibri" w:hAnsi="Calibri"/>
                <w:sz w:val="18"/>
                <w:szCs w:val="18"/>
                <w:color w:val="auto"/>
              </w:rPr>
              <w:t>Consolidated (loss) income from operatons</w:t>
            </w:r>
          </w:p>
        </w:tc>
        <w:tc>
          <w:tcPr>
            <w:tcW w:w="19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20" w:type="dxa"/>
            <w:vAlign w:val="bottom"/>
          </w:tcPr>
          <w:p>
            <w:pPr>
              <w:ind w:left="120"/>
              <w:spacing w:after="0" w:line="216" w:lineRule="exact"/>
              <w:rPr>
                <w:sz w:val="20"/>
                <w:szCs w:val="20"/>
                <w:color w:val="auto"/>
              </w:rPr>
            </w:pPr>
            <w:r>
              <w:rPr>
                <w:rFonts w:ascii="Calibri" w:cs="Calibri" w:eastAsia="Calibri" w:hAnsi="Calibri"/>
                <w:sz w:val="18"/>
                <w:szCs w:val="18"/>
                <w:color w:val="auto"/>
              </w:rPr>
              <w:t>before income taxes</w:t>
            </w:r>
          </w:p>
        </w:tc>
        <w:tc>
          <w:tcPr>
            <w:tcW w:w="2240" w:type="dxa"/>
            <w:vAlign w:val="bottom"/>
            <w:gridSpan w:val="2"/>
          </w:tcPr>
          <w:p>
            <w:pPr>
              <w:jc w:val="right"/>
              <w:ind w:right="130"/>
              <w:spacing w:after="0" w:line="216" w:lineRule="exact"/>
              <w:rPr>
                <w:sz w:val="20"/>
                <w:szCs w:val="20"/>
                <w:color w:val="auto"/>
              </w:rPr>
            </w:pPr>
            <w:r>
              <w:rPr>
                <w:rFonts w:ascii="Calibri" w:cs="Calibri" w:eastAsia="Calibri" w:hAnsi="Calibri"/>
                <w:sz w:val="18"/>
                <w:szCs w:val="18"/>
                <w:color w:val="auto"/>
              </w:rPr>
              <w:t>$</w:t>
            </w:r>
          </w:p>
        </w:tc>
        <w:tc>
          <w:tcPr>
            <w:tcW w:w="134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color w:val="auto"/>
              </w:rPr>
              <w:t>(1)</w:t>
            </w:r>
          </w:p>
        </w:tc>
        <w:tc>
          <w:tcPr>
            <w:tcW w:w="380" w:type="dxa"/>
            <w:vAlign w:val="bottom"/>
            <w:gridSpan w:val="2"/>
          </w:tcPr>
          <w:p>
            <w:pPr>
              <w:jc w:val="right"/>
              <w:ind w:right="244"/>
              <w:spacing w:after="0"/>
              <w:rPr>
                <w:sz w:val="20"/>
                <w:szCs w:val="20"/>
                <w:color w:val="auto"/>
              </w:rPr>
            </w:pPr>
            <w:r>
              <w:rPr>
                <w:rFonts w:ascii="Calibri" w:cs="Calibri" w:eastAsia="Calibri" w:hAnsi="Calibri"/>
                <w:sz w:val="16"/>
                <w:szCs w:val="16"/>
                <w:color w:val="auto"/>
                <w:w w:val="73"/>
              </w:rPr>
              <w:t>$</w:t>
            </w:r>
          </w:p>
        </w:tc>
        <w:tc>
          <w:tcPr>
            <w:tcW w:w="1020" w:type="dxa"/>
            <w:vAlign w:val="bottom"/>
          </w:tcPr>
          <w:p>
            <w:pPr>
              <w:jc w:val="right"/>
              <w:spacing w:after="0" w:line="216"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ind w:left="540" w:right="200" w:hanging="451"/>
        <w:spacing w:after="0" w:line="184" w:lineRule="auto"/>
        <w:tabs>
          <w:tab w:leader="none" w:pos="540" w:val="left"/>
        </w:tabs>
        <w:numPr>
          <w:ilvl w:val="0"/>
          <w:numId w:val="16"/>
        </w:numPr>
        <w:rPr>
          <w:rFonts w:ascii="Calibri" w:cs="Calibri" w:eastAsia="Calibri" w:hAnsi="Calibri"/>
          <w:sz w:val="29"/>
          <w:szCs w:val="29"/>
          <w:color w:val="auto"/>
          <w:vertAlign w:val="superscript"/>
        </w:rPr>
      </w:pPr>
      <w:r>
        <w:rPr>
          <w:rFonts w:ascii="Calibri" w:cs="Calibri" w:eastAsia="Calibri" w:hAnsi="Calibri"/>
          <w:sz w:val="17"/>
          <w:szCs w:val="17"/>
          <w:color w:val="auto"/>
        </w:rPr>
        <w:t>Consultng and other costs are primarily professional services and internal costs associated with certain corporate strategic initatves, investgatons and litgaton.</w:t>
      </w:r>
    </w:p>
    <w:p>
      <w:pPr>
        <w:spacing w:after="0" w:line="109" w:lineRule="exact"/>
        <w:rPr>
          <w:rFonts w:ascii="Calibri" w:cs="Calibri" w:eastAsia="Calibri" w:hAnsi="Calibri"/>
          <w:sz w:val="29"/>
          <w:szCs w:val="29"/>
          <w:color w:val="auto"/>
          <w:vertAlign w:val="superscript"/>
        </w:rPr>
      </w:pPr>
    </w:p>
    <w:p>
      <w:pPr>
        <w:ind w:left="540" w:right="320" w:hanging="451"/>
        <w:spacing w:after="0" w:line="184" w:lineRule="auto"/>
        <w:tabs>
          <w:tab w:leader="none" w:pos="540" w:val="left"/>
        </w:tabs>
        <w:numPr>
          <w:ilvl w:val="0"/>
          <w:numId w:val="16"/>
        </w:numPr>
        <w:rPr>
          <w:rFonts w:ascii="Calibri" w:cs="Calibri" w:eastAsia="Calibri" w:hAnsi="Calibri"/>
          <w:sz w:val="29"/>
          <w:szCs w:val="29"/>
          <w:color w:val="auto"/>
          <w:vertAlign w:val="superscript"/>
        </w:rPr>
      </w:pPr>
      <w:r>
        <w:rPr>
          <w:rFonts w:ascii="Calibri" w:cs="Calibri" w:eastAsia="Calibri" w:hAnsi="Calibri"/>
          <w:sz w:val="17"/>
          <w:szCs w:val="17"/>
          <w:color w:val="auto"/>
        </w:rPr>
        <w:t>Consists of third-party costs such as security, maintenance and utlites required to maintain land and buildings in certain locatons not used in any Kodak operatons and the costs, net of any rental income received, of underutlized portons of certain propertes.</w:t>
      </w:r>
    </w:p>
    <w:p>
      <w:pPr>
        <w:ind w:left="540" w:hanging="451"/>
        <w:spacing w:after="0" w:line="205" w:lineRule="auto"/>
        <w:tabs>
          <w:tab w:leader="none" w:pos="540" w:val="left"/>
        </w:tabs>
        <w:numPr>
          <w:ilvl w:val="0"/>
          <w:numId w:val="16"/>
        </w:numPr>
        <w:rPr>
          <w:rFonts w:ascii="Calibri" w:cs="Calibri" w:eastAsia="Calibri" w:hAnsi="Calibri"/>
          <w:sz w:val="31"/>
          <w:szCs w:val="31"/>
          <w:color w:val="auto"/>
          <w:vertAlign w:val="superscript"/>
        </w:rPr>
      </w:pPr>
      <w:r>
        <w:rPr>
          <w:rFonts w:ascii="Calibri" w:cs="Calibri" w:eastAsia="Calibri" w:hAnsi="Calibri"/>
          <w:sz w:val="18"/>
          <w:szCs w:val="18"/>
          <w:color w:val="auto"/>
        </w:rPr>
        <w:t>As reported in the Consolidated Statement of Operatons.</w:t>
      </w:r>
    </w:p>
    <w:p>
      <w:pPr>
        <w:spacing w:after="0" w:line="245"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Kodak decreased workers’ compensaton reserves by approximately $4 million in the three months ended March 31, 2022, driven by changes in discount rates. The decrease in reserves in the three months ended March 31, 2022 impacted gross proft by approximately $3 million and Selling, general and administratve expenses (“SG&amp;A”) by approximately $1 million.</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Segment Measure of Proft and Loss</w:t>
      </w:r>
    </w:p>
    <w:p>
      <w:pPr>
        <w:spacing w:after="0" w:line="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Kodak’s segment measure of proft and loss is an adjusted earnings before interest, taxes, depreciaton and amortzaton (“Operatonal EBITDA”). Operatonal EBITDA represents the (loss) earnings from operatons excluding the provision for income taxes; non-service cost components of pension and OPEB income; depreciaton and amortzaton expense; restructuring costs; stock-based compensaton expense; consultng and other costs; idle costs; other operatng income, net (unless otherwise indicated); interest expense and other charges, net.</w:t>
      </w:r>
    </w:p>
    <w:p>
      <w:pPr>
        <w:spacing w:after="0" w:line="246"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Kodak’s segments are measured using Operatonal EBITDA both before and afer the allocaton of corporate SG&amp;A expenses. The segment earnings measure reported is afer allocaton of corporate SG&amp;A as this most closely aligns with U.S. GAAP. Research and development actvites not directly related to the other segments are reported within the Advanced Materials and Chemicals segment.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00" w:type="dxa"/>
            <w:vAlign w:val="bottom"/>
          </w:tcPr>
          <w:p>
            <w:pPr>
              <w:spacing w:after="0"/>
              <w:rPr>
                <w:sz w:val="20"/>
                <w:szCs w:val="20"/>
                <w:color w:val="auto"/>
              </w:rPr>
            </w:pPr>
            <w:r>
              <w:rPr>
                <w:rFonts w:ascii="Calibri" w:cs="Calibri" w:eastAsia="Calibri" w:hAnsi="Calibri"/>
                <w:sz w:val="18"/>
                <w:szCs w:val="18"/>
                <w:b w:val="1"/>
                <w:bCs w:val="1"/>
                <w:color w:val="auto"/>
              </w:rPr>
              <w:t>TRADITIONAL PRINTING SEGMENT</w:t>
            </w:r>
          </w:p>
        </w:tc>
        <w:tc>
          <w:tcPr>
            <w:tcW w:w="2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4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gridSpan w:val="7"/>
          </w:tcPr>
          <w:p>
            <w:pPr>
              <w:jc w:val="right"/>
              <w:spacing w:after="0"/>
              <w:rPr>
                <w:sz w:val="20"/>
                <w:szCs w:val="20"/>
                <w:color w:val="auto"/>
              </w:rPr>
            </w:pPr>
            <w:r>
              <w:rPr>
                <w:rFonts w:ascii="Calibri" w:cs="Calibri" w:eastAsia="Calibri" w:hAnsi="Calibri"/>
                <w:sz w:val="18"/>
                <w:szCs w:val="18"/>
                <w:b w:val="1"/>
                <w:bCs w:val="1"/>
                <w:color w:val="auto"/>
              </w:rPr>
              <w:t>Three Months Ended March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3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tcPr>
          <w:p>
            <w:pPr>
              <w:spacing w:after="0"/>
              <w:rPr>
                <w:sz w:val="20"/>
                <w:szCs w:val="20"/>
                <w:color w:val="auto"/>
              </w:rPr>
            </w:pPr>
            <w:r>
              <w:rPr>
                <w:rFonts w:ascii="Calibri" w:cs="Calibri" w:eastAsia="Calibri" w:hAnsi="Calibri"/>
                <w:sz w:val="16"/>
                <w:szCs w:val="16"/>
                <w:color w:val="auto"/>
              </w:rPr>
              <w:t>(in millions)</w:t>
            </w:r>
          </w:p>
        </w:tc>
        <w:tc>
          <w:tcPr>
            <w:tcW w:w="266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line="215" w:lineRule="exact"/>
              <w:rPr>
                <w:sz w:val="20"/>
                <w:szCs w:val="20"/>
                <w:color w:val="auto"/>
              </w:rPr>
            </w:pPr>
            <w:r>
              <w:rPr>
                <w:rFonts w:ascii="Calibri" w:cs="Calibri" w:eastAsia="Calibri" w:hAnsi="Calibri"/>
                <w:sz w:val="18"/>
                <w:szCs w:val="18"/>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line="215" w:lineRule="exact"/>
              <w:rPr>
                <w:sz w:val="20"/>
                <w:szCs w:val="20"/>
                <w:color w:val="auto"/>
              </w:rPr>
            </w:pPr>
            <w:r>
              <w:rPr>
                <w:rFonts w:ascii="Calibri" w:cs="Calibri" w:eastAsia="Calibri" w:hAnsi="Calibri"/>
                <w:sz w:val="18"/>
                <w:szCs w:val="18"/>
                <w:b w:val="1"/>
                <w:bCs w:val="1"/>
                <w:color w:val="auto"/>
              </w:rPr>
              <w:t>$ Change</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Revenues</w:t>
            </w:r>
          </w:p>
        </w:tc>
        <w:tc>
          <w:tcPr>
            <w:tcW w:w="26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0"/>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Operatonal EBITDA</w:t>
            </w:r>
          </w:p>
        </w:tc>
        <w:tc>
          <w:tcPr>
            <w:tcW w:w="3600" w:type="dxa"/>
            <w:vAlign w:val="bottom"/>
            <w:gridSpan w:val="2"/>
            <w:shd w:val="clear" w:color="auto" w:fill="CFF0FC"/>
          </w:tcPr>
          <w:p>
            <w:pPr>
              <w:jc w:val="right"/>
              <w:ind w:right="750"/>
              <w:spacing w:after="0" w:line="215" w:lineRule="exact"/>
              <w:rPr>
                <w:sz w:val="20"/>
                <w:szCs w:val="20"/>
                <w:color w:val="auto"/>
              </w:rPr>
            </w:pPr>
            <w:r>
              <w:rPr>
                <w:rFonts w:ascii="Calibri" w:cs="Calibri" w:eastAsia="Calibri" w:hAnsi="Calibri"/>
                <w:sz w:val="18"/>
                <w:szCs w:val="18"/>
                <w:color w:val="auto"/>
              </w:rPr>
              <w:t>$</w:t>
            </w:r>
          </w:p>
        </w:tc>
        <w:tc>
          <w:tcPr>
            <w:tcW w:w="520" w:type="dxa"/>
            <w:vAlign w:val="bottom"/>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(2)</w:t>
            </w:r>
          </w:p>
        </w:tc>
        <w:tc>
          <w:tcPr>
            <w:tcW w:w="400" w:type="dxa"/>
            <w:vAlign w:val="bottom"/>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(7)</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2660" w:type="dxa"/>
            <w:vAlign w:val="bottom"/>
            <w:tcBorders>
              <w:top w:val="single" w:sz="8" w:color="CFF0FC"/>
              <w:bottom w:val="single" w:sz="8" w:color="CFF0FC"/>
            </w:tcBorders>
            <w:vMerge w:val="restart"/>
          </w:tcPr>
          <w:p>
            <w:pPr>
              <w:jc w:val="right"/>
              <w:ind w:right="790"/>
              <w:spacing w:after="0"/>
              <w:rPr>
                <w:sz w:val="20"/>
                <w:szCs w:val="20"/>
                <w:color w:val="auto"/>
              </w:rPr>
            </w:pPr>
            <w:r>
              <w:rPr>
                <w:rFonts w:ascii="Arial" w:cs="Arial" w:eastAsia="Arial" w:hAnsi="Arial"/>
                <w:sz w:val="18"/>
                <w:szCs w:val="18"/>
                <w:color w:val="auto"/>
              </w:rPr>
              <w:t>[31]</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0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0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b w:val="1"/>
          <w:bCs w:val="1"/>
          <w:color w:val="auto"/>
        </w:rPr>
        <w:t>Revenues</w:t>
      </w:r>
    </w:p>
    <w:p>
      <w:pPr>
        <w:spacing w:after="0" w:line="24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increase in Traditonal Printng revenues for the three months ended March 31, 2022 of approximately $24 million refected improved pricing and volume in Prepress Solutons consumables ($22 million and $8 million, respectvely) partally ofset by unfavorable foreign currency ($8 million).</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Operatonal EBITDA</w:t>
      </w:r>
    </w:p>
    <w:p>
      <w:pPr>
        <w:spacing w:after="0" w:line="24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Traditonal Printng Operatonal EBITDA for the three months ended March 31, 2022 declined $7 million compared to the prior year quarter refectng higher aluminum costs ($15 million), increased manufacturing costs ($14 million) driven by increases in other costs such as utlites, transportaton and supplies as well as higher selling and administratve costs ($2 million). The higher costs were partally ofset by pricing and volume improvements ($22 million and $1 million, respectvely) in Prepress Solutons consumables and a decrease in workers’ compensaton reserves ($1 million).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80" w:type="dxa"/>
            <w:vAlign w:val="bottom"/>
          </w:tcPr>
          <w:p>
            <w:pPr>
              <w:spacing w:after="0"/>
              <w:rPr>
                <w:sz w:val="20"/>
                <w:szCs w:val="20"/>
                <w:color w:val="auto"/>
              </w:rPr>
            </w:pPr>
            <w:r>
              <w:rPr>
                <w:rFonts w:ascii="Calibri" w:cs="Calibri" w:eastAsia="Calibri" w:hAnsi="Calibri"/>
                <w:sz w:val="18"/>
                <w:szCs w:val="18"/>
                <w:b w:val="1"/>
                <w:bCs w:val="1"/>
                <w:color w:val="auto"/>
              </w:rPr>
              <w:t>DIGITAL PRINTING SEGMENT</w:t>
            </w:r>
          </w:p>
        </w:tc>
        <w:tc>
          <w:tcPr>
            <w:tcW w:w="2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4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60" w:type="dxa"/>
            <w:vAlign w:val="bottom"/>
            <w:gridSpan w:val="7"/>
          </w:tcPr>
          <w:p>
            <w:pPr>
              <w:jc w:val="right"/>
              <w:spacing w:after="0"/>
              <w:rPr>
                <w:sz w:val="20"/>
                <w:szCs w:val="20"/>
                <w:color w:val="auto"/>
              </w:rPr>
            </w:pPr>
            <w:r>
              <w:rPr>
                <w:rFonts w:ascii="Calibri" w:cs="Calibri" w:eastAsia="Calibri" w:hAnsi="Calibri"/>
                <w:sz w:val="18"/>
                <w:szCs w:val="18"/>
                <w:b w:val="1"/>
                <w:bCs w:val="1"/>
                <w:color w:val="auto"/>
              </w:rPr>
              <w:t>Three Months Ended March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32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80" w:type="dxa"/>
            <w:vAlign w:val="bottom"/>
            <w:tcBorders>
              <w:bottom w:val="single" w:sz="8" w:color="CFF0FC"/>
            </w:tcBorders>
          </w:tcPr>
          <w:p>
            <w:pPr>
              <w:spacing w:after="0"/>
              <w:rPr>
                <w:sz w:val="20"/>
                <w:szCs w:val="20"/>
                <w:color w:val="auto"/>
              </w:rPr>
            </w:pPr>
            <w:r>
              <w:rPr>
                <w:rFonts w:ascii="Calibri" w:cs="Calibri" w:eastAsia="Calibri" w:hAnsi="Calibri"/>
                <w:sz w:val="16"/>
                <w:szCs w:val="16"/>
                <w:color w:val="auto"/>
              </w:rPr>
              <w:t>(in millions)</w:t>
            </w:r>
          </w:p>
        </w:tc>
        <w:tc>
          <w:tcPr>
            <w:tcW w:w="2280" w:type="dxa"/>
            <w:vAlign w:val="bottom"/>
            <w:tcBorders>
              <w:bottom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line="215" w:lineRule="exact"/>
              <w:rPr>
                <w:sz w:val="20"/>
                <w:szCs w:val="20"/>
                <w:color w:val="auto"/>
              </w:rPr>
            </w:pPr>
            <w:r>
              <w:rPr>
                <w:rFonts w:ascii="Calibri" w:cs="Calibri" w:eastAsia="Calibri" w:hAnsi="Calibri"/>
                <w:sz w:val="18"/>
                <w:szCs w:val="18"/>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60"/>
              <w:spacing w:after="0" w:line="215" w:lineRule="exact"/>
              <w:rPr>
                <w:sz w:val="20"/>
                <w:szCs w:val="20"/>
                <w:color w:val="auto"/>
              </w:rPr>
            </w:pPr>
            <w:r>
              <w:rPr>
                <w:rFonts w:ascii="Calibri" w:cs="Calibri" w:eastAsia="Calibri" w:hAnsi="Calibri"/>
                <w:sz w:val="18"/>
                <w:szCs w:val="18"/>
                <w:b w:val="1"/>
                <w:bCs w:val="1"/>
                <w:color w:val="auto"/>
              </w:rPr>
              <w:t>$ Change</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Revenues</w:t>
            </w:r>
          </w:p>
        </w:tc>
        <w:tc>
          <w:tcPr>
            <w:tcW w:w="2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0"/>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(8)</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Operatonal EBITDA</w:t>
            </w:r>
          </w:p>
        </w:tc>
        <w:tc>
          <w:tcPr>
            <w:tcW w:w="3240" w:type="dxa"/>
            <w:vAlign w:val="bottom"/>
            <w:gridSpan w:val="2"/>
            <w:shd w:val="clear" w:color="auto" w:fill="CFF0FC"/>
          </w:tcPr>
          <w:p>
            <w:pPr>
              <w:jc w:val="right"/>
              <w:ind w:right="77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(5)</w:t>
            </w:r>
          </w:p>
        </w:tc>
        <w:tc>
          <w:tcPr>
            <w:tcW w:w="400" w:type="dxa"/>
            <w:vAlign w:val="bottom"/>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bottom w:val="single" w:sz="8" w:color="CFF0FC"/>
            </w:tcBorders>
            <w:vMerge w:val="restart"/>
          </w:tcPr>
          <w:p>
            <w:pPr>
              <w:spacing w:after="0"/>
              <w:rPr>
                <w:sz w:val="20"/>
                <w:szCs w:val="20"/>
                <w:color w:val="auto"/>
              </w:rPr>
            </w:pPr>
            <w:r>
              <w:rPr>
                <w:rFonts w:ascii="Calibri" w:cs="Calibri" w:eastAsia="Calibri" w:hAnsi="Calibri"/>
                <w:sz w:val="18"/>
                <w:szCs w:val="18"/>
                <w:b w:val="1"/>
                <w:bCs w:val="1"/>
                <w:color w:val="auto"/>
              </w:rPr>
              <w:t>Revenues</w:t>
            </w:r>
          </w:p>
        </w:tc>
        <w:tc>
          <w:tcPr>
            <w:tcW w:w="22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38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340"/>
        <w:spacing w:after="0" w:line="254" w:lineRule="auto"/>
        <w:rPr>
          <w:sz w:val="20"/>
          <w:szCs w:val="20"/>
          <w:color w:val="auto"/>
        </w:rPr>
      </w:pPr>
      <w:r>
        <w:rPr>
          <w:rFonts w:ascii="Calibri" w:cs="Calibri" w:eastAsia="Calibri" w:hAnsi="Calibri"/>
          <w:sz w:val="17"/>
          <w:szCs w:val="17"/>
          <w:color w:val="auto"/>
        </w:rPr>
        <w:t>The decline in Digital Printng revenues for the three months ended March 31, 2022 of approximately $8 million primarily refected volume declines in PROSPER equipment and components ($4 million and $1 million, respectvely), volume declines in Electrophotographic Printng Solutons equipment ($1 million), unfavorable pricing in Electrophotographic Printng Solutons consumables and service ($1 million) and unfavorable foreign currency ($2 million).</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Operatonal EBITDA</w:t>
      </w:r>
    </w:p>
    <w:p>
      <w:pPr>
        <w:spacing w:after="0" w:line="244" w:lineRule="exact"/>
        <w:rPr>
          <w:sz w:val="20"/>
          <w:szCs w:val="20"/>
          <w:color w:val="auto"/>
        </w:rPr>
      </w:pPr>
    </w:p>
    <w:p>
      <w:pPr>
        <w:jc w:val="both"/>
        <w:ind w:right="280"/>
        <w:spacing w:after="0" w:line="235" w:lineRule="auto"/>
        <w:rPr>
          <w:sz w:val="20"/>
          <w:szCs w:val="20"/>
          <w:color w:val="auto"/>
        </w:rPr>
      </w:pPr>
      <w:r>
        <w:rPr>
          <w:rFonts w:ascii="Calibri" w:cs="Calibri" w:eastAsia="Calibri" w:hAnsi="Calibri"/>
          <w:sz w:val="18"/>
          <w:szCs w:val="18"/>
          <w:color w:val="auto"/>
        </w:rPr>
        <w:t>Digital Printng Operatonal EBITDA for the three months ended March 31, 2022 declined $5 million primarily refectng increased manufacturing costs ($4 million), unfavorable pricing in Electrophotographic Printng Solutons consumables and service ($1 million), higher R&amp;D costs ($1 million) and unfavorable foreign currency ($1 million) partally ofset by a decrease in workers’ compensaton reserves ($1 million).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20"/>
                <w:szCs w:val="20"/>
                <w:color w:val="auto"/>
              </w:rPr>
            </w:pPr>
            <w:r>
              <w:rPr>
                <w:rFonts w:ascii="Calibri" w:cs="Calibri" w:eastAsia="Calibri" w:hAnsi="Calibri"/>
                <w:sz w:val="18"/>
                <w:szCs w:val="18"/>
                <w:b w:val="1"/>
                <w:bCs w:val="1"/>
                <w:color w:val="auto"/>
              </w:rPr>
              <w:t>ADVANCED MATERIALS AND CHEMICALS SEGMENT</w:t>
            </w: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5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60" w:type="dxa"/>
            <w:vAlign w:val="bottom"/>
            <w:gridSpan w:val="7"/>
          </w:tcPr>
          <w:p>
            <w:pPr>
              <w:jc w:val="right"/>
              <w:spacing w:after="0"/>
              <w:rPr>
                <w:sz w:val="20"/>
                <w:szCs w:val="20"/>
                <w:color w:val="auto"/>
              </w:rPr>
            </w:pPr>
            <w:r>
              <w:rPr>
                <w:rFonts w:ascii="Calibri" w:cs="Calibri" w:eastAsia="Calibri" w:hAnsi="Calibri"/>
                <w:sz w:val="18"/>
                <w:szCs w:val="18"/>
                <w:b w:val="1"/>
                <w:bCs w:val="1"/>
                <w:color w:val="auto"/>
              </w:rPr>
              <w:t>Three Months Ended March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CFF0FC"/>
            </w:tcBorders>
          </w:tcPr>
          <w:p>
            <w:pPr>
              <w:spacing w:after="0"/>
              <w:rPr>
                <w:sz w:val="20"/>
                <w:szCs w:val="20"/>
                <w:color w:val="auto"/>
              </w:rPr>
            </w:pPr>
            <w:r>
              <w:rPr>
                <w:rFonts w:ascii="Calibri" w:cs="Calibri" w:eastAsia="Calibri" w:hAnsi="Calibri"/>
                <w:sz w:val="16"/>
                <w:szCs w:val="16"/>
                <w:color w:val="auto"/>
              </w:rPr>
              <w:t>(in millions)</w:t>
            </w:r>
          </w:p>
        </w:tc>
        <w:tc>
          <w:tcPr>
            <w:tcW w:w="1480" w:type="dxa"/>
            <w:vAlign w:val="bottom"/>
            <w:tcBorders>
              <w:bottom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line="215" w:lineRule="exact"/>
              <w:rPr>
                <w:sz w:val="20"/>
                <w:szCs w:val="20"/>
                <w:color w:val="auto"/>
              </w:rPr>
            </w:pPr>
            <w:r>
              <w:rPr>
                <w:rFonts w:ascii="Calibri" w:cs="Calibri" w:eastAsia="Calibri" w:hAnsi="Calibri"/>
                <w:sz w:val="18"/>
                <w:szCs w:val="18"/>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line="215" w:lineRule="exact"/>
              <w:rPr>
                <w:sz w:val="20"/>
                <w:szCs w:val="20"/>
                <w:color w:val="auto"/>
              </w:rPr>
            </w:pPr>
            <w:r>
              <w:rPr>
                <w:rFonts w:ascii="Calibri" w:cs="Calibri" w:eastAsia="Calibri" w:hAnsi="Calibri"/>
                <w:sz w:val="18"/>
                <w:szCs w:val="18"/>
                <w:b w:val="1"/>
                <w:bCs w:val="1"/>
                <w:color w:val="auto"/>
              </w:rPr>
              <w:t>$ Change</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Revenues</w:t>
            </w:r>
          </w:p>
        </w:tc>
        <w:tc>
          <w:tcPr>
            <w:tcW w:w="14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Operatonal EBITDA</w:t>
            </w:r>
          </w:p>
        </w:tc>
        <w:tc>
          <w:tcPr>
            <w:tcW w:w="2440" w:type="dxa"/>
            <w:vAlign w:val="bottom"/>
            <w:gridSpan w:val="2"/>
            <w:shd w:val="clear" w:color="auto" w:fill="CFF0FC"/>
          </w:tcPr>
          <w:p>
            <w:pPr>
              <w:jc w:val="right"/>
              <w:ind w:right="77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(3)</w:t>
            </w:r>
          </w:p>
        </w:tc>
        <w:tc>
          <w:tcPr>
            <w:tcW w:w="400" w:type="dxa"/>
            <w:vAlign w:val="bottom"/>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(4)</w:t>
            </w:r>
          </w:p>
        </w:tc>
        <w:tc>
          <w:tcPr>
            <w:tcW w:w="280" w:type="dxa"/>
            <w:vAlign w:val="bottom"/>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bottom w:val="single" w:sz="8" w:color="CFF0FC"/>
            </w:tcBorders>
            <w:vMerge w:val="restart"/>
          </w:tcPr>
          <w:p>
            <w:pPr>
              <w:spacing w:after="0"/>
              <w:rPr>
                <w:sz w:val="20"/>
                <w:szCs w:val="20"/>
                <w:color w:val="auto"/>
              </w:rPr>
            </w:pPr>
            <w:r>
              <w:rPr>
                <w:rFonts w:ascii="Calibri" w:cs="Calibri" w:eastAsia="Calibri" w:hAnsi="Calibri"/>
                <w:sz w:val="18"/>
                <w:szCs w:val="18"/>
                <w:b w:val="1"/>
                <w:bCs w:val="1"/>
                <w:color w:val="auto"/>
              </w:rPr>
              <w:t>Revenues</w:t>
            </w:r>
          </w:p>
        </w:tc>
        <w:tc>
          <w:tcPr>
            <w:tcW w:w="14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color w:val="auto"/>
        </w:rPr>
        <w:t>Advanced Materials and Chemicals revenues for the three months ended March 31, 2022 improved $8 million primarily from volume improvements in Industrial Film and Chemicals and Moton Picture ($5 million and $3 million, respectvely).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b w:val="1"/>
          <w:bCs w:val="1"/>
          <w:color w:val="auto"/>
        </w:rPr>
        <w:t>Operatonal EBITDA</w:t>
      </w:r>
    </w:p>
    <w:p>
      <w:pPr>
        <w:spacing w:after="0" w:line="24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Advanced Materials and Chemicals Operatonal EBITDA improved $1 million for the three months ended March 31, 2022 refectng volume improvements in Industrial Film and Chemicals and Moton Picture ($2 million and $1 million, respectvely) and a reducton in workers’ compensaton reserves ($2 million), partally ofset by increased manufacturing costs for Industrial Film and Chemicals ($3 million).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40" w:type="dxa"/>
            <w:vAlign w:val="bottom"/>
          </w:tcPr>
          <w:p>
            <w:pPr>
              <w:spacing w:after="0"/>
              <w:rPr>
                <w:sz w:val="20"/>
                <w:szCs w:val="20"/>
                <w:color w:val="auto"/>
              </w:rPr>
            </w:pPr>
            <w:r>
              <w:rPr>
                <w:rFonts w:ascii="Calibri" w:cs="Calibri" w:eastAsia="Calibri" w:hAnsi="Calibri"/>
                <w:sz w:val="18"/>
                <w:szCs w:val="18"/>
                <w:b w:val="1"/>
                <w:bCs w:val="1"/>
                <w:color w:val="auto"/>
              </w:rPr>
              <w:t>BRAND SEGMENT</w:t>
            </w:r>
          </w:p>
        </w:tc>
        <w:tc>
          <w:tcPr>
            <w:tcW w:w="2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3"/>
        </w:trPr>
        <w:tc>
          <w:tcPr>
            <w:tcW w:w="4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60" w:type="dxa"/>
            <w:vAlign w:val="bottom"/>
            <w:gridSpan w:val="6"/>
          </w:tcPr>
          <w:p>
            <w:pPr>
              <w:jc w:val="right"/>
              <w:spacing w:after="0"/>
              <w:rPr>
                <w:sz w:val="20"/>
                <w:szCs w:val="20"/>
                <w:color w:val="auto"/>
              </w:rPr>
            </w:pPr>
            <w:r>
              <w:rPr>
                <w:rFonts w:ascii="Calibri" w:cs="Calibri" w:eastAsia="Calibri" w:hAnsi="Calibri"/>
                <w:sz w:val="18"/>
                <w:szCs w:val="18"/>
                <w:b w:val="1"/>
                <w:bCs w:val="1"/>
                <w:color w:val="auto"/>
              </w:rPr>
              <w:t>Three Months Ended March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4040" w:type="dxa"/>
            <w:vAlign w:val="bottom"/>
          </w:tcPr>
          <w:p>
            <w:pPr>
              <w:spacing w:after="0"/>
              <w:rPr>
                <w:sz w:val="2"/>
                <w:szCs w:val="2"/>
                <w:color w:val="auto"/>
              </w:rPr>
            </w:pPr>
          </w:p>
        </w:tc>
        <w:tc>
          <w:tcPr>
            <w:tcW w:w="35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216"/>
        </w:trPr>
        <w:tc>
          <w:tcPr>
            <w:tcW w:w="4040" w:type="dxa"/>
            <w:vAlign w:val="bottom"/>
            <w:tcBorders>
              <w:bottom w:val="single" w:sz="8" w:color="CFF0FC"/>
            </w:tcBorders>
          </w:tcPr>
          <w:p>
            <w:pPr>
              <w:spacing w:after="0"/>
              <w:rPr>
                <w:sz w:val="20"/>
                <w:szCs w:val="20"/>
                <w:color w:val="auto"/>
              </w:rPr>
            </w:pPr>
            <w:r>
              <w:rPr>
                <w:rFonts w:ascii="Calibri" w:cs="Calibri" w:eastAsia="Calibri" w:hAnsi="Calibri"/>
                <w:sz w:val="16"/>
                <w:szCs w:val="16"/>
                <w:color w:val="auto"/>
              </w:rPr>
              <w:t>(in millions)</w:t>
            </w:r>
          </w:p>
        </w:tc>
        <w:tc>
          <w:tcPr>
            <w:tcW w:w="2620" w:type="dxa"/>
            <w:vAlign w:val="bottom"/>
            <w:tcBorders>
              <w:bottom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line="215" w:lineRule="exact"/>
              <w:rPr>
                <w:sz w:val="20"/>
                <w:szCs w:val="20"/>
                <w:color w:val="auto"/>
              </w:rPr>
            </w:pPr>
            <w:r>
              <w:rPr>
                <w:rFonts w:ascii="Calibri" w:cs="Calibri" w:eastAsia="Calibri" w:hAnsi="Calibri"/>
                <w:sz w:val="18"/>
                <w:szCs w:val="18"/>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line="215" w:lineRule="exact"/>
              <w:rPr>
                <w:sz w:val="20"/>
                <w:szCs w:val="20"/>
                <w:color w:val="auto"/>
              </w:rPr>
            </w:pPr>
            <w:r>
              <w:rPr>
                <w:rFonts w:ascii="Calibri" w:cs="Calibri" w:eastAsia="Calibri" w:hAnsi="Calibri"/>
                <w:sz w:val="18"/>
                <w:szCs w:val="18"/>
                <w:b w:val="1"/>
                <w:bCs w:val="1"/>
                <w:color w:val="auto"/>
              </w:rPr>
              <w:t>$ Change</w:t>
            </w:r>
          </w:p>
        </w:tc>
        <w:tc>
          <w:tcPr>
            <w:tcW w:w="100" w:type="dxa"/>
            <w:vAlign w:val="bottom"/>
            <w:tcBorders>
              <w:bottom w:val="single" w:sz="8" w:color="CFF0FC"/>
            </w:tcBorders>
          </w:tcPr>
          <w:p>
            <w:pPr>
              <w:spacing w:after="0"/>
              <w:rPr>
                <w:sz w:val="18"/>
                <w:szCs w:val="18"/>
                <w:color w:val="auto"/>
              </w:rPr>
            </w:pPr>
          </w:p>
        </w:tc>
      </w:tr>
      <w:tr>
        <w:trPr>
          <w:trHeight w:val="223"/>
        </w:trPr>
        <w:tc>
          <w:tcPr>
            <w:tcW w:w="4040" w:type="dxa"/>
            <w:vAlign w:val="bottom"/>
            <w:tcBorders>
              <w:bottom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Revenues</w:t>
            </w:r>
          </w:p>
        </w:tc>
        <w:tc>
          <w:tcPr>
            <w:tcW w:w="26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04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Operatonal EBITDA</w:t>
            </w:r>
          </w:p>
        </w:tc>
        <w:tc>
          <w:tcPr>
            <w:tcW w:w="3580" w:type="dxa"/>
            <w:vAlign w:val="bottom"/>
            <w:gridSpan w:val="2"/>
            <w:shd w:val="clear" w:color="auto" w:fill="CFF0FC"/>
          </w:tcPr>
          <w:p>
            <w:pPr>
              <w:jc w:val="right"/>
              <w:ind w:right="77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540" w:type="dxa"/>
            <w:vAlign w:val="bottom"/>
            <w:gridSpan w:val="2"/>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9"/>
                <w:szCs w:val="19"/>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26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Brand revenues and operatonal EBITDA improved $1 million in the three months ended March 31, 2022 compared to the prior year quarter due to increased volume.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RESTRUCTURING COSTS AND OTHER</w:t>
      </w:r>
    </w:p>
    <w:p>
      <w:pPr>
        <w:spacing w:after="0" w:line="24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Kodak recorded less than $1 million of charges for the three months ended March 31, 2022 in Restructuring costs and other in the Consolidated Statement of Operatons.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Kodak made cash payments related to restructuring of approximately $2 million during the three months ended March 31, 2022.</w:t>
      </w:r>
    </w:p>
    <w:p>
      <w:pPr>
        <w:spacing w:after="0" w:line="244"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The restructuring actons implemented in the frst three months of 2022 are expected to generate future annual cash savings of approximately $1 million, which are expected to reduce future annual SG&amp;A expenses. Kodak began realizing a porton of these savings in the frst three months of 2022 and expects the majority of the annual savings to be in efect by the end of the second quarter of 2022 as these actons are completed.</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Management’s Assessment of Liquidity</w:t>
      </w:r>
    </w:p>
    <w:p>
      <w:pPr>
        <w:spacing w:after="0" w:line="1"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Kodak ended the quarter with a cash balance of $309 million, a decrease of $53 million from December 31, 2021. The fnancing transactons entered into during the frst quarter of 2021 provided additonal liquidity to the Company to fund on‐going operatons and obligatons, invest in growth opportunites in Kodak’s businesses of print and advanced materials and chemicals and for corporate infrastructure investments expected to contribute to improvements in cash fow. Kodak’s plans to return to sustainable positve cash fow include growing revenues proftably, reducing operatng expenses, contnuing to simplify the organizatonal structure, generatng cash from selling and leasing underutlized assets and implementng ways to reduce cash collateral needs. Kodak believes the expected cash provided from operatng actvites, together with the current levels of cash and cash equivalents, available borrowing capacity under the Amended ABL Credit Agreement, available borrowing resources under the Term Loan Credit Agreement and additonal liquidity measures will be sufcient to meet the Company’s short‐term and long‐term cash requirements, as further described below.</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4" w:name="page35"/>
    <w:bookmarkEnd w:id="34"/>
    <w:p>
      <w:pPr>
        <w:ind w:right="140"/>
        <w:spacing w:after="0" w:line="235" w:lineRule="auto"/>
        <w:rPr>
          <w:sz w:val="20"/>
          <w:szCs w:val="20"/>
          <w:color w:val="auto"/>
        </w:rPr>
      </w:pPr>
      <w:r>
        <w:rPr>
          <w:rFonts w:ascii="Calibri" w:cs="Calibri" w:eastAsia="Calibri" w:hAnsi="Calibri"/>
          <w:sz w:val="18"/>
          <w:szCs w:val="18"/>
          <w:color w:val="auto"/>
        </w:rPr>
        <w:t>Kodak’s products are sold and serviced in numerous countries across the globe with more than half of sales generated outside the U.S. Current global economic conditons remain highly volatle due to conditons associated with the on-going COVID-19 pandemic, the war in Ukraine and other global events. Kodak businesses are experiencing supply chain disruptons, shortages in materials and labor, and increased labor, commodity and distributon costs. While manufacturing volumes have improved since 2020 at the height of the pandemic, the economic uncertainty surrounding the COVID-19 pandemic, the war in Ukraine and other global events represents an additonal element of complexity in Kodak’s plans to return to sustainable positve cash fow. The Company cannot predict the duraton and scope of the COVID-19 pandemic, the war in Ukraine, as well as other factors such as the ability to contnue to secure raw materials and components, the impact of rising costs of raw materials, or how quickly and to what extent normal economic and operatng conditons can resume.</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5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Calibri" w:cs="Calibri" w:eastAsia="Calibri" w:hAnsi="Calibri"/>
                <w:sz w:val="18"/>
                <w:szCs w:val="18"/>
                <w:b w:val="1"/>
                <w:bCs w:val="1"/>
                <w:color w:val="auto"/>
                <w:w w:val="95"/>
              </w:rPr>
              <w:t>March 31,</w:t>
            </w:r>
          </w:p>
        </w:tc>
        <w:tc>
          <w:tcPr>
            <w:tcW w:w="180" w:type="dxa"/>
            <w:vAlign w:val="bottom"/>
          </w:tcPr>
          <w:p>
            <w:pPr>
              <w:spacing w:after="0"/>
              <w:rPr>
                <w:sz w:val="19"/>
                <w:szCs w:val="19"/>
                <w:color w:val="auto"/>
              </w:rPr>
            </w:pPr>
          </w:p>
        </w:tc>
        <w:tc>
          <w:tcPr>
            <w:tcW w:w="1200" w:type="dxa"/>
            <w:vAlign w:val="bottom"/>
            <w:gridSpan w:val="3"/>
          </w:tcPr>
          <w:p>
            <w:pPr>
              <w:jc w:val="center"/>
              <w:ind w:right="100"/>
              <w:spacing w:after="0"/>
              <w:rPr>
                <w:sz w:val="20"/>
                <w:szCs w:val="20"/>
                <w:color w:val="auto"/>
              </w:rPr>
            </w:pPr>
            <w:r>
              <w:rPr>
                <w:rFonts w:ascii="Calibri" w:cs="Calibri" w:eastAsia="Calibri" w:hAnsi="Calibri"/>
                <w:sz w:val="18"/>
                <w:szCs w:val="18"/>
                <w:b w:val="1"/>
                <w:bCs w:val="1"/>
                <w:color w:val="auto"/>
                <w:w w:val="98"/>
              </w:rPr>
              <w:t>December 31,</w:t>
            </w:r>
          </w:p>
        </w:tc>
      </w:tr>
      <w:tr>
        <w:trPr>
          <w:trHeight w:val="229"/>
        </w:trPr>
        <w:tc>
          <w:tcPr>
            <w:tcW w:w="5360" w:type="dxa"/>
            <w:vAlign w:val="bottom"/>
          </w:tcPr>
          <w:p>
            <w:pPr>
              <w:spacing w:after="0"/>
              <w:rPr>
                <w:sz w:val="20"/>
                <w:szCs w:val="20"/>
                <w:color w:val="auto"/>
              </w:rPr>
            </w:pPr>
            <w:r>
              <w:rPr>
                <w:rFonts w:ascii="Calibri" w:cs="Calibri" w:eastAsia="Calibri" w:hAnsi="Calibri"/>
                <w:sz w:val="16"/>
                <w:szCs w:val="16"/>
                <w:color w:val="auto"/>
              </w:rPr>
              <w:t>(in millions)</w:t>
            </w:r>
          </w:p>
        </w:tc>
        <w:tc>
          <w:tcPr>
            <w:tcW w:w="140" w:type="dxa"/>
            <w:vAlign w:val="bottom"/>
          </w:tcPr>
          <w:p>
            <w:pPr>
              <w:spacing w:after="0"/>
              <w:rPr>
                <w:sz w:val="19"/>
                <w:szCs w:val="19"/>
                <w:color w:val="auto"/>
              </w:rPr>
            </w:pPr>
          </w:p>
        </w:tc>
        <w:tc>
          <w:tcPr>
            <w:tcW w:w="980" w:type="dxa"/>
            <w:vAlign w:val="bottom"/>
          </w:tcPr>
          <w:p>
            <w:pPr>
              <w:jc w:val="right"/>
              <w:ind w:right="290"/>
              <w:spacing w:after="0"/>
              <w:rPr>
                <w:sz w:val="20"/>
                <w:szCs w:val="20"/>
                <w:color w:val="auto"/>
              </w:rPr>
            </w:pPr>
            <w:r>
              <w:rPr>
                <w:rFonts w:ascii="Calibri" w:cs="Calibri" w:eastAsia="Calibri" w:hAnsi="Calibri"/>
                <w:sz w:val="18"/>
                <w:szCs w:val="18"/>
                <w:b w:val="1"/>
                <w:bCs w:val="1"/>
                <w:color w:val="auto"/>
              </w:rPr>
              <w:t>2022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Calibri" w:cs="Calibri" w:eastAsia="Calibri" w:hAnsi="Calibri"/>
                <w:sz w:val="18"/>
                <w:szCs w:val="18"/>
                <w:b w:val="1"/>
                <w:bCs w:val="1"/>
                <w:color w:val="auto"/>
              </w:rPr>
              <w:t>2021</w:t>
            </w:r>
          </w:p>
        </w:tc>
        <w:tc>
          <w:tcPr>
            <w:tcW w:w="80" w:type="dxa"/>
            <w:vAlign w:val="bottom"/>
          </w:tcPr>
          <w:p>
            <w:pPr>
              <w:spacing w:after="0"/>
              <w:rPr>
                <w:sz w:val="19"/>
                <w:szCs w:val="19"/>
                <w:color w:val="auto"/>
              </w:rPr>
            </w:pPr>
          </w:p>
        </w:tc>
      </w:tr>
      <w:tr>
        <w:trPr>
          <w:trHeight w:val="23"/>
        </w:trPr>
        <w:tc>
          <w:tcPr>
            <w:tcW w:w="536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17"/>
        </w:trPr>
        <w:tc>
          <w:tcPr>
            <w:tcW w:w="5360" w:type="dxa"/>
            <w:vAlign w:val="bottom"/>
            <w:tcBorders>
              <w:bottom w:val="single" w:sz="8" w:color="CFF0FC"/>
            </w:tcBorders>
            <w:shd w:val="clear" w:color="auto" w:fill="CFF0FC"/>
          </w:tcPr>
          <w:p>
            <w:pPr>
              <w:spacing w:after="0" w:line="199" w:lineRule="exact"/>
              <w:rPr>
                <w:sz w:val="20"/>
                <w:szCs w:val="20"/>
                <w:color w:val="auto"/>
              </w:rPr>
            </w:pPr>
            <w:r>
              <w:rPr>
                <w:rFonts w:ascii="Calibri" w:cs="Calibri" w:eastAsia="Calibri" w:hAnsi="Calibri"/>
                <w:sz w:val="18"/>
                <w:szCs w:val="18"/>
                <w:color w:val="auto"/>
              </w:rPr>
              <w:t>Cash, cash equivalents and restricted cash</w:t>
            </w:r>
          </w:p>
        </w:tc>
        <w:tc>
          <w:tcPr>
            <w:tcW w:w="1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374</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 Actvity</w:t>
      </w:r>
    </w:p>
    <w:p>
      <w:pPr>
        <w:spacing w:after="0" w:line="200" w:lineRule="exact"/>
        <w:rPr>
          <w:sz w:val="20"/>
          <w:szCs w:val="20"/>
          <w:color w:val="auto"/>
        </w:rPr>
      </w:pP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March 31,</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restart"/>
          </w:tcPr>
          <w:p>
            <w:pPr>
              <w:jc w:val="right"/>
              <w:ind w:right="240"/>
              <w:spacing w:after="0"/>
              <w:rPr>
                <w:sz w:val="20"/>
                <w:szCs w:val="20"/>
                <w:color w:val="auto"/>
              </w:rPr>
            </w:pPr>
            <w:r>
              <w:rPr>
                <w:rFonts w:ascii="Calibri" w:cs="Calibri" w:eastAsia="Calibri" w:hAnsi="Calibri"/>
                <w:sz w:val="18"/>
                <w:szCs w:val="18"/>
                <w:b w:val="1"/>
                <w:bCs w:val="1"/>
                <w:color w:val="auto"/>
                <w:w w:val="96"/>
              </w:rPr>
              <w:t>Year-Over-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gridSpan w:val="5"/>
          </w:tcPr>
          <w:p>
            <w:pPr>
              <w:spacing w:after="0"/>
              <w:rPr>
                <w:sz w:val="20"/>
                <w:szCs w:val="20"/>
                <w:color w:val="auto"/>
              </w:rPr>
            </w:pPr>
            <w:r>
              <w:rPr>
                <w:rFonts w:ascii="Calibri" w:cs="Calibri" w:eastAsia="Calibri" w:hAnsi="Calibri"/>
                <w:sz w:val="16"/>
                <w:szCs w:val="16"/>
                <w:color w:val="auto"/>
              </w:rPr>
              <w:t>(in millions)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70"/>
              <w:spacing w:after="0" w:line="216" w:lineRule="exact"/>
              <w:rPr>
                <w:sz w:val="20"/>
                <w:szCs w:val="20"/>
                <w:color w:val="auto"/>
              </w:rPr>
            </w:pPr>
            <w:r>
              <w:rPr>
                <w:rFonts w:ascii="Calibri" w:cs="Calibri" w:eastAsia="Calibri" w:hAnsi="Calibri"/>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270"/>
              <w:spacing w:after="0" w:line="216" w:lineRule="exact"/>
              <w:rPr>
                <w:sz w:val="20"/>
                <w:szCs w:val="20"/>
                <w:color w:val="auto"/>
              </w:rPr>
            </w:pPr>
            <w:r>
              <w:rPr>
                <w:rFonts w:ascii="Calibri" w:cs="Calibri" w:eastAsia="Calibri" w:hAnsi="Calibri"/>
                <w:sz w:val="18"/>
                <w:szCs w:val="18"/>
                <w:b w:val="1"/>
                <w:bCs w:val="1"/>
                <w:color w:val="auto"/>
              </w:rPr>
              <w:t>2021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80"/>
              <w:spacing w:after="0" w:line="216" w:lineRule="exact"/>
              <w:rPr>
                <w:sz w:val="20"/>
                <w:szCs w:val="20"/>
                <w:color w:val="auto"/>
              </w:rPr>
            </w:pPr>
            <w:r>
              <w:rPr>
                <w:rFonts w:ascii="Calibri" w:cs="Calibri" w:eastAsia="Calibri" w:hAnsi="Calibri"/>
                <w:sz w:val="18"/>
                <w:szCs w:val="18"/>
                <w:b w:val="1"/>
                <w:bCs w:val="1"/>
                <w:color w:val="auto"/>
              </w:rPr>
              <w:t>Year Change</w:t>
            </w:r>
          </w:p>
        </w:tc>
        <w:tc>
          <w:tcPr>
            <w:tcW w:w="0" w:type="dxa"/>
            <w:vAlign w:val="bottom"/>
          </w:tcPr>
          <w:p>
            <w:pPr>
              <w:spacing w:after="0"/>
              <w:rPr>
                <w:sz w:val="1"/>
                <w:szCs w:val="1"/>
                <w:color w:val="auto"/>
              </w:rPr>
            </w:pPr>
          </w:p>
        </w:tc>
      </w:tr>
      <w:tr>
        <w:trPr>
          <w:trHeight w:val="23"/>
        </w:trPr>
        <w:tc>
          <w:tcPr>
            <w:tcW w:w="2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2560" w:type="dxa"/>
            <w:vAlign w:val="bottom"/>
            <w:tcBorders>
              <w:top w:val="single" w:sz="8" w:color="CFF0FC"/>
              <w:bottom w:val="single" w:sz="8" w:color="auto"/>
            </w:tcBorders>
            <w:gridSpan w:val="3"/>
            <w:shd w:val="clear" w:color="auto" w:fill="CFF0FC"/>
          </w:tcPr>
          <w:p>
            <w:pPr>
              <w:spacing w:after="0" w:line="169" w:lineRule="exact"/>
              <w:rPr>
                <w:sz w:val="20"/>
                <w:szCs w:val="20"/>
                <w:color w:val="auto"/>
              </w:rPr>
            </w:pPr>
            <w:r>
              <w:rPr>
                <w:rFonts w:ascii="Calibri" w:cs="Calibri" w:eastAsia="Calibri" w:hAnsi="Calibri"/>
                <w:sz w:val="18"/>
                <w:szCs w:val="18"/>
                <w:color w:val="auto"/>
              </w:rPr>
              <w:t>Cash fows from operatng actvites:</w:t>
            </w:r>
          </w:p>
        </w:tc>
        <w:tc>
          <w:tcPr>
            <w:tcW w:w="248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4"/>
          </w:tcPr>
          <w:p>
            <w:pPr>
              <w:spacing w:after="0" w:line="215" w:lineRule="exact"/>
              <w:rPr>
                <w:sz w:val="20"/>
                <w:szCs w:val="20"/>
                <w:color w:val="auto"/>
              </w:rPr>
            </w:pPr>
            <w:r>
              <w:rPr>
                <w:rFonts w:ascii="Calibri" w:cs="Calibri" w:eastAsia="Calibri" w:hAnsi="Calibri"/>
                <w:sz w:val="18"/>
                <w:szCs w:val="18"/>
                <w:color w:val="auto"/>
              </w:rPr>
              <w:t>Net cash used in operatng actvites</w:t>
            </w:r>
          </w:p>
        </w:tc>
        <w:tc>
          <w:tcPr>
            <w:tcW w:w="440" w:type="dxa"/>
            <w:vAlign w:val="bottom"/>
            <w:gridSpan w:val="2"/>
          </w:tcPr>
          <w:p>
            <w:pPr>
              <w:jc w:val="right"/>
              <w:ind w:right="41"/>
              <w:spacing w:after="0" w:line="215" w:lineRule="exact"/>
              <w:rPr>
                <w:sz w:val="20"/>
                <w:szCs w:val="20"/>
                <w:color w:val="auto"/>
              </w:rPr>
            </w:pPr>
            <w:r>
              <w:rPr>
                <w:rFonts w:ascii="Calibri" w:cs="Calibri" w:eastAsia="Calibri" w:hAnsi="Calibri"/>
                <w:sz w:val="18"/>
                <w:szCs w:val="18"/>
                <w:color w:val="auto"/>
              </w:rPr>
              <w:t>$</w:t>
            </w:r>
          </w:p>
        </w:tc>
        <w:tc>
          <w:tcPr>
            <w:tcW w:w="9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(43)</w:t>
            </w:r>
          </w:p>
        </w:tc>
        <w:tc>
          <w:tcPr>
            <w:tcW w:w="380" w:type="dxa"/>
            <w:vAlign w:val="bottom"/>
            <w:gridSpan w:val="2"/>
          </w:tcPr>
          <w:p>
            <w:pPr>
              <w:jc w:val="right"/>
              <w:ind w:right="141"/>
              <w:spacing w:after="0" w:line="215" w:lineRule="exact"/>
              <w:rPr>
                <w:sz w:val="20"/>
                <w:szCs w:val="20"/>
                <w:color w:val="auto"/>
              </w:rPr>
            </w:pPr>
            <w:r>
              <w:rPr>
                <w:rFonts w:ascii="Calibri" w:cs="Calibri" w:eastAsia="Calibri" w:hAnsi="Calibri"/>
                <w:sz w:val="18"/>
                <w:szCs w:val="18"/>
                <w:color w:val="auto"/>
              </w:rPr>
              <w:t>$</w:t>
            </w:r>
          </w:p>
        </w:tc>
        <w:tc>
          <w:tcPr>
            <w:tcW w:w="9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(16)</w:t>
            </w:r>
          </w:p>
        </w:tc>
        <w:tc>
          <w:tcPr>
            <w:tcW w:w="1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FF0FC"/>
            </w:tcBorders>
            <w:gridSpan w:val="4"/>
            <w:shd w:val="clear" w:color="auto" w:fill="CFF0FC"/>
          </w:tcPr>
          <w:p>
            <w:pPr>
              <w:spacing w:after="0" w:line="175" w:lineRule="exact"/>
              <w:rPr>
                <w:sz w:val="20"/>
                <w:szCs w:val="20"/>
                <w:color w:val="auto"/>
              </w:rPr>
            </w:pPr>
            <w:r>
              <w:rPr>
                <w:rFonts w:ascii="Calibri" w:cs="Calibri" w:eastAsia="Calibri" w:hAnsi="Calibri"/>
                <w:sz w:val="18"/>
                <w:szCs w:val="18"/>
                <w:color w:val="auto"/>
              </w:rPr>
              <w:t>Cash fows from investng actvites:</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2540" w:type="dxa"/>
            <w:vAlign w:val="bottom"/>
            <w:tcBorders>
              <w:top w:val="single" w:sz="8" w:color="CFF0FC"/>
            </w:tcBorders>
            <w:gridSpan w:val="3"/>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980" w:type="dxa"/>
            <w:vAlign w:val="bottom"/>
            <w:tcBorders>
              <w:top w:val="single" w:sz="8" w:color="CFF0FC"/>
            </w:tcBorders>
            <w:gridSpan w:val="2"/>
          </w:tcPr>
          <w:p>
            <w:pPr>
              <w:jc w:val="right"/>
              <w:ind w:right="80"/>
              <w:spacing w:after="0" w:line="215" w:lineRule="exact"/>
              <w:rPr>
                <w:sz w:val="20"/>
                <w:szCs w:val="20"/>
                <w:color w:val="auto"/>
              </w:rPr>
            </w:pPr>
            <w:r>
              <w:rPr>
                <w:rFonts w:ascii="Calibri" w:cs="Calibri" w:eastAsia="Calibri" w:hAnsi="Calibri"/>
                <w:sz w:val="18"/>
                <w:szCs w:val="18"/>
                <w:color w:val="auto"/>
              </w:rPr>
              <w:t>(5)</w:t>
            </w:r>
          </w:p>
        </w:tc>
        <w:tc>
          <w:tcPr>
            <w:tcW w:w="8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gridSpan w:val="2"/>
          </w:tcPr>
          <w:p>
            <w:pPr>
              <w:jc w:val="right"/>
              <w:ind w:right="140"/>
              <w:spacing w:after="0" w:line="215" w:lineRule="exact"/>
              <w:rPr>
                <w:sz w:val="20"/>
                <w:szCs w:val="20"/>
                <w:color w:val="auto"/>
              </w:rPr>
            </w:pPr>
            <w:r>
              <w:rPr>
                <w:rFonts w:ascii="Calibri" w:cs="Calibri" w:eastAsia="Calibri" w:hAnsi="Calibri"/>
                <w:sz w:val="18"/>
                <w:szCs w:val="18"/>
                <w:color w:val="auto"/>
              </w:rPr>
              <w:t>(1)</w:t>
            </w:r>
          </w:p>
        </w:tc>
        <w:tc>
          <w:tcPr>
            <w:tcW w:w="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40" w:type="dxa"/>
            <w:vAlign w:val="bottom"/>
            <w:tcBorders>
              <w:top w:val="single" w:sz="8" w:color="CFF0FC"/>
            </w:tcBorders>
            <w:gridSpan w:val="2"/>
          </w:tcPr>
          <w:p>
            <w:pPr>
              <w:jc w:val="right"/>
              <w:ind w:right="40"/>
              <w:spacing w:after="0" w:line="215" w:lineRule="exact"/>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top w:val="single" w:sz="8" w:color="CFF0FC"/>
            </w:tcBorders>
            <w:gridSpan w:val="4"/>
            <w:shd w:val="clear" w:color="auto" w:fill="CFF0FC"/>
          </w:tcPr>
          <w:p>
            <w:pPr>
              <w:spacing w:after="0" w:line="175" w:lineRule="exact"/>
              <w:rPr>
                <w:sz w:val="20"/>
                <w:szCs w:val="20"/>
                <w:color w:val="auto"/>
              </w:rPr>
            </w:pPr>
            <w:r>
              <w:rPr>
                <w:rFonts w:ascii="Calibri" w:cs="Calibri" w:eastAsia="Calibri" w:hAnsi="Calibri"/>
                <w:sz w:val="18"/>
                <w:szCs w:val="18"/>
                <w:color w:val="auto"/>
              </w:rPr>
              <w:t>Cash fows from fnancing actvites:</w:t>
            </w:r>
          </w:p>
        </w:tc>
        <w:tc>
          <w:tcPr>
            <w:tcW w:w="2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2500" w:type="dxa"/>
            <w:vAlign w:val="bottom"/>
            <w:tcBorders>
              <w:top w:val="single" w:sz="8" w:color="auto"/>
            </w:tcBorders>
            <w:shd w:val="clear" w:color="auto" w:fill="CFF0FC"/>
          </w:tcPr>
          <w:p>
            <w:pPr>
              <w:spacing w:after="0"/>
              <w:rPr>
                <w:sz w:val="2"/>
                <w:szCs w:val="2"/>
                <w:color w:val="auto"/>
              </w:rPr>
            </w:pPr>
          </w:p>
        </w:tc>
        <w:tc>
          <w:tcPr>
            <w:tcW w:w="20" w:type="dxa"/>
            <w:vAlign w:val="bottom"/>
            <w:tcBorders>
              <w:top w:val="single" w:sz="8" w:color="auto"/>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48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8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40" w:type="dxa"/>
            <w:vAlign w:val="bottom"/>
            <w:gridSpan w:val="4"/>
          </w:tcPr>
          <w:p>
            <w:pPr>
              <w:spacing w:after="0" w:line="215" w:lineRule="exact"/>
              <w:rPr>
                <w:sz w:val="20"/>
                <w:szCs w:val="20"/>
                <w:color w:val="auto"/>
              </w:rPr>
            </w:pPr>
            <w:r>
              <w:rPr>
                <w:rFonts w:ascii="Calibri" w:cs="Calibri" w:eastAsia="Calibri" w:hAnsi="Calibri"/>
                <w:sz w:val="18"/>
                <w:szCs w:val="18"/>
                <w:color w:val="auto"/>
              </w:rPr>
              <w:t>Net cash (used in) provided by fnancing actvites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Borders>
              <w:top w:val="single" w:sz="8" w:color="CFF0FC"/>
            </w:tcBorders>
            <w:gridSpan w:val="4"/>
            <w:shd w:val="clear" w:color="auto" w:fill="CFF0FC"/>
          </w:tcPr>
          <w:p>
            <w:pPr>
              <w:spacing w:after="0" w:line="206" w:lineRule="exact"/>
              <w:rPr>
                <w:sz w:val="20"/>
                <w:szCs w:val="20"/>
                <w:color w:val="auto"/>
              </w:rPr>
            </w:pPr>
            <w:r>
              <w:rPr>
                <w:rFonts w:ascii="Calibri" w:cs="Calibri" w:eastAsia="Calibri" w:hAnsi="Calibri"/>
                <w:sz w:val="18"/>
                <w:szCs w:val="18"/>
                <w:color w:val="auto"/>
              </w:rPr>
              <w:t>Efect of exchange rate changes on cash and restricted cash</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gridSpan w:val="5"/>
          </w:tcPr>
          <w:p>
            <w:pPr>
              <w:spacing w:after="0" w:line="199" w:lineRule="exact"/>
              <w:rPr>
                <w:sz w:val="20"/>
                <w:szCs w:val="20"/>
                <w:color w:val="auto"/>
              </w:rPr>
            </w:pPr>
            <w:r>
              <w:rPr>
                <w:rFonts w:ascii="Calibri" w:cs="Calibri" w:eastAsia="Calibri" w:hAnsi="Calibri"/>
                <w:sz w:val="18"/>
                <w:szCs w:val="18"/>
                <w:color w:val="auto"/>
              </w:rPr>
              <w:t>Net (decrease) increase in cash, cash equivalents and restricted cash</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Calibri" w:cs="Calibri" w:eastAsia="Calibri" w:hAnsi="Calibri"/>
                <w:sz w:val="16"/>
                <w:szCs w:val="16"/>
                <w:color w:val="auto"/>
                <w:w w:val="73"/>
              </w:rPr>
              <w:t>$</w:t>
            </w: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Calibri" w:cs="Calibri" w:eastAsia="Calibri" w:hAnsi="Calibri"/>
                <w:sz w:val="16"/>
                <w:szCs w:val="16"/>
                <w:color w:val="auto"/>
                <w:w w:val="73"/>
              </w:rPr>
              <w:t>$</w:t>
            </w:r>
          </w:p>
        </w:tc>
        <w:tc>
          <w:tcPr>
            <w:tcW w:w="7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Actvites</w:t>
      </w:r>
    </w:p>
    <w:p>
      <w:pPr>
        <w:spacing w:after="0" w:line="1"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Net cash used in operatng actvites increased $27 million for the three months ended March 31, 2022 as compared with the corresponding period in 2021 primarily due to a decline in earnings, lower reductons of accounts receivable and increased investment in inventory partally ofset by decreases in cash used for accounts payable and other liabilites.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Investng Actvites</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Net cash used in investng actvites increased $4 million for the three months ended March 31, 2022 as compared with the corresponding period in 2021 due to an increase in capital expenditures.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Financing Actvites</w:t>
      </w:r>
    </w:p>
    <w:p>
      <w:pPr>
        <w:spacing w:after="0" w:line="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change in net cash (used in) provided by fnancing actvites for the three months ended March 31, 2022 compared to corresponding period in 2021 was primarily driven by the net proceeds of $247 million received in the prior year period due to the refnancing transactons partally ofset by lower preferred stock dividend payments in the current year period.</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Sources of Liquidity</w:t>
      </w:r>
    </w:p>
    <w:p>
      <w:pPr>
        <w:spacing w:after="0" w:line="235" w:lineRule="auto"/>
        <w:rPr>
          <w:sz w:val="20"/>
          <w:szCs w:val="20"/>
          <w:color w:val="auto"/>
        </w:rPr>
      </w:pPr>
      <w:r>
        <w:rPr>
          <w:rFonts w:ascii="Calibri" w:cs="Calibri" w:eastAsia="Calibri" w:hAnsi="Calibri"/>
          <w:sz w:val="18"/>
          <w:szCs w:val="18"/>
          <w:color w:val="auto"/>
        </w:rPr>
        <w:t>Available liquidity includes cash balances and the unused porton of the Amended ABL Credit Agreement. The amount of available liquidity is subject to</w:t>
      </w:r>
    </w:p>
    <w:p>
      <w:pPr>
        <w:spacing w:after="0" w:line="236" w:lineRule="auto"/>
        <w:rPr>
          <w:sz w:val="20"/>
          <w:szCs w:val="20"/>
          <w:color w:val="auto"/>
        </w:rPr>
      </w:pPr>
      <w:r>
        <w:rPr>
          <w:rFonts w:ascii="Calibri" w:cs="Calibri" w:eastAsia="Calibri" w:hAnsi="Calibri"/>
          <w:sz w:val="18"/>
          <w:szCs w:val="18"/>
          <w:color w:val="auto"/>
        </w:rPr>
        <w:t>fuctuatons and includes cash balances held by various enttes worldwide. At March 31, 2022 and December 31, 2021 approximately $210 million and</w:t>
      </w:r>
    </w:p>
    <w:p>
      <w:pPr>
        <w:spacing w:after="0" w:line="2" w:lineRule="exact"/>
        <w:rPr>
          <w:sz w:val="20"/>
          <w:szCs w:val="20"/>
          <w:color w:val="auto"/>
        </w:rPr>
      </w:pPr>
    </w:p>
    <w:p>
      <w:pPr>
        <w:spacing w:after="0"/>
        <w:rPr>
          <w:sz w:val="20"/>
          <w:szCs w:val="20"/>
          <w:color w:val="auto"/>
        </w:rPr>
      </w:pPr>
      <w:r>
        <w:rPr>
          <w:rFonts w:ascii="Calibri" w:cs="Calibri" w:eastAsia="Calibri" w:hAnsi="Calibri"/>
          <w:sz w:val="17"/>
          <w:szCs w:val="17"/>
          <w:color w:val="auto"/>
        </w:rPr>
        <w:t>$250 million, respectvely, of cash and cash equivalents were held within the U.S. and approximately $99 million and $112 million, respectvely, of cash and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cash equivalents were held outside the U.S.</w:t>
      </w:r>
    </w:p>
    <w:p>
      <w:pPr>
        <w:spacing w:after="0" w:line="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Cash balances held outside the U.S. are generally required to support local country operatons and may have high tax costs or other limitatons that delay the ability to repatriate, and therefore may not be readily available for transfer to other jurisdictons. Kodak utlizes cash balances outside the U.S. to fund needs in the U.S. through the use of inter-company loans.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5" w:name="page36"/>
    <w:bookmarkEnd w:id="35"/>
    <w:p>
      <w:pPr>
        <w:ind w:right="20"/>
        <w:spacing w:after="0" w:line="235" w:lineRule="auto"/>
        <w:rPr>
          <w:sz w:val="20"/>
          <w:szCs w:val="20"/>
          <w:color w:val="auto"/>
        </w:rPr>
      </w:pPr>
      <w:r>
        <w:rPr>
          <w:rFonts w:ascii="Calibri" w:cs="Calibri" w:eastAsia="Calibri" w:hAnsi="Calibri"/>
          <w:sz w:val="18"/>
          <w:szCs w:val="18"/>
          <w:color w:val="auto"/>
        </w:rPr>
        <w:t>As of March 31, 2022 and December 31, 2021, outstanding inter-company loans to the U.S. were $409 million and $418 million, respectvely, which includes short-term inter-company loans from Kodak’s internatonal fnance center of $110 million and $119 million, respectvely</w:t>
      </w:r>
      <w:r>
        <w:rPr>
          <w:rFonts w:ascii="Calibri" w:cs="Calibri" w:eastAsia="Calibri" w:hAnsi="Calibri"/>
          <w:sz w:val="18"/>
          <w:szCs w:val="18"/>
          <w:b w:val="1"/>
          <w:bCs w:val="1"/>
          <w:color w:val="auto"/>
        </w:rPr>
        <w:t>.</w:t>
      </w:r>
      <w:r>
        <w:rPr>
          <w:rFonts w:ascii="Calibri" w:cs="Calibri" w:eastAsia="Calibri" w:hAnsi="Calibri"/>
          <w:sz w:val="18"/>
          <w:szCs w:val="18"/>
          <w:color w:val="auto"/>
        </w:rPr>
        <w:t xml:space="preserve"> In China, where approximately $39 million and $42 million of cash and cash equivalents was held as of March 31, 2022 and December 31, 2021, respectvely, there are limitatons related to net asset balances that may impact the ability to make cash available to other jurisdictons in the world. Under the terms of the Amended ABL Credit Agreement, the Company is permited to invest up to $75 million in Restricted Subsidiaries that are not Loan Partes and in joint ventures or Unrestricted Subsidiaries that are not party to the Amended ABL Credit Agreement.</w:t>
      </w:r>
    </w:p>
    <w:p>
      <w:pPr>
        <w:spacing w:after="0" w:line="248"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Company had issued approximately $46 million leters of credit under the Amended ABL Credit Agreement and $44 million leters of credit under the L/C Facility Agreement as of March 31, 2022 and December 31, 2021. The leters of credit under the L/C Facility Agreement are collateralized by cash collateral (L/C Cash Collateral). The L/C Cash Collateral was $45 million at March 31, 2022 which was classifed as Restricted Cash.</w:t>
      </w:r>
    </w:p>
    <w:p>
      <w:pPr>
        <w:spacing w:after="0" w:line="246"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Under the Amended ABL Credit Agreement and L/C Facility Agreement the Company is required to maintain Minimum Liquidity of at least $80 million, which is tested on the last day of each fscal quarter. Minimum Liquidity was $210 million and $250 at March 31, 2022 and December 31, 2021, respectvely. If Minimum Liquidity falls below $80 million an Event of Default would occur and the Agent has the right to declare the obligaton of each Lender to make Revolving Loans and of the Issuing Banks to issue Leters of Credit to be terminated, and declare the Revolving Loans, all interest thereon and all other amounts payable under the Amended ABL Credit Agreement to be due and payable.</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color w:val="auto"/>
        </w:rPr>
        <w:t>Under both the Amended ABL Credit Agreement and the ABL Credit Agreement the Company is required to maintain Excess Availability above 12.5% of</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lender commitments ($11.25 million as of both March 31, 2022 and December 31, 2021), which is tested at the end of each month. Excess Availability was</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$31 million and $27 million as of March 31, 2022 and December 31, 2021, respectvely. If Excess Availability falls below 12.5% of lender commitments a Fixed</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Charge Coverage Rato Trigger Event would occur. During any Fixed Charge Coverage Rato Trigger Event, the Company would be required to maintain a Fixed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Charge Coverage Rato of greater than or equal to 1.0 to 1.0.</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If Excess Availability falls below 12.5% of lender commitments, Kodak may, in additon to the requirement to be in compliance with the minimum Fixed Charge Coverage Rato, become subject to cash dominion control. Since Excess Availability was greater than 12.5% of lender commitments at March 31, 2022 and December 31, 2021, Kodak is not required to have a minimum Fixed Charge Coverage Rato of 1.0 to 1.0.</w:t>
      </w:r>
    </w:p>
    <w:p>
      <w:pPr>
        <w:spacing w:after="0" w:line="246"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If Excess Availability falls below 12.5% of lender commitments and the Fixed Charge Coverage Rato is less than 1.0 to 1.0, an Event of Default would occur and the Agent has the right to declare the obligaton of each Lender to make Revolving Loans and of the Issuing Banks to issue Leters of Credit to be terminated, and declare the Revolving Loans, all interest thereon and all other amounts payable under the Amended ABL Credit Agreement to be due and payable.</w:t>
      </w:r>
    </w:p>
    <w:p>
      <w:pPr>
        <w:spacing w:after="0" w:line="246"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Kodak intends to contnue to maintain Excess Availability above the minimum threshold. The borrowing base is supported by Eligible Receivables, Eligible Inventory and Eligible Equipment. As noted above, since Excess Availability was greater than 12.5% of lender commitments Kodak was not required to have a minimum Fixed Charge Coverage Rato of 1.0 to 1.0. As of March 31, 2022 Fixed Charges (as defned in the ABL Credit Agreement) exceeded EBITDA by approximately $48 million, therefore the Fixed Charges Coverage Rato was less than 1.0 to 1.0.</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Available Borrowing Resources</w:t>
      </w:r>
    </w:p>
    <w:p>
      <w:pPr>
        <w:spacing w:after="0" w:line="1"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The Term Loan Credit Agreement includes a commitment to provide delayed draw term loans in an aggregate principal amount of $50 million on or before February 26, 2023. As of March 31, 2022, the Company has not drawn down any of the delayed draw term loans.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Uses of Cash Related to Financing Transactons</w:t>
      </w:r>
    </w:p>
    <w:p>
      <w:pPr>
        <w:spacing w:after="0" w:line="1"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holders of the Term Loans are enttled to quarterly cash interest payments at a rate of 8.5% per annum and holders of the Series B Preferred Stock are enttled to cumulatve dividends payable quarterly in cash at a rate of 4.0% per annum. The Convertble Notes do not require any debt service untl maturity on May 28, 2026 and holders of the Series C Preferred Stock are enttled to cumulatve dividends payable quarterly “in-kind” in the form of additonal shares of Series C Preferred Stock at a rate of 5.0% per annum. All dividends have been paid when due.</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b w:val="1"/>
          <w:bCs w:val="1"/>
          <w:color w:val="auto"/>
        </w:rPr>
        <w:t>Other Collateral Requirements</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New York State Workers’ Compensaton Board (“NYSWCB”) requires security deposits related to self-insured workers’ compensaton obligatons. The security deposit required by NYSWCB is based on actuarial calculatons of the Company’s obligatons and company specifc factors such as its declining workforce and reducing exposure. The NYSWCB calculaton also includes a fnancial contngency based on the employer’s credit ratng and a calculaton of unallocated loss adjustment expenses. In 2020 the NYSWCB waived both of these charges to provide employers relief while they managed the economic impacts of the COVID-19 pandemic. In 2021 the NYSWCB waived the fnancial contngency based on the Company’s credit ratng. The waived security deposit was $17 million in 2020 and increased to $39 million in 2021. Afer excluding the waived amount for 2021, the increase to the security deposit required by NYSWCB is $19 million. The Company agreed to post additonal collateral of approximately $4 million over a fve-year period, startng in 2021, to satsfy the security deposit obligaton. The collateral obligaton can be satsfed by issuing leters of credit or through other means. The security deposit required by NYSWCB will be re-calculated annually. Therefore, the amount of additonal collateral required may change each year.</w:t>
      </w:r>
    </w:p>
    <w:p>
      <w:pPr>
        <w:spacing w:after="0" w:line="25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As a result of the Company’s current credit ratngs, during the second quarter of 2020 two surety bond holders notfed the Company they required approximately $9 million of incremental collateral. The Company reduced the surety bond value by approximately $9 million in July 2020 with an equivalent increase to an existng leter of credit with the New York Workers’ Compensaton board. The Company could be required to provide up to $3 million of leters of credit to the issuers of certain surety bonds in the future to fully collateralize the bonds.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Defned Beneft Pension and Postretrement Plans</w:t>
      </w:r>
    </w:p>
    <w:p>
      <w:pPr>
        <w:spacing w:after="0" w:line="1"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Kodak made net contributons (funded plans) or paid benefts (unfunded plans) totaling approximately $4 million to its defned beneft pension and postretrement beneft plans in the frst three months of 2022. For the balance of 2022, the forecasted contributon (funded plans) and beneft payment (unfunded plans) requirements for its pension and postretrement plans are approximately $11 million.</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Capital Expenditures</w:t>
      </w:r>
    </w:p>
    <w:p>
      <w:pPr>
        <w:spacing w:after="0" w:line="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Cash fow from investng actvites included $5 million of capital expenditures for the three months ended March 31, 2022. Kodak expects approximately $45 million to $60 million of total capital expenditures for 2022. The expected increase in capital expenditures in 2022 is driven by investments in growth initatves and back‐ofce automaton.</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U.S. Internatonal Development Finance Corporaton Non-Binding Leter of Interest</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July 28, 2020, the U.S. Internatonal Development Finance Corporaton (“DFC”) signed a non-binding leter of interest to provide a subsidiary of the Company with a potental $765 million loan to support the launch of Kodak Pharmaceutcals, an initatve that would manufacture pharmaceutcal ingredients for essental generic drugs. The leter of interest was entered into by the DFC pursuant to authority under the Defense Producton Act granted to the DFC by Presidental Executve Order 13922. The Company has previously reported that, given the tme that has elapsed and the changes in administraton at the federal government and the DFC, the Company has been operatng on the basis that the DFC Loan as envisioned at the tme of the DFC Announcement would not proceed. On April 22, 2022, the Company received a leter from the DFC advising the Company that the authority conferred on the DFC by Executve Order 13922 expired on March 27, 2022 and that, consequently, the DFC is unable to consider the project further and the Company’s applicaton has been closed.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3. QUANTITATIVE AND QUALITATIVE DISCLOSURES ABOUT MARKET RISK</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as a result of its global operatng and fnancing actvites, is exposed to changes in foreign currency exchange rates, commodity prices, and interest rates, which may adversely afect its results of operatons and fnancial positon. In seeking to minimize the risks associated with such actvites, Kodak may enter into derivatve contracts. Kodak does not utlize fnancial instruments for trading or other speculatve purposes. Foreign currency forward contracts are used to hedge existng foreign currency denominated assets and liabilites, especially those of Kodak’s Internatonal Treasury Center, as well as forecasted foreign currency denominated intercompany sales.</w:t>
      </w:r>
    </w:p>
    <w:p>
      <w:pPr>
        <w:spacing w:after="0" w:line="24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Kodak’s exposure to changes in interest rates results from its investng and borrowing actvites used to meet its liquidity needs. Long‐term debt is generally used to fnance long‐term investments, while short‐term debt is used to meet working capital requirements.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7" w:name="page38"/>
    <w:bookmarkEnd w:id="37"/>
    <w:p>
      <w:pPr>
        <w:spacing w:after="0" w:line="235" w:lineRule="auto"/>
        <w:rPr>
          <w:sz w:val="20"/>
          <w:szCs w:val="20"/>
          <w:color w:val="auto"/>
        </w:rPr>
      </w:pPr>
      <w:r>
        <w:rPr>
          <w:rFonts w:ascii="Calibri" w:cs="Calibri" w:eastAsia="Calibri" w:hAnsi="Calibri"/>
          <w:sz w:val="18"/>
          <w:szCs w:val="18"/>
          <w:color w:val="auto"/>
        </w:rPr>
        <w:t>Using a sensitvity analysis based on estmated fair value of open foreign currency forward contracts using available forward rates, if the U.S. dollar had been 10% stronger at March 31, 2022 and December 31, 2021, the fair value of open forward contracts would have decreased $12 million and $14 million, respectvely. Such changes in fair value would be substantally ofset by the revaluaton or setlement of the underlying positons hedged.</w:t>
      </w:r>
    </w:p>
    <w:p>
      <w:pPr>
        <w:spacing w:after="0" w:line="246"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majority of the Company’s debt is fxed rate debt. The fair market value of fxed‐rate debt is sensitve to changes in interest rates. At March 31, 2022, a 10% change in market interest rates would change the fair value of the Company’s debt by approximately $2 million.</w:t>
      </w:r>
    </w:p>
    <w:p>
      <w:pPr>
        <w:spacing w:after="0" w:line="245"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Kodak’s fnancial instrument counterpartes are high‐quality investment or commercial banks with signifcant experience with such instruments. Kodak manages exposure to counterparty credit risk by requiring specifc minimum credit standards and diversifcaton of counterpartes. Kodak has procedures to monitor the credit exposure amounts. The maximum credit exposure at March 31, 2022 was not signifcant to Kodak.</w:t>
      </w: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38" w:name="page39"/>
    <w:bookmarkEnd w:id="38"/>
    <w:p>
      <w:pPr>
        <w:spacing w:after="0"/>
        <w:rPr>
          <w:sz w:val="20"/>
          <w:szCs w:val="20"/>
          <w:color w:val="auto"/>
        </w:rPr>
      </w:pPr>
      <w:r>
        <w:rPr>
          <w:rFonts w:ascii="Calibri" w:cs="Calibri" w:eastAsia="Calibri" w:hAnsi="Calibri"/>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Evaluaton of Disclosure Controls and Procedures</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maintains disclosure controls and procedures that are designed to ensure that informaton required to be disclosed in Kodak’s reports fled or submited under the Securites Exchange Act of 1934 (the “Exchange Act”) is recorded, processed, summarized and reported within the tme periods specifed in the SEC’s rules and forms, and that such informaton is accumulated and communicated to management, including Kodak’s Executve Chairman and Chief Executve Ofcer and Chief Financial Ofcer, as appropriate, to allow tmely decisions regarding required disclosure. Kodak’s management, with the partcipaton of Kodak’s Executve Chairman and Chief Executve Ofcer and Chief Financial Ofcer, has evaluated the efectveness of Kodak’s disclosure controls and procedures as of the end of the period covered by this Quarterly Report on Form 10-Q and have concluded that, as of the end of the period covered by this Quarterly Report on Form 10-Q, Kodak’s disclosure controls and procedures (as defned in Rules 13a-15(e) and 15d-15(e) under the Exchange Act) were efectve.</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 Over Financial Reportng</w:t>
      </w:r>
    </w:p>
    <w:p>
      <w:pPr>
        <w:spacing w:after="0" w:line="1" w:lineRule="exact"/>
        <w:rPr>
          <w:sz w:val="20"/>
          <w:szCs w:val="20"/>
          <w:color w:val="auto"/>
        </w:rPr>
      </w:pPr>
    </w:p>
    <w:p>
      <w:pPr>
        <w:ind w:right="580"/>
        <w:spacing w:after="0" w:line="235" w:lineRule="auto"/>
        <w:rPr>
          <w:sz w:val="20"/>
          <w:szCs w:val="20"/>
          <w:color w:val="auto"/>
        </w:rPr>
      </w:pPr>
      <w:r>
        <w:rPr>
          <w:rFonts w:ascii="Calibri" w:cs="Calibri" w:eastAsia="Calibri" w:hAnsi="Calibri"/>
          <w:sz w:val="18"/>
          <w:szCs w:val="18"/>
          <w:color w:val="auto"/>
        </w:rPr>
        <w:t>There have been no changes in Kodak’s internal control over fnancial reportng during the most recently completed fscal quarter that have materially afected, or are reasonably likely to materially afect, Kodak’s internal control over fnancial reportng.</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 Legal Proceedings</w:t>
      </w:r>
    </w:p>
    <w:p>
      <w:pPr>
        <w:spacing w:after="0" w:line="24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See Note 6, “Commitments and Contngencies” in the Notes to the Financial Statements included in Part I, Item 1, “Financial Statements and Supplementary Data” for informaton regarding certain legal proceedings in which Kodak is involved.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9" w:name="page40"/>
    <w:bookmarkEnd w:id="39"/>
    <w:p>
      <w:pPr>
        <w:spacing w:after="0"/>
        <w:rPr>
          <w:sz w:val="20"/>
          <w:szCs w:val="20"/>
          <w:color w:val="auto"/>
        </w:rPr>
      </w:pPr>
      <w:r>
        <w:rPr>
          <w:rFonts w:ascii="Calibri" w:cs="Calibri" w:eastAsia="Calibri" w:hAnsi="Calibri"/>
          <w:sz w:val="18"/>
          <w:szCs w:val="18"/>
          <w:b w:val="1"/>
          <w:bCs w:val="1"/>
          <w:color w:val="auto"/>
        </w:rPr>
        <w:t>Item 1A. Risk Factors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See the Risk Factors set forth in Part I, Item 1A. of the 2021 Form 10-K for a detailed discussion of risk factors that could materially afect Kodak’s business, fnancial conditon and results of operatons.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2. Unregistered Sales of Equity Securites and Use of Proceeds</w:t>
      </w:r>
    </w:p>
    <w:p>
      <w:pPr>
        <w:spacing w:after="0" w:line="244" w:lineRule="exact"/>
        <w:rPr>
          <w:sz w:val="20"/>
          <w:szCs w:val="20"/>
          <w:color w:val="auto"/>
        </w:rPr>
      </w:pPr>
    </w:p>
    <w:p>
      <w:pPr>
        <w:ind w:left="560" w:right="5100" w:hanging="552"/>
        <w:spacing w:after="0" w:line="496" w:lineRule="auto"/>
        <w:tabs>
          <w:tab w:leader="none" w:pos="552" w:val="left"/>
        </w:tabs>
        <w:numPr>
          <w:ilvl w:val="0"/>
          <w:numId w:val="1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Sales of unregistered securites during the quarter ended March 31, 2022 </w:t>
      </w:r>
      <w:r>
        <w:rPr>
          <w:rFonts w:ascii="Calibri" w:cs="Calibri" w:eastAsia="Calibri" w:hAnsi="Calibri"/>
          <w:sz w:val="18"/>
          <w:szCs w:val="18"/>
          <w:color w:val="auto"/>
        </w:rPr>
        <w:t>None.</w:t>
      </w:r>
    </w:p>
    <w:p>
      <w:pPr>
        <w:spacing w:after="0" w:line="5" w:lineRule="exact"/>
        <w:rPr>
          <w:rFonts w:ascii="Calibri" w:cs="Calibri" w:eastAsia="Calibri" w:hAnsi="Calibri"/>
          <w:sz w:val="18"/>
          <w:szCs w:val="18"/>
          <w:b w:val="1"/>
          <w:bCs w:val="1"/>
          <w:color w:val="auto"/>
        </w:rPr>
      </w:pPr>
    </w:p>
    <w:p>
      <w:pPr>
        <w:ind w:left="560" w:hanging="552"/>
        <w:spacing w:after="0"/>
        <w:tabs>
          <w:tab w:leader="none" w:pos="560" w:val="left"/>
        </w:tabs>
        <w:numPr>
          <w:ilvl w:val="0"/>
          <w:numId w:val="1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Issuer purchases of equity securites during the quarter ended March 31, 2022</w:t>
      </w:r>
    </w:p>
    <w:p>
      <w:pPr>
        <w:spacing w:after="0" w:line="26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alibri" w:cs="Calibri" w:eastAsia="Calibri" w:hAnsi="Calibri"/>
                <w:sz w:val="14"/>
                <w:szCs w:val="14"/>
                <w:b w:val="1"/>
                <w:bCs w:val="1"/>
                <w:color w:val="auto"/>
              </w:rPr>
              <w:t>Maximum Number</w:t>
            </w:r>
          </w:p>
        </w:tc>
      </w:tr>
      <w:tr>
        <w:trPr>
          <w:trHeight w:val="175"/>
        </w:trPr>
        <w:tc>
          <w:tcPr>
            <w:tcW w:w="4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Calibri" w:cs="Calibri" w:eastAsia="Calibri" w:hAnsi="Calibri"/>
                <w:sz w:val="14"/>
                <w:szCs w:val="14"/>
                <w:b w:val="1"/>
                <w:bCs w:val="1"/>
                <w:color w:val="auto"/>
              </w:rPr>
              <w:t>of Shares</w:t>
            </w:r>
          </w:p>
        </w:tc>
      </w:tr>
      <w:tr>
        <w:trPr>
          <w:trHeight w:val="176"/>
        </w:trPr>
        <w:tc>
          <w:tcPr>
            <w:tcW w:w="4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Total Number of Shares</w:t>
            </w:r>
          </w:p>
        </w:tc>
        <w:tc>
          <w:tcPr>
            <w:tcW w:w="1580" w:type="dxa"/>
            <w:vAlign w:val="bottom"/>
          </w:tcPr>
          <w:p>
            <w:pPr>
              <w:jc w:val="center"/>
              <w:spacing w:after="0"/>
              <w:rPr>
                <w:sz w:val="20"/>
                <w:szCs w:val="20"/>
                <w:color w:val="auto"/>
              </w:rPr>
            </w:pPr>
            <w:r>
              <w:rPr>
                <w:rFonts w:ascii="Calibri" w:cs="Calibri" w:eastAsia="Calibri" w:hAnsi="Calibri"/>
                <w:sz w:val="14"/>
                <w:szCs w:val="14"/>
                <w:b w:val="1"/>
                <w:bCs w:val="1"/>
                <w:color w:val="auto"/>
              </w:rPr>
              <w:t>That May Yet</w:t>
            </w:r>
          </w:p>
        </w:tc>
      </w:tr>
      <w:tr>
        <w:trPr>
          <w:trHeight w:val="176"/>
        </w:trPr>
        <w:tc>
          <w:tcPr>
            <w:tcW w:w="430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w w:val="99"/>
              </w:rPr>
              <w:t>Total Number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Average</w:t>
            </w:r>
          </w:p>
        </w:tc>
        <w:tc>
          <w:tcPr>
            <w:tcW w:w="220" w:type="dxa"/>
            <w:vAlign w:val="bottom"/>
          </w:tcPr>
          <w:p>
            <w:pPr>
              <w:spacing w:after="0"/>
              <w:rPr>
                <w:sz w:val="15"/>
                <w:szCs w:val="15"/>
                <w:color w:val="auto"/>
              </w:rPr>
            </w:pPr>
          </w:p>
        </w:tc>
        <w:tc>
          <w:tcPr>
            <w:tcW w:w="166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Purchased as Part of</w:t>
            </w:r>
          </w:p>
        </w:tc>
        <w:tc>
          <w:tcPr>
            <w:tcW w:w="1580" w:type="dxa"/>
            <w:vAlign w:val="bottom"/>
          </w:tcPr>
          <w:p>
            <w:pPr>
              <w:jc w:val="center"/>
              <w:spacing w:after="0"/>
              <w:rPr>
                <w:sz w:val="20"/>
                <w:szCs w:val="20"/>
                <w:color w:val="auto"/>
              </w:rPr>
            </w:pPr>
            <w:r>
              <w:rPr>
                <w:rFonts w:ascii="Calibri" w:cs="Calibri" w:eastAsia="Calibri" w:hAnsi="Calibri"/>
                <w:sz w:val="14"/>
                <w:szCs w:val="14"/>
                <w:b w:val="1"/>
                <w:bCs w:val="1"/>
                <w:color w:val="auto"/>
              </w:rPr>
              <w:t>Be Purchased</w:t>
            </w:r>
          </w:p>
        </w:tc>
      </w:tr>
      <w:tr>
        <w:trPr>
          <w:trHeight w:val="174"/>
        </w:trPr>
        <w:tc>
          <w:tcPr>
            <w:tcW w:w="430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of Shares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118"/>
              <w:spacing w:after="0"/>
              <w:rPr>
                <w:sz w:val="20"/>
                <w:szCs w:val="20"/>
                <w:color w:val="auto"/>
              </w:rPr>
            </w:pPr>
            <w:r>
              <w:rPr>
                <w:rFonts w:ascii="Calibri" w:cs="Calibri" w:eastAsia="Calibri" w:hAnsi="Calibri"/>
                <w:sz w:val="14"/>
                <w:szCs w:val="14"/>
                <w:b w:val="1"/>
                <w:bCs w:val="1"/>
                <w:color w:val="auto"/>
              </w:rPr>
              <w:t>Price Paid</w:t>
            </w:r>
          </w:p>
        </w:tc>
        <w:tc>
          <w:tcPr>
            <w:tcW w:w="220" w:type="dxa"/>
            <w:vAlign w:val="bottom"/>
          </w:tcPr>
          <w:p>
            <w:pPr>
              <w:spacing w:after="0"/>
              <w:rPr>
                <w:sz w:val="15"/>
                <w:szCs w:val="15"/>
                <w:color w:val="auto"/>
              </w:rPr>
            </w:pPr>
          </w:p>
        </w:tc>
        <w:tc>
          <w:tcPr>
            <w:tcW w:w="166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Publicly Announced</w:t>
            </w:r>
          </w:p>
        </w:tc>
        <w:tc>
          <w:tcPr>
            <w:tcW w:w="1580" w:type="dxa"/>
            <w:vAlign w:val="bottom"/>
          </w:tcPr>
          <w:p>
            <w:pPr>
              <w:jc w:val="center"/>
              <w:spacing w:after="0"/>
              <w:rPr>
                <w:sz w:val="20"/>
                <w:szCs w:val="20"/>
                <w:color w:val="auto"/>
              </w:rPr>
            </w:pPr>
            <w:r>
              <w:rPr>
                <w:rFonts w:ascii="Calibri" w:cs="Calibri" w:eastAsia="Calibri" w:hAnsi="Calibri"/>
                <w:sz w:val="14"/>
                <w:szCs w:val="14"/>
                <w:b w:val="1"/>
                <w:bCs w:val="1"/>
                <w:color w:val="auto"/>
              </w:rPr>
              <w:t>under the Plans or</w:t>
            </w:r>
          </w:p>
        </w:tc>
      </w:tr>
      <w:tr>
        <w:trPr>
          <w:trHeight w:val="197"/>
        </w:trPr>
        <w:tc>
          <w:tcPr>
            <w:tcW w:w="4300" w:type="dxa"/>
            <w:vAlign w:val="bottom"/>
          </w:tcPr>
          <w:p>
            <w:pPr>
              <w:spacing w:after="0"/>
              <w:rPr>
                <w:sz w:val="17"/>
                <w:szCs w:val="17"/>
                <w:color w:val="auto"/>
              </w:rPr>
            </w:pPr>
          </w:p>
        </w:tc>
        <w:tc>
          <w:tcPr>
            <w:tcW w:w="1280" w:type="dxa"/>
            <w:vAlign w:val="bottom"/>
            <w:gridSpan w:val="2"/>
          </w:tcPr>
          <w:p>
            <w:pPr>
              <w:jc w:val="center"/>
              <w:ind w:right="240"/>
              <w:spacing w:after="0" w:line="197" w:lineRule="exact"/>
              <w:rPr>
                <w:sz w:val="20"/>
                <w:szCs w:val="20"/>
                <w:color w:val="auto"/>
              </w:rPr>
            </w:pPr>
            <w:r>
              <w:rPr>
                <w:rFonts w:ascii="Calibri" w:cs="Calibri" w:eastAsia="Calibri" w:hAnsi="Calibri"/>
                <w:sz w:val="13"/>
                <w:szCs w:val="13"/>
                <w:b w:val="1"/>
                <w:bCs w:val="1"/>
                <w:color w:val="auto"/>
              </w:rPr>
              <w:t xml:space="preserve">Purchased </w:t>
            </w:r>
            <w:r>
              <w:rPr>
                <w:rFonts w:ascii="Calibri" w:cs="Calibri" w:eastAsia="Calibri" w:hAnsi="Calibri"/>
                <w:sz w:val="21"/>
                <w:szCs w:val="21"/>
                <w:b w:val="1"/>
                <w:bCs w:val="1"/>
                <w:color w:val="auto"/>
                <w:vertAlign w:val="superscript"/>
              </w:rPr>
              <w:t>(1)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per Share</w:t>
            </w:r>
          </w:p>
        </w:tc>
        <w:tc>
          <w:tcPr>
            <w:tcW w:w="220" w:type="dxa"/>
            <w:vAlign w:val="bottom"/>
          </w:tcPr>
          <w:p>
            <w:pPr>
              <w:spacing w:after="0"/>
              <w:rPr>
                <w:sz w:val="17"/>
                <w:szCs w:val="17"/>
                <w:color w:val="auto"/>
              </w:rPr>
            </w:pPr>
          </w:p>
        </w:tc>
        <w:tc>
          <w:tcPr>
            <w:tcW w:w="1660" w:type="dxa"/>
            <w:vAlign w:val="bottom"/>
            <w:gridSpan w:val="2"/>
          </w:tcPr>
          <w:p>
            <w:pPr>
              <w:jc w:val="center"/>
              <w:ind w:right="140"/>
              <w:spacing w:after="0" w:line="197" w:lineRule="exact"/>
              <w:rPr>
                <w:sz w:val="20"/>
                <w:szCs w:val="20"/>
                <w:color w:val="auto"/>
              </w:rPr>
            </w:pPr>
            <w:r>
              <w:rPr>
                <w:rFonts w:ascii="Calibri" w:cs="Calibri" w:eastAsia="Calibri" w:hAnsi="Calibri"/>
                <w:sz w:val="13"/>
                <w:szCs w:val="13"/>
                <w:b w:val="1"/>
                <w:bCs w:val="1"/>
                <w:color w:val="auto"/>
              </w:rPr>
              <w:t xml:space="preserve">Plans or Programs </w:t>
            </w:r>
            <w:r>
              <w:rPr>
                <w:rFonts w:ascii="Calibri" w:cs="Calibri" w:eastAsia="Calibri" w:hAnsi="Calibri"/>
                <w:sz w:val="21"/>
                <w:szCs w:val="21"/>
                <w:b w:val="1"/>
                <w:bCs w:val="1"/>
                <w:color w:val="auto"/>
                <w:vertAlign w:val="superscript"/>
              </w:rPr>
              <w:t>(2)</w:t>
            </w:r>
          </w:p>
        </w:tc>
        <w:tc>
          <w:tcPr>
            <w:tcW w:w="1580" w:type="dxa"/>
            <w:vAlign w:val="bottom"/>
          </w:tcPr>
          <w:p>
            <w:pPr>
              <w:jc w:val="center"/>
              <w:spacing w:after="0" w:line="197" w:lineRule="exact"/>
              <w:rPr>
                <w:sz w:val="20"/>
                <w:szCs w:val="20"/>
                <w:color w:val="auto"/>
              </w:rPr>
            </w:pPr>
            <w:r>
              <w:rPr>
                <w:rFonts w:ascii="Calibri" w:cs="Calibri" w:eastAsia="Calibri" w:hAnsi="Calibri"/>
                <w:sz w:val="13"/>
                <w:szCs w:val="13"/>
                <w:b w:val="1"/>
                <w:bCs w:val="1"/>
                <w:color w:val="auto"/>
              </w:rPr>
              <w:t xml:space="preserve">Programs </w:t>
            </w:r>
            <w:r>
              <w:rPr>
                <w:rFonts w:ascii="Calibri" w:cs="Calibri" w:eastAsia="Calibri" w:hAnsi="Calibri"/>
                <w:sz w:val="21"/>
                <w:szCs w:val="21"/>
                <w:b w:val="1"/>
                <w:bCs w:val="1"/>
                <w:color w:val="auto"/>
                <w:vertAlign w:val="superscript"/>
              </w:rPr>
              <w:t>(2)</w:t>
            </w:r>
          </w:p>
        </w:tc>
      </w:tr>
      <w:tr>
        <w:trPr>
          <w:trHeight w:val="223"/>
        </w:trPr>
        <w:tc>
          <w:tcPr>
            <w:tcW w:w="4300" w:type="dxa"/>
            <w:vAlign w:val="bottom"/>
            <w:tcBorders>
              <w:top w:val="single" w:sz="8" w:color="CFF0FC"/>
            </w:tcBorders>
            <w:shd w:val="clear" w:color="auto" w:fill="CFF0FC"/>
          </w:tcPr>
          <w:p>
            <w:pPr>
              <w:spacing w:after="0" w:line="199" w:lineRule="exact"/>
              <w:rPr>
                <w:sz w:val="20"/>
                <w:szCs w:val="20"/>
                <w:color w:val="auto"/>
              </w:rPr>
            </w:pPr>
            <w:r>
              <w:rPr>
                <w:rFonts w:ascii="Calibri" w:cs="Calibri" w:eastAsia="Calibri" w:hAnsi="Calibri"/>
                <w:sz w:val="18"/>
                <w:szCs w:val="18"/>
                <w:color w:val="auto"/>
              </w:rPr>
              <w:t>January 1 through 31</w:t>
            </w:r>
          </w:p>
        </w:tc>
        <w:tc>
          <w:tcPr>
            <w:tcW w:w="106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5,598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4"/>
              <w:spacing w:after="0"/>
              <w:rPr>
                <w:sz w:val="20"/>
                <w:szCs w:val="20"/>
                <w:color w:val="auto"/>
              </w:rPr>
            </w:pPr>
            <w:r>
              <w:rPr>
                <w:rFonts w:ascii="Calibri" w:cs="Calibri" w:eastAsia="Calibri" w:hAnsi="Calibri"/>
                <w:sz w:val="11"/>
                <w:szCs w:val="11"/>
                <w:color w:val="auto"/>
                <w:w w:val="70"/>
              </w:rPr>
              <w:t>$</w:t>
            </w:r>
          </w:p>
        </w:tc>
        <w:tc>
          <w:tcPr>
            <w:tcW w:w="90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4.51</w:t>
            </w:r>
          </w:p>
        </w:tc>
        <w:tc>
          <w:tcPr>
            <w:tcW w:w="22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5"/>
              </w:rPr>
              <w:t>n/a</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5"/>
              </w:rPr>
              <w:t>n/a</w:t>
            </w:r>
          </w:p>
        </w:tc>
      </w:tr>
      <w:tr>
        <w:trPr>
          <w:trHeight w:val="222"/>
        </w:trPr>
        <w:tc>
          <w:tcPr>
            <w:tcW w:w="4300" w:type="dxa"/>
            <w:vAlign w:val="bottom"/>
          </w:tcPr>
          <w:p>
            <w:pPr>
              <w:spacing w:after="0" w:line="215" w:lineRule="exact"/>
              <w:rPr>
                <w:sz w:val="20"/>
                <w:szCs w:val="20"/>
                <w:color w:val="auto"/>
              </w:rPr>
            </w:pPr>
            <w:r>
              <w:rPr>
                <w:rFonts w:ascii="Calibri" w:cs="Calibri" w:eastAsia="Calibri" w:hAnsi="Calibri"/>
                <w:sz w:val="18"/>
                <w:szCs w:val="18"/>
                <w:color w:val="auto"/>
              </w:rPr>
              <w:t>February 1 through 28</w:t>
            </w:r>
          </w:p>
        </w:tc>
        <w:tc>
          <w:tcPr>
            <w:tcW w:w="128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9"/>
                <w:szCs w:val="19"/>
                <w:color w:val="auto"/>
              </w:rPr>
            </w:pPr>
          </w:p>
        </w:tc>
        <w:tc>
          <w:tcPr>
            <w:tcW w:w="1660" w:type="dxa"/>
            <w:vAlign w:val="bottom"/>
            <w:gridSpan w:val="2"/>
          </w:tcPr>
          <w:p>
            <w:pPr>
              <w:jc w:val="center"/>
              <w:ind w:right="140"/>
              <w:spacing w:after="0" w:line="215" w:lineRule="exact"/>
              <w:rPr>
                <w:sz w:val="20"/>
                <w:szCs w:val="20"/>
                <w:color w:val="auto"/>
              </w:rPr>
            </w:pPr>
            <w:r>
              <w:rPr>
                <w:rFonts w:ascii="Calibri" w:cs="Calibri" w:eastAsia="Calibri" w:hAnsi="Calibri"/>
                <w:sz w:val="18"/>
                <w:szCs w:val="18"/>
                <w:color w:val="auto"/>
                <w:w w:val="95"/>
              </w:rPr>
              <w:t>n/a</w:t>
            </w:r>
          </w:p>
        </w:tc>
        <w:tc>
          <w:tcPr>
            <w:tcW w:w="158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n/a</w:t>
            </w:r>
          </w:p>
        </w:tc>
      </w:tr>
      <w:tr>
        <w:trPr>
          <w:trHeight w:val="237"/>
        </w:trPr>
        <w:tc>
          <w:tcPr>
            <w:tcW w:w="4300" w:type="dxa"/>
            <w:vAlign w:val="bottom"/>
            <w:shd w:val="clear" w:color="auto" w:fill="CFF0FC"/>
          </w:tcPr>
          <w:p>
            <w:pPr>
              <w:spacing w:after="0"/>
              <w:rPr>
                <w:sz w:val="20"/>
                <w:szCs w:val="20"/>
                <w:color w:val="auto"/>
              </w:rPr>
            </w:pPr>
            <w:r>
              <w:rPr>
                <w:rFonts w:ascii="Calibri" w:cs="Calibri" w:eastAsia="Calibri" w:hAnsi="Calibri"/>
                <w:sz w:val="18"/>
                <w:szCs w:val="18"/>
                <w:color w:val="auto"/>
              </w:rPr>
              <w:t>March 1 through 31</w:t>
            </w:r>
          </w:p>
        </w:tc>
        <w:tc>
          <w:tcPr>
            <w:tcW w:w="12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center"/>
              <w:ind w:right="140"/>
              <w:spacing w:after="0"/>
              <w:rPr>
                <w:sz w:val="20"/>
                <w:szCs w:val="20"/>
                <w:color w:val="auto"/>
              </w:rPr>
            </w:pPr>
            <w:r>
              <w:rPr>
                <w:rFonts w:ascii="Calibri" w:cs="Calibri" w:eastAsia="Calibri" w:hAnsi="Calibri"/>
                <w:sz w:val="18"/>
                <w:szCs w:val="18"/>
                <w:color w:val="auto"/>
                <w:w w:val="95"/>
              </w:rPr>
              <w:t>n/a</w:t>
            </w:r>
          </w:p>
        </w:tc>
        <w:tc>
          <w:tcPr>
            <w:tcW w:w="1580" w:type="dxa"/>
            <w:vAlign w:val="bottom"/>
            <w:shd w:val="clear" w:color="auto" w:fill="CFF0FC"/>
          </w:tcPr>
          <w:p>
            <w:pPr>
              <w:jc w:val="center"/>
              <w:spacing w:after="0"/>
              <w:rPr>
                <w:sz w:val="20"/>
                <w:szCs w:val="20"/>
                <w:color w:val="auto"/>
              </w:rPr>
            </w:pPr>
            <w:r>
              <w:rPr>
                <w:rFonts w:ascii="Calibri" w:cs="Calibri" w:eastAsia="Calibri" w:hAnsi="Calibri"/>
                <w:sz w:val="18"/>
                <w:szCs w:val="18"/>
                <w:color w:val="auto"/>
                <w:w w:val="95"/>
              </w:rPr>
              <w:t>n/a</w:t>
            </w:r>
          </w:p>
        </w:tc>
      </w:tr>
      <w:tr>
        <w:trPr>
          <w:trHeight w:val="217"/>
        </w:trPr>
        <w:tc>
          <w:tcPr>
            <w:tcW w:w="4300" w:type="dxa"/>
            <w:vAlign w:val="bottom"/>
          </w:tcPr>
          <w:p>
            <w:pPr>
              <w:spacing w:after="0" w:line="199" w:lineRule="exact"/>
              <w:rPr>
                <w:sz w:val="20"/>
                <w:szCs w:val="20"/>
                <w:color w:val="auto"/>
              </w:rPr>
            </w:pPr>
            <w:r>
              <w:rPr>
                <w:rFonts w:ascii="Calibri" w:cs="Calibri" w:eastAsia="Calibri" w:hAnsi="Calibri"/>
                <w:sz w:val="18"/>
                <w:szCs w:val="18"/>
                <w:color w:val="auto"/>
              </w:rPr>
              <w:t>Total</w:t>
            </w: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5,598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Calibri" w:cs="Calibri" w:eastAsia="Calibri" w:hAnsi="Calibri"/>
                <w:sz w:val="11"/>
                <w:szCs w:val="11"/>
                <w:color w:val="auto"/>
                <w:w w:val="70"/>
              </w:rPr>
              <w:t>$</w:t>
            </w:r>
          </w:p>
        </w:tc>
        <w:tc>
          <w:tcPr>
            <w:tcW w:w="9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4.51</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81" w:lineRule="exact"/>
        <w:rPr>
          <w:sz w:val="20"/>
          <w:szCs w:val="20"/>
          <w:color w:val="auto"/>
        </w:rPr>
      </w:pPr>
    </w:p>
    <w:p>
      <w:pPr>
        <w:ind w:left="740" w:hanging="368"/>
        <w:spacing w:after="0"/>
        <w:tabs>
          <w:tab w:leader="none" w:pos="740" w:val="left"/>
        </w:tabs>
        <w:numPr>
          <w:ilvl w:val="0"/>
          <w:numId w:val="18"/>
        </w:numPr>
        <w:rPr>
          <w:rFonts w:ascii="Calibri" w:cs="Calibri" w:eastAsia="Calibri" w:hAnsi="Calibri"/>
          <w:sz w:val="29"/>
          <w:szCs w:val="29"/>
          <w:color w:val="auto"/>
          <w:vertAlign w:val="superscript"/>
        </w:rPr>
      </w:pPr>
      <w:r>
        <w:rPr>
          <w:rFonts w:ascii="Calibri" w:cs="Calibri" w:eastAsia="Calibri" w:hAnsi="Calibri"/>
          <w:sz w:val="17"/>
          <w:szCs w:val="17"/>
          <w:color w:val="auto"/>
        </w:rPr>
        <w:t>These purchases were made to satsfy tax withholding obligatons in connecton with the vestng of restricted stock units issued to employees.</w:t>
      </w:r>
    </w:p>
    <w:p>
      <w:pPr>
        <w:spacing w:after="0" w:line="139" w:lineRule="exact"/>
        <w:rPr>
          <w:rFonts w:ascii="Calibri" w:cs="Calibri" w:eastAsia="Calibri" w:hAnsi="Calibri"/>
          <w:sz w:val="29"/>
          <w:szCs w:val="29"/>
          <w:color w:val="auto"/>
          <w:vertAlign w:val="superscript"/>
        </w:rPr>
      </w:pPr>
    </w:p>
    <w:p>
      <w:pPr>
        <w:ind w:left="740" w:hanging="368"/>
        <w:spacing w:after="0" w:line="202" w:lineRule="auto"/>
        <w:tabs>
          <w:tab w:leader="none" w:pos="740" w:val="left"/>
        </w:tabs>
        <w:numPr>
          <w:ilvl w:val="0"/>
          <w:numId w:val="18"/>
        </w:numPr>
        <w:rPr>
          <w:rFonts w:ascii="Calibri" w:cs="Calibri" w:eastAsia="Calibri" w:hAnsi="Calibri"/>
          <w:sz w:val="31"/>
          <w:szCs w:val="31"/>
          <w:color w:val="auto"/>
          <w:vertAlign w:val="superscript"/>
        </w:rPr>
      </w:pPr>
      <w:r>
        <w:rPr>
          <w:rFonts w:ascii="Calibri" w:cs="Calibri" w:eastAsia="Calibri" w:hAnsi="Calibri"/>
          <w:sz w:val="18"/>
          <w:szCs w:val="18"/>
          <w:color w:val="auto"/>
        </w:rPr>
        <w:t>Kodak does not have a publicly announced repurchase plan or program.</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28" w:right="619" w:bottom="1440" w:gutter="0" w:footer="0" w:header="0"/>
        </w:sectPr>
      </w:pPr>
    </w:p>
    <w:bookmarkStart w:id="40" w:name="page41"/>
    <w:bookmarkEnd w:id="40"/>
    <w:p>
      <w:pPr>
        <w:spacing w:after="0"/>
        <w:rPr>
          <w:sz w:val="20"/>
          <w:szCs w:val="20"/>
          <w:color w:val="auto"/>
        </w:rPr>
      </w:pPr>
      <w:r>
        <w:rPr>
          <w:rFonts w:ascii="Calibri" w:cs="Calibri" w:eastAsia="Calibri" w:hAnsi="Calibri"/>
          <w:sz w:val="18"/>
          <w:szCs w:val="18"/>
          <w:b w:val="1"/>
          <w:bCs w:val="1"/>
          <w:color w:val="auto"/>
        </w:rPr>
        <w:t>Item 6. Exhibits</w:t>
      </w: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20" w:type="dxa"/>
            <w:vAlign w:val="bottom"/>
            <w:gridSpan w:val="14"/>
          </w:tcPr>
          <w:p>
            <w:pPr>
              <w:jc w:val="center"/>
              <w:ind w:right="3020"/>
              <w:spacing w:after="0" w:line="216" w:lineRule="exact"/>
              <w:rPr>
                <w:sz w:val="20"/>
                <w:szCs w:val="20"/>
                <w:color w:val="auto"/>
              </w:rPr>
            </w:pPr>
            <w:r>
              <w:rPr>
                <w:rFonts w:ascii="Calibri" w:cs="Calibri" w:eastAsia="Calibri" w:hAnsi="Calibri"/>
                <w:sz w:val="18"/>
                <w:szCs w:val="18"/>
                <w:b w:val="1"/>
                <w:bCs w:val="1"/>
                <w:color w:val="auto"/>
                <w:w w:val="96"/>
              </w:rPr>
              <w:t>Eastman Kodak Company</w:t>
            </w:r>
          </w:p>
        </w:tc>
      </w:t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20" w:type="dxa"/>
            <w:vAlign w:val="bottom"/>
            <w:gridSpan w:val="14"/>
          </w:tcPr>
          <w:p>
            <w:pPr>
              <w:jc w:val="center"/>
              <w:ind w:right="3020"/>
              <w:spacing w:after="0" w:line="216" w:lineRule="exact"/>
              <w:rPr>
                <w:sz w:val="20"/>
                <w:szCs w:val="20"/>
                <w:color w:val="auto"/>
              </w:rPr>
            </w:pPr>
            <w:r>
              <w:rPr>
                <w:rFonts w:ascii="Calibri" w:cs="Calibri" w:eastAsia="Calibri" w:hAnsi="Calibri"/>
                <w:sz w:val="18"/>
                <w:szCs w:val="18"/>
                <w:b w:val="1"/>
                <w:bCs w:val="1"/>
                <w:color w:val="auto"/>
                <w:w w:val="96"/>
              </w:rPr>
              <w:t>Index to Exhibits</w:t>
            </w:r>
          </w:p>
        </w:tc>
      </w:tr>
      <w:tr>
        <w:trPr>
          <w:trHeight w:val="266"/>
        </w:trPr>
        <w:tc>
          <w:tcPr>
            <w:tcW w:w="40" w:type="dxa"/>
            <w:vAlign w:val="bottom"/>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r>
      <w:tr>
        <w:trPr>
          <w:trHeight w:val="187"/>
        </w:trPr>
        <w:tc>
          <w:tcPr>
            <w:tcW w:w="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line="187" w:lineRule="exact"/>
              <w:rPr>
                <w:sz w:val="20"/>
                <w:szCs w:val="20"/>
                <w:color w:val="auto"/>
              </w:rPr>
            </w:pPr>
            <w:r>
              <w:rPr>
                <w:rFonts w:ascii="Calibri" w:cs="Calibri" w:eastAsia="Calibri" w:hAnsi="Calibri"/>
                <w:sz w:val="18"/>
                <w:szCs w:val="18"/>
                <w:b w:val="1"/>
                <w:bCs w:val="1"/>
                <w:color w:val="auto"/>
              </w:rPr>
              <w:t>Exhibit</w:t>
            </w:r>
          </w:p>
        </w:tc>
        <w:tc>
          <w:tcPr>
            <w:tcW w:w="100" w:type="dxa"/>
            <w:vAlign w:val="bottom"/>
            <w:tcBorders>
              <w:right w:val="single" w:sz="8" w:color="auto"/>
            </w:tcBorders>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b w:val="1"/>
                <w:bCs w:val="1"/>
                <w:color w:val="auto"/>
              </w:rPr>
              <w:t>Number</w:t>
            </w:r>
          </w:p>
        </w:tc>
        <w:tc>
          <w:tcPr>
            <w:tcW w:w="100" w:type="dxa"/>
            <w:vAlign w:val="bottom"/>
            <w:tcBorders>
              <w:righ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3"/>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line="156" w:lineRule="exact"/>
              <w:rPr>
                <w:sz w:val="20"/>
                <w:szCs w:val="20"/>
                <w:color w:val="auto"/>
              </w:rPr>
            </w:pPr>
            <w:r>
              <w:rPr>
                <w:rFonts w:ascii="Calibri" w:cs="Calibri" w:eastAsia="Calibri" w:hAnsi="Calibri"/>
                <w:sz w:val="16"/>
                <w:szCs w:val="16"/>
                <w:color w:val="auto"/>
              </w:rPr>
              <w:t>(3.1)</w:t>
            </w:r>
          </w:p>
        </w:tc>
        <w:tc>
          <w:tcPr>
            <w:tcW w:w="100" w:type="dxa"/>
            <w:vAlign w:val="bottom"/>
            <w:tcBorders>
              <w:right w:val="single" w:sz="8" w:color="auto"/>
            </w:tcBorders>
          </w:tcPr>
          <w:p>
            <w:pPr>
              <w:spacing w:after="0"/>
              <w:rPr>
                <w:sz w:val="13"/>
                <w:szCs w:val="13"/>
                <w:color w:val="auto"/>
              </w:rPr>
            </w:pPr>
          </w:p>
        </w:tc>
        <w:tc>
          <w:tcPr>
            <w:tcW w:w="10080" w:type="dxa"/>
            <w:vAlign w:val="bottom"/>
            <w:tcBorders>
              <w:right w:val="single" w:sz="8" w:color="auto"/>
            </w:tcBorders>
            <w:gridSpan w:val="16"/>
          </w:tcPr>
          <w:p>
            <w:pPr>
              <w:spacing w:after="0" w:line="156" w:lineRule="exact"/>
              <w:rPr>
                <w:rFonts w:ascii="Calibri" w:cs="Calibri" w:eastAsia="Calibri" w:hAnsi="Calibri"/>
                <w:sz w:val="16"/>
                <w:szCs w:val="16"/>
                <w:color w:val="0000EE"/>
              </w:rPr>
            </w:pPr>
            <w:hyperlink r:id="rId60">
              <w:r>
                <w:rPr>
                  <w:rFonts w:ascii="Calibri" w:cs="Calibri" w:eastAsia="Calibri" w:hAnsi="Calibri"/>
                  <w:sz w:val="16"/>
                  <w:szCs w:val="16"/>
                  <w:color w:val="0000EE"/>
                </w:rPr>
                <w:t>Second Amended and Restated Certfcate of Incorporaton of Eastman Kodak Company (Incorporated by reference to Exhibit 4.1 of the</w:t>
              </w:r>
            </w:hyperlink>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580" w:type="dxa"/>
            <w:vAlign w:val="bottom"/>
            <w:tcBorders>
              <w:top w:val="single" w:sz="8" w:color="0000EE"/>
            </w:tcBorders>
            <w:gridSpan w:val="11"/>
          </w:tcPr>
          <w:p>
            <w:pPr>
              <w:spacing w:after="0" w:line="196" w:lineRule="exact"/>
              <w:rPr>
                <w:rFonts w:ascii="Calibri" w:cs="Calibri" w:eastAsia="Calibri" w:hAnsi="Calibri"/>
                <w:sz w:val="18"/>
                <w:szCs w:val="18"/>
                <w:color w:val="0000EE"/>
              </w:rPr>
            </w:pPr>
            <w:hyperlink r:id="rId60">
              <w:r>
                <w:rPr>
                  <w:rFonts w:ascii="Calibri" w:cs="Calibri" w:eastAsia="Calibri" w:hAnsi="Calibri"/>
                  <w:sz w:val="18"/>
                  <w:szCs w:val="18"/>
                  <w:color w:val="0000EE"/>
                </w:rPr>
                <w:t>Company’s Registraton Statement on Form S-8 as fled on September 3, 2013).</w:t>
              </w:r>
            </w:hyperlink>
          </w:p>
        </w:tc>
        <w:tc>
          <w:tcPr>
            <w:tcW w:w="500" w:type="dxa"/>
            <w:vAlign w:val="bottom"/>
            <w:tcBorders>
              <w:right w:val="single" w:sz="8" w:color="auto"/>
            </w:tcBorders>
            <w:gridSpan w:val="5"/>
          </w:tcPr>
          <w:p>
            <w:pPr>
              <w:spacing w:after="0"/>
              <w:rPr>
                <w:sz w:val="17"/>
                <w:szCs w:val="17"/>
                <w:color w:val="auto"/>
              </w:rPr>
            </w:pPr>
          </w:p>
        </w:tc>
      </w:tr>
      <w:tr>
        <w:trPr>
          <w:trHeight w:val="34"/>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480" w:type="dxa"/>
            <w:vAlign w:val="bottom"/>
            <w:tcBorders>
              <w:top w:val="single" w:sz="8" w:color="0000EE"/>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line="156" w:lineRule="exact"/>
              <w:rPr>
                <w:sz w:val="20"/>
                <w:szCs w:val="20"/>
                <w:color w:val="auto"/>
              </w:rPr>
            </w:pPr>
            <w:r>
              <w:rPr>
                <w:rFonts w:ascii="Calibri" w:cs="Calibri" w:eastAsia="Calibri" w:hAnsi="Calibri"/>
                <w:sz w:val="16"/>
                <w:szCs w:val="16"/>
                <w:color w:val="auto"/>
              </w:rPr>
              <w:t>(3.2)</w:t>
            </w:r>
          </w:p>
        </w:tc>
        <w:tc>
          <w:tcPr>
            <w:tcW w:w="100" w:type="dxa"/>
            <w:vAlign w:val="bottom"/>
            <w:tcBorders>
              <w:right w:val="single" w:sz="8" w:color="auto"/>
            </w:tcBorders>
          </w:tcPr>
          <w:p>
            <w:pPr>
              <w:spacing w:after="0"/>
              <w:rPr>
                <w:sz w:val="13"/>
                <w:szCs w:val="13"/>
                <w:color w:val="auto"/>
              </w:rPr>
            </w:pPr>
          </w:p>
        </w:tc>
        <w:tc>
          <w:tcPr>
            <w:tcW w:w="9820" w:type="dxa"/>
            <w:vAlign w:val="bottom"/>
            <w:tcBorders>
              <w:bottom w:val="single" w:sz="8" w:color="0000EE"/>
            </w:tcBorders>
            <w:gridSpan w:val="14"/>
          </w:tcPr>
          <w:p>
            <w:pPr>
              <w:spacing w:after="0" w:line="156" w:lineRule="exact"/>
              <w:rPr>
                <w:rFonts w:ascii="Calibri" w:cs="Calibri" w:eastAsia="Calibri" w:hAnsi="Calibri"/>
                <w:sz w:val="16"/>
                <w:szCs w:val="16"/>
                <w:color w:val="0000EE"/>
              </w:rPr>
            </w:pPr>
            <w:hyperlink r:id="rId61">
              <w:r>
                <w:rPr>
                  <w:rFonts w:ascii="Calibri" w:cs="Calibri" w:eastAsia="Calibri" w:hAnsi="Calibri"/>
                  <w:sz w:val="16"/>
                  <w:szCs w:val="16"/>
                  <w:color w:val="0000EE"/>
                </w:rPr>
                <w:t>Certfcate of Amendment to the Second Amended and Restated Certfcate of Incorporaton of Eastman Kodak Company. (Incorporated by</w:t>
              </w:r>
            </w:hyperlink>
          </w:p>
        </w:tc>
        <w:tc>
          <w:tcPr>
            <w:tcW w:w="260" w:type="dxa"/>
            <w:vAlign w:val="bottom"/>
            <w:tcBorders>
              <w:right w:val="single" w:sz="8" w:color="auto"/>
            </w:tcBorders>
            <w:gridSpan w:val="2"/>
          </w:tcPr>
          <w:p>
            <w:pPr>
              <w:spacing w:after="0"/>
              <w:rPr>
                <w:sz w:val="13"/>
                <w:szCs w:val="13"/>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80" w:type="dxa"/>
            <w:vAlign w:val="bottom"/>
            <w:tcBorders>
              <w:right w:val="single" w:sz="8" w:color="auto"/>
            </w:tcBorders>
            <w:gridSpan w:val="16"/>
          </w:tcPr>
          <w:p>
            <w:pPr>
              <w:spacing w:after="0" w:line="196" w:lineRule="exact"/>
              <w:rPr>
                <w:rFonts w:ascii="Calibri" w:cs="Calibri" w:eastAsia="Calibri" w:hAnsi="Calibri"/>
                <w:sz w:val="18"/>
                <w:szCs w:val="18"/>
                <w:color w:val="0000EE"/>
              </w:rPr>
            </w:pPr>
            <w:hyperlink r:id="rId61">
              <w:r>
                <w:rPr>
                  <w:rFonts w:ascii="Calibri" w:cs="Calibri" w:eastAsia="Calibri" w:hAnsi="Calibri"/>
                  <w:sz w:val="18"/>
                  <w:szCs w:val="18"/>
                  <w:color w:val="0000EE"/>
                </w:rPr>
                <w:t>reference to Exhibit 3.1 of the Company’s Current Report on Form 8-K as fled November 16, 2016).</w:t>
              </w:r>
            </w:hyperlink>
          </w:p>
        </w:tc>
      </w:tr>
      <w:tr>
        <w:trPr>
          <w:trHeight w:val="34"/>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48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line="156" w:lineRule="exact"/>
              <w:rPr>
                <w:sz w:val="20"/>
                <w:szCs w:val="20"/>
                <w:color w:val="auto"/>
              </w:rPr>
            </w:pPr>
            <w:r>
              <w:rPr>
                <w:rFonts w:ascii="Calibri" w:cs="Calibri" w:eastAsia="Calibri" w:hAnsi="Calibri"/>
                <w:sz w:val="16"/>
                <w:szCs w:val="16"/>
                <w:color w:val="auto"/>
              </w:rPr>
              <w:t>(3.3)</w:t>
            </w:r>
          </w:p>
        </w:tc>
        <w:tc>
          <w:tcPr>
            <w:tcW w:w="100" w:type="dxa"/>
            <w:vAlign w:val="bottom"/>
            <w:tcBorders>
              <w:right w:val="single" w:sz="8" w:color="auto"/>
            </w:tcBorders>
          </w:tcPr>
          <w:p>
            <w:pPr>
              <w:spacing w:after="0"/>
              <w:rPr>
                <w:sz w:val="13"/>
                <w:szCs w:val="13"/>
                <w:color w:val="auto"/>
              </w:rPr>
            </w:pPr>
          </w:p>
        </w:tc>
        <w:tc>
          <w:tcPr>
            <w:tcW w:w="10080" w:type="dxa"/>
            <w:vAlign w:val="bottom"/>
            <w:tcBorders>
              <w:right w:val="single" w:sz="8" w:color="auto"/>
            </w:tcBorders>
            <w:gridSpan w:val="16"/>
          </w:tcPr>
          <w:p>
            <w:pPr>
              <w:spacing w:after="0" w:line="156" w:lineRule="exact"/>
              <w:rPr>
                <w:rFonts w:ascii="Calibri" w:cs="Calibri" w:eastAsia="Calibri" w:hAnsi="Calibri"/>
                <w:sz w:val="16"/>
                <w:szCs w:val="16"/>
                <w:color w:val="0000EE"/>
              </w:rPr>
            </w:pPr>
            <w:hyperlink r:id="rId61">
              <w:r>
                <w:rPr>
                  <w:rFonts w:ascii="Calibri" w:cs="Calibri" w:eastAsia="Calibri" w:hAnsi="Calibri"/>
                  <w:sz w:val="16"/>
                  <w:szCs w:val="16"/>
                  <w:color w:val="0000EE"/>
                </w:rPr>
                <w:t>Certfcate of Amendment to the Second Amended and Restated Certfcate of Incorporaton of Eastman Kodak Company (Incorporated by</w:t>
              </w:r>
            </w:hyperlink>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780" w:type="dxa"/>
            <w:vAlign w:val="bottom"/>
            <w:tcBorders>
              <w:top w:val="single" w:sz="8" w:color="0000EE"/>
            </w:tcBorders>
            <w:gridSpan w:val="13"/>
          </w:tcPr>
          <w:p>
            <w:pPr>
              <w:spacing w:after="0" w:line="196" w:lineRule="exact"/>
              <w:rPr>
                <w:rFonts w:ascii="Calibri" w:cs="Calibri" w:eastAsia="Calibri" w:hAnsi="Calibri"/>
                <w:sz w:val="18"/>
                <w:szCs w:val="18"/>
                <w:color w:val="0000EE"/>
              </w:rPr>
            </w:pPr>
            <w:hyperlink r:id="rId61">
              <w:r>
                <w:rPr>
                  <w:rFonts w:ascii="Calibri" w:cs="Calibri" w:eastAsia="Calibri" w:hAnsi="Calibri"/>
                  <w:sz w:val="18"/>
                  <w:szCs w:val="18"/>
                  <w:color w:val="0000EE"/>
                </w:rPr>
                <w:t>reference to Exhibit (3.1) of the Company’s Current Report on Form 8-K as fled September 12, 2019).</w:t>
              </w:r>
            </w:hyperlink>
          </w:p>
        </w:tc>
        <w:tc>
          <w:tcPr>
            <w:tcW w:w="300" w:type="dxa"/>
            <w:vAlign w:val="bottom"/>
            <w:tcBorders>
              <w:right w:val="single" w:sz="8" w:color="auto"/>
            </w:tcBorders>
            <w:gridSpan w:val="3"/>
          </w:tcPr>
          <w:p>
            <w:pPr>
              <w:spacing w:after="0"/>
              <w:rPr>
                <w:sz w:val="17"/>
                <w:szCs w:val="17"/>
                <w:color w:val="auto"/>
              </w:rPr>
            </w:pPr>
          </w:p>
        </w:tc>
      </w:tr>
      <w:tr>
        <w:trPr>
          <w:trHeight w:val="34"/>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48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156"/>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line="156" w:lineRule="exact"/>
              <w:rPr>
                <w:sz w:val="20"/>
                <w:szCs w:val="20"/>
                <w:color w:val="auto"/>
              </w:rPr>
            </w:pPr>
            <w:r>
              <w:rPr>
                <w:rFonts w:ascii="Calibri" w:cs="Calibri" w:eastAsia="Calibri" w:hAnsi="Calibri"/>
                <w:sz w:val="16"/>
                <w:szCs w:val="16"/>
                <w:color w:val="auto"/>
              </w:rPr>
              <w:t>(3.4)</w:t>
            </w:r>
          </w:p>
        </w:tc>
        <w:tc>
          <w:tcPr>
            <w:tcW w:w="100" w:type="dxa"/>
            <w:vAlign w:val="bottom"/>
            <w:tcBorders>
              <w:right w:val="single" w:sz="8" w:color="auto"/>
            </w:tcBorders>
          </w:tcPr>
          <w:p>
            <w:pPr>
              <w:spacing w:after="0"/>
              <w:rPr>
                <w:sz w:val="13"/>
                <w:szCs w:val="13"/>
                <w:color w:val="auto"/>
              </w:rPr>
            </w:pPr>
          </w:p>
        </w:tc>
        <w:tc>
          <w:tcPr>
            <w:tcW w:w="10080" w:type="dxa"/>
            <w:vAlign w:val="bottom"/>
            <w:tcBorders>
              <w:right w:val="single" w:sz="8" w:color="auto"/>
            </w:tcBorders>
            <w:gridSpan w:val="16"/>
          </w:tcPr>
          <w:p>
            <w:pPr>
              <w:spacing w:after="0" w:line="156" w:lineRule="exact"/>
              <w:rPr>
                <w:rFonts w:ascii="Calibri" w:cs="Calibri" w:eastAsia="Calibri" w:hAnsi="Calibri"/>
                <w:sz w:val="16"/>
                <w:szCs w:val="16"/>
                <w:color w:val="0000EE"/>
              </w:rPr>
            </w:pPr>
            <w:hyperlink r:id="rId61">
              <w:r>
                <w:rPr>
                  <w:rFonts w:ascii="Calibri" w:cs="Calibri" w:eastAsia="Calibri" w:hAnsi="Calibri"/>
                  <w:sz w:val="16"/>
                  <w:szCs w:val="16"/>
                  <w:color w:val="0000EE"/>
                </w:rPr>
                <w:t>Certfcate of Amendment to the Second Amended and Restated Certfcate of Incorporaton of Eastman Kodak Company (Incorporated by</w:t>
              </w:r>
            </w:hyperlink>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780" w:type="dxa"/>
            <w:vAlign w:val="bottom"/>
            <w:tcBorders>
              <w:top w:val="single" w:sz="8" w:color="0000EE"/>
            </w:tcBorders>
            <w:gridSpan w:val="13"/>
          </w:tcPr>
          <w:p>
            <w:pPr>
              <w:spacing w:after="0" w:line="196" w:lineRule="exact"/>
              <w:rPr>
                <w:rFonts w:ascii="Calibri" w:cs="Calibri" w:eastAsia="Calibri" w:hAnsi="Calibri"/>
                <w:sz w:val="18"/>
                <w:szCs w:val="18"/>
                <w:color w:val="0000EE"/>
              </w:rPr>
            </w:pPr>
            <w:hyperlink r:id="rId61">
              <w:r>
                <w:rPr>
                  <w:rFonts w:ascii="Calibri" w:cs="Calibri" w:eastAsia="Calibri" w:hAnsi="Calibri"/>
                  <w:sz w:val="18"/>
                  <w:szCs w:val="18"/>
                  <w:color w:val="0000EE"/>
                </w:rPr>
                <w:t>reference to Exhibit (3.2) of the Company’s Current Report on Form 8-K as fled September 12, 2019).</w:t>
              </w:r>
            </w:hyperlink>
          </w:p>
        </w:tc>
        <w:tc>
          <w:tcPr>
            <w:tcW w:w="300" w:type="dxa"/>
            <w:vAlign w:val="bottom"/>
            <w:tcBorders>
              <w:right w:val="single" w:sz="8" w:color="auto"/>
            </w:tcBorders>
            <w:gridSpan w:val="3"/>
          </w:tcPr>
          <w:p>
            <w:pPr>
              <w:spacing w:after="0"/>
              <w:rPr>
                <w:sz w:val="17"/>
                <w:szCs w:val="17"/>
                <w:color w:val="auto"/>
              </w:rPr>
            </w:pPr>
          </w:p>
        </w:tc>
      </w:tr>
      <w:tr>
        <w:trPr>
          <w:trHeight w:val="34"/>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48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156"/>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line="156" w:lineRule="exact"/>
              <w:rPr>
                <w:sz w:val="20"/>
                <w:szCs w:val="20"/>
                <w:color w:val="auto"/>
              </w:rPr>
            </w:pPr>
            <w:r>
              <w:rPr>
                <w:rFonts w:ascii="Calibri" w:cs="Calibri" w:eastAsia="Calibri" w:hAnsi="Calibri"/>
                <w:sz w:val="16"/>
                <w:szCs w:val="16"/>
                <w:color w:val="auto"/>
              </w:rPr>
              <w:t>(3.5)</w:t>
            </w:r>
          </w:p>
        </w:tc>
        <w:tc>
          <w:tcPr>
            <w:tcW w:w="100" w:type="dxa"/>
            <w:vAlign w:val="bottom"/>
            <w:tcBorders>
              <w:right w:val="single" w:sz="8" w:color="auto"/>
            </w:tcBorders>
          </w:tcPr>
          <w:p>
            <w:pPr>
              <w:spacing w:after="0"/>
              <w:rPr>
                <w:sz w:val="13"/>
                <w:szCs w:val="13"/>
                <w:color w:val="auto"/>
              </w:rPr>
            </w:pPr>
          </w:p>
        </w:tc>
        <w:tc>
          <w:tcPr>
            <w:tcW w:w="10080" w:type="dxa"/>
            <w:vAlign w:val="bottom"/>
            <w:tcBorders>
              <w:right w:val="single" w:sz="8" w:color="auto"/>
            </w:tcBorders>
            <w:gridSpan w:val="16"/>
          </w:tcPr>
          <w:p>
            <w:pPr>
              <w:spacing w:after="0" w:line="156" w:lineRule="exact"/>
              <w:rPr>
                <w:rFonts w:ascii="Calibri" w:cs="Calibri" w:eastAsia="Calibri" w:hAnsi="Calibri"/>
                <w:sz w:val="16"/>
                <w:szCs w:val="16"/>
                <w:color w:val="0000EE"/>
              </w:rPr>
            </w:pPr>
            <w:hyperlink r:id="rId62">
              <w:r>
                <w:rPr>
                  <w:rFonts w:ascii="Calibri" w:cs="Calibri" w:eastAsia="Calibri" w:hAnsi="Calibri"/>
                  <w:sz w:val="16"/>
                  <w:szCs w:val="16"/>
                  <w:color w:val="0000EE"/>
                </w:rPr>
                <w:t>Certfcate of Amendment to the Second Amended and Restated Certfcate of Incorporaton of Eastman Kodak Company (Incorporated by</w:t>
              </w:r>
            </w:hyperlink>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780" w:type="dxa"/>
            <w:vAlign w:val="bottom"/>
            <w:tcBorders>
              <w:top w:val="single" w:sz="8" w:color="0000EE"/>
            </w:tcBorders>
            <w:gridSpan w:val="13"/>
          </w:tcPr>
          <w:p>
            <w:pPr>
              <w:spacing w:after="0" w:line="196" w:lineRule="exact"/>
              <w:rPr>
                <w:rFonts w:ascii="Calibri" w:cs="Calibri" w:eastAsia="Calibri" w:hAnsi="Calibri"/>
                <w:sz w:val="18"/>
                <w:szCs w:val="18"/>
                <w:color w:val="0000EE"/>
              </w:rPr>
            </w:pPr>
            <w:hyperlink r:id="rId62">
              <w:r>
                <w:rPr>
                  <w:rFonts w:ascii="Calibri" w:cs="Calibri" w:eastAsia="Calibri" w:hAnsi="Calibri"/>
                  <w:sz w:val="18"/>
                  <w:szCs w:val="18"/>
                  <w:color w:val="0000EE"/>
                </w:rPr>
                <w:t>reference to Exhibit 3.1 of the Company’s Current Report on Form 8-K as fled December 29, 2020).</w:t>
              </w:r>
            </w:hyperlink>
          </w:p>
        </w:tc>
        <w:tc>
          <w:tcPr>
            <w:tcW w:w="300" w:type="dxa"/>
            <w:vAlign w:val="bottom"/>
            <w:tcBorders>
              <w:right w:val="single" w:sz="8" w:color="auto"/>
            </w:tcBorders>
            <w:gridSpan w:val="3"/>
          </w:tcPr>
          <w:p>
            <w:pPr>
              <w:spacing w:after="0"/>
              <w:rPr>
                <w:sz w:val="17"/>
                <w:szCs w:val="17"/>
                <w:color w:val="auto"/>
              </w:rPr>
            </w:pPr>
          </w:p>
        </w:tc>
      </w:tr>
      <w:tr>
        <w:trPr>
          <w:trHeight w:val="34"/>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48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line="156" w:lineRule="exact"/>
              <w:rPr>
                <w:sz w:val="20"/>
                <w:szCs w:val="20"/>
                <w:color w:val="auto"/>
              </w:rPr>
            </w:pPr>
            <w:r>
              <w:rPr>
                <w:rFonts w:ascii="Calibri" w:cs="Calibri" w:eastAsia="Calibri" w:hAnsi="Calibri"/>
                <w:sz w:val="16"/>
                <w:szCs w:val="16"/>
                <w:color w:val="auto"/>
              </w:rPr>
              <w:t>(3.6)</w:t>
            </w:r>
          </w:p>
        </w:tc>
        <w:tc>
          <w:tcPr>
            <w:tcW w:w="100" w:type="dxa"/>
            <w:vAlign w:val="bottom"/>
            <w:tcBorders>
              <w:right w:val="single" w:sz="8" w:color="auto"/>
            </w:tcBorders>
          </w:tcPr>
          <w:p>
            <w:pPr>
              <w:spacing w:after="0"/>
              <w:rPr>
                <w:sz w:val="13"/>
                <w:szCs w:val="13"/>
                <w:color w:val="auto"/>
              </w:rPr>
            </w:pPr>
          </w:p>
        </w:tc>
        <w:tc>
          <w:tcPr>
            <w:tcW w:w="10080" w:type="dxa"/>
            <w:vAlign w:val="bottom"/>
            <w:tcBorders>
              <w:right w:val="single" w:sz="8" w:color="auto"/>
            </w:tcBorders>
            <w:gridSpan w:val="16"/>
          </w:tcPr>
          <w:p>
            <w:pPr>
              <w:spacing w:after="0" w:line="156" w:lineRule="exact"/>
              <w:rPr>
                <w:rFonts w:ascii="Calibri" w:cs="Calibri" w:eastAsia="Calibri" w:hAnsi="Calibri"/>
                <w:sz w:val="16"/>
                <w:szCs w:val="16"/>
                <w:color w:val="0000EE"/>
              </w:rPr>
            </w:pPr>
            <w:hyperlink r:id="rId63">
              <w:r>
                <w:rPr>
                  <w:rFonts w:ascii="Calibri" w:cs="Calibri" w:eastAsia="Calibri" w:hAnsi="Calibri"/>
                  <w:sz w:val="16"/>
                  <w:szCs w:val="16"/>
                  <w:color w:val="0000EE"/>
                </w:rPr>
                <w:t>Certfcate of Amendment to the Second Amended and Restated Certfcate of Incorporaton of Eastman Kodak Company (Incorporated by</w:t>
              </w:r>
            </w:hyperlink>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780" w:type="dxa"/>
            <w:vAlign w:val="bottom"/>
            <w:tcBorders>
              <w:top w:val="single" w:sz="8" w:color="0000EE"/>
            </w:tcBorders>
            <w:gridSpan w:val="13"/>
          </w:tcPr>
          <w:p>
            <w:pPr>
              <w:spacing w:after="0" w:line="196" w:lineRule="exact"/>
              <w:rPr>
                <w:rFonts w:ascii="Calibri" w:cs="Calibri" w:eastAsia="Calibri" w:hAnsi="Calibri"/>
                <w:sz w:val="18"/>
                <w:szCs w:val="18"/>
                <w:color w:val="0000EE"/>
              </w:rPr>
            </w:pPr>
            <w:hyperlink r:id="rId63">
              <w:r>
                <w:rPr>
                  <w:rFonts w:ascii="Calibri" w:cs="Calibri" w:eastAsia="Calibri" w:hAnsi="Calibri"/>
                  <w:sz w:val="18"/>
                  <w:szCs w:val="18"/>
                  <w:color w:val="0000EE"/>
                </w:rPr>
                <w:t>reference to Exhibit 3.1 of the Company’s Current Report on Form 8-K as fled March 1, 2021).</w:t>
              </w:r>
            </w:hyperlink>
          </w:p>
        </w:tc>
        <w:tc>
          <w:tcPr>
            <w:tcW w:w="300" w:type="dxa"/>
            <w:vAlign w:val="bottom"/>
            <w:tcBorders>
              <w:right w:val="single" w:sz="8" w:color="auto"/>
            </w:tcBorders>
            <w:gridSpan w:val="3"/>
          </w:tcPr>
          <w:p>
            <w:pPr>
              <w:spacing w:after="0"/>
              <w:rPr>
                <w:sz w:val="17"/>
                <w:szCs w:val="17"/>
                <w:color w:val="auto"/>
              </w:rPr>
            </w:pPr>
          </w:p>
        </w:tc>
      </w:tr>
      <w:tr>
        <w:trPr>
          <w:trHeight w:val="34"/>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48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line="156" w:lineRule="exact"/>
              <w:rPr>
                <w:sz w:val="20"/>
                <w:szCs w:val="20"/>
                <w:color w:val="auto"/>
              </w:rPr>
            </w:pPr>
            <w:r>
              <w:rPr>
                <w:rFonts w:ascii="Calibri" w:cs="Calibri" w:eastAsia="Calibri" w:hAnsi="Calibri"/>
                <w:sz w:val="16"/>
                <w:szCs w:val="16"/>
                <w:color w:val="auto"/>
              </w:rPr>
              <w:t>(3.7)</w:t>
            </w:r>
          </w:p>
        </w:tc>
        <w:tc>
          <w:tcPr>
            <w:tcW w:w="100" w:type="dxa"/>
            <w:vAlign w:val="bottom"/>
            <w:tcBorders>
              <w:right w:val="single" w:sz="8" w:color="auto"/>
            </w:tcBorders>
          </w:tcPr>
          <w:p>
            <w:pPr>
              <w:spacing w:after="0"/>
              <w:rPr>
                <w:sz w:val="13"/>
                <w:szCs w:val="13"/>
                <w:color w:val="auto"/>
              </w:rPr>
            </w:pPr>
          </w:p>
        </w:tc>
        <w:tc>
          <w:tcPr>
            <w:tcW w:w="10080" w:type="dxa"/>
            <w:vAlign w:val="bottom"/>
            <w:tcBorders>
              <w:right w:val="single" w:sz="8" w:color="auto"/>
            </w:tcBorders>
            <w:gridSpan w:val="16"/>
          </w:tcPr>
          <w:p>
            <w:pPr>
              <w:spacing w:after="0" w:line="156" w:lineRule="exact"/>
              <w:rPr>
                <w:rFonts w:ascii="Calibri" w:cs="Calibri" w:eastAsia="Calibri" w:hAnsi="Calibri"/>
                <w:sz w:val="16"/>
                <w:szCs w:val="16"/>
                <w:color w:val="0000EE"/>
              </w:rPr>
            </w:pPr>
            <w:hyperlink r:id="rId64">
              <w:r>
                <w:rPr>
                  <w:rFonts w:ascii="Calibri" w:cs="Calibri" w:eastAsia="Calibri" w:hAnsi="Calibri"/>
                  <w:sz w:val="16"/>
                  <w:szCs w:val="16"/>
                  <w:color w:val="0000EE"/>
                </w:rPr>
                <w:t>Certfcate of Amendment to the Second Amended and Restated Certfcate of Incorporaton of Eastman Kodak Company (Incorporated by</w:t>
              </w:r>
            </w:hyperlink>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780" w:type="dxa"/>
            <w:vAlign w:val="bottom"/>
            <w:tcBorders>
              <w:top w:val="single" w:sz="8" w:color="0000EE"/>
            </w:tcBorders>
            <w:gridSpan w:val="13"/>
          </w:tcPr>
          <w:p>
            <w:pPr>
              <w:spacing w:after="0" w:line="196" w:lineRule="exact"/>
              <w:rPr>
                <w:rFonts w:ascii="Calibri" w:cs="Calibri" w:eastAsia="Calibri" w:hAnsi="Calibri"/>
                <w:sz w:val="18"/>
                <w:szCs w:val="18"/>
                <w:color w:val="0000EE"/>
              </w:rPr>
            </w:pPr>
            <w:hyperlink r:id="rId64">
              <w:r>
                <w:rPr>
                  <w:rFonts w:ascii="Calibri" w:cs="Calibri" w:eastAsia="Calibri" w:hAnsi="Calibri"/>
                  <w:sz w:val="18"/>
                  <w:szCs w:val="18"/>
                  <w:color w:val="0000EE"/>
                </w:rPr>
                <w:t>reference to Exhibit 3.2 of the Company’s Current Report on Form 8-K as fled March 1, 2021).</w:t>
              </w:r>
            </w:hyperlink>
          </w:p>
        </w:tc>
        <w:tc>
          <w:tcPr>
            <w:tcW w:w="300" w:type="dxa"/>
            <w:vAlign w:val="bottom"/>
            <w:tcBorders>
              <w:right w:val="single" w:sz="8" w:color="auto"/>
            </w:tcBorders>
            <w:gridSpan w:val="3"/>
          </w:tcPr>
          <w:p>
            <w:pPr>
              <w:spacing w:after="0"/>
              <w:rPr>
                <w:sz w:val="17"/>
                <w:szCs w:val="17"/>
                <w:color w:val="auto"/>
              </w:rPr>
            </w:pPr>
          </w:p>
        </w:tc>
      </w:tr>
      <w:tr>
        <w:trPr>
          <w:trHeight w:val="34"/>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48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line="156" w:lineRule="exact"/>
              <w:rPr>
                <w:sz w:val="20"/>
                <w:szCs w:val="20"/>
                <w:color w:val="auto"/>
              </w:rPr>
            </w:pPr>
            <w:r>
              <w:rPr>
                <w:rFonts w:ascii="Calibri" w:cs="Calibri" w:eastAsia="Calibri" w:hAnsi="Calibri"/>
                <w:sz w:val="16"/>
                <w:szCs w:val="16"/>
                <w:color w:val="auto"/>
              </w:rPr>
              <w:t>(3.8)</w:t>
            </w:r>
          </w:p>
        </w:tc>
        <w:tc>
          <w:tcPr>
            <w:tcW w:w="100" w:type="dxa"/>
            <w:vAlign w:val="bottom"/>
            <w:tcBorders>
              <w:right w:val="single" w:sz="8" w:color="auto"/>
            </w:tcBorders>
          </w:tcPr>
          <w:p>
            <w:pPr>
              <w:spacing w:after="0"/>
              <w:rPr>
                <w:sz w:val="13"/>
                <w:szCs w:val="13"/>
                <w:color w:val="auto"/>
              </w:rPr>
            </w:pPr>
          </w:p>
        </w:tc>
        <w:tc>
          <w:tcPr>
            <w:tcW w:w="9840" w:type="dxa"/>
            <w:vAlign w:val="bottom"/>
            <w:tcBorders>
              <w:bottom w:val="single" w:sz="8" w:color="0000EE"/>
            </w:tcBorders>
            <w:gridSpan w:val="15"/>
          </w:tcPr>
          <w:p>
            <w:pPr>
              <w:spacing w:after="0" w:line="156" w:lineRule="exact"/>
              <w:rPr>
                <w:rFonts w:ascii="Calibri" w:cs="Calibri" w:eastAsia="Calibri" w:hAnsi="Calibri"/>
                <w:sz w:val="16"/>
                <w:szCs w:val="16"/>
                <w:color w:val="0000EE"/>
              </w:rPr>
            </w:pPr>
            <w:hyperlink r:id="rId65">
              <w:r>
                <w:rPr>
                  <w:rFonts w:ascii="Calibri" w:cs="Calibri" w:eastAsia="Calibri" w:hAnsi="Calibri"/>
                  <w:sz w:val="16"/>
                  <w:szCs w:val="16"/>
                  <w:color w:val="0000EE"/>
                </w:rPr>
                <w:t>Fourth Amended and Restated By-Laws of Eastman Kodak Company (Incorporated by reference to Exhibit (3.5) of the Company’s Quarterly</w:t>
              </w:r>
            </w:hyperlink>
          </w:p>
        </w:tc>
        <w:tc>
          <w:tcPr>
            <w:tcW w:w="240" w:type="dxa"/>
            <w:vAlign w:val="bottom"/>
            <w:tcBorders>
              <w:right w:val="single" w:sz="8" w:color="auto"/>
            </w:tcBorders>
          </w:tcPr>
          <w:p>
            <w:pPr>
              <w:spacing w:after="0"/>
              <w:rPr>
                <w:sz w:val="13"/>
                <w:szCs w:val="13"/>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80" w:type="dxa"/>
            <w:vAlign w:val="bottom"/>
            <w:tcBorders>
              <w:right w:val="single" w:sz="8" w:color="auto"/>
            </w:tcBorders>
            <w:gridSpan w:val="16"/>
          </w:tcPr>
          <w:p>
            <w:pPr>
              <w:spacing w:after="0" w:line="196" w:lineRule="exact"/>
              <w:rPr>
                <w:rFonts w:ascii="Calibri" w:cs="Calibri" w:eastAsia="Calibri" w:hAnsi="Calibri"/>
                <w:sz w:val="18"/>
                <w:szCs w:val="18"/>
                <w:color w:val="0000EE"/>
              </w:rPr>
            </w:pPr>
            <w:hyperlink r:id="rId65">
              <w:r>
                <w:rPr>
                  <w:rFonts w:ascii="Calibri" w:cs="Calibri" w:eastAsia="Calibri" w:hAnsi="Calibri"/>
                  <w:sz w:val="18"/>
                  <w:szCs w:val="18"/>
                  <w:color w:val="0000EE"/>
                </w:rPr>
                <w:t>Report on Form 10-Q for the quarterly period ended March 31, 2020 as fled on May 12, 2020).</w:t>
              </w:r>
            </w:hyperlink>
          </w:p>
        </w:tc>
      </w:tr>
      <w:tr>
        <w:trPr>
          <w:trHeight w:val="34"/>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48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156"/>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line="156" w:lineRule="exact"/>
              <w:rPr>
                <w:sz w:val="20"/>
                <w:szCs w:val="20"/>
                <w:color w:val="auto"/>
              </w:rPr>
            </w:pPr>
            <w:r>
              <w:rPr>
                <w:rFonts w:ascii="Calibri" w:cs="Calibri" w:eastAsia="Calibri" w:hAnsi="Calibri"/>
                <w:sz w:val="16"/>
                <w:szCs w:val="16"/>
                <w:color w:val="auto"/>
              </w:rPr>
              <w:t>(31.1)</w:t>
            </w:r>
          </w:p>
        </w:tc>
        <w:tc>
          <w:tcPr>
            <w:tcW w:w="100" w:type="dxa"/>
            <w:vAlign w:val="bottom"/>
            <w:tcBorders>
              <w:right w:val="single" w:sz="8" w:color="auto"/>
            </w:tcBorders>
          </w:tcPr>
          <w:p>
            <w:pPr>
              <w:spacing w:after="0"/>
              <w:rPr>
                <w:sz w:val="13"/>
                <w:szCs w:val="13"/>
                <w:color w:val="auto"/>
              </w:rPr>
            </w:pPr>
          </w:p>
        </w:tc>
        <w:tc>
          <w:tcPr>
            <w:tcW w:w="10080" w:type="dxa"/>
            <w:vAlign w:val="bottom"/>
            <w:tcBorders>
              <w:right w:val="single" w:sz="8" w:color="auto"/>
            </w:tcBorders>
            <w:gridSpan w:val="16"/>
          </w:tcPr>
          <w:p>
            <w:pPr>
              <w:spacing w:after="0" w:line="156" w:lineRule="exact"/>
              <w:rPr>
                <w:sz w:val="20"/>
                <w:szCs w:val="20"/>
                <w:color w:val="auto"/>
              </w:rPr>
            </w:pPr>
            <w:r>
              <w:rPr>
                <w:rFonts w:ascii="Calibri" w:cs="Calibri" w:eastAsia="Calibri" w:hAnsi="Calibri"/>
                <w:sz w:val="16"/>
                <w:szCs w:val="16"/>
                <w:color w:val="0000EE"/>
              </w:rPr>
              <w:t>Certfcaton signed by James V. Contnenza, fled herewith</w:t>
            </w:r>
            <w:r>
              <w:rPr>
                <w:rFonts w:ascii="Calibri" w:cs="Calibri" w:eastAsia="Calibri" w:hAnsi="Calibri"/>
                <w:sz w:val="16"/>
                <w:szCs w:val="16"/>
                <w:color w:val="000000"/>
              </w:rPr>
              <w:t>.</w:t>
            </w:r>
          </w:p>
        </w:tc>
      </w:tr>
      <w:tr>
        <w:trPr>
          <w:trHeight w:val="61"/>
        </w:trPr>
        <w:tc>
          <w:tcPr>
            <w:tcW w:w="40" w:type="dxa"/>
            <w:vAlign w:val="bottom"/>
            <w:tcBorders>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84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22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line="156" w:lineRule="exact"/>
              <w:rPr>
                <w:sz w:val="20"/>
                <w:szCs w:val="20"/>
                <w:color w:val="auto"/>
              </w:rPr>
            </w:pPr>
            <w:r>
              <w:rPr>
                <w:rFonts w:ascii="Calibri" w:cs="Calibri" w:eastAsia="Calibri" w:hAnsi="Calibri"/>
                <w:sz w:val="16"/>
                <w:szCs w:val="16"/>
                <w:color w:val="auto"/>
              </w:rPr>
              <w:t>(31.2)</w:t>
            </w:r>
          </w:p>
        </w:tc>
        <w:tc>
          <w:tcPr>
            <w:tcW w:w="100" w:type="dxa"/>
            <w:vAlign w:val="bottom"/>
            <w:tcBorders>
              <w:right w:val="single" w:sz="8" w:color="auto"/>
            </w:tcBorders>
          </w:tcPr>
          <w:p>
            <w:pPr>
              <w:spacing w:after="0"/>
              <w:rPr>
                <w:sz w:val="13"/>
                <w:szCs w:val="13"/>
                <w:color w:val="auto"/>
              </w:rPr>
            </w:pPr>
          </w:p>
        </w:tc>
        <w:tc>
          <w:tcPr>
            <w:tcW w:w="10080" w:type="dxa"/>
            <w:vAlign w:val="bottom"/>
            <w:tcBorders>
              <w:right w:val="single" w:sz="8" w:color="auto"/>
            </w:tcBorders>
            <w:gridSpan w:val="16"/>
          </w:tcPr>
          <w:p>
            <w:pPr>
              <w:spacing w:after="0" w:line="156" w:lineRule="exact"/>
              <w:rPr>
                <w:sz w:val="20"/>
                <w:szCs w:val="20"/>
                <w:color w:val="auto"/>
              </w:rPr>
            </w:pPr>
            <w:r>
              <w:rPr>
                <w:rFonts w:ascii="Calibri" w:cs="Calibri" w:eastAsia="Calibri" w:hAnsi="Calibri"/>
                <w:sz w:val="16"/>
                <w:szCs w:val="16"/>
                <w:color w:val="0000EE"/>
              </w:rPr>
              <w:t>Certfcaton signed by David E. Bullwinkle, fled herewith.</w:t>
            </w:r>
          </w:p>
        </w:tc>
      </w:tr>
      <w:tr>
        <w:trPr>
          <w:trHeight w:val="61"/>
        </w:trPr>
        <w:tc>
          <w:tcPr>
            <w:tcW w:w="40" w:type="dxa"/>
            <w:vAlign w:val="bottom"/>
            <w:tcBorders>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84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220" w:type="dxa"/>
            <w:vAlign w:val="bottom"/>
            <w:tcBorders>
              <w:top w:val="single" w:sz="8" w:color="0000EE"/>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line="156" w:lineRule="exact"/>
              <w:rPr>
                <w:sz w:val="20"/>
                <w:szCs w:val="20"/>
                <w:color w:val="auto"/>
              </w:rPr>
            </w:pPr>
            <w:r>
              <w:rPr>
                <w:rFonts w:ascii="Calibri" w:cs="Calibri" w:eastAsia="Calibri" w:hAnsi="Calibri"/>
                <w:sz w:val="16"/>
                <w:szCs w:val="16"/>
                <w:color w:val="auto"/>
              </w:rPr>
              <w:t>(32.1)</w:t>
            </w:r>
          </w:p>
        </w:tc>
        <w:tc>
          <w:tcPr>
            <w:tcW w:w="100" w:type="dxa"/>
            <w:vAlign w:val="bottom"/>
            <w:tcBorders>
              <w:right w:val="single" w:sz="8" w:color="auto"/>
            </w:tcBorders>
          </w:tcPr>
          <w:p>
            <w:pPr>
              <w:spacing w:after="0"/>
              <w:rPr>
                <w:sz w:val="13"/>
                <w:szCs w:val="13"/>
                <w:color w:val="auto"/>
              </w:rPr>
            </w:pPr>
          </w:p>
        </w:tc>
        <w:tc>
          <w:tcPr>
            <w:tcW w:w="9840" w:type="dxa"/>
            <w:vAlign w:val="bottom"/>
            <w:tcBorders>
              <w:bottom w:val="single" w:sz="8" w:color="0000EE"/>
            </w:tcBorders>
            <w:gridSpan w:val="15"/>
          </w:tcPr>
          <w:p>
            <w:pPr>
              <w:spacing w:after="0" w:line="156" w:lineRule="exact"/>
              <w:rPr>
                <w:sz w:val="20"/>
                <w:szCs w:val="20"/>
                <w:color w:val="auto"/>
              </w:rPr>
            </w:pPr>
            <w:r>
              <w:rPr>
                <w:rFonts w:ascii="Calibri" w:cs="Calibri" w:eastAsia="Calibri" w:hAnsi="Calibri"/>
                <w:sz w:val="16"/>
                <w:szCs w:val="16"/>
                <w:color w:val="0000EE"/>
              </w:rPr>
              <w:t>Certfcaton Pursuant to 18 U.S.C. Secton 1350, as Adopted Pursuant to Secton 906 of the Sarbanes-Oxley Act of 2002, signed by James V.</w:t>
            </w:r>
          </w:p>
        </w:tc>
        <w:tc>
          <w:tcPr>
            <w:tcW w:w="240" w:type="dxa"/>
            <w:vAlign w:val="bottom"/>
            <w:tcBorders>
              <w:right w:val="single" w:sz="8" w:color="auto"/>
            </w:tcBorders>
          </w:tcPr>
          <w:p>
            <w:pPr>
              <w:spacing w:after="0"/>
              <w:rPr>
                <w:sz w:val="13"/>
                <w:szCs w:val="13"/>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80" w:type="dxa"/>
            <w:vAlign w:val="bottom"/>
            <w:tcBorders>
              <w:right w:val="single" w:sz="8" w:color="auto"/>
            </w:tcBorders>
            <w:gridSpan w:val="16"/>
          </w:tcPr>
          <w:p>
            <w:pPr>
              <w:spacing w:after="0" w:line="196" w:lineRule="exact"/>
              <w:rPr>
                <w:sz w:val="20"/>
                <w:szCs w:val="20"/>
                <w:color w:val="auto"/>
              </w:rPr>
            </w:pPr>
            <w:r>
              <w:rPr>
                <w:rFonts w:ascii="Calibri" w:cs="Calibri" w:eastAsia="Calibri" w:hAnsi="Calibri"/>
                <w:sz w:val="18"/>
                <w:szCs w:val="18"/>
                <w:color w:val="0000EE"/>
              </w:rPr>
              <w:t>Contnenza, fled herewith</w:t>
            </w:r>
            <w:r>
              <w:rPr>
                <w:rFonts w:ascii="Calibri" w:cs="Calibri" w:eastAsia="Calibri" w:hAnsi="Calibri"/>
                <w:sz w:val="18"/>
                <w:szCs w:val="18"/>
                <w:color w:val="000000"/>
              </w:rPr>
              <w:t>.</w:t>
            </w:r>
          </w:p>
        </w:tc>
      </w:tr>
      <w:tr>
        <w:trPr>
          <w:trHeight w:val="34"/>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line="156" w:lineRule="exact"/>
              <w:rPr>
                <w:sz w:val="20"/>
                <w:szCs w:val="20"/>
                <w:color w:val="auto"/>
              </w:rPr>
            </w:pPr>
            <w:r>
              <w:rPr>
                <w:rFonts w:ascii="Calibri" w:cs="Calibri" w:eastAsia="Calibri" w:hAnsi="Calibri"/>
                <w:sz w:val="16"/>
                <w:szCs w:val="16"/>
                <w:color w:val="auto"/>
              </w:rPr>
              <w:t>(32.2)</w:t>
            </w:r>
          </w:p>
        </w:tc>
        <w:tc>
          <w:tcPr>
            <w:tcW w:w="100" w:type="dxa"/>
            <w:vAlign w:val="bottom"/>
            <w:tcBorders>
              <w:right w:val="single" w:sz="8" w:color="auto"/>
            </w:tcBorders>
          </w:tcPr>
          <w:p>
            <w:pPr>
              <w:spacing w:after="0"/>
              <w:rPr>
                <w:sz w:val="13"/>
                <w:szCs w:val="13"/>
                <w:color w:val="auto"/>
              </w:rPr>
            </w:pPr>
          </w:p>
        </w:tc>
        <w:tc>
          <w:tcPr>
            <w:tcW w:w="10080" w:type="dxa"/>
            <w:vAlign w:val="bottom"/>
            <w:tcBorders>
              <w:right w:val="single" w:sz="8" w:color="auto"/>
            </w:tcBorders>
            <w:gridSpan w:val="16"/>
          </w:tcPr>
          <w:p>
            <w:pPr>
              <w:spacing w:after="0" w:line="156" w:lineRule="exact"/>
              <w:rPr>
                <w:sz w:val="20"/>
                <w:szCs w:val="20"/>
                <w:color w:val="auto"/>
              </w:rPr>
            </w:pPr>
            <w:r>
              <w:rPr>
                <w:rFonts w:ascii="Calibri" w:cs="Calibri" w:eastAsia="Calibri" w:hAnsi="Calibri"/>
                <w:sz w:val="16"/>
                <w:szCs w:val="16"/>
                <w:color w:val="0000EE"/>
              </w:rPr>
              <w:t>Certfcaton Pursuant to 18 U.S.C. Secton 1350, as Adopted Pursuant to Secton 906 of the Sarbanes-Oxley Act of 2002 signed by David E.</w:t>
            </w:r>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760" w:type="dxa"/>
            <w:vAlign w:val="bottom"/>
            <w:tcBorders>
              <w:top w:val="single" w:sz="8" w:color="0000EE"/>
            </w:tcBorders>
            <w:gridSpan w:val="12"/>
          </w:tcPr>
          <w:p>
            <w:pPr>
              <w:spacing w:after="0" w:line="196" w:lineRule="exact"/>
              <w:rPr>
                <w:sz w:val="20"/>
                <w:szCs w:val="20"/>
                <w:color w:val="auto"/>
              </w:rPr>
            </w:pPr>
            <w:r>
              <w:rPr>
                <w:rFonts w:ascii="Calibri" w:cs="Calibri" w:eastAsia="Calibri" w:hAnsi="Calibri"/>
                <w:sz w:val="18"/>
                <w:szCs w:val="18"/>
                <w:color w:val="0000EE"/>
              </w:rPr>
              <w:t>Bullwinkle, fled herewith.</w:t>
            </w:r>
          </w:p>
        </w:tc>
        <w:tc>
          <w:tcPr>
            <w:tcW w:w="320" w:type="dxa"/>
            <w:vAlign w:val="bottom"/>
            <w:tcBorders>
              <w:right w:val="single" w:sz="8" w:color="auto"/>
            </w:tcBorders>
            <w:gridSpan w:val="4"/>
          </w:tcPr>
          <w:p>
            <w:pPr>
              <w:spacing w:after="0"/>
              <w:rPr>
                <w:sz w:val="17"/>
                <w:szCs w:val="17"/>
                <w:color w:val="auto"/>
              </w:rPr>
            </w:pPr>
          </w:p>
        </w:tc>
      </w:tr>
      <w:tr>
        <w:trPr>
          <w:trHeight w:val="34"/>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208"/>
        </w:trPr>
        <w:tc>
          <w:tcPr>
            <w:tcW w:w="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(101.CAL)</w:t>
            </w:r>
          </w:p>
        </w:tc>
        <w:tc>
          <w:tcPr>
            <w:tcW w:w="10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gridSpan w:val="16"/>
          </w:tcPr>
          <w:p>
            <w:pPr>
              <w:spacing w:after="0" w:line="208" w:lineRule="exact"/>
              <w:rPr>
                <w:sz w:val="20"/>
                <w:szCs w:val="20"/>
                <w:color w:val="auto"/>
              </w:rPr>
            </w:pPr>
            <w:r>
              <w:rPr>
                <w:rFonts w:ascii="Calibri" w:cs="Calibri" w:eastAsia="Calibri" w:hAnsi="Calibri"/>
                <w:sz w:val="18"/>
                <w:szCs w:val="18"/>
                <w:color w:val="auto"/>
              </w:rPr>
              <w:t>Inline XBRL Taxonomy Extension Calculaton Linkbase.</w:t>
            </w:r>
          </w:p>
        </w:tc>
      </w:tr>
      <w:tr>
        <w:trPr>
          <w:trHeight w:val="28"/>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208"/>
        </w:trPr>
        <w:tc>
          <w:tcPr>
            <w:tcW w:w="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(101.INS)</w:t>
            </w:r>
          </w:p>
        </w:tc>
        <w:tc>
          <w:tcPr>
            <w:tcW w:w="10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gridSpan w:val="16"/>
          </w:tcPr>
          <w:p>
            <w:pPr>
              <w:spacing w:after="0" w:line="208" w:lineRule="exact"/>
              <w:rPr>
                <w:sz w:val="20"/>
                <w:szCs w:val="20"/>
                <w:color w:val="auto"/>
              </w:rPr>
            </w:pPr>
            <w:r>
              <w:rPr>
                <w:rFonts w:ascii="Calibri" w:cs="Calibri" w:eastAsia="Calibri" w:hAnsi="Calibri"/>
                <w:sz w:val="18"/>
                <w:szCs w:val="18"/>
                <w:color w:val="auto"/>
              </w:rPr>
              <w:t>Inline XBRL Instance Document.</w:t>
            </w:r>
          </w:p>
        </w:tc>
      </w:tr>
      <w:tr>
        <w:trPr>
          <w:trHeight w:val="28"/>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208"/>
        </w:trPr>
        <w:tc>
          <w:tcPr>
            <w:tcW w:w="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(101.LAB)</w:t>
            </w:r>
          </w:p>
        </w:tc>
        <w:tc>
          <w:tcPr>
            <w:tcW w:w="10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gridSpan w:val="16"/>
          </w:tcPr>
          <w:p>
            <w:pPr>
              <w:spacing w:after="0" w:line="208" w:lineRule="exact"/>
              <w:rPr>
                <w:sz w:val="20"/>
                <w:szCs w:val="20"/>
                <w:color w:val="auto"/>
              </w:rPr>
            </w:pPr>
            <w:r>
              <w:rPr>
                <w:rFonts w:ascii="Calibri" w:cs="Calibri" w:eastAsia="Calibri" w:hAnsi="Calibri"/>
                <w:sz w:val="18"/>
                <w:szCs w:val="18"/>
                <w:color w:val="auto"/>
              </w:rPr>
              <w:t>Inline XBRL Taxonomy Extension Label Linkbase.</w:t>
            </w:r>
          </w:p>
        </w:tc>
      </w:tr>
      <w:tr>
        <w:trPr>
          <w:trHeight w:val="28"/>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208"/>
        </w:trPr>
        <w:tc>
          <w:tcPr>
            <w:tcW w:w="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(101.PRE)</w:t>
            </w:r>
          </w:p>
        </w:tc>
        <w:tc>
          <w:tcPr>
            <w:tcW w:w="10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gridSpan w:val="16"/>
          </w:tcPr>
          <w:p>
            <w:pPr>
              <w:spacing w:after="0" w:line="208" w:lineRule="exact"/>
              <w:rPr>
                <w:sz w:val="20"/>
                <w:szCs w:val="20"/>
                <w:color w:val="auto"/>
              </w:rPr>
            </w:pPr>
            <w:r>
              <w:rPr>
                <w:rFonts w:ascii="Calibri" w:cs="Calibri" w:eastAsia="Calibri" w:hAnsi="Calibri"/>
                <w:sz w:val="18"/>
                <w:szCs w:val="18"/>
                <w:color w:val="auto"/>
              </w:rPr>
              <w:t>Inline XBRL Taxonomy Extension Presentaton Linkbase.</w:t>
            </w:r>
          </w:p>
        </w:tc>
      </w:tr>
      <w:tr>
        <w:trPr>
          <w:trHeight w:val="28"/>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208"/>
        </w:trPr>
        <w:tc>
          <w:tcPr>
            <w:tcW w:w="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(101.SCH)</w:t>
            </w:r>
          </w:p>
        </w:tc>
        <w:tc>
          <w:tcPr>
            <w:tcW w:w="10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gridSpan w:val="16"/>
          </w:tcPr>
          <w:p>
            <w:pPr>
              <w:spacing w:after="0" w:line="208" w:lineRule="exact"/>
              <w:rPr>
                <w:sz w:val="20"/>
                <w:szCs w:val="20"/>
                <w:color w:val="auto"/>
              </w:rPr>
            </w:pPr>
            <w:r>
              <w:rPr>
                <w:rFonts w:ascii="Calibri" w:cs="Calibri" w:eastAsia="Calibri" w:hAnsi="Calibri"/>
                <w:sz w:val="18"/>
                <w:szCs w:val="18"/>
                <w:color w:val="auto"/>
              </w:rPr>
              <w:t>Inline XBRL Taxonomy Extension Schema Linkbase.</w:t>
            </w:r>
          </w:p>
        </w:tc>
      </w:tr>
      <w:tr>
        <w:trPr>
          <w:trHeight w:val="28"/>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208"/>
        </w:trPr>
        <w:tc>
          <w:tcPr>
            <w:tcW w:w="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(101.DEF)</w:t>
            </w:r>
          </w:p>
        </w:tc>
        <w:tc>
          <w:tcPr>
            <w:tcW w:w="10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gridSpan w:val="16"/>
          </w:tcPr>
          <w:p>
            <w:pPr>
              <w:spacing w:after="0" w:line="208" w:lineRule="exact"/>
              <w:rPr>
                <w:sz w:val="20"/>
                <w:szCs w:val="20"/>
                <w:color w:val="auto"/>
              </w:rPr>
            </w:pPr>
            <w:r>
              <w:rPr>
                <w:rFonts w:ascii="Calibri" w:cs="Calibri" w:eastAsia="Calibri" w:hAnsi="Calibri"/>
                <w:sz w:val="18"/>
                <w:szCs w:val="18"/>
                <w:color w:val="auto"/>
              </w:rPr>
              <w:t>Inline XBRL Taxonomy Extension Defniton Linkbase</w:t>
            </w:r>
          </w:p>
        </w:tc>
      </w:tr>
      <w:tr>
        <w:trPr>
          <w:trHeight w:val="28"/>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r>
      <w:tr>
        <w:trPr>
          <w:trHeight w:val="208"/>
        </w:trPr>
        <w:tc>
          <w:tcPr>
            <w:tcW w:w="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(104)</w:t>
            </w:r>
          </w:p>
        </w:tc>
        <w:tc>
          <w:tcPr>
            <w:tcW w:w="10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gridSpan w:val="16"/>
          </w:tcPr>
          <w:p>
            <w:pPr>
              <w:spacing w:after="0" w:line="208" w:lineRule="exact"/>
              <w:rPr>
                <w:sz w:val="20"/>
                <w:szCs w:val="20"/>
                <w:color w:val="auto"/>
              </w:rPr>
            </w:pPr>
            <w:r>
              <w:rPr>
                <w:rFonts w:ascii="Calibri" w:cs="Calibri" w:eastAsia="Calibri" w:hAnsi="Calibri"/>
                <w:sz w:val="18"/>
                <w:szCs w:val="18"/>
                <w:color w:val="auto"/>
              </w:rPr>
              <w:t>Cover Page Interactve Data File (formated in Inline XBRL and contained in Exhibit 101).</w:t>
            </w:r>
          </w:p>
        </w:tc>
      </w:tr>
      <w:tr>
        <w:trPr>
          <w:trHeight w:val="28"/>
        </w:trPr>
        <w:tc>
          <w:tcPr>
            <w:tcW w:w="4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673"/>
        </w:trPr>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gridSpan w:val="5"/>
          </w:tcPr>
          <w:p>
            <w:pPr>
              <w:jc w:val="center"/>
              <w:ind w:left="3255"/>
              <w:spacing w:after="0"/>
              <w:rPr>
                <w:sz w:val="20"/>
                <w:szCs w:val="20"/>
                <w:color w:val="auto"/>
              </w:rPr>
            </w:pPr>
            <w:r>
              <w:rPr>
                <w:rFonts w:ascii="Arial" w:cs="Arial" w:eastAsia="Arial" w:hAnsi="Arial"/>
                <w:sz w:val="18"/>
                <w:szCs w:val="18"/>
                <w:color w:val="auto"/>
                <w:w w:val="99"/>
              </w:rPr>
              <w:t>[40]</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1" w:name="page42"/>
    <w:bookmarkEnd w:id="41"/>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Calibri" w:cs="Calibri" w:eastAsia="Calibri" w:hAnsi="Calibri"/>
                <w:sz w:val="18"/>
                <w:szCs w:val="18"/>
                <w:b w:val="1"/>
                <w:bCs w:val="1"/>
                <w:color w:val="auto"/>
              </w:rPr>
              <w:t>EASTMAN KODAK COMPANY</w:t>
            </w:r>
          </w:p>
        </w:tc>
      </w:tr>
      <w:tr>
        <w:trPr>
          <w:trHeight w:val="243"/>
        </w:trPr>
        <w:tc>
          <w:tcPr>
            <w:tcW w:w="34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Calibri" w:cs="Calibri" w:eastAsia="Calibri" w:hAnsi="Calibri"/>
                <w:sz w:val="18"/>
                <w:szCs w:val="18"/>
                <w:color w:val="auto"/>
              </w:rPr>
              <w:t>(Registrant)</w:t>
            </w:r>
          </w:p>
        </w:tc>
      </w:tr>
      <w:tr>
        <w:trPr>
          <w:trHeight w:val="729"/>
        </w:trPr>
        <w:tc>
          <w:tcPr>
            <w:tcW w:w="3440" w:type="dxa"/>
            <w:vAlign w:val="bottom"/>
          </w:tcPr>
          <w:p>
            <w:pPr>
              <w:spacing w:after="0"/>
              <w:rPr>
                <w:sz w:val="20"/>
                <w:szCs w:val="20"/>
                <w:color w:val="auto"/>
              </w:rPr>
            </w:pPr>
            <w:r>
              <w:rPr>
                <w:rFonts w:ascii="Calibri" w:cs="Calibri" w:eastAsia="Calibri" w:hAnsi="Calibri"/>
                <w:sz w:val="18"/>
                <w:szCs w:val="18"/>
                <w:b w:val="1"/>
                <w:bCs w:val="1"/>
                <w:color w:val="auto"/>
              </w:rPr>
              <w:t>Date: May 10, 2022</w:t>
            </w:r>
          </w:p>
        </w:tc>
        <w:tc>
          <w:tcPr>
            <w:tcW w:w="276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Calibri" w:cs="Calibri" w:eastAsia="Calibri" w:hAnsi="Calibri"/>
                <w:sz w:val="18"/>
                <w:szCs w:val="18"/>
                <w:b w:val="1"/>
                <w:bCs w:val="1"/>
                <w:color w:val="auto"/>
              </w:rPr>
              <w:t>/s/ Richard T. Michaels</w:t>
            </w:r>
          </w:p>
        </w:tc>
      </w:tr>
      <w:tr>
        <w:trPr>
          <w:trHeight w:val="23"/>
        </w:trPr>
        <w:tc>
          <w:tcPr>
            <w:tcW w:w="34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187"/>
        </w:trPr>
        <w:tc>
          <w:tcPr>
            <w:tcW w:w="34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40" w:type="dxa"/>
            <w:vAlign w:val="bottom"/>
          </w:tcPr>
          <w:p>
            <w:pPr>
              <w:spacing w:after="0" w:line="187" w:lineRule="exact"/>
              <w:rPr>
                <w:sz w:val="20"/>
                <w:szCs w:val="20"/>
                <w:color w:val="auto"/>
              </w:rPr>
            </w:pPr>
            <w:r>
              <w:rPr>
                <w:rFonts w:ascii="Calibri" w:cs="Calibri" w:eastAsia="Calibri" w:hAnsi="Calibri"/>
                <w:sz w:val="18"/>
                <w:szCs w:val="18"/>
                <w:b w:val="1"/>
                <w:bCs w:val="1"/>
                <w:color w:val="auto"/>
              </w:rPr>
              <w:t>Richard T. Michaels</w:t>
            </w:r>
          </w:p>
        </w:tc>
      </w:tr>
      <w:tr>
        <w:trPr>
          <w:trHeight w:val="215"/>
        </w:trPr>
        <w:tc>
          <w:tcPr>
            <w:tcW w:w="3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40" w:type="dxa"/>
            <w:vAlign w:val="bottom"/>
          </w:tcPr>
          <w:p>
            <w:pPr>
              <w:spacing w:after="0" w:line="215" w:lineRule="exact"/>
              <w:rPr>
                <w:sz w:val="20"/>
                <w:szCs w:val="20"/>
                <w:color w:val="auto"/>
              </w:rPr>
            </w:pPr>
            <w:r>
              <w:rPr>
                <w:rFonts w:ascii="Calibri" w:cs="Calibri" w:eastAsia="Calibri" w:hAnsi="Calibri"/>
                <w:sz w:val="18"/>
                <w:szCs w:val="18"/>
                <w:b w:val="1"/>
                <w:bCs w:val="1"/>
                <w:color w:val="auto"/>
              </w:rPr>
              <w:t>Chief Accountng Ofcer and Corporate Controller</w:t>
            </w:r>
          </w:p>
        </w:tc>
      </w:tr>
      <w:tr>
        <w:trPr>
          <w:trHeight w:val="216"/>
        </w:trPr>
        <w:tc>
          <w:tcPr>
            <w:tcW w:w="3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40" w:type="dxa"/>
            <w:vAlign w:val="bottom"/>
          </w:tcPr>
          <w:p>
            <w:pPr>
              <w:spacing w:after="0" w:line="216" w:lineRule="exact"/>
              <w:rPr>
                <w:sz w:val="20"/>
                <w:szCs w:val="20"/>
                <w:color w:val="auto"/>
              </w:rPr>
            </w:pPr>
            <w:r>
              <w:rPr>
                <w:rFonts w:ascii="Calibri" w:cs="Calibri" w:eastAsia="Calibri" w:hAnsi="Calibri"/>
                <w:sz w:val="18"/>
                <w:szCs w:val="18"/>
                <w:b w:val="1"/>
                <w:bCs w:val="1"/>
                <w:color w:val="auto"/>
              </w:rPr>
              <w:t>(Chief Accountng Ofcer and Authorized Signatory)</w:t>
            </w:r>
          </w:p>
        </w:tc>
      </w:tr>
      <w:tr>
        <w:trPr>
          <w:trHeight w:val="703"/>
        </w:trPr>
        <w:tc>
          <w:tcPr>
            <w:tcW w:w="3440" w:type="dxa"/>
            <w:vAlign w:val="bottom"/>
          </w:tcPr>
          <w:p>
            <w:pPr>
              <w:spacing w:after="0"/>
              <w:rPr>
                <w:sz w:val="24"/>
                <w:szCs w:val="24"/>
                <w:color w:val="auto"/>
              </w:rPr>
            </w:pP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5040" w:type="dxa"/>
            <w:vAlign w:val="bottom"/>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42" w:name="page43"/>
    <w:bookmarkEnd w:id="42"/>
    <w:p>
      <w:pPr>
        <w:jc w:val="right"/>
        <w:spacing w:after="0"/>
        <w:rPr>
          <w:sz w:val="20"/>
          <w:szCs w:val="20"/>
          <w:color w:val="auto"/>
        </w:rPr>
      </w:pPr>
      <w:r>
        <w:rPr>
          <w:rFonts w:ascii="Calibri" w:cs="Calibri" w:eastAsia="Calibri" w:hAnsi="Calibri"/>
          <w:sz w:val="18"/>
          <w:szCs w:val="18"/>
          <w:b w:val="1"/>
          <w:bCs w:val="1"/>
          <w:color w:val="auto"/>
        </w:rPr>
        <w:t>Exhibit (31.1)</w:t>
      </w:r>
    </w:p>
    <w:p>
      <w:pPr>
        <w:jc w:val="center"/>
        <w:spacing w:after="0" w:line="235" w:lineRule="auto"/>
        <w:rPr>
          <w:sz w:val="20"/>
          <w:szCs w:val="20"/>
          <w:color w:val="auto"/>
        </w:rPr>
      </w:pPr>
      <w:r>
        <w:rPr>
          <w:rFonts w:ascii="Calibri" w:cs="Calibri" w:eastAsia="Calibri" w:hAnsi="Calibri"/>
          <w:sz w:val="18"/>
          <w:szCs w:val="18"/>
          <w:b w:val="1"/>
          <w:bCs w:val="1"/>
          <w:color w:val="auto"/>
        </w:rPr>
        <w:t>CERTIFICATION</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James V. Contnenza, certfy that:</w:t>
      </w:r>
    </w:p>
    <w:p>
      <w:pPr>
        <w:spacing w:after="0" w:line="212" w:lineRule="exact"/>
        <w:rPr>
          <w:sz w:val="20"/>
          <w:szCs w:val="20"/>
          <w:color w:val="auto"/>
        </w:rPr>
      </w:pPr>
    </w:p>
    <w:p>
      <w:pPr>
        <w:ind w:left="380" w:hanging="372"/>
        <w:spacing w:after="0"/>
        <w:tabs>
          <w:tab w:leader="none" w:pos="38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I have reviewed this Form 10-Q of Eastman Kodak Company;</w:t>
      </w:r>
    </w:p>
    <w:p>
      <w:pPr>
        <w:spacing w:after="0" w:line="217" w:lineRule="exact"/>
        <w:rPr>
          <w:rFonts w:ascii="Calibri" w:cs="Calibri" w:eastAsia="Calibri" w:hAnsi="Calibri"/>
          <w:sz w:val="18"/>
          <w:szCs w:val="18"/>
          <w:color w:val="auto"/>
        </w:rPr>
      </w:pPr>
    </w:p>
    <w:p>
      <w:pPr>
        <w:jc w:val="both"/>
        <w:ind w:left="380" w:right="400" w:hanging="372"/>
        <w:spacing w:after="0" w:line="235" w:lineRule="auto"/>
        <w:tabs>
          <w:tab w:leader="none" w:pos="38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Calibri" w:cs="Calibri" w:eastAsia="Calibri" w:hAnsi="Calibri"/>
          <w:sz w:val="18"/>
          <w:szCs w:val="18"/>
          <w:color w:val="auto"/>
        </w:rPr>
      </w:pPr>
    </w:p>
    <w:p>
      <w:pPr>
        <w:ind w:left="380" w:right="480" w:hanging="372"/>
        <w:spacing w:after="0" w:line="235" w:lineRule="auto"/>
        <w:tabs>
          <w:tab w:leader="none" w:pos="38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7" w:lineRule="exact"/>
        <w:rPr>
          <w:rFonts w:ascii="Calibri" w:cs="Calibri" w:eastAsia="Calibri" w:hAnsi="Calibri"/>
          <w:sz w:val="18"/>
          <w:szCs w:val="18"/>
          <w:color w:val="auto"/>
        </w:rPr>
      </w:pPr>
    </w:p>
    <w:p>
      <w:pPr>
        <w:ind w:left="380" w:right="60" w:hanging="372"/>
        <w:spacing w:after="0" w:line="235" w:lineRule="auto"/>
        <w:tabs>
          <w:tab w:leader="none" w:pos="38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8" w:lineRule="exact"/>
        <w:rPr>
          <w:rFonts w:ascii="Calibri" w:cs="Calibri" w:eastAsia="Calibri" w:hAnsi="Calibri"/>
          <w:sz w:val="18"/>
          <w:szCs w:val="18"/>
          <w:color w:val="auto"/>
        </w:rPr>
      </w:pPr>
    </w:p>
    <w:p>
      <w:pPr>
        <w:ind w:left="380" w:right="200" w:firstLine="2"/>
        <w:spacing w:after="0" w:line="235" w:lineRule="auto"/>
        <w:tabs>
          <w:tab w:leader="none" w:pos="597" w:val="left"/>
        </w:tabs>
        <w:numPr>
          <w:ilvl w:val="1"/>
          <w:numId w:val="19"/>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Calibri" w:cs="Calibri" w:eastAsia="Calibri" w:hAnsi="Calibri"/>
          <w:sz w:val="18"/>
          <w:szCs w:val="18"/>
          <w:color w:val="auto"/>
        </w:rPr>
      </w:pPr>
    </w:p>
    <w:p>
      <w:pPr>
        <w:ind w:left="380" w:right="40" w:firstLine="2"/>
        <w:spacing w:after="0" w:line="235" w:lineRule="auto"/>
        <w:tabs>
          <w:tab w:leader="none" w:pos="605" w:val="left"/>
        </w:tabs>
        <w:numPr>
          <w:ilvl w:val="1"/>
          <w:numId w:val="19"/>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18" w:lineRule="exact"/>
        <w:rPr>
          <w:rFonts w:ascii="Calibri" w:cs="Calibri" w:eastAsia="Calibri" w:hAnsi="Calibri"/>
          <w:sz w:val="18"/>
          <w:szCs w:val="18"/>
          <w:color w:val="auto"/>
        </w:rPr>
      </w:pPr>
    </w:p>
    <w:p>
      <w:pPr>
        <w:ind w:left="380" w:right="20" w:firstLine="2"/>
        <w:spacing w:after="0" w:line="235" w:lineRule="auto"/>
        <w:tabs>
          <w:tab w:leader="none" w:pos="587" w:val="left"/>
        </w:tabs>
        <w:numPr>
          <w:ilvl w:val="1"/>
          <w:numId w:val="19"/>
        </w:numPr>
        <w:rPr>
          <w:rFonts w:ascii="Calibri" w:cs="Calibri" w:eastAsia="Calibri" w:hAnsi="Calibri"/>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7" w:lineRule="exact"/>
        <w:rPr>
          <w:rFonts w:ascii="Calibri" w:cs="Calibri" w:eastAsia="Calibri" w:hAnsi="Calibri"/>
          <w:sz w:val="18"/>
          <w:szCs w:val="18"/>
          <w:color w:val="auto"/>
        </w:rPr>
      </w:pPr>
    </w:p>
    <w:p>
      <w:pPr>
        <w:jc w:val="both"/>
        <w:ind w:left="380" w:right="120" w:firstLine="2"/>
        <w:spacing w:after="0" w:line="235" w:lineRule="auto"/>
        <w:tabs>
          <w:tab w:leader="none" w:pos="605" w:val="left"/>
        </w:tabs>
        <w:numPr>
          <w:ilvl w:val="1"/>
          <w:numId w:val="19"/>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Calibri" w:cs="Calibri" w:eastAsia="Calibri" w:hAnsi="Calibri"/>
          <w:sz w:val="18"/>
          <w:szCs w:val="18"/>
          <w:color w:val="auto"/>
        </w:rPr>
      </w:pPr>
    </w:p>
    <w:p>
      <w:pPr>
        <w:ind w:left="380" w:right="420" w:hanging="372"/>
        <w:spacing w:after="0" w:line="235" w:lineRule="auto"/>
        <w:tabs>
          <w:tab w:leader="none" w:pos="38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Calibri" w:cs="Calibri" w:eastAsia="Calibri" w:hAnsi="Calibri"/>
          <w:sz w:val="18"/>
          <w:szCs w:val="18"/>
          <w:color w:val="auto"/>
        </w:rPr>
      </w:pPr>
    </w:p>
    <w:p>
      <w:pPr>
        <w:ind w:left="380" w:right="140" w:firstLine="2"/>
        <w:spacing w:after="0" w:line="235" w:lineRule="auto"/>
        <w:tabs>
          <w:tab w:leader="none" w:pos="597" w:val="left"/>
        </w:tabs>
        <w:numPr>
          <w:ilvl w:val="1"/>
          <w:numId w:val="19"/>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7" w:lineRule="exact"/>
        <w:rPr>
          <w:rFonts w:ascii="Calibri" w:cs="Calibri" w:eastAsia="Calibri" w:hAnsi="Calibri"/>
          <w:sz w:val="18"/>
          <w:szCs w:val="18"/>
          <w:color w:val="auto"/>
        </w:rPr>
      </w:pPr>
    </w:p>
    <w:p>
      <w:pPr>
        <w:ind w:left="380" w:right="20" w:firstLine="2"/>
        <w:spacing w:after="0" w:line="235" w:lineRule="auto"/>
        <w:tabs>
          <w:tab w:leader="none" w:pos="605" w:val="left"/>
        </w:tabs>
        <w:numPr>
          <w:ilvl w:val="1"/>
          <w:numId w:val="19"/>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color w:val="auto"/>
        </w:rPr>
        <w:t>/s/ James V. Contnenza</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James V. Contnenza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54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Executve Chairman and</w:t>
      </w:r>
    </w:p>
    <w:p>
      <w:pPr>
        <w:spacing w:after="0" w:line="236" w:lineRule="auto"/>
        <w:rPr>
          <w:sz w:val="20"/>
          <w:szCs w:val="20"/>
          <w:color w:val="auto"/>
        </w:rPr>
      </w:pPr>
      <w:r>
        <w:rPr>
          <w:rFonts w:ascii="Calibri" w:cs="Calibri" w:eastAsia="Calibri" w:hAnsi="Calibri"/>
          <w:sz w:val="18"/>
          <w:szCs w:val="18"/>
          <w:color w:val="auto"/>
        </w:rPr>
        <w:t>Chief Executve Ofcer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auto"/>
        </w:rPr>
        <w:t>Date: May 10, 2022</w:t>
      </w:r>
    </w:p>
    <w:p>
      <w:pPr>
        <w:sectPr>
          <w:pgSz w:w="11900" w:h="16838" w:orient="portrait"/>
          <w:cols w:equalWidth="0" w:num="1">
            <w:col w:w="11240"/>
          </w:cols>
          <w:pgMar w:left="320" w:top="328" w:right="339" w:bottom="1440" w:gutter="0" w:footer="0" w:header="0"/>
        </w:sectPr>
      </w:pPr>
    </w:p>
    <w:bookmarkStart w:id="43" w:name="page44"/>
    <w:bookmarkEnd w:id="43"/>
    <w:p>
      <w:pPr>
        <w:jc w:val="right"/>
        <w:spacing w:after="0"/>
        <w:rPr>
          <w:sz w:val="20"/>
          <w:szCs w:val="20"/>
          <w:color w:val="auto"/>
        </w:rPr>
      </w:pPr>
      <w:r>
        <w:rPr>
          <w:rFonts w:ascii="Calibri" w:cs="Calibri" w:eastAsia="Calibri" w:hAnsi="Calibri"/>
          <w:sz w:val="18"/>
          <w:szCs w:val="18"/>
          <w:b w:val="1"/>
          <w:bCs w:val="1"/>
          <w:color w:val="auto"/>
        </w:rPr>
        <w:t>Exhibit (31.2)</w:t>
      </w:r>
    </w:p>
    <w:p>
      <w:pPr>
        <w:jc w:val="center"/>
        <w:spacing w:after="0" w:line="235" w:lineRule="auto"/>
        <w:rPr>
          <w:sz w:val="20"/>
          <w:szCs w:val="20"/>
          <w:color w:val="auto"/>
        </w:rPr>
      </w:pPr>
      <w:r>
        <w:rPr>
          <w:rFonts w:ascii="Calibri" w:cs="Calibri" w:eastAsia="Calibri" w:hAnsi="Calibri"/>
          <w:sz w:val="18"/>
          <w:szCs w:val="18"/>
          <w:b w:val="1"/>
          <w:bCs w:val="1"/>
          <w:color w:val="auto"/>
        </w:rPr>
        <w:t>CERTIFICATION</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David E. Bullwinkle, certfy that:</w:t>
      </w:r>
    </w:p>
    <w:p>
      <w:pPr>
        <w:spacing w:after="0" w:line="212" w:lineRule="exact"/>
        <w:rPr>
          <w:sz w:val="20"/>
          <w:szCs w:val="20"/>
          <w:color w:val="auto"/>
        </w:rPr>
      </w:pPr>
    </w:p>
    <w:p>
      <w:pPr>
        <w:ind w:left="380" w:hanging="372"/>
        <w:spacing w:after="0"/>
        <w:tabs>
          <w:tab w:leader="none" w:pos="3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I have reviewed this Form 10-Q of Eastman Kodak Company;</w:t>
      </w:r>
    </w:p>
    <w:p>
      <w:pPr>
        <w:spacing w:after="0" w:line="217" w:lineRule="exact"/>
        <w:rPr>
          <w:rFonts w:ascii="Calibri" w:cs="Calibri" w:eastAsia="Calibri" w:hAnsi="Calibri"/>
          <w:sz w:val="18"/>
          <w:szCs w:val="18"/>
          <w:color w:val="auto"/>
        </w:rPr>
      </w:pPr>
    </w:p>
    <w:p>
      <w:pPr>
        <w:jc w:val="both"/>
        <w:ind w:left="380" w:right="400" w:hanging="372"/>
        <w:spacing w:after="0" w:line="235" w:lineRule="auto"/>
        <w:tabs>
          <w:tab w:leader="none" w:pos="3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Calibri" w:cs="Calibri" w:eastAsia="Calibri" w:hAnsi="Calibri"/>
          <w:sz w:val="18"/>
          <w:szCs w:val="18"/>
          <w:color w:val="auto"/>
        </w:rPr>
      </w:pPr>
    </w:p>
    <w:p>
      <w:pPr>
        <w:ind w:left="380" w:right="480" w:hanging="372"/>
        <w:spacing w:after="0" w:line="235" w:lineRule="auto"/>
        <w:tabs>
          <w:tab w:leader="none" w:pos="3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7" w:lineRule="exact"/>
        <w:rPr>
          <w:rFonts w:ascii="Calibri" w:cs="Calibri" w:eastAsia="Calibri" w:hAnsi="Calibri"/>
          <w:sz w:val="18"/>
          <w:szCs w:val="18"/>
          <w:color w:val="auto"/>
        </w:rPr>
      </w:pPr>
    </w:p>
    <w:p>
      <w:pPr>
        <w:ind w:left="380" w:right="60" w:hanging="372"/>
        <w:spacing w:after="0" w:line="235" w:lineRule="auto"/>
        <w:tabs>
          <w:tab w:leader="none" w:pos="3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8" w:lineRule="exact"/>
        <w:rPr>
          <w:rFonts w:ascii="Calibri" w:cs="Calibri" w:eastAsia="Calibri" w:hAnsi="Calibri"/>
          <w:sz w:val="18"/>
          <w:szCs w:val="18"/>
          <w:color w:val="auto"/>
        </w:rPr>
      </w:pPr>
    </w:p>
    <w:p>
      <w:pPr>
        <w:ind w:left="380" w:right="200" w:firstLine="2"/>
        <w:spacing w:after="0" w:line="235" w:lineRule="auto"/>
        <w:tabs>
          <w:tab w:leader="none" w:pos="597" w:val="left"/>
        </w:tabs>
        <w:numPr>
          <w:ilvl w:val="1"/>
          <w:numId w:val="20"/>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Calibri" w:cs="Calibri" w:eastAsia="Calibri" w:hAnsi="Calibri"/>
          <w:sz w:val="18"/>
          <w:szCs w:val="18"/>
          <w:color w:val="auto"/>
        </w:rPr>
      </w:pPr>
    </w:p>
    <w:p>
      <w:pPr>
        <w:ind w:left="380" w:right="40" w:firstLine="2"/>
        <w:spacing w:after="0" w:line="235" w:lineRule="auto"/>
        <w:tabs>
          <w:tab w:leader="none" w:pos="605" w:val="left"/>
        </w:tabs>
        <w:numPr>
          <w:ilvl w:val="1"/>
          <w:numId w:val="20"/>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18" w:lineRule="exact"/>
        <w:rPr>
          <w:rFonts w:ascii="Calibri" w:cs="Calibri" w:eastAsia="Calibri" w:hAnsi="Calibri"/>
          <w:sz w:val="18"/>
          <w:szCs w:val="18"/>
          <w:color w:val="auto"/>
        </w:rPr>
      </w:pPr>
    </w:p>
    <w:p>
      <w:pPr>
        <w:ind w:left="380" w:right="20" w:firstLine="2"/>
        <w:spacing w:after="0" w:line="235" w:lineRule="auto"/>
        <w:tabs>
          <w:tab w:leader="none" w:pos="587" w:val="left"/>
        </w:tabs>
        <w:numPr>
          <w:ilvl w:val="1"/>
          <w:numId w:val="20"/>
        </w:numPr>
        <w:rPr>
          <w:rFonts w:ascii="Calibri" w:cs="Calibri" w:eastAsia="Calibri" w:hAnsi="Calibri"/>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7" w:lineRule="exact"/>
        <w:rPr>
          <w:rFonts w:ascii="Calibri" w:cs="Calibri" w:eastAsia="Calibri" w:hAnsi="Calibri"/>
          <w:sz w:val="18"/>
          <w:szCs w:val="18"/>
          <w:color w:val="auto"/>
        </w:rPr>
      </w:pPr>
    </w:p>
    <w:p>
      <w:pPr>
        <w:jc w:val="both"/>
        <w:ind w:left="380" w:right="120" w:firstLine="2"/>
        <w:spacing w:after="0" w:line="235" w:lineRule="auto"/>
        <w:tabs>
          <w:tab w:leader="none" w:pos="605" w:val="left"/>
        </w:tabs>
        <w:numPr>
          <w:ilvl w:val="1"/>
          <w:numId w:val="20"/>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Calibri" w:cs="Calibri" w:eastAsia="Calibri" w:hAnsi="Calibri"/>
          <w:sz w:val="18"/>
          <w:szCs w:val="18"/>
          <w:color w:val="auto"/>
        </w:rPr>
      </w:pPr>
    </w:p>
    <w:p>
      <w:pPr>
        <w:ind w:left="380" w:right="420" w:hanging="372"/>
        <w:spacing w:after="0" w:line="235" w:lineRule="auto"/>
        <w:tabs>
          <w:tab w:leader="none" w:pos="3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Calibri" w:cs="Calibri" w:eastAsia="Calibri" w:hAnsi="Calibri"/>
          <w:sz w:val="18"/>
          <w:szCs w:val="18"/>
          <w:color w:val="auto"/>
        </w:rPr>
      </w:pPr>
    </w:p>
    <w:p>
      <w:pPr>
        <w:ind w:left="380" w:right="140" w:firstLine="2"/>
        <w:spacing w:after="0" w:line="235" w:lineRule="auto"/>
        <w:tabs>
          <w:tab w:leader="none" w:pos="597" w:val="left"/>
        </w:tabs>
        <w:numPr>
          <w:ilvl w:val="1"/>
          <w:numId w:val="20"/>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7" w:lineRule="exact"/>
        <w:rPr>
          <w:rFonts w:ascii="Calibri" w:cs="Calibri" w:eastAsia="Calibri" w:hAnsi="Calibri"/>
          <w:sz w:val="18"/>
          <w:szCs w:val="18"/>
          <w:color w:val="auto"/>
        </w:rPr>
      </w:pPr>
    </w:p>
    <w:p>
      <w:pPr>
        <w:ind w:left="380" w:right="20" w:firstLine="2"/>
        <w:spacing w:after="0" w:line="235" w:lineRule="auto"/>
        <w:tabs>
          <w:tab w:leader="none" w:pos="605" w:val="left"/>
        </w:tabs>
        <w:numPr>
          <w:ilvl w:val="1"/>
          <w:numId w:val="20"/>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color w:val="auto"/>
        </w:rPr>
        <w:t>/s/ David E. Bullwinkle</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54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Chief Financial Ofcer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auto"/>
        </w:rPr>
        <w:t>Date: May 10, 2022</w:t>
      </w:r>
    </w:p>
    <w:p>
      <w:pPr>
        <w:sectPr>
          <w:pgSz w:w="11900" w:h="16838" w:orient="portrait"/>
          <w:cols w:equalWidth="0" w:num="1">
            <w:col w:w="11240"/>
          </w:cols>
          <w:pgMar w:left="320" w:top="328" w:right="339" w:bottom="1440" w:gutter="0" w:footer="0" w:header="0"/>
        </w:sectPr>
      </w:pPr>
    </w:p>
    <w:bookmarkStart w:id="44" w:name="page45"/>
    <w:bookmarkEnd w:id="44"/>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00" w:lineRule="exact"/>
        <w:rPr>
          <w:sz w:val="20"/>
          <w:szCs w:val="20"/>
          <w:color w:val="auto"/>
        </w:rPr>
      </w:pPr>
    </w:p>
    <w:p>
      <w:pPr>
        <w:spacing w:after="0" w:line="234"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In connecton with the Quarterly Report of Eastman Kodak Company (the "Company") on Form 10-Q for the period ended March 31, 2022 as fled with the Securites and Exchange Commission on the date hereof (the "Report"), I, James V. Contnenza, Executve Chairman and Chief Executve Ofcer of the Company, certfy, pursuant to 18 U.S.C. Secton 1350, as adopted pursuant to Secton 906 of the Sarbanes-Oxley Act of 2002, that to the best of my knowledge:</w:t>
      </w:r>
    </w:p>
    <w:p>
      <w:pPr>
        <w:spacing w:after="0" w:line="215" w:lineRule="exact"/>
        <w:rPr>
          <w:sz w:val="20"/>
          <w:szCs w:val="20"/>
          <w:color w:val="auto"/>
        </w:rPr>
      </w:pPr>
    </w:p>
    <w:p>
      <w:pPr>
        <w:ind w:left="700" w:hanging="224"/>
        <w:spacing w:after="0"/>
        <w:tabs>
          <w:tab w:leader="none" w:pos="70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2" w:lineRule="exact"/>
        <w:rPr>
          <w:rFonts w:ascii="Calibri" w:cs="Calibri" w:eastAsia="Calibri" w:hAnsi="Calibri"/>
          <w:sz w:val="18"/>
          <w:szCs w:val="18"/>
          <w:color w:val="auto"/>
        </w:rPr>
      </w:pPr>
    </w:p>
    <w:p>
      <w:pPr>
        <w:ind w:left="700" w:hanging="224"/>
        <w:spacing w:after="0"/>
        <w:tabs>
          <w:tab w:leader="none" w:pos="70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/s/ James V. Contnenza</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James V. Contnenza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-130175</wp:posOffset>
            </wp:positionV>
            <wp:extent cx="21342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ind w:left="480"/>
        <w:spacing w:after="0" w:line="235" w:lineRule="auto"/>
        <w:rPr>
          <w:sz w:val="20"/>
          <w:szCs w:val="20"/>
          <w:color w:val="auto"/>
        </w:rPr>
      </w:pPr>
      <w:r>
        <w:rPr>
          <w:rFonts w:ascii="Calibri" w:cs="Calibri" w:eastAsia="Calibri" w:hAnsi="Calibri"/>
          <w:sz w:val="18"/>
          <w:szCs w:val="18"/>
          <w:color w:val="auto"/>
        </w:rPr>
        <w:t>Executve Chairman and</w:t>
      </w:r>
    </w:p>
    <w:p>
      <w:pPr>
        <w:ind w:left="480"/>
        <w:spacing w:after="0" w:line="236" w:lineRule="auto"/>
        <w:rPr>
          <w:sz w:val="20"/>
          <w:szCs w:val="20"/>
          <w:color w:val="auto"/>
        </w:rPr>
      </w:pPr>
      <w:r>
        <w:rPr>
          <w:rFonts w:ascii="Calibri" w:cs="Calibri" w:eastAsia="Calibri" w:hAnsi="Calibri"/>
          <w:sz w:val="18"/>
          <w:szCs w:val="18"/>
          <w:color w:val="auto"/>
        </w:rPr>
        <w:t>Chief Executve Ofcer</w:t>
      </w: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Date: May 10, 2022</w:t>
      </w:r>
    </w:p>
    <w:p>
      <w:pPr>
        <w:sectPr>
          <w:pgSz w:w="11900" w:h="16838" w:orient="portrait"/>
          <w:cols w:equalWidth="0" w:num="1">
            <w:col w:w="11240"/>
          </w:cols>
          <w:pgMar w:left="320" w:top="328" w:right="339" w:bottom="1440" w:gutter="0" w:footer="0" w:header="0"/>
        </w:sectPr>
      </w:pPr>
    </w:p>
    <w:bookmarkStart w:id="45" w:name="page46"/>
    <w:bookmarkEnd w:id="45"/>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00" w:lineRule="exact"/>
        <w:rPr>
          <w:sz w:val="20"/>
          <w:szCs w:val="20"/>
          <w:color w:val="auto"/>
        </w:rPr>
      </w:pPr>
    </w:p>
    <w:p>
      <w:pPr>
        <w:spacing w:after="0" w:line="288" w:lineRule="exact"/>
        <w:rPr>
          <w:sz w:val="20"/>
          <w:szCs w:val="20"/>
          <w:color w:val="auto"/>
        </w:rPr>
      </w:pPr>
    </w:p>
    <w:p>
      <w:pPr>
        <w:jc w:val="both"/>
        <w:ind w:right="180"/>
        <w:spacing w:after="0" w:line="235" w:lineRule="auto"/>
        <w:rPr>
          <w:sz w:val="20"/>
          <w:szCs w:val="20"/>
          <w:color w:val="auto"/>
        </w:rPr>
      </w:pPr>
      <w:r>
        <w:rPr>
          <w:rFonts w:ascii="Calibri" w:cs="Calibri" w:eastAsia="Calibri" w:hAnsi="Calibri"/>
          <w:sz w:val="18"/>
          <w:szCs w:val="18"/>
          <w:color w:val="auto"/>
        </w:rPr>
        <w:t>In connecton with the Quarterly Report of Eastman Kodak Company (the "Company") on Form 10-Q for the period ended March 31, 2022 as fled with the Securites and Exchange Commission on the date hereof (the "Report"), I, David E. Bullwinkle, Chief Financial Ofcer of the Company, certfy, pursuant to 18 U.S.C. Secton 1350, as adopted pursuant to Secton 906 of the Sarbanes-Oxley Act of 2002, that to the best of my knowledge:</w:t>
      </w:r>
    </w:p>
    <w:p>
      <w:pPr>
        <w:spacing w:after="0" w:line="241" w:lineRule="exact"/>
        <w:rPr>
          <w:sz w:val="20"/>
          <w:szCs w:val="20"/>
          <w:color w:val="auto"/>
        </w:rPr>
      </w:pPr>
    </w:p>
    <w:p>
      <w:pPr>
        <w:ind w:left="700" w:hanging="224"/>
        <w:spacing w:after="0"/>
        <w:tabs>
          <w:tab w:leader="none" w:pos="70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39" w:lineRule="exact"/>
        <w:rPr>
          <w:rFonts w:ascii="Calibri" w:cs="Calibri" w:eastAsia="Calibri" w:hAnsi="Calibri"/>
          <w:sz w:val="18"/>
          <w:szCs w:val="18"/>
          <w:color w:val="auto"/>
        </w:rPr>
      </w:pPr>
    </w:p>
    <w:p>
      <w:pPr>
        <w:ind w:left="700" w:hanging="224"/>
        <w:spacing w:after="0"/>
        <w:tabs>
          <w:tab w:leader="none" w:pos="70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82"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/s/ David E. Bullwinkle</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-130175</wp:posOffset>
            </wp:positionV>
            <wp:extent cx="21342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480"/>
        <w:spacing w:after="0" w:line="235" w:lineRule="auto"/>
        <w:rPr>
          <w:sz w:val="20"/>
          <w:szCs w:val="20"/>
          <w:color w:val="auto"/>
        </w:rPr>
      </w:pPr>
      <w:r>
        <w:rPr>
          <w:rFonts w:ascii="Calibri" w:cs="Calibri" w:eastAsia="Calibri" w:hAnsi="Calibri"/>
          <w:sz w:val="18"/>
          <w:szCs w:val="18"/>
          <w:color w:val="auto"/>
        </w:rPr>
        <w:t>Chief Financial Ofcer</w:t>
      </w:r>
    </w:p>
    <w:p>
      <w:pPr>
        <w:spacing w:after="0" w:line="200" w:lineRule="exact"/>
        <w:rPr>
          <w:sz w:val="20"/>
          <w:szCs w:val="20"/>
          <w:color w:val="auto"/>
        </w:rPr>
      </w:pPr>
    </w:p>
    <w:p>
      <w:pPr>
        <w:spacing w:after="0" w:line="283"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Date: May 10, 2022</w:t>
      </w: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60" Type="http://schemas.openxmlformats.org/officeDocument/2006/relationships/hyperlink" Target="http://www.sec.gov/Archives/edgar/data/31235/000119312513354928/d591063dex41.htm" TargetMode="External"/><Relationship Id="rId61" Type="http://schemas.openxmlformats.org/officeDocument/2006/relationships/hyperlink" Target="http://www.sec.gov/Archives/edgar/data/31235/000156459016029358/kodk-ex31_26.htm" TargetMode="External"/><Relationship Id="rId62" Type="http://schemas.openxmlformats.org/officeDocument/2006/relationships/hyperlink" Target="http://www.sec.gov/Archives/edgar/data/31235/000156459020058718/kodk-ex31_14.htm" TargetMode="External"/><Relationship Id="rId63" Type="http://schemas.openxmlformats.org/officeDocument/2006/relationships/hyperlink" Target="http://www.sec.gov/Archives/edgar/data/31235/000119312521062328/d468860dex31.htm" TargetMode="External"/><Relationship Id="rId64" Type="http://schemas.openxmlformats.org/officeDocument/2006/relationships/hyperlink" Target="http://www.sec.gov/Archives/edgar/data/31235/000119312521062328/d468860dex32.htm" TargetMode="External"/><Relationship Id="rId65" Type="http://schemas.openxmlformats.org/officeDocument/2006/relationships/hyperlink" Target="http://www.sec.gov/Archives/edgar/data/31235/000156459020024666/kodk-ex35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2022-05-10T15:54:35Z</dcterms:created>
  <dcterms:modified xsi:type="dcterms:W3CDTF">2022-05-10T15:54:35Z</dcterms:modified>
</cp:coreProperties>
</file>