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SECURITIES AND EXCHANGE COMMISSION</w:t>
      </w:r>
    </w:p>
    <w:p>
      <w:pPr>
        <w:spacing w:after="0" w:line="2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142875</wp:posOffset>
            </wp:positionV>
            <wp:extent cx="144907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SCHEDULE 13D</w:t>
      </w:r>
    </w:p>
    <w:p>
      <w:pPr>
        <w:spacing w:after="0" w:line="2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Under the Securities Exchange Act of 1934</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(Amendment No. 1)</w:t>
      </w:r>
    </w:p>
    <w:p>
      <w:pPr>
        <w:spacing w:after="0" w:line="211" w:lineRule="exact"/>
        <w:rPr>
          <w:sz w:val="24"/>
          <w:szCs w:val="24"/>
          <w:color w:val="auto"/>
        </w:rPr>
      </w:pPr>
    </w:p>
    <w:p>
      <w:pPr>
        <w:jc w:val="center"/>
        <w:ind w:right="-99"/>
        <w:spacing w:after="0"/>
        <w:rPr>
          <w:sz w:val="20"/>
          <w:szCs w:val="20"/>
          <w:color w:val="auto"/>
        </w:rPr>
      </w:pPr>
      <w:r>
        <w:rPr>
          <w:rFonts w:ascii="Arial" w:cs="Arial" w:eastAsia="Arial" w:hAnsi="Arial"/>
          <w:sz w:val="18"/>
          <w:szCs w:val="18"/>
          <w:u w:val="single" w:color="auto"/>
          <w:color w:val="auto"/>
        </w:rPr>
        <w:t>Eastman Kodak Company</w:t>
      </w:r>
    </w:p>
    <w:p>
      <w:pPr>
        <w:spacing w:after="0" w:line="2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(Name of Issuer)</w:t>
      </w:r>
    </w:p>
    <w:p>
      <w:pPr>
        <w:spacing w:after="0" w:line="211" w:lineRule="exact"/>
        <w:rPr>
          <w:sz w:val="24"/>
          <w:szCs w:val="24"/>
          <w:color w:val="auto"/>
        </w:rPr>
      </w:pPr>
    </w:p>
    <w:p>
      <w:pPr>
        <w:jc w:val="center"/>
        <w:ind w:right="-99"/>
        <w:spacing w:after="0"/>
        <w:rPr>
          <w:sz w:val="20"/>
          <w:szCs w:val="20"/>
          <w:color w:val="auto"/>
        </w:rPr>
      </w:pPr>
      <w:r>
        <w:rPr>
          <w:rFonts w:ascii="Arial" w:cs="Arial" w:eastAsia="Arial" w:hAnsi="Arial"/>
          <w:sz w:val="18"/>
          <w:szCs w:val="18"/>
          <w:u w:val="single" w:color="auto"/>
          <w:color w:val="auto"/>
        </w:rPr>
        <w:t>Common Stock, $0.01 par value per share</w:t>
      </w:r>
    </w:p>
    <w:p>
      <w:pPr>
        <w:spacing w:after="0" w:line="2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(Title of Class of Securities)</w:t>
      </w:r>
    </w:p>
    <w:p>
      <w:pPr>
        <w:spacing w:after="0" w:line="211" w:lineRule="exact"/>
        <w:rPr>
          <w:sz w:val="24"/>
          <w:szCs w:val="24"/>
          <w:color w:val="auto"/>
        </w:rPr>
      </w:pPr>
    </w:p>
    <w:p>
      <w:pPr>
        <w:jc w:val="center"/>
        <w:ind w:right="-99"/>
        <w:spacing w:after="0"/>
        <w:rPr>
          <w:sz w:val="20"/>
          <w:szCs w:val="20"/>
          <w:color w:val="auto"/>
        </w:rPr>
      </w:pPr>
      <w:r>
        <w:rPr>
          <w:rFonts w:ascii="Arial" w:cs="Arial" w:eastAsia="Arial" w:hAnsi="Arial"/>
          <w:sz w:val="18"/>
          <w:szCs w:val="18"/>
          <w:u w:val="single" w:color="auto"/>
          <w:color w:val="auto"/>
        </w:rPr>
        <w:t>277461 40 6</w:t>
      </w:r>
    </w:p>
    <w:p>
      <w:pPr>
        <w:spacing w:after="0" w:line="2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(CUSIP Number)</w:t>
      </w:r>
    </w:p>
    <w:p>
      <w:pPr>
        <w:spacing w:after="0" w:line="211" w:lineRule="exact"/>
        <w:rPr>
          <w:sz w:val="24"/>
          <w:szCs w:val="24"/>
          <w:color w:val="auto"/>
        </w:rPr>
      </w:pPr>
    </w:p>
    <w:p>
      <w:pPr>
        <w:ind w:left="5060"/>
        <w:spacing w:after="0"/>
        <w:rPr>
          <w:sz w:val="20"/>
          <w:szCs w:val="20"/>
          <w:color w:val="auto"/>
        </w:rPr>
      </w:pPr>
      <w:r>
        <w:rPr>
          <w:rFonts w:ascii="Arial" w:cs="Arial" w:eastAsia="Arial" w:hAnsi="Arial"/>
          <w:sz w:val="18"/>
          <w:szCs w:val="18"/>
          <w:color w:val="auto"/>
        </w:rPr>
        <w:t>George Karfunkel</w:t>
      </w:r>
    </w:p>
    <w:p>
      <w:pPr>
        <w:ind w:left="5120"/>
        <w:spacing w:after="0" w:line="195" w:lineRule="auto"/>
        <w:rPr>
          <w:sz w:val="20"/>
          <w:szCs w:val="20"/>
          <w:color w:val="auto"/>
        </w:rPr>
      </w:pPr>
      <w:r>
        <w:rPr>
          <w:rFonts w:ascii="Arial" w:cs="Arial" w:eastAsia="Arial" w:hAnsi="Arial"/>
          <w:sz w:val="18"/>
          <w:szCs w:val="18"/>
          <w:color w:val="auto"/>
        </w:rPr>
        <w:t>1671 52</w:t>
      </w:r>
      <w:r>
        <w:rPr>
          <w:rFonts w:ascii="Arial" w:cs="Arial" w:eastAsia="Arial" w:hAnsi="Arial"/>
          <w:sz w:val="30"/>
          <w:szCs w:val="30"/>
          <w:color w:val="auto"/>
          <w:vertAlign w:val="superscript"/>
        </w:rPr>
        <w:t>nd</w:t>
      </w:r>
      <w:r>
        <w:rPr>
          <w:rFonts w:ascii="Arial" w:cs="Arial" w:eastAsia="Arial" w:hAnsi="Arial"/>
          <w:sz w:val="18"/>
          <w:szCs w:val="18"/>
          <w:color w:val="auto"/>
        </w:rPr>
        <w:t xml:space="preserve"> Street</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Brooklyn, NY 11204</w:t>
      </w:r>
    </w:p>
    <w:p>
      <w:pPr>
        <w:spacing w:after="0" w:line="7" w:lineRule="exact"/>
        <w:rPr>
          <w:sz w:val="24"/>
          <w:szCs w:val="24"/>
          <w:color w:val="auto"/>
        </w:rPr>
      </w:pPr>
    </w:p>
    <w:p>
      <w:pPr>
        <w:jc w:val="center"/>
        <w:ind w:right="-99"/>
        <w:spacing w:after="0"/>
        <w:rPr>
          <w:sz w:val="20"/>
          <w:szCs w:val="20"/>
          <w:color w:val="auto"/>
        </w:rPr>
      </w:pPr>
      <w:r>
        <w:rPr>
          <w:rFonts w:ascii="Arial" w:cs="Arial" w:eastAsia="Arial" w:hAnsi="Arial"/>
          <w:sz w:val="18"/>
          <w:szCs w:val="18"/>
          <w:u w:val="single" w:color="auto"/>
          <w:color w:val="auto"/>
        </w:rPr>
        <w:t>(917) 836-3640</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(Name, Address and Telephone Number of Person Authorized to Receive Notices and Communications)</w:t>
      </w:r>
    </w:p>
    <w:p>
      <w:pPr>
        <w:spacing w:after="0" w:line="211" w:lineRule="exact"/>
        <w:rPr>
          <w:sz w:val="24"/>
          <w:szCs w:val="24"/>
          <w:color w:val="auto"/>
        </w:rPr>
      </w:pPr>
    </w:p>
    <w:p>
      <w:pPr>
        <w:jc w:val="center"/>
        <w:ind w:right="-99"/>
        <w:spacing w:after="0"/>
        <w:rPr>
          <w:sz w:val="20"/>
          <w:szCs w:val="20"/>
          <w:color w:val="auto"/>
        </w:rPr>
      </w:pPr>
      <w:r>
        <w:rPr>
          <w:rFonts w:ascii="Arial" w:cs="Arial" w:eastAsia="Arial" w:hAnsi="Arial"/>
          <w:sz w:val="18"/>
          <w:szCs w:val="18"/>
          <w:u w:val="single" w:color="auto"/>
          <w:color w:val="auto"/>
        </w:rPr>
        <w:t>December 3, 2019</w:t>
      </w:r>
    </w:p>
    <w:p>
      <w:pPr>
        <w:spacing w:after="0" w:line="2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(Date of Event Which Requires Filing of This Statement)</w:t>
      </w:r>
    </w:p>
    <w:p>
      <w:pPr>
        <w:spacing w:after="0" w:line="211" w:lineRule="exact"/>
        <w:rPr>
          <w:sz w:val="24"/>
          <w:szCs w:val="24"/>
          <w:color w:val="auto"/>
        </w:rPr>
      </w:pPr>
    </w:p>
    <w:p>
      <w:pPr>
        <w:ind w:right="500"/>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Rule 13d-1(e), 13d-1(f) or 13d-1(g), check the following box. </w:t>
      </w:r>
      <w:r>
        <w:rPr>
          <w:rFonts w:ascii="MS PGothic" w:cs="MS PGothic" w:eastAsia="MS PGothic" w:hAnsi="MS PGothic"/>
          <w:sz w:val="18"/>
          <w:szCs w:val="18"/>
          <w:color w:val="auto"/>
        </w:rPr>
        <w:t>☐</w:t>
      </w:r>
    </w:p>
    <w:p>
      <w:pPr>
        <w:spacing w:after="0" w:line="179" w:lineRule="exact"/>
        <w:rPr>
          <w:sz w:val="24"/>
          <w:szCs w:val="24"/>
          <w:color w:val="auto"/>
        </w:rPr>
      </w:pPr>
    </w:p>
    <w:p>
      <w:pPr>
        <w:ind w:right="20"/>
        <w:spacing w:after="0" w:line="282"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 See §240.13d-7 for other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to whom copies are to be sent.</w:t>
      </w:r>
    </w:p>
    <w:p>
      <w:pPr>
        <w:spacing w:after="0" w:line="166" w:lineRule="exact"/>
        <w:rPr>
          <w:sz w:val="24"/>
          <w:szCs w:val="24"/>
          <w:color w:val="auto"/>
        </w:rPr>
      </w:pPr>
    </w:p>
    <w:p>
      <w:pPr>
        <w:ind w:left="660" w:right="160" w:hanging="328"/>
        <w:spacing w:after="0" w:line="308" w:lineRule="auto"/>
        <w:tabs>
          <w:tab w:leader="none" w:pos="66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47"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w:t>
      </w:r>
      <w:r>
        <w:rPr>
          <w:rFonts w:ascii="Arial" w:cs="Arial" w:eastAsia="Arial" w:hAnsi="Arial"/>
          <w:sz w:val="16"/>
          <w:szCs w:val="16"/>
          <w:b w:val="1"/>
          <w:bCs w:val="1"/>
          <w:color w:val="auto"/>
        </w:rPr>
        <w:t>Act</w:t>
      </w:r>
      <w:r>
        <w:rPr>
          <w:rFonts w:ascii="Arial" w:cs="Arial" w:eastAsia="Arial" w:hAnsi="Arial"/>
          <w:sz w:val="16"/>
          <w:szCs w:val="16"/>
          <w:color w:val="auto"/>
        </w:rPr>
        <w:t xml:space="preserve">”) or otherwise subject to the liabilities of that section of the Act but shall be subject to all other provisions of the Act (however, </w:t>
      </w:r>
      <w:r>
        <w:rPr>
          <w:rFonts w:ascii="Arial" w:cs="Arial" w:eastAsia="Arial" w:hAnsi="Arial"/>
          <w:sz w:val="16"/>
          <w:szCs w:val="16"/>
          <w:i w:val="1"/>
          <w:iCs w:val="1"/>
          <w:color w:val="auto"/>
        </w:rPr>
        <w:t>see</w:t>
      </w:r>
      <w:r>
        <w:rPr>
          <w:rFonts w:ascii="Arial" w:cs="Arial" w:eastAsia="Arial" w:hAnsi="Arial"/>
          <w:sz w:val="16"/>
          <w:szCs w:val="16"/>
          <w:color w:val="auto"/>
        </w:rPr>
        <w:t xml:space="preserv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2466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559435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557" w:right="31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321"/>
        </w:trPr>
        <w:tc>
          <w:tcPr>
            <w:tcW w:w="1840" w:type="dxa"/>
            <w:vAlign w:val="bottom"/>
            <w:tcBorders>
              <w:top w:val="single" w:sz="8" w:color="auto"/>
              <w:left w:val="single" w:sz="8" w:color="auto"/>
            </w:tcBorders>
            <w:gridSpan w:val="4"/>
          </w:tcPr>
          <w:p>
            <w:pPr>
              <w:ind w:left="140"/>
              <w:spacing w:after="0"/>
              <w:rPr>
                <w:sz w:val="20"/>
                <w:szCs w:val="20"/>
                <w:color w:val="auto"/>
              </w:rPr>
            </w:pPr>
            <w:r>
              <w:rPr>
                <w:rFonts w:ascii="Arial" w:cs="Arial" w:eastAsia="Arial" w:hAnsi="Arial"/>
                <w:sz w:val="18"/>
                <w:szCs w:val="18"/>
                <w:color w:val="auto"/>
                <w:w w:val="91"/>
              </w:rPr>
              <w:t>CUSIP No. 277461406</w:t>
            </w:r>
          </w:p>
        </w:tc>
        <w:tc>
          <w:tcPr>
            <w:tcW w:w="4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220" w:type="dxa"/>
            <w:vAlign w:val="bottom"/>
            <w:tcBorders>
              <w:top w:val="single" w:sz="8" w:color="auto"/>
              <w:right w:val="single" w:sz="8" w:color="auto"/>
            </w:tcBorders>
          </w:tcPr>
          <w:p>
            <w:pPr>
              <w:spacing w:after="0"/>
              <w:rPr>
                <w:sz w:val="24"/>
                <w:szCs w:val="24"/>
                <w:color w:val="auto"/>
              </w:rPr>
            </w:pPr>
          </w:p>
        </w:tc>
        <w:tc>
          <w:tcPr>
            <w:tcW w:w="2260" w:type="dxa"/>
            <w:vAlign w:val="bottom"/>
            <w:tcBorders>
              <w:right w:val="single" w:sz="8" w:color="auto"/>
            </w:tcBorders>
          </w:tcPr>
          <w:p>
            <w:pPr>
              <w:ind w:left="980"/>
              <w:spacing w:after="0"/>
              <w:rPr>
                <w:sz w:val="20"/>
                <w:szCs w:val="20"/>
                <w:color w:val="auto"/>
              </w:rPr>
            </w:pPr>
            <w:r>
              <w:rPr>
                <w:rFonts w:ascii="Arial" w:cs="Arial" w:eastAsia="Arial" w:hAnsi="Arial"/>
                <w:sz w:val="22"/>
                <w:szCs w:val="22"/>
                <w:color w:val="auto"/>
              </w:rPr>
              <w:t>13D</w:t>
            </w:r>
          </w:p>
        </w:tc>
        <w:tc>
          <w:tcPr>
            <w:tcW w:w="1140" w:type="dxa"/>
            <w:vAlign w:val="bottom"/>
            <w:tcBorders>
              <w:top w:val="single" w:sz="8" w:color="auto"/>
            </w:tcBorders>
          </w:tcPr>
          <w:p>
            <w:pPr>
              <w:spacing w:after="0"/>
              <w:rPr>
                <w:sz w:val="24"/>
                <w:szCs w:val="24"/>
                <w:color w:val="auto"/>
              </w:rPr>
            </w:pPr>
          </w:p>
        </w:tc>
        <w:tc>
          <w:tcPr>
            <w:tcW w:w="2280" w:type="dxa"/>
            <w:vAlign w:val="bottom"/>
            <w:tcBorders>
              <w:top w:val="single" w:sz="8" w:color="auto"/>
            </w:tcBorders>
          </w:tcPr>
          <w:p>
            <w:pPr>
              <w:ind w:left="540"/>
              <w:spacing w:after="0"/>
              <w:rPr>
                <w:sz w:val="20"/>
                <w:szCs w:val="20"/>
                <w:color w:val="auto"/>
              </w:rPr>
            </w:pPr>
            <w:r>
              <w:rPr>
                <w:rFonts w:ascii="Arial" w:cs="Arial" w:eastAsia="Arial" w:hAnsi="Arial"/>
                <w:sz w:val="18"/>
                <w:szCs w:val="18"/>
                <w:color w:val="auto"/>
              </w:rPr>
              <w:t>Page 2 of 6 Pages</w:t>
            </w:r>
          </w:p>
        </w:tc>
        <w:tc>
          <w:tcPr>
            <w:tcW w:w="114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340" w:type="dxa"/>
            <w:vAlign w:val="bottom"/>
            <w:tcBorders>
              <w:left w:val="single" w:sz="8" w:color="auto"/>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gridSpan w:val="2"/>
          </w:tcPr>
          <w:p>
            <w:pPr>
              <w:spacing w:after="0"/>
              <w:rPr>
                <w:sz w:val="3"/>
                <w:szCs w:val="3"/>
                <w:color w:val="auto"/>
              </w:rPr>
            </w:pPr>
          </w:p>
        </w:tc>
        <w:tc>
          <w:tcPr>
            <w:tcW w:w="2280" w:type="dxa"/>
            <w:vAlign w:val="bottom"/>
            <w:tcBorders>
              <w:bottom w:val="single" w:sz="8" w:color="auto"/>
              <w:right w:val="single" w:sz="8" w:color="auto"/>
            </w:tcBorders>
            <w:gridSpan w:val="2"/>
          </w:tcPr>
          <w:p>
            <w:pPr>
              <w:spacing w:after="0"/>
              <w:rPr>
                <w:sz w:val="3"/>
                <w:szCs w:val="3"/>
                <w:color w:val="auto"/>
              </w:rPr>
            </w:pPr>
          </w:p>
        </w:tc>
        <w:tc>
          <w:tcPr>
            <w:tcW w:w="2260" w:type="dxa"/>
            <w:vAlign w:val="bottom"/>
            <w:tcBorders>
              <w:right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280" w:type="dxa"/>
            <w:vAlign w:val="bottom"/>
            <w:tcBorders>
              <w:bottom w:val="single" w:sz="8" w:color="auto"/>
            </w:tcBorders>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3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2"/>
          </w:tcPr>
          <w:p>
            <w:pPr>
              <w:spacing w:after="0"/>
              <w:rPr>
                <w:sz w:val="19"/>
                <w:szCs w:val="19"/>
                <w:color w:val="auto"/>
              </w:rPr>
            </w:pPr>
          </w:p>
        </w:tc>
        <w:tc>
          <w:tcPr>
            <w:tcW w:w="5680" w:type="dxa"/>
            <w:vAlign w:val="bottom"/>
            <w:tcBorders>
              <w:bottom w:val="single" w:sz="8" w:color="auto"/>
            </w:tcBorders>
            <w:gridSpan w:val="4"/>
          </w:tcPr>
          <w:p>
            <w:pPr>
              <w:spacing w:after="0"/>
              <w:rPr>
                <w:sz w:val="19"/>
                <w:szCs w:val="19"/>
                <w:color w:val="auto"/>
              </w:rPr>
            </w:pPr>
          </w:p>
        </w:tc>
        <w:tc>
          <w:tcPr>
            <w:tcW w:w="2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340" w:type="dxa"/>
            <w:vAlign w:val="bottom"/>
            <w:tcBorders>
              <w:left w:val="single" w:sz="8" w:color="auto"/>
            </w:tcBorders>
          </w:tcPr>
          <w:p>
            <w:pPr>
              <w:ind w:left="140"/>
              <w:spacing w:after="0"/>
              <w:rPr>
                <w:sz w:val="20"/>
                <w:szCs w:val="20"/>
                <w:color w:val="auto"/>
              </w:rPr>
            </w:pPr>
            <w:r>
              <w:rPr>
                <w:rFonts w:ascii="Arial" w:cs="Arial" w:eastAsia="Arial" w:hAnsi="Arial"/>
                <w:sz w:val="18"/>
                <w:szCs w:val="18"/>
                <w:color w:val="auto"/>
              </w:rPr>
              <w:t>1</w:t>
            </w:r>
          </w:p>
        </w:tc>
        <w:tc>
          <w:tcPr>
            <w:tcW w:w="280" w:type="dxa"/>
            <w:vAlign w:val="bottom"/>
            <w:tcBorders>
              <w:right w:val="single" w:sz="8" w:color="auto"/>
            </w:tcBorders>
          </w:tcPr>
          <w:p>
            <w:pPr>
              <w:spacing w:after="0"/>
              <w:rPr>
                <w:sz w:val="22"/>
                <w:szCs w:val="22"/>
                <w:color w:val="auto"/>
              </w:rPr>
            </w:pPr>
          </w:p>
        </w:tc>
        <w:tc>
          <w:tcPr>
            <w:tcW w:w="7380" w:type="dxa"/>
            <w:vAlign w:val="bottom"/>
            <w:gridSpan w:val="7"/>
          </w:tcPr>
          <w:p>
            <w:pPr>
              <w:ind w:left="100"/>
              <w:spacing w:after="0"/>
              <w:rPr>
                <w:sz w:val="20"/>
                <w:szCs w:val="20"/>
                <w:color w:val="auto"/>
              </w:rPr>
            </w:pPr>
            <w:r>
              <w:rPr>
                <w:rFonts w:ascii="Arial" w:cs="Arial" w:eastAsia="Arial" w:hAnsi="Arial"/>
                <w:sz w:val="18"/>
                <w:szCs w:val="18"/>
                <w:color w:val="auto"/>
              </w:rPr>
              <w:t>NAME OF REPORTING PERSONS</w:t>
            </w:r>
          </w:p>
        </w:tc>
        <w:tc>
          <w:tcPr>
            <w:tcW w:w="2280" w:type="dxa"/>
            <w:vAlign w:val="bottom"/>
            <w:tcBorders>
              <w:right w:val="single" w:sz="8" w:color="auto"/>
            </w:tcBorders>
          </w:tcPr>
          <w:p>
            <w:pPr>
              <w:spacing w:after="0"/>
              <w:rPr>
                <w:sz w:val="22"/>
                <w:szCs w:val="22"/>
                <w:color w:val="auto"/>
              </w:rPr>
            </w:pPr>
          </w:p>
        </w:tc>
        <w:tc>
          <w:tcPr>
            <w:tcW w:w="11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7380" w:type="dxa"/>
            <w:vAlign w:val="bottom"/>
            <w:gridSpan w:val="7"/>
          </w:tcPr>
          <w:p>
            <w:pPr>
              <w:ind w:left="100"/>
              <w:spacing w:after="0"/>
              <w:rPr>
                <w:sz w:val="20"/>
                <w:szCs w:val="20"/>
                <w:color w:val="auto"/>
              </w:rPr>
            </w:pPr>
            <w:r>
              <w:rPr>
                <w:rFonts w:ascii="Arial" w:cs="Arial" w:eastAsia="Arial" w:hAnsi="Arial"/>
                <w:sz w:val="18"/>
                <w:szCs w:val="18"/>
                <w:color w:val="auto"/>
              </w:rPr>
              <w:t>I.R.S. IDENTIFICATION NO. OF ABOVE PERSONS (ENTITIES ONLY)</w:t>
            </w:r>
          </w:p>
        </w:tc>
        <w:tc>
          <w:tcPr>
            <w:tcW w:w="228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40" w:type="dxa"/>
            <w:vAlign w:val="bottom"/>
            <w:tcBorders>
              <w:left w:val="single" w:sz="8" w:color="auto"/>
            </w:tcBorders>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1760" w:type="dxa"/>
            <w:vAlign w:val="bottom"/>
            <w:gridSpan w:val="4"/>
          </w:tcPr>
          <w:p>
            <w:pPr>
              <w:ind w:left="100"/>
              <w:spacing w:after="0"/>
              <w:rPr>
                <w:sz w:val="20"/>
                <w:szCs w:val="20"/>
                <w:color w:val="auto"/>
              </w:rPr>
            </w:pPr>
            <w:r>
              <w:rPr>
                <w:rFonts w:ascii="Arial" w:cs="Arial" w:eastAsia="Arial" w:hAnsi="Arial"/>
                <w:sz w:val="18"/>
                <w:szCs w:val="18"/>
                <w:color w:val="auto"/>
              </w:rPr>
              <w:t>George Karfunkel</w:t>
            </w:r>
          </w:p>
        </w:tc>
        <w:tc>
          <w:tcPr>
            <w:tcW w:w="22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11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340" w:type="dxa"/>
            <w:vAlign w:val="bottom"/>
            <w:tcBorders>
              <w:left w:val="single" w:sz="8" w:color="auto"/>
              <w:bottom w:val="single" w:sz="8" w:color="auto"/>
            </w:tcBorders>
          </w:tcPr>
          <w:p>
            <w:pPr>
              <w:spacing w:after="0"/>
              <w:rPr>
                <w:sz w:val="5"/>
                <w:szCs w:val="5"/>
                <w:color w:val="auto"/>
              </w:rPr>
            </w:pPr>
          </w:p>
        </w:tc>
        <w:tc>
          <w:tcPr>
            <w:tcW w:w="28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gridSpan w:val="2"/>
          </w:tcPr>
          <w:p>
            <w:pPr>
              <w:spacing w:after="0"/>
              <w:rPr>
                <w:sz w:val="5"/>
                <w:szCs w:val="5"/>
                <w:color w:val="auto"/>
              </w:rPr>
            </w:pPr>
          </w:p>
        </w:tc>
        <w:tc>
          <w:tcPr>
            <w:tcW w:w="5680" w:type="dxa"/>
            <w:vAlign w:val="bottom"/>
            <w:tcBorders>
              <w:bottom w:val="single" w:sz="8" w:color="auto"/>
            </w:tcBorders>
            <w:gridSpan w:val="4"/>
          </w:tcPr>
          <w:p>
            <w:pPr>
              <w:spacing w:after="0"/>
              <w:rPr>
                <w:sz w:val="5"/>
                <w:szCs w:val="5"/>
                <w:color w:val="auto"/>
              </w:rPr>
            </w:pPr>
          </w:p>
        </w:tc>
        <w:tc>
          <w:tcPr>
            <w:tcW w:w="228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340" w:type="dxa"/>
            <w:vAlign w:val="bottom"/>
            <w:tcBorders>
              <w:left w:val="single" w:sz="8" w:color="auto"/>
            </w:tcBorders>
          </w:tcPr>
          <w:p>
            <w:pPr>
              <w:ind w:left="140"/>
              <w:spacing w:after="0"/>
              <w:rPr>
                <w:sz w:val="20"/>
                <w:szCs w:val="20"/>
                <w:color w:val="auto"/>
              </w:rPr>
            </w:pPr>
            <w:r>
              <w:rPr>
                <w:rFonts w:ascii="Arial" w:cs="Arial" w:eastAsia="Arial" w:hAnsi="Arial"/>
                <w:sz w:val="18"/>
                <w:szCs w:val="18"/>
                <w:color w:val="auto"/>
              </w:rPr>
              <w:t>2</w:t>
            </w:r>
          </w:p>
        </w:tc>
        <w:tc>
          <w:tcPr>
            <w:tcW w:w="280" w:type="dxa"/>
            <w:vAlign w:val="bottom"/>
            <w:tcBorders>
              <w:right w:val="single" w:sz="8" w:color="auto"/>
            </w:tcBorders>
          </w:tcPr>
          <w:p>
            <w:pPr>
              <w:spacing w:after="0"/>
              <w:rPr>
                <w:sz w:val="19"/>
                <w:szCs w:val="19"/>
                <w:color w:val="auto"/>
              </w:rPr>
            </w:pPr>
          </w:p>
        </w:tc>
        <w:tc>
          <w:tcPr>
            <w:tcW w:w="7380" w:type="dxa"/>
            <w:vAlign w:val="bottom"/>
            <w:gridSpan w:val="7"/>
          </w:tcPr>
          <w:p>
            <w:pPr>
              <w:ind w:left="100"/>
              <w:spacing w:after="0"/>
              <w:rPr>
                <w:sz w:val="20"/>
                <w:szCs w:val="20"/>
                <w:color w:val="auto"/>
              </w:rPr>
            </w:pPr>
            <w:r>
              <w:rPr>
                <w:rFonts w:ascii="Arial" w:cs="Arial" w:eastAsia="Arial" w:hAnsi="Arial"/>
                <w:sz w:val="18"/>
                <w:szCs w:val="18"/>
                <w:color w:val="auto"/>
              </w:rPr>
              <w:t>CHECK THE APPROPRIATE BOX IF A MEMBER OF A GROUP</w:t>
            </w:r>
          </w:p>
        </w:tc>
        <w:tc>
          <w:tcPr>
            <w:tcW w:w="2280" w:type="dxa"/>
            <w:vAlign w:val="bottom"/>
            <w:tcBorders>
              <w:right w:val="single" w:sz="8" w:color="auto"/>
            </w:tcBorders>
          </w:tcPr>
          <w:p>
            <w:pPr>
              <w:spacing w:after="0"/>
              <w:rPr>
                <w:sz w:val="19"/>
                <w:szCs w:val="19"/>
                <w:color w:val="auto"/>
              </w:rPr>
            </w:pPr>
          </w:p>
        </w:tc>
        <w:tc>
          <w:tcPr>
            <w:tcW w:w="1140" w:type="dxa"/>
            <w:vAlign w:val="bottom"/>
            <w:tcBorders>
              <w:right w:val="single" w:sz="8" w:color="auto"/>
            </w:tcBorders>
          </w:tcPr>
          <w:p>
            <w:pPr>
              <w:jc w:val="center"/>
              <w:spacing w:after="0" w:line="207" w:lineRule="exact"/>
              <w:rPr>
                <w:sz w:val="20"/>
                <w:szCs w:val="20"/>
                <w:color w:val="auto"/>
              </w:rPr>
            </w:pPr>
            <w:r>
              <w:rPr>
                <w:rFonts w:ascii="Arial" w:cs="Arial" w:eastAsia="Arial" w:hAnsi="Arial"/>
                <w:sz w:val="18"/>
                <w:szCs w:val="18"/>
                <w:color w:val="auto"/>
                <w:w w:val="88"/>
              </w:rPr>
              <w:t xml:space="preserve">(a) </w:t>
            </w: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1140" w:type="dxa"/>
            <w:vAlign w:val="bottom"/>
            <w:tcBorders>
              <w:right w:val="single" w:sz="8" w:color="auto"/>
            </w:tcBorders>
          </w:tcPr>
          <w:p>
            <w:pPr>
              <w:jc w:val="center"/>
              <w:spacing w:after="0" w:line="207" w:lineRule="exact"/>
              <w:rPr>
                <w:sz w:val="20"/>
                <w:szCs w:val="20"/>
                <w:color w:val="auto"/>
              </w:rPr>
            </w:pPr>
            <w:r>
              <w:rPr>
                <w:rFonts w:ascii="Arial" w:cs="Arial" w:eastAsia="Arial" w:hAnsi="Arial"/>
                <w:sz w:val="18"/>
                <w:szCs w:val="18"/>
                <w:color w:val="auto"/>
                <w:w w:val="88"/>
              </w:rPr>
              <w:t xml:space="preserve">(b) </w:t>
            </w: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41"/>
        </w:trPr>
        <w:tc>
          <w:tcPr>
            <w:tcW w:w="340" w:type="dxa"/>
            <w:vAlign w:val="bottom"/>
            <w:tcBorders>
              <w:left w:val="single" w:sz="8" w:color="auto"/>
              <w:bottom w:val="single" w:sz="8" w:color="auto"/>
            </w:tcBorders>
          </w:tcPr>
          <w:p>
            <w:pPr>
              <w:spacing w:after="0"/>
              <w:rPr>
                <w:sz w:val="3"/>
                <w:szCs w:val="3"/>
                <w:color w:val="auto"/>
              </w:rPr>
            </w:pPr>
          </w:p>
        </w:tc>
        <w:tc>
          <w:tcPr>
            <w:tcW w:w="280" w:type="dxa"/>
            <w:vAlign w:val="bottom"/>
            <w:tcBorders>
              <w:bottom w:val="single" w:sz="8" w:color="auto"/>
              <w:right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gridSpan w:val="2"/>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220" w:type="dxa"/>
            <w:vAlign w:val="bottom"/>
            <w:tcBorders>
              <w:bottom w:val="single" w:sz="8" w:color="auto"/>
            </w:tcBorders>
          </w:tcPr>
          <w:p>
            <w:pPr>
              <w:spacing w:after="0"/>
              <w:rPr>
                <w:sz w:val="3"/>
                <w:szCs w:val="3"/>
                <w:color w:val="auto"/>
              </w:rPr>
            </w:pPr>
          </w:p>
        </w:tc>
        <w:tc>
          <w:tcPr>
            <w:tcW w:w="22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280" w:type="dxa"/>
            <w:vAlign w:val="bottom"/>
            <w:tcBorders>
              <w:bottom w:val="single" w:sz="8" w:color="auto"/>
              <w:right w:val="single" w:sz="8" w:color="auto"/>
            </w:tcBorders>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0"/>
        </w:trPr>
        <w:tc>
          <w:tcPr>
            <w:tcW w:w="340" w:type="dxa"/>
            <w:vAlign w:val="bottom"/>
            <w:tcBorders>
              <w:left w:val="single" w:sz="8" w:color="auto"/>
            </w:tcBorders>
          </w:tcPr>
          <w:p>
            <w:pPr>
              <w:ind w:left="140"/>
              <w:spacing w:after="0"/>
              <w:rPr>
                <w:sz w:val="20"/>
                <w:szCs w:val="20"/>
                <w:color w:val="auto"/>
              </w:rPr>
            </w:pPr>
            <w:r>
              <w:rPr>
                <w:rFonts w:ascii="Arial" w:cs="Arial" w:eastAsia="Arial" w:hAnsi="Arial"/>
                <w:sz w:val="18"/>
                <w:szCs w:val="18"/>
                <w:color w:val="auto"/>
              </w:rPr>
              <w:t>3</w:t>
            </w:r>
          </w:p>
        </w:tc>
        <w:tc>
          <w:tcPr>
            <w:tcW w:w="280" w:type="dxa"/>
            <w:vAlign w:val="bottom"/>
            <w:tcBorders>
              <w:right w:val="single" w:sz="8" w:color="auto"/>
            </w:tcBorders>
          </w:tcPr>
          <w:p>
            <w:pPr>
              <w:spacing w:after="0"/>
              <w:rPr>
                <w:sz w:val="23"/>
                <w:szCs w:val="23"/>
                <w:color w:val="auto"/>
              </w:rPr>
            </w:pPr>
          </w:p>
        </w:tc>
        <w:tc>
          <w:tcPr>
            <w:tcW w:w="1760" w:type="dxa"/>
            <w:vAlign w:val="bottom"/>
            <w:gridSpan w:val="4"/>
          </w:tcPr>
          <w:p>
            <w:pPr>
              <w:ind w:left="100"/>
              <w:spacing w:after="0"/>
              <w:rPr>
                <w:sz w:val="20"/>
                <w:szCs w:val="20"/>
                <w:color w:val="auto"/>
              </w:rPr>
            </w:pPr>
            <w:r>
              <w:rPr>
                <w:rFonts w:ascii="Arial" w:cs="Arial" w:eastAsia="Arial" w:hAnsi="Arial"/>
                <w:sz w:val="18"/>
                <w:szCs w:val="18"/>
                <w:color w:val="auto"/>
              </w:rPr>
              <w:t>SEC USE ONLY</w:t>
            </w:r>
          </w:p>
        </w:tc>
        <w:tc>
          <w:tcPr>
            <w:tcW w:w="2220" w:type="dxa"/>
            <w:vAlign w:val="bottom"/>
          </w:tcPr>
          <w:p>
            <w:pPr>
              <w:spacing w:after="0"/>
              <w:rPr>
                <w:sz w:val="23"/>
                <w:szCs w:val="23"/>
                <w:color w:val="auto"/>
              </w:rPr>
            </w:pPr>
          </w:p>
        </w:tc>
        <w:tc>
          <w:tcPr>
            <w:tcW w:w="22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280" w:type="dxa"/>
            <w:vAlign w:val="bottom"/>
            <w:tcBorders>
              <w:right w:val="single" w:sz="8" w:color="auto"/>
            </w:tcBorders>
          </w:tcPr>
          <w:p>
            <w:pPr>
              <w:spacing w:after="0"/>
              <w:rPr>
                <w:sz w:val="23"/>
                <w:szCs w:val="23"/>
                <w:color w:val="auto"/>
              </w:rPr>
            </w:pPr>
          </w:p>
        </w:tc>
        <w:tc>
          <w:tcPr>
            <w:tcW w:w="11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7"/>
        </w:trPr>
        <w:tc>
          <w:tcPr>
            <w:tcW w:w="340" w:type="dxa"/>
            <w:vAlign w:val="bottom"/>
            <w:tcBorders>
              <w:left w:val="single" w:sz="8" w:color="auto"/>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gridSpan w:val="2"/>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40" w:type="dxa"/>
            <w:vAlign w:val="bottom"/>
            <w:tcBorders>
              <w:left w:val="single" w:sz="8" w:color="auto"/>
            </w:tcBorders>
          </w:tcPr>
          <w:p>
            <w:pPr>
              <w:ind w:left="140"/>
              <w:spacing w:after="0"/>
              <w:rPr>
                <w:sz w:val="20"/>
                <w:szCs w:val="20"/>
                <w:color w:val="auto"/>
              </w:rPr>
            </w:pPr>
            <w:r>
              <w:rPr>
                <w:rFonts w:ascii="Arial" w:cs="Arial" w:eastAsia="Arial" w:hAnsi="Arial"/>
                <w:sz w:val="18"/>
                <w:szCs w:val="18"/>
                <w:color w:val="auto"/>
              </w:rPr>
              <w:t>4</w:t>
            </w:r>
          </w:p>
        </w:tc>
        <w:tc>
          <w:tcPr>
            <w:tcW w:w="280" w:type="dxa"/>
            <w:vAlign w:val="bottom"/>
            <w:tcBorders>
              <w:right w:val="single" w:sz="8" w:color="auto"/>
            </w:tcBorders>
          </w:tcPr>
          <w:p>
            <w:pPr>
              <w:spacing w:after="0"/>
              <w:rPr>
                <w:sz w:val="23"/>
                <w:szCs w:val="23"/>
                <w:color w:val="auto"/>
              </w:rPr>
            </w:pPr>
          </w:p>
        </w:tc>
        <w:tc>
          <w:tcPr>
            <w:tcW w:w="1760" w:type="dxa"/>
            <w:vAlign w:val="bottom"/>
            <w:gridSpan w:val="4"/>
          </w:tcPr>
          <w:p>
            <w:pPr>
              <w:ind w:left="100"/>
              <w:spacing w:after="0"/>
              <w:rPr>
                <w:sz w:val="20"/>
                <w:szCs w:val="20"/>
                <w:color w:val="auto"/>
              </w:rPr>
            </w:pPr>
            <w:r>
              <w:rPr>
                <w:rFonts w:ascii="Arial" w:cs="Arial" w:eastAsia="Arial" w:hAnsi="Arial"/>
                <w:sz w:val="18"/>
                <w:szCs w:val="18"/>
                <w:color w:val="auto"/>
                <w:w w:val="94"/>
              </w:rPr>
              <w:t>SOURCE OF FUNDS</w:t>
            </w:r>
          </w:p>
        </w:tc>
        <w:tc>
          <w:tcPr>
            <w:tcW w:w="2220" w:type="dxa"/>
            <w:vAlign w:val="bottom"/>
          </w:tcPr>
          <w:p>
            <w:pPr>
              <w:spacing w:after="0"/>
              <w:rPr>
                <w:sz w:val="23"/>
                <w:szCs w:val="23"/>
                <w:color w:val="auto"/>
              </w:rPr>
            </w:pPr>
          </w:p>
        </w:tc>
        <w:tc>
          <w:tcPr>
            <w:tcW w:w="22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280" w:type="dxa"/>
            <w:vAlign w:val="bottom"/>
            <w:tcBorders>
              <w:right w:val="single" w:sz="8" w:color="auto"/>
            </w:tcBorders>
          </w:tcPr>
          <w:p>
            <w:pPr>
              <w:spacing w:after="0"/>
              <w:rPr>
                <w:sz w:val="23"/>
                <w:szCs w:val="23"/>
                <w:color w:val="auto"/>
              </w:rPr>
            </w:pPr>
          </w:p>
        </w:tc>
        <w:tc>
          <w:tcPr>
            <w:tcW w:w="11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432"/>
        </w:trPr>
        <w:tc>
          <w:tcPr>
            <w:tcW w:w="340" w:type="dxa"/>
            <w:vAlign w:val="bottom"/>
            <w:tcBorders>
              <w:left w:val="single" w:sz="8" w:color="auto"/>
            </w:tcBorders>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1220" w:type="dxa"/>
            <w:vAlign w:val="bottom"/>
            <w:gridSpan w:val="2"/>
          </w:tcPr>
          <w:p>
            <w:pPr>
              <w:ind w:left="100"/>
              <w:spacing w:after="0"/>
              <w:rPr>
                <w:sz w:val="20"/>
                <w:szCs w:val="20"/>
                <w:color w:val="auto"/>
              </w:rPr>
            </w:pPr>
            <w:r>
              <w:rPr>
                <w:rFonts w:ascii="Arial" w:cs="Arial" w:eastAsia="Arial" w:hAnsi="Arial"/>
                <w:sz w:val="18"/>
                <w:szCs w:val="18"/>
                <w:color w:val="auto"/>
              </w:rPr>
              <w:t>PF</w:t>
            </w: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11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340" w:type="dxa"/>
            <w:vAlign w:val="bottom"/>
            <w:tcBorders>
              <w:left w:val="single" w:sz="8" w:color="auto"/>
              <w:bottom w:val="single" w:sz="8" w:color="auto"/>
            </w:tcBorders>
          </w:tcPr>
          <w:p>
            <w:pPr>
              <w:spacing w:after="0"/>
              <w:rPr>
                <w:sz w:val="5"/>
                <w:szCs w:val="5"/>
                <w:color w:val="auto"/>
              </w:rPr>
            </w:pPr>
          </w:p>
        </w:tc>
        <w:tc>
          <w:tcPr>
            <w:tcW w:w="28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gridSpan w:val="2"/>
          </w:tcPr>
          <w:p>
            <w:pPr>
              <w:spacing w:after="0"/>
              <w:rPr>
                <w:sz w:val="5"/>
                <w:szCs w:val="5"/>
                <w:color w:val="auto"/>
              </w:rPr>
            </w:pPr>
          </w:p>
        </w:tc>
        <w:tc>
          <w:tcPr>
            <w:tcW w:w="7960" w:type="dxa"/>
            <w:vAlign w:val="bottom"/>
            <w:tcBorders>
              <w:bottom w:val="single" w:sz="8" w:color="auto"/>
              <w:right w:val="single" w:sz="8" w:color="auto"/>
            </w:tcBorders>
            <w:gridSpan w:val="5"/>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340" w:type="dxa"/>
            <w:vAlign w:val="bottom"/>
            <w:tcBorders>
              <w:left w:val="single" w:sz="8" w:color="auto"/>
            </w:tcBorders>
          </w:tcPr>
          <w:p>
            <w:pPr>
              <w:ind w:left="140"/>
              <w:spacing w:after="0"/>
              <w:rPr>
                <w:sz w:val="20"/>
                <w:szCs w:val="20"/>
                <w:color w:val="auto"/>
              </w:rPr>
            </w:pPr>
            <w:r>
              <w:rPr>
                <w:rFonts w:ascii="Arial" w:cs="Arial" w:eastAsia="Arial" w:hAnsi="Arial"/>
                <w:sz w:val="18"/>
                <w:szCs w:val="18"/>
                <w:color w:val="auto"/>
              </w:rPr>
              <w:t>5</w:t>
            </w:r>
          </w:p>
        </w:tc>
        <w:tc>
          <w:tcPr>
            <w:tcW w:w="280" w:type="dxa"/>
            <w:vAlign w:val="bottom"/>
            <w:tcBorders>
              <w:right w:val="single" w:sz="8" w:color="auto"/>
            </w:tcBorders>
          </w:tcPr>
          <w:p>
            <w:pPr>
              <w:spacing w:after="0"/>
              <w:rPr>
                <w:sz w:val="23"/>
                <w:szCs w:val="23"/>
                <w:color w:val="auto"/>
              </w:rPr>
            </w:pPr>
          </w:p>
        </w:tc>
        <w:tc>
          <w:tcPr>
            <w:tcW w:w="9660" w:type="dxa"/>
            <w:vAlign w:val="bottom"/>
            <w:tcBorders>
              <w:right w:val="single" w:sz="8" w:color="auto"/>
            </w:tcBorders>
            <w:gridSpan w:val="8"/>
          </w:tcPr>
          <w:p>
            <w:pPr>
              <w:ind w:left="100"/>
              <w:spacing w:after="0"/>
              <w:rPr>
                <w:sz w:val="20"/>
                <w:szCs w:val="20"/>
                <w:color w:val="auto"/>
              </w:rPr>
            </w:pPr>
            <w:r>
              <w:rPr>
                <w:rFonts w:ascii="Arial" w:cs="Arial" w:eastAsia="Arial" w:hAnsi="Arial"/>
                <w:sz w:val="18"/>
                <w:szCs w:val="18"/>
                <w:color w:val="auto"/>
              </w:rPr>
              <w:t>CHECK IF DISCLOSURE OF LEGAL PROCEEDINGS IS REQUIRED PURSUANT TO ITEM 2(d) or 2(e)</w:t>
            </w:r>
          </w:p>
        </w:tc>
        <w:tc>
          <w:tcPr>
            <w:tcW w:w="1140" w:type="dxa"/>
            <w:vAlign w:val="bottom"/>
            <w:tcBorders>
              <w:right w:val="single" w:sz="8" w:color="auto"/>
            </w:tcBorders>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28"/>
        </w:trPr>
        <w:tc>
          <w:tcPr>
            <w:tcW w:w="340" w:type="dxa"/>
            <w:vAlign w:val="bottom"/>
            <w:tcBorders>
              <w:left w:val="single" w:sz="8" w:color="auto"/>
            </w:tcBorders>
          </w:tcPr>
          <w:p>
            <w:pPr>
              <w:spacing w:after="0"/>
              <w:rPr>
                <w:sz w:val="11"/>
                <w:szCs w:val="11"/>
                <w:color w:val="auto"/>
              </w:rPr>
            </w:pPr>
          </w:p>
        </w:tc>
        <w:tc>
          <w:tcPr>
            <w:tcW w:w="280" w:type="dxa"/>
            <w:vAlign w:val="bottom"/>
            <w:tcBorders>
              <w:right w:val="single" w:sz="8" w:color="auto"/>
            </w:tcBorders>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8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40" w:type="dxa"/>
            <w:vAlign w:val="bottom"/>
            <w:tcBorders>
              <w:left w:val="single" w:sz="8" w:color="auto"/>
              <w:bottom w:val="single" w:sz="8" w:color="auto"/>
            </w:tcBorders>
          </w:tcPr>
          <w:p>
            <w:pPr>
              <w:spacing w:after="0"/>
              <w:rPr>
                <w:sz w:val="12"/>
                <w:szCs w:val="12"/>
                <w:color w:val="auto"/>
              </w:rPr>
            </w:pPr>
          </w:p>
        </w:tc>
        <w:tc>
          <w:tcPr>
            <w:tcW w:w="280" w:type="dxa"/>
            <w:vAlign w:val="bottom"/>
            <w:tcBorders>
              <w:bottom w:val="single" w:sz="8" w:color="auto"/>
              <w:right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gridSpan w:val="2"/>
          </w:tcPr>
          <w:p>
            <w:pPr>
              <w:spacing w:after="0"/>
              <w:rPr>
                <w:sz w:val="12"/>
                <w:szCs w:val="12"/>
                <w:color w:val="auto"/>
              </w:rPr>
            </w:pPr>
          </w:p>
        </w:tc>
        <w:tc>
          <w:tcPr>
            <w:tcW w:w="5680" w:type="dxa"/>
            <w:vAlign w:val="bottom"/>
            <w:tcBorders>
              <w:bottom w:val="single" w:sz="8" w:color="auto"/>
            </w:tcBorders>
            <w:gridSpan w:val="4"/>
          </w:tcPr>
          <w:p>
            <w:pPr>
              <w:spacing w:after="0"/>
              <w:rPr>
                <w:sz w:val="12"/>
                <w:szCs w:val="12"/>
                <w:color w:val="auto"/>
              </w:rPr>
            </w:pPr>
          </w:p>
        </w:tc>
        <w:tc>
          <w:tcPr>
            <w:tcW w:w="2280" w:type="dxa"/>
            <w:vAlign w:val="bottom"/>
            <w:tcBorders>
              <w:bottom w:val="single" w:sz="8" w:color="auto"/>
              <w:right w:val="single" w:sz="8" w:color="auto"/>
            </w:tcBorders>
          </w:tcPr>
          <w:p>
            <w:pPr>
              <w:spacing w:after="0"/>
              <w:rPr>
                <w:sz w:val="12"/>
                <w:szCs w:val="12"/>
                <w:color w:val="auto"/>
              </w:rPr>
            </w:pPr>
          </w:p>
        </w:tc>
        <w:tc>
          <w:tcPr>
            <w:tcW w:w="11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340" w:type="dxa"/>
            <w:vAlign w:val="bottom"/>
            <w:tcBorders>
              <w:left w:val="single" w:sz="8" w:color="auto"/>
            </w:tcBorders>
          </w:tcPr>
          <w:p>
            <w:pPr>
              <w:ind w:left="140"/>
              <w:spacing w:after="0"/>
              <w:rPr>
                <w:sz w:val="20"/>
                <w:szCs w:val="20"/>
                <w:color w:val="auto"/>
              </w:rPr>
            </w:pPr>
            <w:r>
              <w:rPr>
                <w:rFonts w:ascii="Arial" w:cs="Arial" w:eastAsia="Arial" w:hAnsi="Arial"/>
                <w:sz w:val="18"/>
                <w:szCs w:val="18"/>
                <w:color w:val="auto"/>
              </w:rPr>
              <w:t>6</w:t>
            </w:r>
          </w:p>
        </w:tc>
        <w:tc>
          <w:tcPr>
            <w:tcW w:w="280" w:type="dxa"/>
            <w:vAlign w:val="bottom"/>
            <w:tcBorders>
              <w:right w:val="single" w:sz="8" w:color="auto"/>
            </w:tcBorders>
          </w:tcPr>
          <w:p>
            <w:pPr>
              <w:spacing w:after="0"/>
              <w:rPr>
                <w:sz w:val="23"/>
                <w:szCs w:val="23"/>
                <w:color w:val="auto"/>
              </w:rPr>
            </w:pPr>
          </w:p>
        </w:tc>
        <w:tc>
          <w:tcPr>
            <w:tcW w:w="7380" w:type="dxa"/>
            <w:vAlign w:val="bottom"/>
            <w:gridSpan w:val="7"/>
          </w:tcPr>
          <w:p>
            <w:pPr>
              <w:ind w:left="100"/>
              <w:spacing w:after="0"/>
              <w:rPr>
                <w:sz w:val="20"/>
                <w:szCs w:val="20"/>
                <w:color w:val="auto"/>
              </w:rPr>
            </w:pPr>
            <w:r>
              <w:rPr>
                <w:rFonts w:ascii="Arial" w:cs="Arial" w:eastAsia="Arial" w:hAnsi="Arial"/>
                <w:sz w:val="18"/>
                <w:szCs w:val="18"/>
                <w:color w:val="auto"/>
              </w:rPr>
              <w:t>CITIZENSHIP OR PLACE OF ORGANIZATION</w:t>
            </w:r>
          </w:p>
        </w:tc>
        <w:tc>
          <w:tcPr>
            <w:tcW w:w="2280" w:type="dxa"/>
            <w:vAlign w:val="bottom"/>
            <w:tcBorders>
              <w:right w:val="single" w:sz="8" w:color="auto"/>
            </w:tcBorders>
          </w:tcPr>
          <w:p>
            <w:pPr>
              <w:spacing w:after="0"/>
              <w:rPr>
                <w:sz w:val="23"/>
                <w:szCs w:val="23"/>
                <w:color w:val="auto"/>
              </w:rPr>
            </w:pPr>
          </w:p>
        </w:tc>
        <w:tc>
          <w:tcPr>
            <w:tcW w:w="11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432"/>
        </w:trPr>
        <w:tc>
          <w:tcPr>
            <w:tcW w:w="340" w:type="dxa"/>
            <w:vAlign w:val="bottom"/>
            <w:tcBorders>
              <w:left w:val="single" w:sz="8" w:color="auto"/>
            </w:tcBorders>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1220" w:type="dxa"/>
            <w:vAlign w:val="bottom"/>
            <w:gridSpan w:val="2"/>
          </w:tcPr>
          <w:p>
            <w:pPr>
              <w:ind w:left="100"/>
              <w:spacing w:after="0"/>
              <w:rPr>
                <w:sz w:val="20"/>
                <w:szCs w:val="20"/>
                <w:color w:val="auto"/>
              </w:rPr>
            </w:pPr>
            <w:r>
              <w:rPr>
                <w:rFonts w:ascii="Arial" w:cs="Arial" w:eastAsia="Arial" w:hAnsi="Arial"/>
                <w:sz w:val="18"/>
                <w:szCs w:val="18"/>
                <w:color w:val="auto"/>
              </w:rPr>
              <w:t>United States</w:t>
            </w: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11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340" w:type="dxa"/>
            <w:vAlign w:val="bottom"/>
            <w:tcBorders>
              <w:left w:val="single" w:sz="8" w:color="auto"/>
              <w:bottom w:val="single" w:sz="8" w:color="auto"/>
            </w:tcBorders>
          </w:tcPr>
          <w:p>
            <w:pPr>
              <w:spacing w:after="0"/>
              <w:rPr>
                <w:sz w:val="5"/>
                <w:szCs w:val="5"/>
                <w:color w:val="auto"/>
              </w:rPr>
            </w:pPr>
          </w:p>
        </w:tc>
        <w:tc>
          <w:tcPr>
            <w:tcW w:w="28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5620" w:type="dxa"/>
            <w:vAlign w:val="bottom"/>
            <w:tcBorders>
              <w:bottom w:val="single" w:sz="8" w:color="auto"/>
            </w:tcBorders>
            <w:gridSpan w:val="3"/>
          </w:tcPr>
          <w:p>
            <w:pPr>
              <w:spacing w:after="0"/>
              <w:rPr>
                <w:sz w:val="5"/>
                <w:szCs w:val="5"/>
                <w:color w:val="auto"/>
              </w:rPr>
            </w:pPr>
          </w:p>
        </w:tc>
        <w:tc>
          <w:tcPr>
            <w:tcW w:w="228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340" w:type="dxa"/>
            <w:vAlign w:val="bottom"/>
            <w:tcBorders>
              <w:left w:val="single" w:sz="8" w:color="auto"/>
            </w:tcBorders>
          </w:tcPr>
          <w:p>
            <w:pPr>
              <w:spacing w:after="0"/>
              <w:rPr>
                <w:sz w:val="22"/>
                <w:szCs w:val="22"/>
                <w:color w:val="auto"/>
              </w:rPr>
            </w:pPr>
          </w:p>
        </w:tc>
        <w:tc>
          <w:tcPr>
            <w:tcW w:w="280" w:type="dxa"/>
            <w:vAlign w:val="bottom"/>
          </w:tcPr>
          <w:p>
            <w:pPr>
              <w:spacing w:after="0"/>
              <w:rPr>
                <w:sz w:val="22"/>
                <w:szCs w:val="22"/>
                <w:color w:val="auto"/>
              </w:rPr>
            </w:pPr>
          </w:p>
        </w:tc>
        <w:tc>
          <w:tcPr>
            <w:tcW w:w="114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22"/>
                <w:szCs w:val="22"/>
                <w:color w:val="auto"/>
              </w:rPr>
            </w:pPr>
          </w:p>
        </w:tc>
        <w:tc>
          <w:tcPr>
            <w:tcW w:w="5620" w:type="dxa"/>
            <w:vAlign w:val="bottom"/>
            <w:gridSpan w:val="3"/>
          </w:tcPr>
          <w:p>
            <w:pPr>
              <w:ind w:left="40"/>
              <w:spacing w:after="0"/>
              <w:rPr>
                <w:sz w:val="20"/>
                <w:szCs w:val="20"/>
                <w:color w:val="auto"/>
              </w:rPr>
            </w:pPr>
            <w:r>
              <w:rPr>
                <w:rFonts w:ascii="Arial" w:cs="Arial" w:eastAsia="Arial" w:hAnsi="Arial"/>
                <w:sz w:val="18"/>
                <w:szCs w:val="18"/>
                <w:color w:val="auto"/>
              </w:rPr>
              <w:t>SOLE VOTING POWER</w:t>
            </w:r>
          </w:p>
        </w:tc>
        <w:tc>
          <w:tcPr>
            <w:tcW w:w="2280" w:type="dxa"/>
            <w:vAlign w:val="bottom"/>
          </w:tcPr>
          <w:p>
            <w:pPr>
              <w:spacing w:after="0"/>
              <w:rPr>
                <w:sz w:val="22"/>
                <w:szCs w:val="22"/>
                <w:color w:val="auto"/>
              </w:rPr>
            </w:pPr>
          </w:p>
        </w:tc>
        <w:tc>
          <w:tcPr>
            <w:tcW w:w="11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420" w:type="dxa"/>
            <w:vAlign w:val="bottom"/>
            <w:tcBorders>
              <w:right w:val="single" w:sz="8" w:color="auto"/>
            </w:tcBorders>
            <w:gridSpan w:val="2"/>
            <w:vMerge w:val="restart"/>
          </w:tcPr>
          <w:p>
            <w:pPr>
              <w:jc w:val="center"/>
              <w:ind w:right="250"/>
              <w:spacing w:after="0"/>
              <w:rPr>
                <w:sz w:val="20"/>
                <w:szCs w:val="20"/>
                <w:color w:val="auto"/>
              </w:rPr>
            </w:pPr>
            <w:r>
              <w:rPr>
                <w:rFonts w:ascii="Arial" w:cs="Arial" w:eastAsia="Arial" w:hAnsi="Arial"/>
                <w:sz w:val="18"/>
                <w:szCs w:val="18"/>
                <w:color w:val="auto"/>
                <w:w w:val="96"/>
              </w:rPr>
              <w:t>NUMBER OF</w:t>
            </w:r>
          </w:p>
        </w:tc>
        <w:tc>
          <w:tcPr>
            <w:tcW w:w="80" w:type="dxa"/>
            <w:vAlign w:val="bottom"/>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220" w:type="dxa"/>
            <w:vAlign w:val="bottom"/>
          </w:tcPr>
          <w:p>
            <w:pPr>
              <w:jc w:val="right"/>
              <w:ind w:right="710"/>
              <w:spacing w:after="0"/>
              <w:rPr>
                <w:sz w:val="20"/>
                <w:szCs w:val="20"/>
                <w:color w:val="auto"/>
              </w:rPr>
            </w:pPr>
            <w:r>
              <w:rPr>
                <w:rFonts w:ascii="Arial" w:cs="Arial" w:eastAsia="Arial" w:hAnsi="Arial"/>
                <w:sz w:val="18"/>
                <w:szCs w:val="18"/>
                <w:color w:val="auto"/>
              </w:rPr>
              <w:t>2,268,671</w:t>
            </w:r>
          </w:p>
        </w:tc>
        <w:tc>
          <w:tcPr>
            <w:tcW w:w="2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340" w:type="dxa"/>
            <w:vAlign w:val="bottom"/>
            <w:tcBorders>
              <w:left w:val="single" w:sz="8" w:color="auto"/>
            </w:tcBorders>
          </w:tcPr>
          <w:p>
            <w:pPr>
              <w:spacing w:after="0"/>
              <w:rPr>
                <w:sz w:val="5"/>
                <w:szCs w:val="5"/>
                <w:color w:val="auto"/>
              </w:rPr>
            </w:pPr>
          </w:p>
        </w:tc>
        <w:tc>
          <w:tcPr>
            <w:tcW w:w="1420" w:type="dxa"/>
            <w:vAlign w:val="bottom"/>
            <w:tcBorders>
              <w:right w:val="single" w:sz="8" w:color="auto"/>
            </w:tcBorders>
            <w:gridSpan w:val="2"/>
            <w:vMerge w:val="continue"/>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80" w:type="dxa"/>
            <w:vAlign w:val="bottom"/>
            <w:tcBorders>
              <w:bottom w:val="single" w:sz="8" w:color="auto"/>
              <w:right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220" w:type="dxa"/>
            <w:vAlign w:val="bottom"/>
            <w:tcBorders>
              <w:bottom w:val="single" w:sz="8" w:color="auto"/>
            </w:tcBorders>
          </w:tcPr>
          <w:p>
            <w:pPr>
              <w:spacing w:after="0"/>
              <w:rPr>
                <w:sz w:val="5"/>
                <w:szCs w:val="5"/>
                <w:color w:val="auto"/>
              </w:rPr>
            </w:pPr>
          </w:p>
        </w:tc>
        <w:tc>
          <w:tcPr>
            <w:tcW w:w="22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2280" w:type="dxa"/>
            <w:vAlign w:val="bottom"/>
            <w:tcBorders>
              <w:bottom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1420" w:type="dxa"/>
            <w:vAlign w:val="bottom"/>
            <w:tcBorders>
              <w:right w:val="single" w:sz="8" w:color="auto"/>
            </w:tcBorders>
            <w:gridSpan w:val="2"/>
          </w:tcPr>
          <w:p>
            <w:pPr>
              <w:jc w:val="center"/>
              <w:ind w:right="250"/>
              <w:spacing w:after="0"/>
              <w:rPr>
                <w:sz w:val="20"/>
                <w:szCs w:val="20"/>
                <w:color w:val="auto"/>
              </w:rPr>
            </w:pPr>
            <w:r>
              <w:rPr>
                <w:rFonts w:ascii="Arial" w:cs="Arial" w:eastAsia="Arial" w:hAnsi="Arial"/>
                <w:sz w:val="18"/>
                <w:szCs w:val="18"/>
                <w:color w:val="auto"/>
                <w:w w:val="91"/>
              </w:rPr>
              <w:t>SHARES</w:t>
            </w:r>
          </w:p>
        </w:tc>
        <w:tc>
          <w:tcPr>
            <w:tcW w:w="80" w:type="dxa"/>
            <w:vAlign w:val="bottom"/>
          </w:tcPr>
          <w:p>
            <w:pPr>
              <w:spacing w:after="0"/>
              <w:rPr>
                <w:sz w:val="18"/>
                <w:szCs w:val="18"/>
                <w:color w:val="auto"/>
              </w:rPr>
            </w:pPr>
          </w:p>
        </w:tc>
        <w:tc>
          <w:tcPr>
            <w:tcW w:w="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8"/>
                <w:szCs w:val="18"/>
                <w:color w:val="auto"/>
              </w:rPr>
            </w:pPr>
          </w:p>
        </w:tc>
        <w:tc>
          <w:tcPr>
            <w:tcW w:w="5620" w:type="dxa"/>
            <w:vAlign w:val="bottom"/>
            <w:gridSpan w:val="3"/>
          </w:tcPr>
          <w:p>
            <w:pPr>
              <w:ind w:left="40"/>
              <w:spacing w:after="0"/>
              <w:rPr>
                <w:sz w:val="20"/>
                <w:szCs w:val="20"/>
                <w:color w:val="auto"/>
              </w:rPr>
            </w:pPr>
            <w:r>
              <w:rPr>
                <w:rFonts w:ascii="Arial" w:cs="Arial" w:eastAsia="Arial" w:hAnsi="Arial"/>
                <w:sz w:val="18"/>
                <w:szCs w:val="18"/>
                <w:color w:val="auto"/>
              </w:rPr>
              <w:t>SHARED VOTING POWER</w:t>
            </w:r>
          </w:p>
        </w:tc>
        <w:tc>
          <w:tcPr>
            <w:tcW w:w="2280" w:type="dxa"/>
            <w:vAlign w:val="bottom"/>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rPr>
              <w:t>BENEFICIALLY</w:t>
            </w:r>
          </w:p>
        </w:tc>
        <w:tc>
          <w:tcPr>
            <w:tcW w:w="8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220" w:type="dxa"/>
            <w:vAlign w:val="bottom"/>
          </w:tcPr>
          <w:p>
            <w:pPr>
              <w:jc w:val="right"/>
              <w:ind w:right="710"/>
              <w:spacing w:after="0"/>
              <w:rPr>
                <w:sz w:val="20"/>
                <w:szCs w:val="20"/>
                <w:color w:val="auto"/>
              </w:rPr>
            </w:pPr>
            <w:r>
              <w:rPr>
                <w:rFonts w:ascii="Arial" w:cs="Arial" w:eastAsia="Arial" w:hAnsi="Arial"/>
                <w:sz w:val="18"/>
                <w:szCs w:val="18"/>
                <w:color w:val="auto"/>
              </w:rPr>
              <w:t>4,437,605</w:t>
            </w:r>
          </w:p>
        </w:tc>
        <w:tc>
          <w:tcPr>
            <w:tcW w:w="2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340" w:type="dxa"/>
            <w:vAlign w:val="bottom"/>
            <w:tcBorders>
              <w:left w:val="single" w:sz="8" w:color="auto"/>
            </w:tcBorders>
          </w:tcPr>
          <w:p>
            <w:pPr>
              <w:spacing w:after="0"/>
              <w:rPr>
                <w:sz w:val="10"/>
                <w:szCs w:val="10"/>
                <w:color w:val="auto"/>
              </w:rPr>
            </w:pPr>
          </w:p>
        </w:tc>
        <w:tc>
          <w:tcPr>
            <w:tcW w:w="1420" w:type="dxa"/>
            <w:vAlign w:val="bottom"/>
            <w:tcBorders>
              <w:right w:val="single" w:sz="8" w:color="auto"/>
            </w:tcBorders>
            <w:gridSpan w:val="2"/>
            <w:vMerge w:val="restart"/>
          </w:tcPr>
          <w:p>
            <w:pPr>
              <w:jc w:val="center"/>
              <w:ind w:right="250"/>
              <w:spacing w:after="0"/>
              <w:rPr>
                <w:sz w:val="20"/>
                <w:szCs w:val="20"/>
                <w:color w:val="auto"/>
              </w:rPr>
            </w:pPr>
            <w:r>
              <w:rPr>
                <w:rFonts w:ascii="Arial" w:cs="Arial" w:eastAsia="Arial" w:hAnsi="Arial"/>
                <w:sz w:val="18"/>
                <w:szCs w:val="18"/>
                <w:color w:val="auto"/>
                <w:w w:val="97"/>
              </w:rPr>
              <w:t>OWNED BY</w:t>
            </w:r>
          </w:p>
        </w:tc>
        <w:tc>
          <w:tcPr>
            <w:tcW w:w="80" w:type="dxa"/>
            <w:vAlign w:val="bottom"/>
            <w:tcBorders>
              <w:bottom w:val="single" w:sz="8" w:color="auto"/>
            </w:tcBorders>
          </w:tcPr>
          <w:p>
            <w:pPr>
              <w:spacing w:after="0"/>
              <w:rPr>
                <w:sz w:val="10"/>
                <w:szCs w:val="10"/>
                <w:color w:val="auto"/>
              </w:rPr>
            </w:pPr>
          </w:p>
        </w:tc>
        <w:tc>
          <w:tcPr>
            <w:tcW w:w="480" w:type="dxa"/>
            <w:vAlign w:val="bottom"/>
            <w:tcBorders>
              <w:bottom w:val="single" w:sz="8" w:color="auto"/>
              <w:right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tcPr>
          <w:p>
            <w:pPr>
              <w:spacing w:after="0"/>
              <w:rPr>
                <w:sz w:val="10"/>
                <w:szCs w:val="10"/>
                <w:color w:val="auto"/>
              </w:rPr>
            </w:pPr>
          </w:p>
        </w:tc>
        <w:tc>
          <w:tcPr>
            <w:tcW w:w="226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2280" w:type="dxa"/>
            <w:vAlign w:val="bottom"/>
            <w:tcBorders>
              <w:bottom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340" w:type="dxa"/>
            <w:vAlign w:val="bottom"/>
            <w:tcBorders>
              <w:left w:val="single" w:sz="8" w:color="auto"/>
            </w:tcBorders>
          </w:tcPr>
          <w:p>
            <w:pPr>
              <w:spacing w:after="0"/>
              <w:rPr>
                <w:sz w:val="6"/>
                <w:szCs w:val="6"/>
                <w:color w:val="auto"/>
              </w:rPr>
            </w:pPr>
          </w:p>
        </w:tc>
        <w:tc>
          <w:tcPr>
            <w:tcW w:w="1420" w:type="dxa"/>
            <w:vAlign w:val="bottom"/>
            <w:tcBorders>
              <w:right w:val="single" w:sz="8" w:color="auto"/>
            </w:tcBorders>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6"/>
                <w:szCs w:val="6"/>
                <w:color w:val="auto"/>
              </w:rPr>
            </w:pPr>
          </w:p>
        </w:tc>
        <w:tc>
          <w:tcPr>
            <w:tcW w:w="5620" w:type="dxa"/>
            <w:vAlign w:val="bottom"/>
            <w:gridSpan w:val="3"/>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2280" w:type="dxa"/>
            <w:vAlign w:val="bottom"/>
          </w:tcPr>
          <w:p>
            <w:pPr>
              <w:spacing w:after="0"/>
              <w:rPr>
                <w:sz w:val="6"/>
                <w:szCs w:val="6"/>
                <w:color w:val="auto"/>
              </w:rPr>
            </w:pPr>
          </w:p>
        </w:tc>
        <w:tc>
          <w:tcPr>
            <w:tcW w:w="11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340" w:type="dxa"/>
            <w:vAlign w:val="bottom"/>
            <w:tcBorders>
              <w:left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Borders>
              <w:right w:val="single" w:sz="8" w:color="auto"/>
            </w:tcBorders>
          </w:tcPr>
          <w:p>
            <w:pPr>
              <w:jc w:val="center"/>
              <w:ind w:right="530"/>
              <w:spacing w:after="0" w:line="176" w:lineRule="exact"/>
              <w:rPr>
                <w:sz w:val="20"/>
                <w:szCs w:val="20"/>
                <w:color w:val="auto"/>
              </w:rPr>
            </w:pPr>
            <w:r>
              <w:rPr>
                <w:rFonts w:ascii="Arial" w:cs="Arial" w:eastAsia="Arial" w:hAnsi="Arial"/>
                <w:sz w:val="18"/>
                <w:szCs w:val="18"/>
                <w:color w:val="auto"/>
                <w:w w:val="95"/>
              </w:rPr>
              <w:t>EACH</w:t>
            </w:r>
          </w:p>
        </w:tc>
        <w:tc>
          <w:tcPr>
            <w:tcW w:w="80" w:type="dxa"/>
            <w:vAlign w:val="bottom"/>
          </w:tcPr>
          <w:p>
            <w:pPr>
              <w:spacing w:after="0"/>
              <w:rPr>
                <w:sz w:val="15"/>
                <w:szCs w:val="15"/>
                <w:color w:val="auto"/>
              </w:rPr>
            </w:pPr>
          </w:p>
        </w:tc>
        <w:tc>
          <w:tcPr>
            <w:tcW w:w="480" w:type="dxa"/>
            <w:vAlign w:val="bottom"/>
            <w:tcBorders>
              <w:right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5620" w:type="dxa"/>
            <w:vAlign w:val="bottom"/>
            <w:gridSpan w:val="3"/>
            <w:vMerge w:val="continue"/>
          </w:tcPr>
          <w:p>
            <w:pPr>
              <w:spacing w:after="0"/>
              <w:rPr>
                <w:sz w:val="15"/>
                <w:szCs w:val="15"/>
                <w:color w:val="auto"/>
              </w:rPr>
            </w:pPr>
          </w:p>
        </w:tc>
        <w:tc>
          <w:tcPr>
            <w:tcW w:w="2280" w:type="dxa"/>
            <w:vAlign w:val="bottom"/>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340" w:type="dxa"/>
            <w:vAlign w:val="bottom"/>
            <w:tcBorders>
              <w:left w:val="single" w:sz="8" w:color="auto"/>
            </w:tcBorders>
          </w:tcPr>
          <w:p>
            <w:pPr>
              <w:spacing w:after="0"/>
              <w:rPr>
                <w:sz w:val="22"/>
                <w:szCs w:val="22"/>
                <w:color w:val="auto"/>
              </w:rPr>
            </w:pPr>
          </w:p>
        </w:tc>
        <w:tc>
          <w:tcPr>
            <w:tcW w:w="1420" w:type="dxa"/>
            <w:vAlign w:val="bottom"/>
            <w:tcBorders>
              <w:right w:val="single" w:sz="8" w:color="auto"/>
            </w:tcBorders>
            <w:gridSpan w:val="2"/>
          </w:tcPr>
          <w:p>
            <w:pPr>
              <w:jc w:val="center"/>
              <w:ind w:right="250"/>
              <w:spacing w:after="0"/>
              <w:rPr>
                <w:sz w:val="20"/>
                <w:szCs w:val="20"/>
                <w:color w:val="auto"/>
              </w:rPr>
            </w:pPr>
            <w:r>
              <w:rPr>
                <w:rFonts w:ascii="Arial" w:cs="Arial" w:eastAsia="Arial" w:hAnsi="Arial"/>
                <w:sz w:val="18"/>
                <w:szCs w:val="18"/>
                <w:color w:val="auto"/>
                <w:w w:val="93"/>
              </w:rPr>
              <w:t>REPORTING</w:t>
            </w:r>
          </w:p>
        </w:tc>
        <w:tc>
          <w:tcPr>
            <w:tcW w:w="80" w:type="dxa"/>
            <w:vAlign w:val="bottom"/>
          </w:tcPr>
          <w:p>
            <w:pPr>
              <w:spacing w:after="0"/>
              <w:rPr>
                <w:sz w:val="22"/>
                <w:szCs w:val="22"/>
                <w:color w:val="auto"/>
              </w:rPr>
            </w:pPr>
          </w:p>
        </w:tc>
        <w:tc>
          <w:tcPr>
            <w:tcW w:w="480" w:type="dxa"/>
            <w:vAlign w:val="bottom"/>
            <w:tcBorders>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2220" w:type="dxa"/>
            <w:vAlign w:val="bottom"/>
          </w:tcPr>
          <w:p>
            <w:pPr>
              <w:jc w:val="right"/>
              <w:ind w:right="710"/>
              <w:spacing w:after="0"/>
              <w:rPr>
                <w:sz w:val="20"/>
                <w:szCs w:val="20"/>
                <w:color w:val="auto"/>
              </w:rPr>
            </w:pPr>
            <w:r>
              <w:rPr>
                <w:rFonts w:ascii="Arial" w:cs="Arial" w:eastAsia="Arial" w:hAnsi="Arial"/>
                <w:sz w:val="18"/>
                <w:szCs w:val="18"/>
                <w:color w:val="auto"/>
              </w:rPr>
              <w:t>2,268,671</w:t>
            </w:r>
          </w:p>
        </w:tc>
        <w:tc>
          <w:tcPr>
            <w:tcW w:w="22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11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176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4"/>
              </w:rPr>
              <w:t>PERSON WITH</w:t>
            </w:r>
          </w:p>
        </w:tc>
        <w:tc>
          <w:tcPr>
            <w:tcW w:w="80" w:type="dxa"/>
            <w:vAlign w:val="bottom"/>
            <w:tcBorders>
              <w:bottom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220" w:type="dxa"/>
            <w:vAlign w:val="bottom"/>
            <w:tcBorders>
              <w:bottom w:val="single" w:sz="8" w:color="auto"/>
            </w:tcBorders>
          </w:tcPr>
          <w:p>
            <w:pPr>
              <w:spacing w:after="0"/>
              <w:rPr>
                <w:sz w:val="3"/>
                <w:szCs w:val="3"/>
                <w:color w:val="auto"/>
              </w:rPr>
            </w:pPr>
          </w:p>
        </w:tc>
        <w:tc>
          <w:tcPr>
            <w:tcW w:w="22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280" w:type="dxa"/>
            <w:vAlign w:val="bottom"/>
            <w:tcBorders>
              <w:bottom w:val="single" w:sz="8" w:color="auto"/>
            </w:tcBorders>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1760" w:type="dxa"/>
            <w:vAlign w:val="bottom"/>
            <w:tcBorders>
              <w:left w:val="single" w:sz="8" w:color="auto"/>
              <w:right w:val="single" w:sz="8" w:color="auto"/>
            </w:tcBorders>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5"/>
                <w:szCs w:val="15"/>
                <w:color w:val="auto"/>
              </w:rPr>
            </w:pPr>
          </w:p>
        </w:tc>
        <w:tc>
          <w:tcPr>
            <w:tcW w:w="5620" w:type="dxa"/>
            <w:vAlign w:val="bottom"/>
            <w:gridSpan w:val="3"/>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2280" w:type="dxa"/>
            <w:vAlign w:val="bottom"/>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340" w:type="dxa"/>
            <w:vAlign w:val="bottom"/>
            <w:tcBorders>
              <w:left w:val="single" w:sz="8" w:color="auto"/>
            </w:tcBorders>
          </w:tcPr>
          <w:p>
            <w:pPr>
              <w:spacing w:after="0"/>
              <w:rPr>
                <w:sz w:val="6"/>
                <w:szCs w:val="6"/>
                <w:color w:val="auto"/>
              </w:rPr>
            </w:pPr>
          </w:p>
        </w:tc>
        <w:tc>
          <w:tcPr>
            <w:tcW w:w="280" w:type="dxa"/>
            <w:vAlign w:val="bottom"/>
          </w:tcPr>
          <w:p>
            <w:pPr>
              <w:spacing w:after="0"/>
              <w:rPr>
                <w:sz w:val="6"/>
                <w:szCs w:val="6"/>
                <w:color w:val="auto"/>
              </w:rPr>
            </w:pPr>
          </w:p>
        </w:tc>
        <w:tc>
          <w:tcPr>
            <w:tcW w:w="1140" w:type="dxa"/>
            <w:vAlign w:val="bottom"/>
            <w:tcBorders>
              <w:right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Borders>
              <w:right w:val="single" w:sz="8" w:color="auto"/>
            </w:tcBorders>
            <w:vMerge w:val="continue"/>
          </w:tcPr>
          <w:p>
            <w:pPr>
              <w:spacing w:after="0"/>
              <w:rPr>
                <w:sz w:val="6"/>
                <w:szCs w:val="6"/>
                <w:color w:val="auto"/>
              </w:rPr>
            </w:pPr>
          </w:p>
        </w:tc>
        <w:tc>
          <w:tcPr>
            <w:tcW w:w="60" w:type="dxa"/>
            <w:vAlign w:val="bottom"/>
          </w:tcPr>
          <w:p>
            <w:pPr>
              <w:spacing w:after="0"/>
              <w:rPr>
                <w:sz w:val="6"/>
                <w:szCs w:val="6"/>
                <w:color w:val="auto"/>
              </w:rPr>
            </w:pPr>
          </w:p>
        </w:tc>
        <w:tc>
          <w:tcPr>
            <w:tcW w:w="5620" w:type="dxa"/>
            <w:vAlign w:val="bottom"/>
            <w:gridSpan w:val="3"/>
            <w:vMerge w:val="continue"/>
          </w:tcPr>
          <w:p>
            <w:pPr>
              <w:spacing w:after="0"/>
              <w:rPr>
                <w:sz w:val="6"/>
                <w:szCs w:val="6"/>
                <w:color w:val="auto"/>
              </w:rPr>
            </w:pPr>
          </w:p>
        </w:tc>
        <w:tc>
          <w:tcPr>
            <w:tcW w:w="2280" w:type="dxa"/>
            <w:vAlign w:val="bottom"/>
          </w:tcPr>
          <w:p>
            <w:pPr>
              <w:spacing w:after="0"/>
              <w:rPr>
                <w:sz w:val="6"/>
                <w:szCs w:val="6"/>
                <w:color w:val="auto"/>
              </w:rPr>
            </w:pPr>
          </w:p>
        </w:tc>
        <w:tc>
          <w:tcPr>
            <w:tcW w:w="11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220" w:type="dxa"/>
            <w:vAlign w:val="bottom"/>
          </w:tcPr>
          <w:p>
            <w:pPr>
              <w:jc w:val="right"/>
              <w:ind w:right="710"/>
              <w:spacing w:after="0"/>
              <w:rPr>
                <w:sz w:val="20"/>
                <w:szCs w:val="20"/>
                <w:color w:val="auto"/>
              </w:rPr>
            </w:pPr>
            <w:r>
              <w:rPr>
                <w:rFonts w:ascii="Arial" w:cs="Arial" w:eastAsia="Arial" w:hAnsi="Arial"/>
                <w:sz w:val="18"/>
                <w:szCs w:val="18"/>
                <w:color w:val="auto"/>
              </w:rPr>
              <w:t>4,437,605</w:t>
            </w:r>
          </w:p>
        </w:tc>
        <w:tc>
          <w:tcPr>
            <w:tcW w:w="2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340" w:type="dxa"/>
            <w:vAlign w:val="bottom"/>
            <w:tcBorders>
              <w:left w:val="single" w:sz="8" w:color="auto"/>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560" w:type="dxa"/>
            <w:vAlign w:val="bottom"/>
            <w:tcBorders>
              <w:bottom w:val="single" w:sz="8" w:color="auto"/>
              <w:right w:val="single" w:sz="8" w:color="auto"/>
            </w:tcBorders>
            <w:gridSpan w:val="2"/>
          </w:tcPr>
          <w:p>
            <w:pPr>
              <w:spacing w:after="0"/>
              <w:rPr>
                <w:sz w:val="5"/>
                <w:szCs w:val="5"/>
                <w:color w:val="auto"/>
              </w:rPr>
            </w:pPr>
          </w:p>
        </w:tc>
        <w:tc>
          <w:tcPr>
            <w:tcW w:w="5680" w:type="dxa"/>
            <w:vAlign w:val="bottom"/>
            <w:tcBorders>
              <w:bottom w:val="single" w:sz="8" w:color="auto"/>
            </w:tcBorders>
            <w:gridSpan w:val="4"/>
          </w:tcPr>
          <w:p>
            <w:pPr>
              <w:spacing w:after="0"/>
              <w:rPr>
                <w:sz w:val="5"/>
                <w:szCs w:val="5"/>
                <w:color w:val="auto"/>
              </w:rPr>
            </w:pPr>
          </w:p>
        </w:tc>
        <w:tc>
          <w:tcPr>
            <w:tcW w:w="2280" w:type="dxa"/>
            <w:vAlign w:val="bottom"/>
            <w:tcBorders>
              <w:bottom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340" w:type="dxa"/>
            <w:vAlign w:val="bottom"/>
            <w:tcBorders>
              <w:left w:val="single" w:sz="8" w:color="auto"/>
            </w:tcBorders>
          </w:tcPr>
          <w:p>
            <w:pPr>
              <w:ind w:left="140"/>
              <w:spacing w:after="0"/>
              <w:rPr>
                <w:sz w:val="20"/>
                <w:szCs w:val="20"/>
                <w:color w:val="auto"/>
              </w:rPr>
            </w:pPr>
            <w:r>
              <w:rPr>
                <w:rFonts w:ascii="Arial" w:cs="Arial" w:eastAsia="Arial" w:hAnsi="Arial"/>
                <w:sz w:val="18"/>
                <w:szCs w:val="18"/>
                <w:color w:val="auto"/>
                <w:w w:val="89"/>
              </w:rPr>
              <w:t>11</w:t>
            </w:r>
          </w:p>
        </w:tc>
        <w:tc>
          <w:tcPr>
            <w:tcW w:w="280" w:type="dxa"/>
            <w:vAlign w:val="bottom"/>
            <w:tcBorders>
              <w:right w:val="single" w:sz="8" w:color="auto"/>
            </w:tcBorders>
          </w:tcPr>
          <w:p>
            <w:pPr>
              <w:spacing w:after="0"/>
              <w:rPr>
                <w:sz w:val="23"/>
                <w:szCs w:val="23"/>
                <w:color w:val="auto"/>
              </w:rPr>
            </w:pPr>
          </w:p>
        </w:tc>
        <w:tc>
          <w:tcPr>
            <w:tcW w:w="7380" w:type="dxa"/>
            <w:vAlign w:val="bottom"/>
            <w:gridSpan w:val="7"/>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2280" w:type="dxa"/>
            <w:vAlign w:val="bottom"/>
          </w:tcPr>
          <w:p>
            <w:pPr>
              <w:spacing w:after="0"/>
              <w:rPr>
                <w:sz w:val="23"/>
                <w:szCs w:val="23"/>
                <w:color w:val="auto"/>
              </w:rPr>
            </w:pPr>
          </w:p>
        </w:tc>
        <w:tc>
          <w:tcPr>
            <w:tcW w:w="11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432"/>
        </w:trPr>
        <w:tc>
          <w:tcPr>
            <w:tcW w:w="340" w:type="dxa"/>
            <w:vAlign w:val="bottom"/>
            <w:tcBorders>
              <w:left w:val="single" w:sz="8" w:color="auto"/>
            </w:tcBorders>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1140" w:type="dxa"/>
            <w:vAlign w:val="bottom"/>
          </w:tcPr>
          <w:p>
            <w:pPr>
              <w:ind w:left="100"/>
              <w:spacing w:after="0"/>
              <w:rPr>
                <w:sz w:val="20"/>
                <w:szCs w:val="20"/>
                <w:color w:val="auto"/>
              </w:rPr>
            </w:pPr>
            <w:r>
              <w:rPr>
                <w:rFonts w:ascii="Arial" w:cs="Arial" w:eastAsia="Arial" w:hAnsi="Arial"/>
                <w:sz w:val="18"/>
                <w:szCs w:val="18"/>
                <w:color w:val="auto"/>
              </w:rPr>
              <w:t>6,706,276</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1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340" w:type="dxa"/>
            <w:vAlign w:val="bottom"/>
            <w:tcBorders>
              <w:left w:val="single" w:sz="8" w:color="auto"/>
              <w:bottom w:val="single" w:sz="8" w:color="auto"/>
            </w:tcBorders>
          </w:tcPr>
          <w:p>
            <w:pPr>
              <w:spacing w:after="0"/>
              <w:rPr>
                <w:sz w:val="5"/>
                <w:szCs w:val="5"/>
                <w:color w:val="auto"/>
              </w:rPr>
            </w:pPr>
          </w:p>
        </w:tc>
        <w:tc>
          <w:tcPr>
            <w:tcW w:w="280" w:type="dxa"/>
            <w:vAlign w:val="bottom"/>
            <w:tcBorders>
              <w:bottom w:val="single" w:sz="8" w:color="auto"/>
              <w:right w:val="single" w:sz="8" w:color="auto"/>
            </w:tcBorders>
          </w:tcPr>
          <w:p>
            <w:pPr>
              <w:spacing w:after="0"/>
              <w:rPr>
                <w:sz w:val="5"/>
                <w:szCs w:val="5"/>
                <w:color w:val="auto"/>
              </w:rPr>
            </w:pPr>
          </w:p>
        </w:tc>
        <w:tc>
          <w:tcPr>
            <w:tcW w:w="7380" w:type="dxa"/>
            <w:vAlign w:val="bottom"/>
            <w:tcBorders>
              <w:bottom w:val="single" w:sz="8" w:color="auto"/>
            </w:tcBorders>
            <w:gridSpan w:val="7"/>
          </w:tcPr>
          <w:p>
            <w:pPr>
              <w:spacing w:after="0"/>
              <w:rPr>
                <w:sz w:val="5"/>
                <w:szCs w:val="5"/>
                <w:color w:val="auto"/>
              </w:rPr>
            </w:pPr>
          </w:p>
        </w:tc>
        <w:tc>
          <w:tcPr>
            <w:tcW w:w="2280" w:type="dxa"/>
            <w:vAlign w:val="bottom"/>
            <w:tcBorders>
              <w:bottom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340" w:type="dxa"/>
            <w:vAlign w:val="bottom"/>
            <w:tcBorders>
              <w:left w:val="single" w:sz="8" w:color="auto"/>
            </w:tcBorders>
          </w:tcPr>
          <w:p>
            <w:pPr>
              <w:ind w:left="140"/>
              <w:spacing w:after="0"/>
              <w:rPr>
                <w:sz w:val="20"/>
                <w:szCs w:val="20"/>
                <w:color w:val="auto"/>
              </w:rPr>
            </w:pPr>
            <w:r>
              <w:rPr>
                <w:rFonts w:ascii="Arial" w:cs="Arial" w:eastAsia="Arial" w:hAnsi="Arial"/>
                <w:sz w:val="18"/>
                <w:szCs w:val="18"/>
                <w:color w:val="auto"/>
                <w:w w:val="89"/>
              </w:rPr>
              <w:t>12</w:t>
            </w:r>
          </w:p>
        </w:tc>
        <w:tc>
          <w:tcPr>
            <w:tcW w:w="280" w:type="dxa"/>
            <w:vAlign w:val="bottom"/>
            <w:tcBorders>
              <w:right w:val="single" w:sz="8" w:color="auto"/>
            </w:tcBorders>
          </w:tcPr>
          <w:p>
            <w:pPr>
              <w:spacing w:after="0"/>
              <w:rPr>
                <w:sz w:val="23"/>
                <w:szCs w:val="23"/>
                <w:color w:val="auto"/>
              </w:rPr>
            </w:pPr>
          </w:p>
        </w:tc>
        <w:tc>
          <w:tcPr>
            <w:tcW w:w="7380" w:type="dxa"/>
            <w:vAlign w:val="bottom"/>
            <w:gridSpan w:val="7"/>
          </w:tcPr>
          <w:p>
            <w:pPr>
              <w:ind w:left="100"/>
              <w:spacing w:after="0"/>
              <w:rPr>
                <w:sz w:val="20"/>
                <w:szCs w:val="20"/>
                <w:color w:val="auto"/>
              </w:rPr>
            </w:pPr>
            <w:r>
              <w:rPr>
                <w:rFonts w:ascii="Arial" w:cs="Arial" w:eastAsia="Arial" w:hAnsi="Arial"/>
                <w:sz w:val="18"/>
                <w:szCs w:val="18"/>
                <w:color w:val="auto"/>
              </w:rPr>
              <w:t>CHECK IF THE AGGREGATE AMOUNT IN ROW (11) EXCLUDES CERTAIN SHARES</w:t>
            </w:r>
          </w:p>
        </w:tc>
        <w:tc>
          <w:tcPr>
            <w:tcW w:w="2280" w:type="dxa"/>
            <w:vAlign w:val="bottom"/>
            <w:tcBorders>
              <w:right w:val="single" w:sz="8" w:color="auto"/>
            </w:tcBorders>
          </w:tcPr>
          <w:p>
            <w:pPr>
              <w:spacing w:after="0"/>
              <w:rPr>
                <w:sz w:val="23"/>
                <w:szCs w:val="23"/>
                <w:color w:val="auto"/>
              </w:rPr>
            </w:pPr>
          </w:p>
        </w:tc>
        <w:tc>
          <w:tcPr>
            <w:tcW w:w="1140" w:type="dxa"/>
            <w:vAlign w:val="bottom"/>
            <w:tcBorders>
              <w:right w:val="single" w:sz="8" w:color="auto"/>
            </w:tcBorders>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28"/>
        </w:trPr>
        <w:tc>
          <w:tcPr>
            <w:tcW w:w="340" w:type="dxa"/>
            <w:vAlign w:val="bottom"/>
            <w:tcBorders>
              <w:left w:val="single" w:sz="8" w:color="auto"/>
            </w:tcBorders>
          </w:tcPr>
          <w:p>
            <w:pPr>
              <w:spacing w:after="0"/>
              <w:rPr>
                <w:sz w:val="11"/>
                <w:szCs w:val="11"/>
                <w:color w:val="auto"/>
              </w:rPr>
            </w:pPr>
          </w:p>
        </w:tc>
        <w:tc>
          <w:tcPr>
            <w:tcW w:w="280" w:type="dxa"/>
            <w:vAlign w:val="bottom"/>
            <w:tcBorders>
              <w:right w:val="single" w:sz="8" w:color="auto"/>
            </w:tcBorders>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8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40" w:type="dxa"/>
            <w:vAlign w:val="bottom"/>
            <w:tcBorders>
              <w:left w:val="single" w:sz="8" w:color="auto"/>
              <w:bottom w:val="single" w:sz="8" w:color="auto"/>
            </w:tcBorders>
          </w:tcPr>
          <w:p>
            <w:pPr>
              <w:spacing w:after="0"/>
              <w:rPr>
                <w:sz w:val="12"/>
                <w:szCs w:val="12"/>
                <w:color w:val="auto"/>
              </w:rPr>
            </w:pPr>
          </w:p>
        </w:tc>
        <w:tc>
          <w:tcPr>
            <w:tcW w:w="280" w:type="dxa"/>
            <w:vAlign w:val="bottom"/>
            <w:tcBorders>
              <w:bottom w:val="single" w:sz="8" w:color="auto"/>
              <w:right w:val="single" w:sz="8" w:color="auto"/>
            </w:tcBorders>
          </w:tcPr>
          <w:p>
            <w:pPr>
              <w:spacing w:after="0"/>
              <w:rPr>
                <w:sz w:val="12"/>
                <w:szCs w:val="12"/>
                <w:color w:val="auto"/>
              </w:rPr>
            </w:pPr>
          </w:p>
        </w:tc>
        <w:tc>
          <w:tcPr>
            <w:tcW w:w="7380" w:type="dxa"/>
            <w:vAlign w:val="bottom"/>
            <w:tcBorders>
              <w:bottom w:val="single" w:sz="8" w:color="auto"/>
            </w:tcBorders>
            <w:gridSpan w:val="7"/>
          </w:tcPr>
          <w:p>
            <w:pPr>
              <w:spacing w:after="0"/>
              <w:rPr>
                <w:sz w:val="12"/>
                <w:szCs w:val="12"/>
                <w:color w:val="auto"/>
              </w:rPr>
            </w:pPr>
          </w:p>
        </w:tc>
        <w:tc>
          <w:tcPr>
            <w:tcW w:w="2280" w:type="dxa"/>
            <w:vAlign w:val="bottom"/>
            <w:tcBorders>
              <w:bottom w:val="single" w:sz="8" w:color="auto"/>
              <w:right w:val="single" w:sz="8" w:color="auto"/>
            </w:tcBorders>
          </w:tcPr>
          <w:p>
            <w:pPr>
              <w:spacing w:after="0"/>
              <w:rPr>
                <w:sz w:val="12"/>
                <w:szCs w:val="12"/>
                <w:color w:val="auto"/>
              </w:rPr>
            </w:pPr>
          </w:p>
        </w:tc>
        <w:tc>
          <w:tcPr>
            <w:tcW w:w="11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340" w:type="dxa"/>
            <w:vAlign w:val="bottom"/>
            <w:tcBorders>
              <w:left w:val="single" w:sz="8" w:color="auto"/>
            </w:tcBorders>
          </w:tcPr>
          <w:p>
            <w:pPr>
              <w:ind w:left="140"/>
              <w:spacing w:after="0"/>
              <w:rPr>
                <w:sz w:val="20"/>
                <w:szCs w:val="20"/>
                <w:color w:val="auto"/>
              </w:rPr>
            </w:pPr>
            <w:r>
              <w:rPr>
                <w:rFonts w:ascii="Arial" w:cs="Arial" w:eastAsia="Arial" w:hAnsi="Arial"/>
                <w:sz w:val="18"/>
                <w:szCs w:val="18"/>
                <w:color w:val="auto"/>
                <w:w w:val="89"/>
              </w:rPr>
              <w:t>13</w:t>
            </w:r>
          </w:p>
        </w:tc>
        <w:tc>
          <w:tcPr>
            <w:tcW w:w="280" w:type="dxa"/>
            <w:vAlign w:val="bottom"/>
            <w:tcBorders>
              <w:right w:val="single" w:sz="8" w:color="auto"/>
            </w:tcBorders>
          </w:tcPr>
          <w:p>
            <w:pPr>
              <w:spacing w:after="0"/>
              <w:rPr>
                <w:sz w:val="23"/>
                <w:szCs w:val="23"/>
                <w:color w:val="auto"/>
              </w:rPr>
            </w:pPr>
          </w:p>
        </w:tc>
        <w:tc>
          <w:tcPr>
            <w:tcW w:w="7380" w:type="dxa"/>
            <w:vAlign w:val="bottom"/>
            <w:gridSpan w:val="7"/>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2280" w:type="dxa"/>
            <w:vAlign w:val="bottom"/>
            <w:tcBorders>
              <w:right w:val="single" w:sz="8" w:color="auto"/>
            </w:tcBorders>
          </w:tcPr>
          <w:p>
            <w:pPr>
              <w:spacing w:after="0"/>
              <w:rPr>
                <w:sz w:val="23"/>
                <w:szCs w:val="23"/>
                <w:color w:val="auto"/>
              </w:rPr>
            </w:pPr>
          </w:p>
        </w:tc>
        <w:tc>
          <w:tcPr>
            <w:tcW w:w="11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432"/>
        </w:trPr>
        <w:tc>
          <w:tcPr>
            <w:tcW w:w="340" w:type="dxa"/>
            <w:vAlign w:val="bottom"/>
            <w:tcBorders>
              <w:left w:val="single" w:sz="8" w:color="auto"/>
            </w:tcBorders>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1140" w:type="dxa"/>
            <w:vAlign w:val="bottom"/>
          </w:tcPr>
          <w:p>
            <w:pPr>
              <w:ind w:left="100"/>
              <w:spacing w:after="0"/>
              <w:rPr>
                <w:sz w:val="20"/>
                <w:szCs w:val="20"/>
                <w:color w:val="auto"/>
              </w:rPr>
            </w:pPr>
            <w:r>
              <w:rPr>
                <w:rFonts w:ascii="Arial" w:cs="Arial" w:eastAsia="Arial" w:hAnsi="Arial"/>
                <w:sz w:val="18"/>
                <w:szCs w:val="18"/>
                <w:color w:val="auto"/>
              </w:rPr>
              <w:t>15.5%</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11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340" w:type="dxa"/>
            <w:vAlign w:val="bottom"/>
            <w:tcBorders>
              <w:left w:val="single" w:sz="8" w:color="auto"/>
              <w:bottom w:val="single" w:sz="8" w:color="auto"/>
            </w:tcBorders>
          </w:tcPr>
          <w:p>
            <w:pPr>
              <w:spacing w:after="0"/>
              <w:rPr>
                <w:sz w:val="5"/>
                <w:szCs w:val="5"/>
                <w:color w:val="auto"/>
              </w:rPr>
            </w:pPr>
          </w:p>
        </w:tc>
        <w:tc>
          <w:tcPr>
            <w:tcW w:w="280" w:type="dxa"/>
            <w:vAlign w:val="bottom"/>
            <w:tcBorders>
              <w:bottom w:val="single" w:sz="8" w:color="auto"/>
              <w:right w:val="single" w:sz="8" w:color="auto"/>
            </w:tcBorders>
          </w:tcPr>
          <w:p>
            <w:pPr>
              <w:spacing w:after="0"/>
              <w:rPr>
                <w:sz w:val="5"/>
                <w:szCs w:val="5"/>
                <w:color w:val="auto"/>
              </w:rPr>
            </w:pPr>
          </w:p>
        </w:tc>
        <w:tc>
          <w:tcPr>
            <w:tcW w:w="7380" w:type="dxa"/>
            <w:vAlign w:val="bottom"/>
            <w:tcBorders>
              <w:bottom w:val="single" w:sz="8" w:color="auto"/>
            </w:tcBorders>
            <w:gridSpan w:val="7"/>
          </w:tcPr>
          <w:p>
            <w:pPr>
              <w:spacing w:after="0"/>
              <w:rPr>
                <w:sz w:val="5"/>
                <w:szCs w:val="5"/>
                <w:color w:val="auto"/>
              </w:rPr>
            </w:pPr>
          </w:p>
        </w:tc>
        <w:tc>
          <w:tcPr>
            <w:tcW w:w="228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340" w:type="dxa"/>
            <w:vAlign w:val="bottom"/>
            <w:tcBorders>
              <w:left w:val="single" w:sz="8" w:color="auto"/>
            </w:tcBorders>
          </w:tcPr>
          <w:p>
            <w:pPr>
              <w:ind w:left="140"/>
              <w:spacing w:after="0"/>
              <w:rPr>
                <w:sz w:val="20"/>
                <w:szCs w:val="20"/>
                <w:color w:val="auto"/>
              </w:rPr>
            </w:pPr>
            <w:r>
              <w:rPr>
                <w:rFonts w:ascii="Arial" w:cs="Arial" w:eastAsia="Arial" w:hAnsi="Arial"/>
                <w:sz w:val="18"/>
                <w:szCs w:val="18"/>
                <w:color w:val="auto"/>
                <w:w w:val="89"/>
              </w:rPr>
              <w:t>14</w:t>
            </w:r>
          </w:p>
        </w:tc>
        <w:tc>
          <w:tcPr>
            <w:tcW w:w="280" w:type="dxa"/>
            <w:vAlign w:val="bottom"/>
            <w:tcBorders>
              <w:right w:val="single" w:sz="8" w:color="auto"/>
            </w:tcBorders>
          </w:tcPr>
          <w:p>
            <w:pPr>
              <w:spacing w:after="0"/>
              <w:rPr>
                <w:sz w:val="23"/>
                <w:szCs w:val="23"/>
                <w:color w:val="auto"/>
              </w:rPr>
            </w:pPr>
          </w:p>
        </w:tc>
        <w:tc>
          <w:tcPr>
            <w:tcW w:w="7380" w:type="dxa"/>
            <w:vAlign w:val="bottom"/>
            <w:gridSpan w:val="7"/>
          </w:tcPr>
          <w:p>
            <w:pPr>
              <w:ind w:left="100"/>
              <w:spacing w:after="0"/>
              <w:rPr>
                <w:sz w:val="20"/>
                <w:szCs w:val="20"/>
                <w:color w:val="auto"/>
              </w:rPr>
            </w:pPr>
            <w:r>
              <w:rPr>
                <w:rFonts w:ascii="Arial" w:cs="Arial" w:eastAsia="Arial" w:hAnsi="Arial"/>
                <w:sz w:val="18"/>
                <w:szCs w:val="18"/>
                <w:color w:val="auto"/>
              </w:rPr>
              <w:t>TYPE OF REPORTING PERSON</w:t>
            </w:r>
          </w:p>
        </w:tc>
        <w:tc>
          <w:tcPr>
            <w:tcW w:w="2280" w:type="dxa"/>
            <w:vAlign w:val="bottom"/>
            <w:tcBorders>
              <w:right w:val="single" w:sz="8" w:color="auto"/>
            </w:tcBorders>
          </w:tcPr>
          <w:p>
            <w:pPr>
              <w:spacing w:after="0"/>
              <w:rPr>
                <w:sz w:val="23"/>
                <w:szCs w:val="23"/>
                <w:color w:val="auto"/>
              </w:rPr>
            </w:pPr>
          </w:p>
        </w:tc>
        <w:tc>
          <w:tcPr>
            <w:tcW w:w="11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432"/>
        </w:trPr>
        <w:tc>
          <w:tcPr>
            <w:tcW w:w="340" w:type="dxa"/>
            <w:vAlign w:val="bottom"/>
            <w:tcBorders>
              <w:left w:val="single" w:sz="8" w:color="auto"/>
            </w:tcBorders>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1220" w:type="dxa"/>
            <w:vAlign w:val="bottom"/>
            <w:gridSpan w:val="2"/>
          </w:tcPr>
          <w:p>
            <w:pPr>
              <w:ind w:left="100"/>
              <w:spacing w:after="0"/>
              <w:rPr>
                <w:sz w:val="20"/>
                <w:szCs w:val="20"/>
                <w:color w:val="auto"/>
              </w:rPr>
            </w:pPr>
            <w:r>
              <w:rPr>
                <w:rFonts w:ascii="Arial" w:cs="Arial" w:eastAsia="Arial" w:hAnsi="Arial"/>
                <w:sz w:val="18"/>
                <w:szCs w:val="18"/>
                <w:color w:val="auto"/>
              </w:rPr>
              <w:t>IN</w:t>
            </w: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11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340" w:type="dxa"/>
            <w:vAlign w:val="bottom"/>
            <w:tcBorders>
              <w:left w:val="single" w:sz="8" w:color="auto"/>
              <w:bottom w:val="single" w:sz="8" w:color="auto"/>
            </w:tcBorders>
          </w:tcPr>
          <w:p>
            <w:pPr>
              <w:spacing w:after="0"/>
              <w:rPr>
                <w:sz w:val="5"/>
                <w:szCs w:val="5"/>
                <w:color w:val="auto"/>
              </w:rPr>
            </w:pPr>
          </w:p>
        </w:tc>
        <w:tc>
          <w:tcPr>
            <w:tcW w:w="28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220" w:type="dxa"/>
            <w:vAlign w:val="bottom"/>
            <w:tcBorders>
              <w:bottom w:val="single" w:sz="8" w:color="auto"/>
            </w:tcBorders>
          </w:tcPr>
          <w:p>
            <w:pPr>
              <w:spacing w:after="0"/>
              <w:rPr>
                <w:sz w:val="5"/>
                <w:szCs w:val="5"/>
                <w:color w:val="auto"/>
              </w:rPr>
            </w:pPr>
          </w:p>
        </w:tc>
        <w:tc>
          <w:tcPr>
            <w:tcW w:w="22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228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682"/>
        </w:trPr>
        <w:tc>
          <w:tcPr>
            <w:tcW w:w="3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3" w:right="239" w:bottom="1440" w:gutter="0" w:footer="0" w:header="0"/>
        </w:sectPr>
      </w:pPr>
    </w:p>
    <w:bookmarkStart w:id="2" w:name="page3"/>
    <w:bookmarkEnd w:id="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321"/>
        </w:trPr>
        <w:tc>
          <w:tcPr>
            <w:tcW w:w="1840" w:type="dxa"/>
            <w:vAlign w:val="bottom"/>
            <w:tcBorders>
              <w:top w:val="single" w:sz="8" w:color="auto"/>
              <w:left w:val="single" w:sz="8" w:color="auto"/>
            </w:tcBorders>
            <w:gridSpan w:val="4"/>
          </w:tcPr>
          <w:p>
            <w:pPr>
              <w:ind w:left="140"/>
              <w:spacing w:after="0"/>
              <w:rPr>
                <w:sz w:val="20"/>
                <w:szCs w:val="20"/>
                <w:color w:val="auto"/>
              </w:rPr>
            </w:pPr>
            <w:r>
              <w:rPr>
                <w:rFonts w:ascii="Arial" w:cs="Arial" w:eastAsia="Arial" w:hAnsi="Arial"/>
                <w:sz w:val="18"/>
                <w:szCs w:val="18"/>
                <w:color w:val="auto"/>
                <w:w w:val="91"/>
              </w:rPr>
              <w:t>CUSIP No. 277461406</w:t>
            </w:r>
          </w:p>
        </w:tc>
        <w:tc>
          <w:tcPr>
            <w:tcW w:w="4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220" w:type="dxa"/>
            <w:vAlign w:val="bottom"/>
            <w:tcBorders>
              <w:top w:val="single" w:sz="8" w:color="auto"/>
              <w:right w:val="single" w:sz="8" w:color="auto"/>
            </w:tcBorders>
          </w:tcPr>
          <w:p>
            <w:pPr>
              <w:spacing w:after="0"/>
              <w:rPr>
                <w:sz w:val="24"/>
                <w:szCs w:val="24"/>
                <w:color w:val="auto"/>
              </w:rPr>
            </w:pPr>
          </w:p>
        </w:tc>
        <w:tc>
          <w:tcPr>
            <w:tcW w:w="2260" w:type="dxa"/>
            <w:vAlign w:val="bottom"/>
            <w:tcBorders>
              <w:right w:val="single" w:sz="8" w:color="auto"/>
            </w:tcBorders>
          </w:tcPr>
          <w:p>
            <w:pPr>
              <w:ind w:left="980"/>
              <w:spacing w:after="0"/>
              <w:rPr>
                <w:sz w:val="20"/>
                <w:szCs w:val="20"/>
                <w:color w:val="auto"/>
              </w:rPr>
            </w:pPr>
            <w:r>
              <w:rPr>
                <w:rFonts w:ascii="Arial" w:cs="Arial" w:eastAsia="Arial" w:hAnsi="Arial"/>
                <w:sz w:val="22"/>
                <w:szCs w:val="22"/>
                <w:color w:val="auto"/>
              </w:rPr>
              <w:t>13D</w:t>
            </w:r>
          </w:p>
        </w:tc>
        <w:tc>
          <w:tcPr>
            <w:tcW w:w="1140" w:type="dxa"/>
            <w:vAlign w:val="bottom"/>
            <w:tcBorders>
              <w:top w:val="single" w:sz="8" w:color="auto"/>
            </w:tcBorders>
          </w:tcPr>
          <w:p>
            <w:pPr>
              <w:spacing w:after="0"/>
              <w:rPr>
                <w:sz w:val="24"/>
                <w:szCs w:val="24"/>
                <w:color w:val="auto"/>
              </w:rPr>
            </w:pPr>
          </w:p>
        </w:tc>
        <w:tc>
          <w:tcPr>
            <w:tcW w:w="2280" w:type="dxa"/>
            <w:vAlign w:val="bottom"/>
            <w:tcBorders>
              <w:top w:val="single" w:sz="8" w:color="auto"/>
            </w:tcBorders>
          </w:tcPr>
          <w:p>
            <w:pPr>
              <w:ind w:left="540"/>
              <w:spacing w:after="0"/>
              <w:rPr>
                <w:sz w:val="20"/>
                <w:szCs w:val="20"/>
                <w:color w:val="auto"/>
              </w:rPr>
            </w:pPr>
            <w:r>
              <w:rPr>
                <w:rFonts w:ascii="Arial" w:cs="Arial" w:eastAsia="Arial" w:hAnsi="Arial"/>
                <w:sz w:val="18"/>
                <w:szCs w:val="18"/>
                <w:color w:val="auto"/>
              </w:rPr>
              <w:t>Page 3 of 6 Pages</w:t>
            </w:r>
          </w:p>
        </w:tc>
        <w:tc>
          <w:tcPr>
            <w:tcW w:w="114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340" w:type="dxa"/>
            <w:vAlign w:val="bottom"/>
            <w:tcBorders>
              <w:left w:val="single" w:sz="8" w:color="auto"/>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gridSpan w:val="2"/>
          </w:tcPr>
          <w:p>
            <w:pPr>
              <w:spacing w:after="0"/>
              <w:rPr>
                <w:sz w:val="3"/>
                <w:szCs w:val="3"/>
                <w:color w:val="auto"/>
              </w:rPr>
            </w:pPr>
          </w:p>
        </w:tc>
        <w:tc>
          <w:tcPr>
            <w:tcW w:w="2280" w:type="dxa"/>
            <w:vAlign w:val="bottom"/>
            <w:tcBorders>
              <w:bottom w:val="single" w:sz="8" w:color="auto"/>
              <w:right w:val="single" w:sz="8" w:color="auto"/>
            </w:tcBorders>
            <w:gridSpan w:val="2"/>
          </w:tcPr>
          <w:p>
            <w:pPr>
              <w:spacing w:after="0"/>
              <w:rPr>
                <w:sz w:val="3"/>
                <w:szCs w:val="3"/>
                <w:color w:val="auto"/>
              </w:rPr>
            </w:pPr>
          </w:p>
        </w:tc>
        <w:tc>
          <w:tcPr>
            <w:tcW w:w="2260" w:type="dxa"/>
            <w:vAlign w:val="bottom"/>
            <w:tcBorders>
              <w:right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280" w:type="dxa"/>
            <w:vAlign w:val="bottom"/>
            <w:tcBorders>
              <w:bottom w:val="single" w:sz="8" w:color="auto"/>
            </w:tcBorders>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3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2"/>
          </w:tcPr>
          <w:p>
            <w:pPr>
              <w:spacing w:after="0"/>
              <w:rPr>
                <w:sz w:val="19"/>
                <w:szCs w:val="19"/>
                <w:color w:val="auto"/>
              </w:rPr>
            </w:pPr>
          </w:p>
        </w:tc>
        <w:tc>
          <w:tcPr>
            <w:tcW w:w="5680" w:type="dxa"/>
            <w:vAlign w:val="bottom"/>
            <w:tcBorders>
              <w:bottom w:val="single" w:sz="8" w:color="auto"/>
            </w:tcBorders>
            <w:gridSpan w:val="4"/>
          </w:tcPr>
          <w:p>
            <w:pPr>
              <w:spacing w:after="0"/>
              <w:rPr>
                <w:sz w:val="19"/>
                <w:szCs w:val="19"/>
                <w:color w:val="auto"/>
              </w:rPr>
            </w:pPr>
          </w:p>
        </w:tc>
        <w:tc>
          <w:tcPr>
            <w:tcW w:w="2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340" w:type="dxa"/>
            <w:vAlign w:val="bottom"/>
            <w:tcBorders>
              <w:left w:val="single" w:sz="8" w:color="auto"/>
            </w:tcBorders>
          </w:tcPr>
          <w:p>
            <w:pPr>
              <w:ind w:left="140"/>
              <w:spacing w:after="0"/>
              <w:rPr>
                <w:sz w:val="20"/>
                <w:szCs w:val="20"/>
                <w:color w:val="auto"/>
              </w:rPr>
            </w:pPr>
            <w:r>
              <w:rPr>
                <w:rFonts w:ascii="Arial" w:cs="Arial" w:eastAsia="Arial" w:hAnsi="Arial"/>
                <w:sz w:val="18"/>
                <w:szCs w:val="18"/>
                <w:color w:val="auto"/>
              </w:rPr>
              <w:t>1</w:t>
            </w:r>
          </w:p>
        </w:tc>
        <w:tc>
          <w:tcPr>
            <w:tcW w:w="280" w:type="dxa"/>
            <w:vAlign w:val="bottom"/>
            <w:tcBorders>
              <w:right w:val="single" w:sz="8" w:color="auto"/>
            </w:tcBorders>
          </w:tcPr>
          <w:p>
            <w:pPr>
              <w:spacing w:after="0"/>
              <w:rPr>
                <w:sz w:val="22"/>
                <w:szCs w:val="22"/>
                <w:color w:val="auto"/>
              </w:rPr>
            </w:pPr>
          </w:p>
        </w:tc>
        <w:tc>
          <w:tcPr>
            <w:tcW w:w="7380" w:type="dxa"/>
            <w:vAlign w:val="bottom"/>
            <w:gridSpan w:val="7"/>
          </w:tcPr>
          <w:p>
            <w:pPr>
              <w:ind w:left="100"/>
              <w:spacing w:after="0"/>
              <w:rPr>
                <w:sz w:val="20"/>
                <w:szCs w:val="20"/>
                <w:color w:val="auto"/>
              </w:rPr>
            </w:pPr>
            <w:r>
              <w:rPr>
                <w:rFonts w:ascii="Arial" w:cs="Arial" w:eastAsia="Arial" w:hAnsi="Arial"/>
                <w:sz w:val="18"/>
                <w:szCs w:val="18"/>
                <w:color w:val="auto"/>
              </w:rPr>
              <w:t>NAME OF REPORTING PERSONS</w:t>
            </w:r>
          </w:p>
        </w:tc>
        <w:tc>
          <w:tcPr>
            <w:tcW w:w="2280" w:type="dxa"/>
            <w:vAlign w:val="bottom"/>
            <w:tcBorders>
              <w:right w:val="single" w:sz="8" w:color="auto"/>
            </w:tcBorders>
          </w:tcPr>
          <w:p>
            <w:pPr>
              <w:spacing w:after="0"/>
              <w:rPr>
                <w:sz w:val="22"/>
                <w:szCs w:val="22"/>
                <w:color w:val="auto"/>
              </w:rPr>
            </w:pPr>
          </w:p>
        </w:tc>
        <w:tc>
          <w:tcPr>
            <w:tcW w:w="11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7380" w:type="dxa"/>
            <w:vAlign w:val="bottom"/>
            <w:gridSpan w:val="7"/>
          </w:tcPr>
          <w:p>
            <w:pPr>
              <w:ind w:left="100"/>
              <w:spacing w:after="0"/>
              <w:rPr>
                <w:sz w:val="20"/>
                <w:szCs w:val="20"/>
                <w:color w:val="auto"/>
              </w:rPr>
            </w:pPr>
            <w:r>
              <w:rPr>
                <w:rFonts w:ascii="Arial" w:cs="Arial" w:eastAsia="Arial" w:hAnsi="Arial"/>
                <w:sz w:val="18"/>
                <w:szCs w:val="18"/>
                <w:color w:val="auto"/>
              </w:rPr>
              <w:t>I.R.S. IDENTIFICATION NO. OF ABOVE PERSONS (ENTITIES ONLY)</w:t>
            </w:r>
          </w:p>
        </w:tc>
        <w:tc>
          <w:tcPr>
            <w:tcW w:w="228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40" w:type="dxa"/>
            <w:vAlign w:val="bottom"/>
            <w:tcBorders>
              <w:left w:val="single" w:sz="8" w:color="auto"/>
            </w:tcBorders>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1760" w:type="dxa"/>
            <w:vAlign w:val="bottom"/>
            <w:gridSpan w:val="4"/>
          </w:tcPr>
          <w:p>
            <w:pPr>
              <w:ind w:left="100"/>
              <w:spacing w:after="0"/>
              <w:rPr>
                <w:sz w:val="20"/>
                <w:szCs w:val="20"/>
                <w:color w:val="auto"/>
              </w:rPr>
            </w:pPr>
            <w:r>
              <w:rPr>
                <w:rFonts w:ascii="Arial" w:cs="Arial" w:eastAsia="Arial" w:hAnsi="Arial"/>
                <w:sz w:val="18"/>
                <w:szCs w:val="18"/>
                <w:color w:val="auto"/>
              </w:rPr>
              <w:t>Renee Karfunkel</w:t>
            </w:r>
          </w:p>
        </w:tc>
        <w:tc>
          <w:tcPr>
            <w:tcW w:w="22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11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340" w:type="dxa"/>
            <w:vAlign w:val="bottom"/>
            <w:tcBorders>
              <w:left w:val="single" w:sz="8" w:color="auto"/>
              <w:bottom w:val="single" w:sz="8" w:color="auto"/>
            </w:tcBorders>
          </w:tcPr>
          <w:p>
            <w:pPr>
              <w:spacing w:after="0"/>
              <w:rPr>
                <w:sz w:val="5"/>
                <w:szCs w:val="5"/>
                <w:color w:val="auto"/>
              </w:rPr>
            </w:pPr>
          </w:p>
        </w:tc>
        <w:tc>
          <w:tcPr>
            <w:tcW w:w="28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gridSpan w:val="2"/>
          </w:tcPr>
          <w:p>
            <w:pPr>
              <w:spacing w:after="0"/>
              <w:rPr>
                <w:sz w:val="5"/>
                <w:szCs w:val="5"/>
                <w:color w:val="auto"/>
              </w:rPr>
            </w:pPr>
          </w:p>
        </w:tc>
        <w:tc>
          <w:tcPr>
            <w:tcW w:w="5680" w:type="dxa"/>
            <w:vAlign w:val="bottom"/>
            <w:tcBorders>
              <w:bottom w:val="single" w:sz="8" w:color="auto"/>
            </w:tcBorders>
            <w:gridSpan w:val="4"/>
          </w:tcPr>
          <w:p>
            <w:pPr>
              <w:spacing w:after="0"/>
              <w:rPr>
                <w:sz w:val="5"/>
                <w:szCs w:val="5"/>
                <w:color w:val="auto"/>
              </w:rPr>
            </w:pPr>
          </w:p>
        </w:tc>
        <w:tc>
          <w:tcPr>
            <w:tcW w:w="228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340" w:type="dxa"/>
            <w:vAlign w:val="bottom"/>
            <w:tcBorders>
              <w:left w:val="single" w:sz="8" w:color="auto"/>
            </w:tcBorders>
          </w:tcPr>
          <w:p>
            <w:pPr>
              <w:ind w:left="140"/>
              <w:spacing w:after="0"/>
              <w:rPr>
                <w:sz w:val="20"/>
                <w:szCs w:val="20"/>
                <w:color w:val="auto"/>
              </w:rPr>
            </w:pPr>
            <w:r>
              <w:rPr>
                <w:rFonts w:ascii="Arial" w:cs="Arial" w:eastAsia="Arial" w:hAnsi="Arial"/>
                <w:sz w:val="18"/>
                <w:szCs w:val="18"/>
                <w:color w:val="auto"/>
              </w:rPr>
              <w:t>2</w:t>
            </w:r>
          </w:p>
        </w:tc>
        <w:tc>
          <w:tcPr>
            <w:tcW w:w="280" w:type="dxa"/>
            <w:vAlign w:val="bottom"/>
            <w:tcBorders>
              <w:right w:val="single" w:sz="8" w:color="auto"/>
            </w:tcBorders>
          </w:tcPr>
          <w:p>
            <w:pPr>
              <w:spacing w:after="0"/>
              <w:rPr>
                <w:sz w:val="19"/>
                <w:szCs w:val="19"/>
                <w:color w:val="auto"/>
              </w:rPr>
            </w:pPr>
          </w:p>
        </w:tc>
        <w:tc>
          <w:tcPr>
            <w:tcW w:w="7380" w:type="dxa"/>
            <w:vAlign w:val="bottom"/>
            <w:gridSpan w:val="7"/>
          </w:tcPr>
          <w:p>
            <w:pPr>
              <w:ind w:left="100"/>
              <w:spacing w:after="0"/>
              <w:rPr>
                <w:sz w:val="20"/>
                <w:szCs w:val="20"/>
                <w:color w:val="auto"/>
              </w:rPr>
            </w:pPr>
            <w:r>
              <w:rPr>
                <w:rFonts w:ascii="Arial" w:cs="Arial" w:eastAsia="Arial" w:hAnsi="Arial"/>
                <w:sz w:val="18"/>
                <w:szCs w:val="18"/>
                <w:color w:val="auto"/>
              </w:rPr>
              <w:t>CHECK THE APPROPRIATE BOX IF A MEMBER OF A GROUP</w:t>
            </w:r>
          </w:p>
        </w:tc>
        <w:tc>
          <w:tcPr>
            <w:tcW w:w="2280" w:type="dxa"/>
            <w:vAlign w:val="bottom"/>
            <w:tcBorders>
              <w:right w:val="single" w:sz="8" w:color="auto"/>
            </w:tcBorders>
          </w:tcPr>
          <w:p>
            <w:pPr>
              <w:spacing w:after="0"/>
              <w:rPr>
                <w:sz w:val="19"/>
                <w:szCs w:val="19"/>
                <w:color w:val="auto"/>
              </w:rPr>
            </w:pPr>
          </w:p>
        </w:tc>
        <w:tc>
          <w:tcPr>
            <w:tcW w:w="1140" w:type="dxa"/>
            <w:vAlign w:val="bottom"/>
            <w:tcBorders>
              <w:right w:val="single" w:sz="8" w:color="auto"/>
            </w:tcBorders>
          </w:tcPr>
          <w:p>
            <w:pPr>
              <w:jc w:val="center"/>
              <w:spacing w:after="0" w:line="207" w:lineRule="exact"/>
              <w:rPr>
                <w:sz w:val="20"/>
                <w:szCs w:val="20"/>
                <w:color w:val="auto"/>
              </w:rPr>
            </w:pPr>
            <w:r>
              <w:rPr>
                <w:rFonts w:ascii="Arial" w:cs="Arial" w:eastAsia="Arial" w:hAnsi="Arial"/>
                <w:sz w:val="18"/>
                <w:szCs w:val="18"/>
                <w:color w:val="auto"/>
                <w:w w:val="88"/>
              </w:rPr>
              <w:t xml:space="preserve">(a) </w:t>
            </w: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1140" w:type="dxa"/>
            <w:vAlign w:val="bottom"/>
            <w:tcBorders>
              <w:right w:val="single" w:sz="8" w:color="auto"/>
            </w:tcBorders>
          </w:tcPr>
          <w:p>
            <w:pPr>
              <w:jc w:val="center"/>
              <w:spacing w:after="0" w:line="207" w:lineRule="exact"/>
              <w:rPr>
                <w:sz w:val="20"/>
                <w:szCs w:val="20"/>
                <w:color w:val="auto"/>
              </w:rPr>
            </w:pPr>
            <w:r>
              <w:rPr>
                <w:rFonts w:ascii="Arial" w:cs="Arial" w:eastAsia="Arial" w:hAnsi="Arial"/>
                <w:sz w:val="18"/>
                <w:szCs w:val="18"/>
                <w:color w:val="auto"/>
                <w:w w:val="88"/>
              </w:rPr>
              <w:t xml:space="preserve">(b) </w:t>
            </w: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41"/>
        </w:trPr>
        <w:tc>
          <w:tcPr>
            <w:tcW w:w="340" w:type="dxa"/>
            <w:vAlign w:val="bottom"/>
            <w:tcBorders>
              <w:left w:val="single" w:sz="8" w:color="auto"/>
              <w:bottom w:val="single" w:sz="8" w:color="auto"/>
            </w:tcBorders>
          </w:tcPr>
          <w:p>
            <w:pPr>
              <w:spacing w:after="0"/>
              <w:rPr>
                <w:sz w:val="3"/>
                <w:szCs w:val="3"/>
                <w:color w:val="auto"/>
              </w:rPr>
            </w:pPr>
          </w:p>
        </w:tc>
        <w:tc>
          <w:tcPr>
            <w:tcW w:w="280" w:type="dxa"/>
            <w:vAlign w:val="bottom"/>
            <w:tcBorders>
              <w:bottom w:val="single" w:sz="8" w:color="auto"/>
              <w:right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gridSpan w:val="2"/>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220" w:type="dxa"/>
            <w:vAlign w:val="bottom"/>
            <w:tcBorders>
              <w:bottom w:val="single" w:sz="8" w:color="auto"/>
            </w:tcBorders>
          </w:tcPr>
          <w:p>
            <w:pPr>
              <w:spacing w:after="0"/>
              <w:rPr>
                <w:sz w:val="3"/>
                <w:szCs w:val="3"/>
                <w:color w:val="auto"/>
              </w:rPr>
            </w:pPr>
          </w:p>
        </w:tc>
        <w:tc>
          <w:tcPr>
            <w:tcW w:w="22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280" w:type="dxa"/>
            <w:vAlign w:val="bottom"/>
            <w:tcBorders>
              <w:bottom w:val="single" w:sz="8" w:color="auto"/>
              <w:right w:val="single" w:sz="8" w:color="auto"/>
            </w:tcBorders>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0"/>
        </w:trPr>
        <w:tc>
          <w:tcPr>
            <w:tcW w:w="340" w:type="dxa"/>
            <w:vAlign w:val="bottom"/>
            <w:tcBorders>
              <w:left w:val="single" w:sz="8" w:color="auto"/>
            </w:tcBorders>
          </w:tcPr>
          <w:p>
            <w:pPr>
              <w:ind w:left="140"/>
              <w:spacing w:after="0"/>
              <w:rPr>
                <w:sz w:val="20"/>
                <w:szCs w:val="20"/>
                <w:color w:val="auto"/>
              </w:rPr>
            </w:pPr>
            <w:r>
              <w:rPr>
                <w:rFonts w:ascii="Arial" w:cs="Arial" w:eastAsia="Arial" w:hAnsi="Arial"/>
                <w:sz w:val="18"/>
                <w:szCs w:val="18"/>
                <w:color w:val="auto"/>
              </w:rPr>
              <w:t>3</w:t>
            </w:r>
          </w:p>
        </w:tc>
        <w:tc>
          <w:tcPr>
            <w:tcW w:w="280" w:type="dxa"/>
            <w:vAlign w:val="bottom"/>
            <w:tcBorders>
              <w:right w:val="single" w:sz="8" w:color="auto"/>
            </w:tcBorders>
          </w:tcPr>
          <w:p>
            <w:pPr>
              <w:spacing w:after="0"/>
              <w:rPr>
                <w:sz w:val="23"/>
                <w:szCs w:val="23"/>
                <w:color w:val="auto"/>
              </w:rPr>
            </w:pPr>
          </w:p>
        </w:tc>
        <w:tc>
          <w:tcPr>
            <w:tcW w:w="1760" w:type="dxa"/>
            <w:vAlign w:val="bottom"/>
            <w:gridSpan w:val="4"/>
          </w:tcPr>
          <w:p>
            <w:pPr>
              <w:ind w:left="100"/>
              <w:spacing w:after="0"/>
              <w:rPr>
                <w:sz w:val="20"/>
                <w:szCs w:val="20"/>
                <w:color w:val="auto"/>
              </w:rPr>
            </w:pPr>
            <w:r>
              <w:rPr>
                <w:rFonts w:ascii="Arial" w:cs="Arial" w:eastAsia="Arial" w:hAnsi="Arial"/>
                <w:sz w:val="18"/>
                <w:szCs w:val="18"/>
                <w:color w:val="auto"/>
              </w:rPr>
              <w:t>SEC USE ONLY</w:t>
            </w:r>
          </w:p>
        </w:tc>
        <w:tc>
          <w:tcPr>
            <w:tcW w:w="2220" w:type="dxa"/>
            <w:vAlign w:val="bottom"/>
          </w:tcPr>
          <w:p>
            <w:pPr>
              <w:spacing w:after="0"/>
              <w:rPr>
                <w:sz w:val="23"/>
                <w:szCs w:val="23"/>
                <w:color w:val="auto"/>
              </w:rPr>
            </w:pPr>
          </w:p>
        </w:tc>
        <w:tc>
          <w:tcPr>
            <w:tcW w:w="22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280" w:type="dxa"/>
            <w:vAlign w:val="bottom"/>
            <w:tcBorders>
              <w:right w:val="single" w:sz="8" w:color="auto"/>
            </w:tcBorders>
          </w:tcPr>
          <w:p>
            <w:pPr>
              <w:spacing w:after="0"/>
              <w:rPr>
                <w:sz w:val="23"/>
                <w:szCs w:val="23"/>
                <w:color w:val="auto"/>
              </w:rPr>
            </w:pPr>
          </w:p>
        </w:tc>
        <w:tc>
          <w:tcPr>
            <w:tcW w:w="11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7"/>
        </w:trPr>
        <w:tc>
          <w:tcPr>
            <w:tcW w:w="340" w:type="dxa"/>
            <w:vAlign w:val="bottom"/>
            <w:tcBorders>
              <w:left w:val="single" w:sz="8" w:color="auto"/>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gridSpan w:val="2"/>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40" w:type="dxa"/>
            <w:vAlign w:val="bottom"/>
            <w:tcBorders>
              <w:left w:val="single" w:sz="8" w:color="auto"/>
            </w:tcBorders>
          </w:tcPr>
          <w:p>
            <w:pPr>
              <w:ind w:left="140"/>
              <w:spacing w:after="0"/>
              <w:rPr>
                <w:sz w:val="20"/>
                <w:szCs w:val="20"/>
                <w:color w:val="auto"/>
              </w:rPr>
            </w:pPr>
            <w:r>
              <w:rPr>
                <w:rFonts w:ascii="Arial" w:cs="Arial" w:eastAsia="Arial" w:hAnsi="Arial"/>
                <w:sz w:val="18"/>
                <w:szCs w:val="18"/>
                <w:color w:val="auto"/>
              </w:rPr>
              <w:t>4</w:t>
            </w:r>
          </w:p>
        </w:tc>
        <w:tc>
          <w:tcPr>
            <w:tcW w:w="280" w:type="dxa"/>
            <w:vAlign w:val="bottom"/>
            <w:tcBorders>
              <w:right w:val="single" w:sz="8" w:color="auto"/>
            </w:tcBorders>
          </w:tcPr>
          <w:p>
            <w:pPr>
              <w:spacing w:after="0"/>
              <w:rPr>
                <w:sz w:val="23"/>
                <w:szCs w:val="23"/>
                <w:color w:val="auto"/>
              </w:rPr>
            </w:pPr>
          </w:p>
        </w:tc>
        <w:tc>
          <w:tcPr>
            <w:tcW w:w="1760" w:type="dxa"/>
            <w:vAlign w:val="bottom"/>
            <w:gridSpan w:val="4"/>
          </w:tcPr>
          <w:p>
            <w:pPr>
              <w:ind w:left="100"/>
              <w:spacing w:after="0"/>
              <w:rPr>
                <w:sz w:val="20"/>
                <w:szCs w:val="20"/>
                <w:color w:val="auto"/>
              </w:rPr>
            </w:pPr>
            <w:r>
              <w:rPr>
                <w:rFonts w:ascii="Arial" w:cs="Arial" w:eastAsia="Arial" w:hAnsi="Arial"/>
                <w:sz w:val="18"/>
                <w:szCs w:val="18"/>
                <w:color w:val="auto"/>
                <w:w w:val="94"/>
              </w:rPr>
              <w:t>SOURCE OF FUNDS</w:t>
            </w:r>
          </w:p>
        </w:tc>
        <w:tc>
          <w:tcPr>
            <w:tcW w:w="2220" w:type="dxa"/>
            <w:vAlign w:val="bottom"/>
          </w:tcPr>
          <w:p>
            <w:pPr>
              <w:spacing w:after="0"/>
              <w:rPr>
                <w:sz w:val="23"/>
                <w:szCs w:val="23"/>
                <w:color w:val="auto"/>
              </w:rPr>
            </w:pPr>
          </w:p>
        </w:tc>
        <w:tc>
          <w:tcPr>
            <w:tcW w:w="22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280" w:type="dxa"/>
            <w:vAlign w:val="bottom"/>
            <w:tcBorders>
              <w:right w:val="single" w:sz="8" w:color="auto"/>
            </w:tcBorders>
          </w:tcPr>
          <w:p>
            <w:pPr>
              <w:spacing w:after="0"/>
              <w:rPr>
                <w:sz w:val="23"/>
                <w:szCs w:val="23"/>
                <w:color w:val="auto"/>
              </w:rPr>
            </w:pPr>
          </w:p>
        </w:tc>
        <w:tc>
          <w:tcPr>
            <w:tcW w:w="11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432"/>
        </w:trPr>
        <w:tc>
          <w:tcPr>
            <w:tcW w:w="340" w:type="dxa"/>
            <w:vAlign w:val="bottom"/>
            <w:tcBorders>
              <w:left w:val="single" w:sz="8" w:color="auto"/>
            </w:tcBorders>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1220" w:type="dxa"/>
            <w:vAlign w:val="bottom"/>
            <w:gridSpan w:val="2"/>
          </w:tcPr>
          <w:p>
            <w:pPr>
              <w:ind w:left="100"/>
              <w:spacing w:after="0"/>
              <w:rPr>
                <w:sz w:val="20"/>
                <w:szCs w:val="20"/>
                <w:color w:val="auto"/>
              </w:rPr>
            </w:pPr>
            <w:r>
              <w:rPr>
                <w:rFonts w:ascii="Arial" w:cs="Arial" w:eastAsia="Arial" w:hAnsi="Arial"/>
                <w:sz w:val="18"/>
                <w:szCs w:val="18"/>
                <w:color w:val="auto"/>
              </w:rPr>
              <w:t>PF</w:t>
            </w: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11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340" w:type="dxa"/>
            <w:vAlign w:val="bottom"/>
            <w:tcBorders>
              <w:left w:val="single" w:sz="8" w:color="auto"/>
              <w:bottom w:val="single" w:sz="8" w:color="auto"/>
            </w:tcBorders>
          </w:tcPr>
          <w:p>
            <w:pPr>
              <w:spacing w:after="0"/>
              <w:rPr>
                <w:sz w:val="5"/>
                <w:szCs w:val="5"/>
                <w:color w:val="auto"/>
              </w:rPr>
            </w:pPr>
          </w:p>
        </w:tc>
        <w:tc>
          <w:tcPr>
            <w:tcW w:w="28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gridSpan w:val="2"/>
          </w:tcPr>
          <w:p>
            <w:pPr>
              <w:spacing w:after="0"/>
              <w:rPr>
                <w:sz w:val="5"/>
                <w:szCs w:val="5"/>
                <w:color w:val="auto"/>
              </w:rPr>
            </w:pPr>
          </w:p>
        </w:tc>
        <w:tc>
          <w:tcPr>
            <w:tcW w:w="7960" w:type="dxa"/>
            <w:vAlign w:val="bottom"/>
            <w:tcBorders>
              <w:bottom w:val="single" w:sz="8" w:color="auto"/>
              <w:right w:val="single" w:sz="8" w:color="auto"/>
            </w:tcBorders>
            <w:gridSpan w:val="5"/>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340" w:type="dxa"/>
            <w:vAlign w:val="bottom"/>
            <w:tcBorders>
              <w:left w:val="single" w:sz="8" w:color="auto"/>
            </w:tcBorders>
          </w:tcPr>
          <w:p>
            <w:pPr>
              <w:ind w:left="140"/>
              <w:spacing w:after="0"/>
              <w:rPr>
                <w:sz w:val="20"/>
                <w:szCs w:val="20"/>
                <w:color w:val="auto"/>
              </w:rPr>
            </w:pPr>
            <w:r>
              <w:rPr>
                <w:rFonts w:ascii="Arial" w:cs="Arial" w:eastAsia="Arial" w:hAnsi="Arial"/>
                <w:sz w:val="18"/>
                <w:szCs w:val="18"/>
                <w:color w:val="auto"/>
              </w:rPr>
              <w:t>5</w:t>
            </w:r>
          </w:p>
        </w:tc>
        <w:tc>
          <w:tcPr>
            <w:tcW w:w="280" w:type="dxa"/>
            <w:vAlign w:val="bottom"/>
            <w:tcBorders>
              <w:right w:val="single" w:sz="8" w:color="auto"/>
            </w:tcBorders>
          </w:tcPr>
          <w:p>
            <w:pPr>
              <w:spacing w:after="0"/>
              <w:rPr>
                <w:sz w:val="23"/>
                <w:szCs w:val="23"/>
                <w:color w:val="auto"/>
              </w:rPr>
            </w:pPr>
          </w:p>
        </w:tc>
        <w:tc>
          <w:tcPr>
            <w:tcW w:w="9660" w:type="dxa"/>
            <w:vAlign w:val="bottom"/>
            <w:tcBorders>
              <w:right w:val="single" w:sz="8" w:color="auto"/>
            </w:tcBorders>
            <w:gridSpan w:val="8"/>
          </w:tcPr>
          <w:p>
            <w:pPr>
              <w:ind w:left="100"/>
              <w:spacing w:after="0"/>
              <w:rPr>
                <w:sz w:val="20"/>
                <w:szCs w:val="20"/>
                <w:color w:val="auto"/>
              </w:rPr>
            </w:pPr>
            <w:r>
              <w:rPr>
                <w:rFonts w:ascii="Arial" w:cs="Arial" w:eastAsia="Arial" w:hAnsi="Arial"/>
                <w:sz w:val="18"/>
                <w:szCs w:val="18"/>
                <w:color w:val="auto"/>
              </w:rPr>
              <w:t>CHECK IF DISCLOSURE OF LEGAL PROCEEDINGS IS REQUIRED PURSUANT TO ITEM 2(d) or 2(e)</w:t>
            </w:r>
          </w:p>
        </w:tc>
        <w:tc>
          <w:tcPr>
            <w:tcW w:w="1140" w:type="dxa"/>
            <w:vAlign w:val="bottom"/>
            <w:tcBorders>
              <w:right w:val="single" w:sz="8" w:color="auto"/>
            </w:tcBorders>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28"/>
        </w:trPr>
        <w:tc>
          <w:tcPr>
            <w:tcW w:w="340" w:type="dxa"/>
            <w:vAlign w:val="bottom"/>
            <w:tcBorders>
              <w:left w:val="single" w:sz="8" w:color="auto"/>
            </w:tcBorders>
          </w:tcPr>
          <w:p>
            <w:pPr>
              <w:spacing w:after="0"/>
              <w:rPr>
                <w:sz w:val="11"/>
                <w:szCs w:val="11"/>
                <w:color w:val="auto"/>
              </w:rPr>
            </w:pPr>
          </w:p>
        </w:tc>
        <w:tc>
          <w:tcPr>
            <w:tcW w:w="280" w:type="dxa"/>
            <w:vAlign w:val="bottom"/>
            <w:tcBorders>
              <w:right w:val="single" w:sz="8" w:color="auto"/>
            </w:tcBorders>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8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40" w:type="dxa"/>
            <w:vAlign w:val="bottom"/>
            <w:tcBorders>
              <w:left w:val="single" w:sz="8" w:color="auto"/>
              <w:bottom w:val="single" w:sz="8" w:color="auto"/>
            </w:tcBorders>
          </w:tcPr>
          <w:p>
            <w:pPr>
              <w:spacing w:after="0"/>
              <w:rPr>
                <w:sz w:val="12"/>
                <w:szCs w:val="12"/>
                <w:color w:val="auto"/>
              </w:rPr>
            </w:pPr>
          </w:p>
        </w:tc>
        <w:tc>
          <w:tcPr>
            <w:tcW w:w="280" w:type="dxa"/>
            <w:vAlign w:val="bottom"/>
            <w:tcBorders>
              <w:bottom w:val="single" w:sz="8" w:color="auto"/>
              <w:right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gridSpan w:val="2"/>
          </w:tcPr>
          <w:p>
            <w:pPr>
              <w:spacing w:after="0"/>
              <w:rPr>
                <w:sz w:val="12"/>
                <w:szCs w:val="12"/>
                <w:color w:val="auto"/>
              </w:rPr>
            </w:pPr>
          </w:p>
        </w:tc>
        <w:tc>
          <w:tcPr>
            <w:tcW w:w="5680" w:type="dxa"/>
            <w:vAlign w:val="bottom"/>
            <w:tcBorders>
              <w:bottom w:val="single" w:sz="8" w:color="auto"/>
            </w:tcBorders>
            <w:gridSpan w:val="4"/>
          </w:tcPr>
          <w:p>
            <w:pPr>
              <w:spacing w:after="0"/>
              <w:rPr>
                <w:sz w:val="12"/>
                <w:szCs w:val="12"/>
                <w:color w:val="auto"/>
              </w:rPr>
            </w:pPr>
          </w:p>
        </w:tc>
        <w:tc>
          <w:tcPr>
            <w:tcW w:w="2280" w:type="dxa"/>
            <w:vAlign w:val="bottom"/>
            <w:tcBorders>
              <w:bottom w:val="single" w:sz="8" w:color="auto"/>
              <w:right w:val="single" w:sz="8" w:color="auto"/>
            </w:tcBorders>
          </w:tcPr>
          <w:p>
            <w:pPr>
              <w:spacing w:after="0"/>
              <w:rPr>
                <w:sz w:val="12"/>
                <w:szCs w:val="12"/>
                <w:color w:val="auto"/>
              </w:rPr>
            </w:pPr>
          </w:p>
        </w:tc>
        <w:tc>
          <w:tcPr>
            <w:tcW w:w="11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340" w:type="dxa"/>
            <w:vAlign w:val="bottom"/>
            <w:tcBorders>
              <w:left w:val="single" w:sz="8" w:color="auto"/>
            </w:tcBorders>
          </w:tcPr>
          <w:p>
            <w:pPr>
              <w:ind w:left="140"/>
              <w:spacing w:after="0"/>
              <w:rPr>
                <w:sz w:val="20"/>
                <w:szCs w:val="20"/>
                <w:color w:val="auto"/>
              </w:rPr>
            </w:pPr>
            <w:r>
              <w:rPr>
                <w:rFonts w:ascii="Arial" w:cs="Arial" w:eastAsia="Arial" w:hAnsi="Arial"/>
                <w:sz w:val="18"/>
                <w:szCs w:val="18"/>
                <w:color w:val="auto"/>
              </w:rPr>
              <w:t>6</w:t>
            </w:r>
          </w:p>
        </w:tc>
        <w:tc>
          <w:tcPr>
            <w:tcW w:w="280" w:type="dxa"/>
            <w:vAlign w:val="bottom"/>
            <w:tcBorders>
              <w:right w:val="single" w:sz="8" w:color="auto"/>
            </w:tcBorders>
          </w:tcPr>
          <w:p>
            <w:pPr>
              <w:spacing w:after="0"/>
              <w:rPr>
                <w:sz w:val="23"/>
                <w:szCs w:val="23"/>
                <w:color w:val="auto"/>
              </w:rPr>
            </w:pPr>
          </w:p>
        </w:tc>
        <w:tc>
          <w:tcPr>
            <w:tcW w:w="7380" w:type="dxa"/>
            <w:vAlign w:val="bottom"/>
            <w:gridSpan w:val="7"/>
          </w:tcPr>
          <w:p>
            <w:pPr>
              <w:ind w:left="100"/>
              <w:spacing w:after="0"/>
              <w:rPr>
                <w:sz w:val="20"/>
                <w:szCs w:val="20"/>
                <w:color w:val="auto"/>
              </w:rPr>
            </w:pPr>
            <w:r>
              <w:rPr>
                <w:rFonts w:ascii="Arial" w:cs="Arial" w:eastAsia="Arial" w:hAnsi="Arial"/>
                <w:sz w:val="18"/>
                <w:szCs w:val="18"/>
                <w:color w:val="auto"/>
              </w:rPr>
              <w:t>CITIZENSHIP OR PLACE OF ORGANIZATION</w:t>
            </w:r>
          </w:p>
        </w:tc>
        <w:tc>
          <w:tcPr>
            <w:tcW w:w="2280" w:type="dxa"/>
            <w:vAlign w:val="bottom"/>
            <w:tcBorders>
              <w:right w:val="single" w:sz="8" w:color="auto"/>
            </w:tcBorders>
          </w:tcPr>
          <w:p>
            <w:pPr>
              <w:spacing w:after="0"/>
              <w:rPr>
                <w:sz w:val="23"/>
                <w:szCs w:val="23"/>
                <w:color w:val="auto"/>
              </w:rPr>
            </w:pPr>
          </w:p>
        </w:tc>
        <w:tc>
          <w:tcPr>
            <w:tcW w:w="11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432"/>
        </w:trPr>
        <w:tc>
          <w:tcPr>
            <w:tcW w:w="340" w:type="dxa"/>
            <w:vAlign w:val="bottom"/>
            <w:tcBorders>
              <w:left w:val="single" w:sz="8" w:color="auto"/>
            </w:tcBorders>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1220" w:type="dxa"/>
            <w:vAlign w:val="bottom"/>
            <w:gridSpan w:val="2"/>
          </w:tcPr>
          <w:p>
            <w:pPr>
              <w:ind w:left="100"/>
              <w:spacing w:after="0"/>
              <w:rPr>
                <w:sz w:val="20"/>
                <w:szCs w:val="20"/>
                <w:color w:val="auto"/>
              </w:rPr>
            </w:pPr>
            <w:r>
              <w:rPr>
                <w:rFonts w:ascii="Arial" w:cs="Arial" w:eastAsia="Arial" w:hAnsi="Arial"/>
                <w:sz w:val="18"/>
                <w:szCs w:val="18"/>
                <w:color w:val="auto"/>
              </w:rPr>
              <w:t>United States</w:t>
            </w: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11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340" w:type="dxa"/>
            <w:vAlign w:val="bottom"/>
            <w:tcBorders>
              <w:left w:val="single" w:sz="8" w:color="auto"/>
              <w:bottom w:val="single" w:sz="8" w:color="auto"/>
            </w:tcBorders>
          </w:tcPr>
          <w:p>
            <w:pPr>
              <w:spacing w:after="0"/>
              <w:rPr>
                <w:sz w:val="5"/>
                <w:szCs w:val="5"/>
                <w:color w:val="auto"/>
              </w:rPr>
            </w:pPr>
          </w:p>
        </w:tc>
        <w:tc>
          <w:tcPr>
            <w:tcW w:w="28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5620" w:type="dxa"/>
            <w:vAlign w:val="bottom"/>
            <w:tcBorders>
              <w:bottom w:val="single" w:sz="8" w:color="auto"/>
            </w:tcBorders>
            <w:gridSpan w:val="3"/>
          </w:tcPr>
          <w:p>
            <w:pPr>
              <w:spacing w:after="0"/>
              <w:rPr>
                <w:sz w:val="5"/>
                <w:szCs w:val="5"/>
                <w:color w:val="auto"/>
              </w:rPr>
            </w:pPr>
          </w:p>
        </w:tc>
        <w:tc>
          <w:tcPr>
            <w:tcW w:w="228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340" w:type="dxa"/>
            <w:vAlign w:val="bottom"/>
            <w:tcBorders>
              <w:left w:val="single" w:sz="8" w:color="auto"/>
            </w:tcBorders>
          </w:tcPr>
          <w:p>
            <w:pPr>
              <w:spacing w:after="0"/>
              <w:rPr>
                <w:sz w:val="22"/>
                <w:szCs w:val="22"/>
                <w:color w:val="auto"/>
              </w:rPr>
            </w:pPr>
          </w:p>
        </w:tc>
        <w:tc>
          <w:tcPr>
            <w:tcW w:w="280" w:type="dxa"/>
            <w:vAlign w:val="bottom"/>
          </w:tcPr>
          <w:p>
            <w:pPr>
              <w:spacing w:after="0"/>
              <w:rPr>
                <w:sz w:val="22"/>
                <w:szCs w:val="22"/>
                <w:color w:val="auto"/>
              </w:rPr>
            </w:pPr>
          </w:p>
        </w:tc>
        <w:tc>
          <w:tcPr>
            <w:tcW w:w="114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22"/>
                <w:szCs w:val="22"/>
                <w:color w:val="auto"/>
              </w:rPr>
            </w:pPr>
          </w:p>
        </w:tc>
        <w:tc>
          <w:tcPr>
            <w:tcW w:w="5620" w:type="dxa"/>
            <w:vAlign w:val="bottom"/>
            <w:gridSpan w:val="3"/>
          </w:tcPr>
          <w:p>
            <w:pPr>
              <w:ind w:left="40"/>
              <w:spacing w:after="0"/>
              <w:rPr>
                <w:sz w:val="20"/>
                <w:szCs w:val="20"/>
                <w:color w:val="auto"/>
              </w:rPr>
            </w:pPr>
            <w:r>
              <w:rPr>
                <w:rFonts w:ascii="Arial" w:cs="Arial" w:eastAsia="Arial" w:hAnsi="Arial"/>
                <w:sz w:val="18"/>
                <w:szCs w:val="18"/>
                <w:color w:val="auto"/>
              </w:rPr>
              <w:t>SOLE VOTING POWER</w:t>
            </w:r>
          </w:p>
        </w:tc>
        <w:tc>
          <w:tcPr>
            <w:tcW w:w="2280" w:type="dxa"/>
            <w:vAlign w:val="bottom"/>
          </w:tcPr>
          <w:p>
            <w:pPr>
              <w:spacing w:after="0"/>
              <w:rPr>
                <w:sz w:val="22"/>
                <w:szCs w:val="22"/>
                <w:color w:val="auto"/>
              </w:rPr>
            </w:pPr>
          </w:p>
        </w:tc>
        <w:tc>
          <w:tcPr>
            <w:tcW w:w="11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420" w:type="dxa"/>
            <w:vAlign w:val="bottom"/>
            <w:tcBorders>
              <w:right w:val="single" w:sz="8" w:color="auto"/>
            </w:tcBorders>
            <w:gridSpan w:val="2"/>
            <w:vMerge w:val="restart"/>
          </w:tcPr>
          <w:p>
            <w:pPr>
              <w:jc w:val="center"/>
              <w:ind w:right="250"/>
              <w:spacing w:after="0"/>
              <w:rPr>
                <w:sz w:val="20"/>
                <w:szCs w:val="20"/>
                <w:color w:val="auto"/>
              </w:rPr>
            </w:pPr>
            <w:r>
              <w:rPr>
                <w:rFonts w:ascii="Arial" w:cs="Arial" w:eastAsia="Arial" w:hAnsi="Arial"/>
                <w:sz w:val="18"/>
                <w:szCs w:val="18"/>
                <w:color w:val="auto"/>
                <w:w w:val="96"/>
              </w:rPr>
              <w:t>NUMBER OF</w:t>
            </w:r>
          </w:p>
        </w:tc>
        <w:tc>
          <w:tcPr>
            <w:tcW w:w="80" w:type="dxa"/>
            <w:vAlign w:val="bottom"/>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220" w:type="dxa"/>
            <w:vAlign w:val="bottom"/>
          </w:tcPr>
          <w:p>
            <w:pPr>
              <w:ind w:left="700"/>
              <w:spacing w:after="0"/>
              <w:rPr>
                <w:sz w:val="20"/>
                <w:szCs w:val="20"/>
                <w:color w:val="auto"/>
              </w:rPr>
            </w:pPr>
            <w:r>
              <w:rPr>
                <w:rFonts w:ascii="Arial" w:cs="Arial" w:eastAsia="Arial" w:hAnsi="Arial"/>
                <w:sz w:val="18"/>
                <w:szCs w:val="18"/>
                <w:color w:val="auto"/>
              </w:rPr>
              <w:t>0</w:t>
            </w:r>
          </w:p>
        </w:tc>
        <w:tc>
          <w:tcPr>
            <w:tcW w:w="2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340" w:type="dxa"/>
            <w:vAlign w:val="bottom"/>
            <w:tcBorders>
              <w:left w:val="single" w:sz="8" w:color="auto"/>
            </w:tcBorders>
          </w:tcPr>
          <w:p>
            <w:pPr>
              <w:spacing w:after="0"/>
              <w:rPr>
                <w:sz w:val="5"/>
                <w:szCs w:val="5"/>
                <w:color w:val="auto"/>
              </w:rPr>
            </w:pPr>
          </w:p>
        </w:tc>
        <w:tc>
          <w:tcPr>
            <w:tcW w:w="1420" w:type="dxa"/>
            <w:vAlign w:val="bottom"/>
            <w:tcBorders>
              <w:right w:val="single" w:sz="8" w:color="auto"/>
            </w:tcBorders>
            <w:gridSpan w:val="2"/>
            <w:vMerge w:val="continue"/>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80" w:type="dxa"/>
            <w:vAlign w:val="bottom"/>
            <w:tcBorders>
              <w:bottom w:val="single" w:sz="8" w:color="auto"/>
              <w:right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220" w:type="dxa"/>
            <w:vAlign w:val="bottom"/>
            <w:tcBorders>
              <w:bottom w:val="single" w:sz="8" w:color="auto"/>
            </w:tcBorders>
          </w:tcPr>
          <w:p>
            <w:pPr>
              <w:spacing w:after="0"/>
              <w:rPr>
                <w:sz w:val="5"/>
                <w:szCs w:val="5"/>
                <w:color w:val="auto"/>
              </w:rPr>
            </w:pPr>
          </w:p>
        </w:tc>
        <w:tc>
          <w:tcPr>
            <w:tcW w:w="22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2280" w:type="dxa"/>
            <w:vAlign w:val="bottom"/>
            <w:tcBorders>
              <w:bottom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1420" w:type="dxa"/>
            <w:vAlign w:val="bottom"/>
            <w:tcBorders>
              <w:right w:val="single" w:sz="8" w:color="auto"/>
            </w:tcBorders>
            <w:gridSpan w:val="2"/>
          </w:tcPr>
          <w:p>
            <w:pPr>
              <w:jc w:val="center"/>
              <w:ind w:right="250"/>
              <w:spacing w:after="0"/>
              <w:rPr>
                <w:sz w:val="20"/>
                <w:szCs w:val="20"/>
                <w:color w:val="auto"/>
              </w:rPr>
            </w:pPr>
            <w:r>
              <w:rPr>
                <w:rFonts w:ascii="Arial" w:cs="Arial" w:eastAsia="Arial" w:hAnsi="Arial"/>
                <w:sz w:val="18"/>
                <w:szCs w:val="18"/>
                <w:color w:val="auto"/>
                <w:w w:val="91"/>
              </w:rPr>
              <w:t>SHARES</w:t>
            </w:r>
          </w:p>
        </w:tc>
        <w:tc>
          <w:tcPr>
            <w:tcW w:w="80" w:type="dxa"/>
            <w:vAlign w:val="bottom"/>
          </w:tcPr>
          <w:p>
            <w:pPr>
              <w:spacing w:after="0"/>
              <w:rPr>
                <w:sz w:val="18"/>
                <w:szCs w:val="18"/>
                <w:color w:val="auto"/>
              </w:rPr>
            </w:pPr>
          </w:p>
        </w:tc>
        <w:tc>
          <w:tcPr>
            <w:tcW w:w="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8"/>
                <w:szCs w:val="18"/>
                <w:color w:val="auto"/>
              </w:rPr>
            </w:pPr>
          </w:p>
        </w:tc>
        <w:tc>
          <w:tcPr>
            <w:tcW w:w="5620" w:type="dxa"/>
            <w:vAlign w:val="bottom"/>
            <w:gridSpan w:val="3"/>
          </w:tcPr>
          <w:p>
            <w:pPr>
              <w:ind w:left="40"/>
              <w:spacing w:after="0"/>
              <w:rPr>
                <w:sz w:val="20"/>
                <w:szCs w:val="20"/>
                <w:color w:val="auto"/>
              </w:rPr>
            </w:pPr>
            <w:r>
              <w:rPr>
                <w:rFonts w:ascii="Arial" w:cs="Arial" w:eastAsia="Arial" w:hAnsi="Arial"/>
                <w:sz w:val="18"/>
                <w:szCs w:val="18"/>
                <w:color w:val="auto"/>
              </w:rPr>
              <w:t>SHARED VOTING POWER</w:t>
            </w:r>
          </w:p>
        </w:tc>
        <w:tc>
          <w:tcPr>
            <w:tcW w:w="2280" w:type="dxa"/>
            <w:vAlign w:val="bottom"/>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rPr>
              <w:t>BENEFICIALLY</w:t>
            </w:r>
          </w:p>
        </w:tc>
        <w:tc>
          <w:tcPr>
            <w:tcW w:w="8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220" w:type="dxa"/>
            <w:vAlign w:val="bottom"/>
          </w:tcPr>
          <w:p>
            <w:pPr>
              <w:ind w:left="700"/>
              <w:spacing w:after="0"/>
              <w:rPr>
                <w:sz w:val="20"/>
                <w:szCs w:val="20"/>
                <w:color w:val="auto"/>
              </w:rPr>
            </w:pPr>
            <w:r>
              <w:rPr>
                <w:rFonts w:ascii="Arial" w:cs="Arial" w:eastAsia="Arial" w:hAnsi="Arial"/>
                <w:sz w:val="18"/>
                <w:szCs w:val="18"/>
                <w:color w:val="auto"/>
              </w:rPr>
              <w:t>4,437,605</w:t>
            </w:r>
          </w:p>
        </w:tc>
        <w:tc>
          <w:tcPr>
            <w:tcW w:w="2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340" w:type="dxa"/>
            <w:vAlign w:val="bottom"/>
            <w:tcBorders>
              <w:left w:val="single" w:sz="8" w:color="auto"/>
            </w:tcBorders>
          </w:tcPr>
          <w:p>
            <w:pPr>
              <w:spacing w:after="0"/>
              <w:rPr>
                <w:sz w:val="10"/>
                <w:szCs w:val="10"/>
                <w:color w:val="auto"/>
              </w:rPr>
            </w:pPr>
          </w:p>
        </w:tc>
        <w:tc>
          <w:tcPr>
            <w:tcW w:w="1420" w:type="dxa"/>
            <w:vAlign w:val="bottom"/>
            <w:tcBorders>
              <w:right w:val="single" w:sz="8" w:color="auto"/>
            </w:tcBorders>
            <w:gridSpan w:val="2"/>
            <w:vMerge w:val="restart"/>
          </w:tcPr>
          <w:p>
            <w:pPr>
              <w:jc w:val="center"/>
              <w:ind w:right="250"/>
              <w:spacing w:after="0"/>
              <w:rPr>
                <w:sz w:val="20"/>
                <w:szCs w:val="20"/>
                <w:color w:val="auto"/>
              </w:rPr>
            </w:pPr>
            <w:r>
              <w:rPr>
                <w:rFonts w:ascii="Arial" w:cs="Arial" w:eastAsia="Arial" w:hAnsi="Arial"/>
                <w:sz w:val="18"/>
                <w:szCs w:val="18"/>
                <w:color w:val="auto"/>
                <w:w w:val="97"/>
              </w:rPr>
              <w:t>OWNED BY</w:t>
            </w:r>
          </w:p>
        </w:tc>
        <w:tc>
          <w:tcPr>
            <w:tcW w:w="80" w:type="dxa"/>
            <w:vAlign w:val="bottom"/>
            <w:tcBorders>
              <w:bottom w:val="single" w:sz="8" w:color="auto"/>
            </w:tcBorders>
          </w:tcPr>
          <w:p>
            <w:pPr>
              <w:spacing w:after="0"/>
              <w:rPr>
                <w:sz w:val="10"/>
                <w:szCs w:val="10"/>
                <w:color w:val="auto"/>
              </w:rPr>
            </w:pPr>
          </w:p>
        </w:tc>
        <w:tc>
          <w:tcPr>
            <w:tcW w:w="480" w:type="dxa"/>
            <w:vAlign w:val="bottom"/>
            <w:tcBorders>
              <w:bottom w:val="single" w:sz="8" w:color="auto"/>
              <w:right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tcPr>
          <w:p>
            <w:pPr>
              <w:spacing w:after="0"/>
              <w:rPr>
                <w:sz w:val="10"/>
                <w:szCs w:val="10"/>
                <w:color w:val="auto"/>
              </w:rPr>
            </w:pPr>
          </w:p>
        </w:tc>
        <w:tc>
          <w:tcPr>
            <w:tcW w:w="226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2280" w:type="dxa"/>
            <w:vAlign w:val="bottom"/>
            <w:tcBorders>
              <w:bottom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340" w:type="dxa"/>
            <w:vAlign w:val="bottom"/>
            <w:tcBorders>
              <w:left w:val="single" w:sz="8" w:color="auto"/>
            </w:tcBorders>
          </w:tcPr>
          <w:p>
            <w:pPr>
              <w:spacing w:after="0"/>
              <w:rPr>
                <w:sz w:val="6"/>
                <w:szCs w:val="6"/>
                <w:color w:val="auto"/>
              </w:rPr>
            </w:pPr>
          </w:p>
        </w:tc>
        <w:tc>
          <w:tcPr>
            <w:tcW w:w="1420" w:type="dxa"/>
            <w:vAlign w:val="bottom"/>
            <w:tcBorders>
              <w:right w:val="single" w:sz="8" w:color="auto"/>
            </w:tcBorders>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6"/>
                <w:szCs w:val="6"/>
                <w:color w:val="auto"/>
              </w:rPr>
            </w:pPr>
          </w:p>
        </w:tc>
        <w:tc>
          <w:tcPr>
            <w:tcW w:w="5620" w:type="dxa"/>
            <w:vAlign w:val="bottom"/>
            <w:gridSpan w:val="3"/>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2280" w:type="dxa"/>
            <w:vAlign w:val="bottom"/>
          </w:tcPr>
          <w:p>
            <w:pPr>
              <w:spacing w:after="0"/>
              <w:rPr>
                <w:sz w:val="6"/>
                <w:szCs w:val="6"/>
                <w:color w:val="auto"/>
              </w:rPr>
            </w:pPr>
          </w:p>
        </w:tc>
        <w:tc>
          <w:tcPr>
            <w:tcW w:w="11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340" w:type="dxa"/>
            <w:vAlign w:val="bottom"/>
            <w:tcBorders>
              <w:left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Borders>
              <w:right w:val="single" w:sz="8" w:color="auto"/>
            </w:tcBorders>
          </w:tcPr>
          <w:p>
            <w:pPr>
              <w:jc w:val="center"/>
              <w:ind w:right="530"/>
              <w:spacing w:after="0" w:line="176" w:lineRule="exact"/>
              <w:rPr>
                <w:sz w:val="20"/>
                <w:szCs w:val="20"/>
                <w:color w:val="auto"/>
              </w:rPr>
            </w:pPr>
            <w:r>
              <w:rPr>
                <w:rFonts w:ascii="Arial" w:cs="Arial" w:eastAsia="Arial" w:hAnsi="Arial"/>
                <w:sz w:val="18"/>
                <w:szCs w:val="18"/>
                <w:color w:val="auto"/>
                <w:w w:val="95"/>
              </w:rPr>
              <w:t>EACH</w:t>
            </w:r>
          </w:p>
        </w:tc>
        <w:tc>
          <w:tcPr>
            <w:tcW w:w="80" w:type="dxa"/>
            <w:vAlign w:val="bottom"/>
          </w:tcPr>
          <w:p>
            <w:pPr>
              <w:spacing w:after="0"/>
              <w:rPr>
                <w:sz w:val="15"/>
                <w:szCs w:val="15"/>
                <w:color w:val="auto"/>
              </w:rPr>
            </w:pPr>
          </w:p>
        </w:tc>
        <w:tc>
          <w:tcPr>
            <w:tcW w:w="480" w:type="dxa"/>
            <w:vAlign w:val="bottom"/>
            <w:tcBorders>
              <w:right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5620" w:type="dxa"/>
            <w:vAlign w:val="bottom"/>
            <w:gridSpan w:val="3"/>
            <w:vMerge w:val="continue"/>
          </w:tcPr>
          <w:p>
            <w:pPr>
              <w:spacing w:after="0"/>
              <w:rPr>
                <w:sz w:val="15"/>
                <w:szCs w:val="15"/>
                <w:color w:val="auto"/>
              </w:rPr>
            </w:pPr>
          </w:p>
        </w:tc>
        <w:tc>
          <w:tcPr>
            <w:tcW w:w="2280" w:type="dxa"/>
            <w:vAlign w:val="bottom"/>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340" w:type="dxa"/>
            <w:vAlign w:val="bottom"/>
            <w:tcBorders>
              <w:left w:val="single" w:sz="8" w:color="auto"/>
            </w:tcBorders>
          </w:tcPr>
          <w:p>
            <w:pPr>
              <w:spacing w:after="0"/>
              <w:rPr>
                <w:sz w:val="22"/>
                <w:szCs w:val="22"/>
                <w:color w:val="auto"/>
              </w:rPr>
            </w:pPr>
          </w:p>
        </w:tc>
        <w:tc>
          <w:tcPr>
            <w:tcW w:w="1420" w:type="dxa"/>
            <w:vAlign w:val="bottom"/>
            <w:tcBorders>
              <w:right w:val="single" w:sz="8" w:color="auto"/>
            </w:tcBorders>
            <w:gridSpan w:val="2"/>
          </w:tcPr>
          <w:p>
            <w:pPr>
              <w:jc w:val="center"/>
              <w:ind w:right="250"/>
              <w:spacing w:after="0"/>
              <w:rPr>
                <w:sz w:val="20"/>
                <w:szCs w:val="20"/>
                <w:color w:val="auto"/>
              </w:rPr>
            </w:pPr>
            <w:r>
              <w:rPr>
                <w:rFonts w:ascii="Arial" w:cs="Arial" w:eastAsia="Arial" w:hAnsi="Arial"/>
                <w:sz w:val="18"/>
                <w:szCs w:val="18"/>
                <w:color w:val="auto"/>
                <w:w w:val="93"/>
              </w:rPr>
              <w:t>REPORTING</w:t>
            </w:r>
          </w:p>
        </w:tc>
        <w:tc>
          <w:tcPr>
            <w:tcW w:w="80" w:type="dxa"/>
            <w:vAlign w:val="bottom"/>
          </w:tcPr>
          <w:p>
            <w:pPr>
              <w:spacing w:after="0"/>
              <w:rPr>
                <w:sz w:val="22"/>
                <w:szCs w:val="22"/>
                <w:color w:val="auto"/>
              </w:rPr>
            </w:pPr>
          </w:p>
        </w:tc>
        <w:tc>
          <w:tcPr>
            <w:tcW w:w="480" w:type="dxa"/>
            <w:vAlign w:val="bottom"/>
            <w:tcBorders>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2220" w:type="dxa"/>
            <w:vAlign w:val="bottom"/>
          </w:tcPr>
          <w:p>
            <w:pPr>
              <w:ind w:left="700"/>
              <w:spacing w:after="0"/>
              <w:rPr>
                <w:sz w:val="20"/>
                <w:szCs w:val="20"/>
                <w:color w:val="auto"/>
              </w:rPr>
            </w:pPr>
            <w:r>
              <w:rPr>
                <w:rFonts w:ascii="Arial" w:cs="Arial" w:eastAsia="Arial" w:hAnsi="Arial"/>
                <w:sz w:val="18"/>
                <w:szCs w:val="18"/>
                <w:color w:val="auto"/>
              </w:rPr>
              <w:t>0</w:t>
            </w:r>
          </w:p>
        </w:tc>
        <w:tc>
          <w:tcPr>
            <w:tcW w:w="22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11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176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4"/>
              </w:rPr>
              <w:t>PERSON WITH</w:t>
            </w:r>
          </w:p>
        </w:tc>
        <w:tc>
          <w:tcPr>
            <w:tcW w:w="80" w:type="dxa"/>
            <w:vAlign w:val="bottom"/>
            <w:tcBorders>
              <w:bottom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220" w:type="dxa"/>
            <w:vAlign w:val="bottom"/>
            <w:tcBorders>
              <w:bottom w:val="single" w:sz="8" w:color="auto"/>
            </w:tcBorders>
          </w:tcPr>
          <w:p>
            <w:pPr>
              <w:spacing w:after="0"/>
              <w:rPr>
                <w:sz w:val="3"/>
                <w:szCs w:val="3"/>
                <w:color w:val="auto"/>
              </w:rPr>
            </w:pPr>
          </w:p>
        </w:tc>
        <w:tc>
          <w:tcPr>
            <w:tcW w:w="22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280" w:type="dxa"/>
            <w:vAlign w:val="bottom"/>
            <w:tcBorders>
              <w:bottom w:val="single" w:sz="8" w:color="auto"/>
            </w:tcBorders>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1760" w:type="dxa"/>
            <w:vAlign w:val="bottom"/>
            <w:tcBorders>
              <w:left w:val="single" w:sz="8" w:color="auto"/>
              <w:right w:val="single" w:sz="8" w:color="auto"/>
            </w:tcBorders>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5"/>
                <w:szCs w:val="15"/>
                <w:color w:val="auto"/>
              </w:rPr>
            </w:pPr>
          </w:p>
        </w:tc>
        <w:tc>
          <w:tcPr>
            <w:tcW w:w="5620" w:type="dxa"/>
            <w:vAlign w:val="bottom"/>
            <w:gridSpan w:val="3"/>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2280" w:type="dxa"/>
            <w:vAlign w:val="bottom"/>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340" w:type="dxa"/>
            <w:vAlign w:val="bottom"/>
            <w:tcBorders>
              <w:left w:val="single" w:sz="8" w:color="auto"/>
            </w:tcBorders>
          </w:tcPr>
          <w:p>
            <w:pPr>
              <w:spacing w:after="0"/>
              <w:rPr>
                <w:sz w:val="6"/>
                <w:szCs w:val="6"/>
                <w:color w:val="auto"/>
              </w:rPr>
            </w:pPr>
          </w:p>
        </w:tc>
        <w:tc>
          <w:tcPr>
            <w:tcW w:w="280" w:type="dxa"/>
            <w:vAlign w:val="bottom"/>
          </w:tcPr>
          <w:p>
            <w:pPr>
              <w:spacing w:after="0"/>
              <w:rPr>
                <w:sz w:val="6"/>
                <w:szCs w:val="6"/>
                <w:color w:val="auto"/>
              </w:rPr>
            </w:pPr>
          </w:p>
        </w:tc>
        <w:tc>
          <w:tcPr>
            <w:tcW w:w="1140" w:type="dxa"/>
            <w:vAlign w:val="bottom"/>
            <w:tcBorders>
              <w:right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Borders>
              <w:right w:val="single" w:sz="8" w:color="auto"/>
            </w:tcBorders>
            <w:vMerge w:val="continue"/>
          </w:tcPr>
          <w:p>
            <w:pPr>
              <w:spacing w:after="0"/>
              <w:rPr>
                <w:sz w:val="6"/>
                <w:szCs w:val="6"/>
                <w:color w:val="auto"/>
              </w:rPr>
            </w:pPr>
          </w:p>
        </w:tc>
        <w:tc>
          <w:tcPr>
            <w:tcW w:w="60" w:type="dxa"/>
            <w:vAlign w:val="bottom"/>
          </w:tcPr>
          <w:p>
            <w:pPr>
              <w:spacing w:after="0"/>
              <w:rPr>
                <w:sz w:val="6"/>
                <w:szCs w:val="6"/>
                <w:color w:val="auto"/>
              </w:rPr>
            </w:pPr>
          </w:p>
        </w:tc>
        <w:tc>
          <w:tcPr>
            <w:tcW w:w="5620" w:type="dxa"/>
            <w:vAlign w:val="bottom"/>
            <w:gridSpan w:val="3"/>
            <w:vMerge w:val="continue"/>
          </w:tcPr>
          <w:p>
            <w:pPr>
              <w:spacing w:after="0"/>
              <w:rPr>
                <w:sz w:val="6"/>
                <w:szCs w:val="6"/>
                <w:color w:val="auto"/>
              </w:rPr>
            </w:pPr>
          </w:p>
        </w:tc>
        <w:tc>
          <w:tcPr>
            <w:tcW w:w="2280" w:type="dxa"/>
            <w:vAlign w:val="bottom"/>
          </w:tcPr>
          <w:p>
            <w:pPr>
              <w:spacing w:after="0"/>
              <w:rPr>
                <w:sz w:val="6"/>
                <w:szCs w:val="6"/>
                <w:color w:val="auto"/>
              </w:rPr>
            </w:pPr>
          </w:p>
        </w:tc>
        <w:tc>
          <w:tcPr>
            <w:tcW w:w="11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220" w:type="dxa"/>
            <w:vAlign w:val="bottom"/>
          </w:tcPr>
          <w:p>
            <w:pPr>
              <w:ind w:left="700"/>
              <w:spacing w:after="0"/>
              <w:rPr>
                <w:sz w:val="20"/>
                <w:szCs w:val="20"/>
                <w:color w:val="auto"/>
              </w:rPr>
            </w:pPr>
            <w:r>
              <w:rPr>
                <w:rFonts w:ascii="Arial" w:cs="Arial" w:eastAsia="Arial" w:hAnsi="Arial"/>
                <w:sz w:val="18"/>
                <w:szCs w:val="18"/>
                <w:color w:val="auto"/>
              </w:rPr>
              <w:t>4,437,605</w:t>
            </w:r>
          </w:p>
        </w:tc>
        <w:tc>
          <w:tcPr>
            <w:tcW w:w="2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340" w:type="dxa"/>
            <w:vAlign w:val="bottom"/>
            <w:tcBorders>
              <w:left w:val="single" w:sz="8" w:color="auto"/>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560" w:type="dxa"/>
            <w:vAlign w:val="bottom"/>
            <w:tcBorders>
              <w:bottom w:val="single" w:sz="8" w:color="auto"/>
              <w:right w:val="single" w:sz="8" w:color="auto"/>
            </w:tcBorders>
            <w:gridSpan w:val="2"/>
          </w:tcPr>
          <w:p>
            <w:pPr>
              <w:spacing w:after="0"/>
              <w:rPr>
                <w:sz w:val="5"/>
                <w:szCs w:val="5"/>
                <w:color w:val="auto"/>
              </w:rPr>
            </w:pPr>
          </w:p>
        </w:tc>
        <w:tc>
          <w:tcPr>
            <w:tcW w:w="5680" w:type="dxa"/>
            <w:vAlign w:val="bottom"/>
            <w:tcBorders>
              <w:bottom w:val="single" w:sz="8" w:color="auto"/>
            </w:tcBorders>
            <w:gridSpan w:val="4"/>
          </w:tcPr>
          <w:p>
            <w:pPr>
              <w:spacing w:after="0"/>
              <w:rPr>
                <w:sz w:val="5"/>
                <w:szCs w:val="5"/>
                <w:color w:val="auto"/>
              </w:rPr>
            </w:pPr>
          </w:p>
        </w:tc>
        <w:tc>
          <w:tcPr>
            <w:tcW w:w="2280" w:type="dxa"/>
            <w:vAlign w:val="bottom"/>
            <w:tcBorders>
              <w:bottom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340" w:type="dxa"/>
            <w:vAlign w:val="bottom"/>
            <w:tcBorders>
              <w:left w:val="single" w:sz="8" w:color="auto"/>
            </w:tcBorders>
          </w:tcPr>
          <w:p>
            <w:pPr>
              <w:ind w:left="140"/>
              <w:spacing w:after="0"/>
              <w:rPr>
                <w:sz w:val="20"/>
                <w:szCs w:val="20"/>
                <w:color w:val="auto"/>
              </w:rPr>
            </w:pPr>
            <w:r>
              <w:rPr>
                <w:rFonts w:ascii="Arial" w:cs="Arial" w:eastAsia="Arial" w:hAnsi="Arial"/>
                <w:sz w:val="18"/>
                <w:szCs w:val="18"/>
                <w:color w:val="auto"/>
                <w:w w:val="89"/>
              </w:rPr>
              <w:t>11</w:t>
            </w:r>
          </w:p>
        </w:tc>
        <w:tc>
          <w:tcPr>
            <w:tcW w:w="280" w:type="dxa"/>
            <w:vAlign w:val="bottom"/>
            <w:tcBorders>
              <w:right w:val="single" w:sz="8" w:color="auto"/>
            </w:tcBorders>
          </w:tcPr>
          <w:p>
            <w:pPr>
              <w:spacing w:after="0"/>
              <w:rPr>
                <w:sz w:val="23"/>
                <w:szCs w:val="23"/>
                <w:color w:val="auto"/>
              </w:rPr>
            </w:pPr>
          </w:p>
        </w:tc>
        <w:tc>
          <w:tcPr>
            <w:tcW w:w="7380" w:type="dxa"/>
            <w:vAlign w:val="bottom"/>
            <w:gridSpan w:val="7"/>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2280" w:type="dxa"/>
            <w:vAlign w:val="bottom"/>
          </w:tcPr>
          <w:p>
            <w:pPr>
              <w:spacing w:after="0"/>
              <w:rPr>
                <w:sz w:val="23"/>
                <w:szCs w:val="23"/>
                <w:color w:val="auto"/>
              </w:rPr>
            </w:pPr>
          </w:p>
        </w:tc>
        <w:tc>
          <w:tcPr>
            <w:tcW w:w="11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432"/>
        </w:trPr>
        <w:tc>
          <w:tcPr>
            <w:tcW w:w="340" w:type="dxa"/>
            <w:vAlign w:val="bottom"/>
            <w:tcBorders>
              <w:left w:val="single" w:sz="8" w:color="auto"/>
            </w:tcBorders>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1140" w:type="dxa"/>
            <w:vAlign w:val="bottom"/>
          </w:tcPr>
          <w:p>
            <w:pPr>
              <w:ind w:left="100"/>
              <w:spacing w:after="0"/>
              <w:rPr>
                <w:sz w:val="20"/>
                <w:szCs w:val="20"/>
                <w:color w:val="auto"/>
              </w:rPr>
            </w:pPr>
            <w:r>
              <w:rPr>
                <w:rFonts w:ascii="Arial" w:cs="Arial" w:eastAsia="Arial" w:hAnsi="Arial"/>
                <w:sz w:val="18"/>
                <w:szCs w:val="18"/>
                <w:color w:val="auto"/>
              </w:rPr>
              <w:t>4,437,605</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1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340" w:type="dxa"/>
            <w:vAlign w:val="bottom"/>
            <w:tcBorders>
              <w:left w:val="single" w:sz="8" w:color="auto"/>
              <w:bottom w:val="single" w:sz="8" w:color="auto"/>
            </w:tcBorders>
          </w:tcPr>
          <w:p>
            <w:pPr>
              <w:spacing w:after="0"/>
              <w:rPr>
                <w:sz w:val="5"/>
                <w:szCs w:val="5"/>
                <w:color w:val="auto"/>
              </w:rPr>
            </w:pPr>
          </w:p>
        </w:tc>
        <w:tc>
          <w:tcPr>
            <w:tcW w:w="280" w:type="dxa"/>
            <w:vAlign w:val="bottom"/>
            <w:tcBorders>
              <w:bottom w:val="single" w:sz="8" w:color="auto"/>
              <w:right w:val="single" w:sz="8" w:color="auto"/>
            </w:tcBorders>
          </w:tcPr>
          <w:p>
            <w:pPr>
              <w:spacing w:after="0"/>
              <w:rPr>
                <w:sz w:val="5"/>
                <w:szCs w:val="5"/>
                <w:color w:val="auto"/>
              </w:rPr>
            </w:pPr>
          </w:p>
        </w:tc>
        <w:tc>
          <w:tcPr>
            <w:tcW w:w="7380" w:type="dxa"/>
            <w:vAlign w:val="bottom"/>
            <w:tcBorders>
              <w:bottom w:val="single" w:sz="8" w:color="auto"/>
            </w:tcBorders>
            <w:gridSpan w:val="7"/>
          </w:tcPr>
          <w:p>
            <w:pPr>
              <w:spacing w:after="0"/>
              <w:rPr>
                <w:sz w:val="5"/>
                <w:szCs w:val="5"/>
                <w:color w:val="auto"/>
              </w:rPr>
            </w:pPr>
          </w:p>
        </w:tc>
        <w:tc>
          <w:tcPr>
            <w:tcW w:w="2280" w:type="dxa"/>
            <w:vAlign w:val="bottom"/>
            <w:tcBorders>
              <w:bottom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340" w:type="dxa"/>
            <w:vAlign w:val="bottom"/>
            <w:tcBorders>
              <w:left w:val="single" w:sz="8" w:color="auto"/>
            </w:tcBorders>
          </w:tcPr>
          <w:p>
            <w:pPr>
              <w:ind w:left="140"/>
              <w:spacing w:after="0"/>
              <w:rPr>
                <w:sz w:val="20"/>
                <w:szCs w:val="20"/>
                <w:color w:val="auto"/>
              </w:rPr>
            </w:pPr>
            <w:r>
              <w:rPr>
                <w:rFonts w:ascii="Arial" w:cs="Arial" w:eastAsia="Arial" w:hAnsi="Arial"/>
                <w:sz w:val="18"/>
                <w:szCs w:val="18"/>
                <w:color w:val="auto"/>
                <w:w w:val="89"/>
              </w:rPr>
              <w:t>12</w:t>
            </w:r>
          </w:p>
        </w:tc>
        <w:tc>
          <w:tcPr>
            <w:tcW w:w="280" w:type="dxa"/>
            <w:vAlign w:val="bottom"/>
            <w:tcBorders>
              <w:right w:val="single" w:sz="8" w:color="auto"/>
            </w:tcBorders>
          </w:tcPr>
          <w:p>
            <w:pPr>
              <w:spacing w:after="0"/>
              <w:rPr>
                <w:sz w:val="23"/>
                <w:szCs w:val="23"/>
                <w:color w:val="auto"/>
              </w:rPr>
            </w:pPr>
          </w:p>
        </w:tc>
        <w:tc>
          <w:tcPr>
            <w:tcW w:w="7380" w:type="dxa"/>
            <w:vAlign w:val="bottom"/>
            <w:gridSpan w:val="7"/>
          </w:tcPr>
          <w:p>
            <w:pPr>
              <w:ind w:left="100"/>
              <w:spacing w:after="0"/>
              <w:rPr>
                <w:sz w:val="20"/>
                <w:szCs w:val="20"/>
                <w:color w:val="auto"/>
              </w:rPr>
            </w:pPr>
            <w:r>
              <w:rPr>
                <w:rFonts w:ascii="Arial" w:cs="Arial" w:eastAsia="Arial" w:hAnsi="Arial"/>
                <w:sz w:val="18"/>
                <w:szCs w:val="18"/>
                <w:color w:val="auto"/>
              </w:rPr>
              <w:t>CHECK IF THE AGGREGATE AMOUNT IN ROW (11) EXCLUDES CERTAIN SHARES</w:t>
            </w:r>
          </w:p>
        </w:tc>
        <w:tc>
          <w:tcPr>
            <w:tcW w:w="2280" w:type="dxa"/>
            <w:vAlign w:val="bottom"/>
            <w:tcBorders>
              <w:right w:val="single" w:sz="8" w:color="auto"/>
            </w:tcBorders>
          </w:tcPr>
          <w:p>
            <w:pPr>
              <w:spacing w:after="0"/>
              <w:rPr>
                <w:sz w:val="23"/>
                <w:szCs w:val="23"/>
                <w:color w:val="auto"/>
              </w:rPr>
            </w:pPr>
          </w:p>
        </w:tc>
        <w:tc>
          <w:tcPr>
            <w:tcW w:w="1140" w:type="dxa"/>
            <w:vAlign w:val="bottom"/>
            <w:tcBorders>
              <w:right w:val="single" w:sz="8" w:color="auto"/>
            </w:tcBorders>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28"/>
        </w:trPr>
        <w:tc>
          <w:tcPr>
            <w:tcW w:w="340" w:type="dxa"/>
            <w:vAlign w:val="bottom"/>
            <w:tcBorders>
              <w:left w:val="single" w:sz="8" w:color="auto"/>
            </w:tcBorders>
          </w:tcPr>
          <w:p>
            <w:pPr>
              <w:spacing w:after="0"/>
              <w:rPr>
                <w:sz w:val="11"/>
                <w:szCs w:val="11"/>
                <w:color w:val="auto"/>
              </w:rPr>
            </w:pPr>
          </w:p>
        </w:tc>
        <w:tc>
          <w:tcPr>
            <w:tcW w:w="280" w:type="dxa"/>
            <w:vAlign w:val="bottom"/>
            <w:tcBorders>
              <w:right w:val="single" w:sz="8" w:color="auto"/>
            </w:tcBorders>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8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40" w:type="dxa"/>
            <w:vAlign w:val="bottom"/>
            <w:tcBorders>
              <w:left w:val="single" w:sz="8" w:color="auto"/>
              <w:bottom w:val="single" w:sz="8" w:color="auto"/>
            </w:tcBorders>
          </w:tcPr>
          <w:p>
            <w:pPr>
              <w:spacing w:after="0"/>
              <w:rPr>
                <w:sz w:val="12"/>
                <w:szCs w:val="12"/>
                <w:color w:val="auto"/>
              </w:rPr>
            </w:pPr>
          </w:p>
        </w:tc>
        <w:tc>
          <w:tcPr>
            <w:tcW w:w="280" w:type="dxa"/>
            <w:vAlign w:val="bottom"/>
            <w:tcBorders>
              <w:bottom w:val="single" w:sz="8" w:color="auto"/>
              <w:right w:val="single" w:sz="8" w:color="auto"/>
            </w:tcBorders>
          </w:tcPr>
          <w:p>
            <w:pPr>
              <w:spacing w:after="0"/>
              <w:rPr>
                <w:sz w:val="12"/>
                <w:szCs w:val="12"/>
                <w:color w:val="auto"/>
              </w:rPr>
            </w:pPr>
          </w:p>
        </w:tc>
        <w:tc>
          <w:tcPr>
            <w:tcW w:w="7380" w:type="dxa"/>
            <w:vAlign w:val="bottom"/>
            <w:tcBorders>
              <w:bottom w:val="single" w:sz="8" w:color="auto"/>
            </w:tcBorders>
            <w:gridSpan w:val="7"/>
          </w:tcPr>
          <w:p>
            <w:pPr>
              <w:spacing w:after="0"/>
              <w:rPr>
                <w:sz w:val="12"/>
                <w:szCs w:val="12"/>
                <w:color w:val="auto"/>
              </w:rPr>
            </w:pPr>
          </w:p>
        </w:tc>
        <w:tc>
          <w:tcPr>
            <w:tcW w:w="2280" w:type="dxa"/>
            <w:vAlign w:val="bottom"/>
            <w:tcBorders>
              <w:bottom w:val="single" w:sz="8" w:color="auto"/>
              <w:right w:val="single" w:sz="8" w:color="auto"/>
            </w:tcBorders>
          </w:tcPr>
          <w:p>
            <w:pPr>
              <w:spacing w:after="0"/>
              <w:rPr>
                <w:sz w:val="12"/>
                <w:szCs w:val="12"/>
                <w:color w:val="auto"/>
              </w:rPr>
            </w:pPr>
          </w:p>
        </w:tc>
        <w:tc>
          <w:tcPr>
            <w:tcW w:w="11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340" w:type="dxa"/>
            <w:vAlign w:val="bottom"/>
            <w:tcBorders>
              <w:left w:val="single" w:sz="8" w:color="auto"/>
            </w:tcBorders>
          </w:tcPr>
          <w:p>
            <w:pPr>
              <w:ind w:left="140"/>
              <w:spacing w:after="0"/>
              <w:rPr>
                <w:sz w:val="20"/>
                <w:szCs w:val="20"/>
                <w:color w:val="auto"/>
              </w:rPr>
            </w:pPr>
            <w:r>
              <w:rPr>
                <w:rFonts w:ascii="Arial" w:cs="Arial" w:eastAsia="Arial" w:hAnsi="Arial"/>
                <w:sz w:val="18"/>
                <w:szCs w:val="18"/>
                <w:color w:val="auto"/>
                <w:w w:val="89"/>
              </w:rPr>
              <w:t>13</w:t>
            </w:r>
          </w:p>
        </w:tc>
        <w:tc>
          <w:tcPr>
            <w:tcW w:w="280" w:type="dxa"/>
            <w:vAlign w:val="bottom"/>
            <w:tcBorders>
              <w:right w:val="single" w:sz="8" w:color="auto"/>
            </w:tcBorders>
          </w:tcPr>
          <w:p>
            <w:pPr>
              <w:spacing w:after="0"/>
              <w:rPr>
                <w:sz w:val="23"/>
                <w:szCs w:val="23"/>
                <w:color w:val="auto"/>
              </w:rPr>
            </w:pPr>
          </w:p>
        </w:tc>
        <w:tc>
          <w:tcPr>
            <w:tcW w:w="7380" w:type="dxa"/>
            <w:vAlign w:val="bottom"/>
            <w:gridSpan w:val="7"/>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2280" w:type="dxa"/>
            <w:vAlign w:val="bottom"/>
            <w:tcBorders>
              <w:right w:val="single" w:sz="8" w:color="auto"/>
            </w:tcBorders>
          </w:tcPr>
          <w:p>
            <w:pPr>
              <w:spacing w:after="0"/>
              <w:rPr>
                <w:sz w:val="23"/>
                <w:szCs w:val="23"/>
                <w:color w:val="auto"/>
              </w:rPr>
            </w:pPr>
          </w:p>
        </w:tc>
        <w:tc>
          <w:tcPr>
            <w:tcW w:w="11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432"/>
        </w:trPr>
        <w:tc>
          <w:tcPr>
            <w:tcW w:w="340" w:type="dxa"/>
            <w:vAlign w:val="bottom"/>
            <w:tcBorders>
              <w:left w:val="single" w:sz="8" w:color="auto"/>
            </w:tcBorders>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1140" w:type="dxa"/>
            <w:vAlign w:val="bottom"/>
          </w:tcPr>
          <w:p>
            <w:pPr>
              <w:ind w:left="100"/>
              <w:spacing w:after="0"/>
              <w:rPr>
                <w:sz w:val="20"/>
                <w:szCs w:val="20"/>
                <w:color w:val="auto"/>
              </w:rPr>
            </w:pPr>
            <w:r>
              <w:rPr>
                <w:rFonts w:ascii="Arial" w:cs="Arial" w:eastAsia="Arial" w:hAnsi="Arial"/>
                <w:sz w:val="18"/>
                <w:szCs w:val="18"/>
                <w:color w:val="auto"/>
              </w:rPr>
              <w:t>10.3%</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11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340" w:type="dxa"/>
            <w:vAlign w:val="bottom"/>
            <w:tcBorders>
              <w:left w:val="single" w:sz="8" w:color="auto"/>
              <w:bottom w:val="single" w:sz="8" w:color="auto"/>
            </w:tcBorders>
          </w:tcPr>
          <w:p>
            <w:pPr>
              <w:spacing w:after="0"/>
              <w:rPr>
                <w:sz w:val="5"/>
                <w:szCs w:val="5"/>
                <w:color w:val="auto"/>
              </w:rPr>
            </w:pPr>
          </w:p>
        </w:tc>
        <w:tc>
          <w:tcPr>
            <w:tcW w:w="280" w:type="dxa"/>
            <w:vAlign w:val="bottom"/>
            <w:tcBorders>
              <w:bottom w:val="single" w:sz="8" w:color="auto"/>
              <w:right w:val="single" w:sz="8" w:color="auto"/>
            </w:tcBorders>
          </w:tcPr>
          <w:p>
            <w:pPr>
              <w:spacing w:after="0"/>
              <w:rPr>
                <w:sz w:val="5"/>
                <w:szCs w:val="5"/>
                <w:color w:val="auto"/>
              </w:rPr>
            </w:pPr>
          </w:p>
        </w:tc>
        <w:tc>
          <w:tcPr>
            <w:tcW w:w="7380" w:type="dxa"/>
            <w:vAlign w:val="bottom"/>
            <w:tcBorders>
              <w:bottom w:val="single" w:sz="8" w:color="auto"/>
            </w:tcBorders>
            <w:gridSpan w:val="7"/>
          </w:tcPr>
          <w:p>
            <w:pPr>
              <w:spacing w:after="0"/>
              <w:rPr>
                <w:sz w:val="5"/>
                <w:szCs w:val="5"/>
                <w:color w:val="auto"/>
              </w:rPr>
            </w:pPr>
          </w:p>
        </w:tc>
        <w:tc>
          <w:tcPr>
            <w:tcW w:w="228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340" w:type="dxa"/>
            <w:vAlign w:val="bottom"/>
            <w:tcBorders>
              <w:left w:val="single" w:sz="8" w:color="auto"/>
            </w:tcBorders>
          </w:tcPr>
          <w:p>
            <w:pPr>
              <w:ind w:left="140"/>
              <w:spacing w:after="0"/>
              <w:rPr>
                <w:sz w:val="20"/>
                <w:szCs w:val="20"/>
                <w:color w:val="auto"/>
              </w:rPr>
            </w:pPr>
            <w:r>
              <w:rPr>
                <w:rFonts w:ascii="Arial" w:cs="Arial" w:eastAsia="Arial" w:hAnsi="Arial"/>
                <w:sz w:val="18"/>
                <w:szCs w:val="18"/>
                <w:color w:val="auto"/>
                <w:w w:val="89"/>
              </w:rPr>
              <w:t>14</w:t>
            </w:r>
          </w:p>
        </w:tc>
        <w:tc>
          <w:tcPr>
            <w:tcW w:w="280" w:type="dxa"/>
            <w:vAlign w:val="bottom"/>
            <w:tcBorders>
              <w:right w:val="single" w:sz="8" w:color="auto"/>
            </w:tcBorders>
          </w:tcPr>
          <w:p>
            <w:pPr>
              <w:spacing w:after="0"/>
              <w:rPr>
                <w:sz w:val="23"/>
                <w:szCs w:val="23"/>
                <w:color w:val="auto"/>
              </w:rPr>
            </w:pPr>
          </w:p>
        </w:tc>
        <w:tc>
          <w:tcPr>
            <w:tcW w:w="7380" w:type="dxa"/>
            <w:vAlign w:val="bottom"/>
            <w:gridSpan w:val="7"/>
          </w:tcPr>
          <w:p>
            <w:pPr>
              <w:ind w:left="100"/>
              <w:spacing w:after="0"/>
              <w:rPr>
                <w:sz w:val="20"/>
                <w:szCs w:val="20"/>
                <w:color w:val="auto"/>
              </w:rPr>
            </w:pPr>
            <w:r>
              <w:rPr>
                <w:rFonts w:ascii="Arial" w:cs="Arial" w:eastAsia="Arial" w:hAnsi="Arial"/>
                <w:sz w:val="18"/>
                <w:szCs w:val="18"/>
                <w:color w:val="auto"/>
              </w:rPr>
              <w:t>TYPE OF REPORTING PERSON</w:t>
            </w:r>
          </w:p>
        </w:tc>
        <w:tc>
          <w:tcPr>
            <w:tcW w:w="2280" w:type="dxa"/>
            <w:vAlign w:val="bottom"/>
            <w:tcBorders>
              <w:right w:val="single" w:sz="8" w:color="auto"/>
            </w:tcBorders>
          </w:tcPr>
          <w:p>
            <w:pPr>
              <w:spacing w:after="0"/>
              <w:rPr>
                <w:sz w:val="23"/>
                <w:szCs w:val="23"/>
                <w:color w:val="auto"/>
              </w:rPr>
            </w:pPr>
          </w:p>
        </w:tc>
        <w:tc>
          <w:tcPr>
            <w:tcW w:w="11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432"/>
        </w:trPr>
        <w:tc>
          <w:tcPr>
            <w:tcW w:w="340" w:type="dxa"/>
            <w:vAlign w:val="bottom"/>
            <w:tcBorders>
              <w:left w:val="single" w:sz="8" w:color="auto"/>
            </w:tcBorders>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1220" w:type="dxa"/>
            <w:vAlign w:val="bottom"/>
            <w:gridSpan w:val="2"/>
          </w:tcPr>
          <w:p>
            <w:pPr>
              <w:ind w:left="100"/>
              <w:spacing w:after="0"/>
              <w:rPr>
                <w:sz w:val="20"/>
                <w:szCs w:val="20"/>
                <w:color w:val="auto"/>
              </w:rPr>
            </w:pPr>
            <w:r>
              <w:rPr>
                <w:rFonts w:ascii="Arial" w:cs="Arial" w:eastAsia="Arial" w:hAnsi="Arial"/>
                <w:sz w:val="18"/>
                <w:szCs w:val="18"/>
                <w:color w:val="auto"/>
              </w:rPr>
              <w:t>IN</w:t>
            </w: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11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340" w:type="dxa"/>
            <w:vAlign w:val="bottom"/>
            <w:tcBorders>
              <w:left w:val="single" w:sz="8" w:color="auto"/>
              <w:bottom w:val="single" w:sz="8" w:color="auto"/>
            </w:tcBorders>
          </w:tcPr>
          <w:p>
            <w:pPr>
              <w:spacing w:after="0"/>
              <w:rPr>
                <w:sz w:val="5"/>
                <w:szCs w:val="5"/>
                <w:color w:val="auto"/>
              </w:rPr>
            </w:pPr>
          </w:p>
        </w:tc>
        <w:tc>
          <w:tcPr>
            <w:tcW w:w="28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220" w:type="dxa"/>
            <w:vAlign w:val="bottom"/>
            <w:tcBorders>
              <w:bottom w:val="single" w:sz="8" w:color="auto"/>
            </w:tcBorders>
          </w:tcPr>
          <w:p>
            <w:pPr>
              <w:spacing w:after="0"/>
              <w:rPr>
                <w:sz w:val="5"/>
                <w:szCs w:val="5"/>
                <w:color w:val="auto"/>
              </w:rPr>
            </w:pPr>
          </w:p>
        </w:tc>
        <w:tc>
          <w:tcPr>
            <w:tcW w:w="22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228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682"/>
        </w:trPr>
        <w:tc>
          <w:tcPr>
            <w:tcW w:w="3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3" w:right="239" w:bottom="1440" w:gutter="0" w:footer="0" w:header="0"/>
        </w:sectPr>
      </w:pPr>
    </w:p>
    <w:bookmarkStart w:id="3" w:name="page4"/>
    <w:bookmarkEnd w:id="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321"/>
        </w:trPr>
        <w:tc>
          <w:tcPr>
            <w:tcW w:w="4600" w:type="dxa"/>
            <w:vAlign w:val="bottom"/>
            <w:tcBorders>
              <w:top w:val="single" w:sz="8" w:color="auto"/>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CUSIP No. 277461406</w:t>
            </w:r>
          </w:p>
        </w:tc>
        <w:tc>
          <w:tcPr>
            <w:tcW w:w="2260" w:type="dxa"/>
            <w:vAlign w:val="bottom"/>
            <w:tcBorders>
              <w:right w:val="single" w:sz="8" w:color="auto"/>
            </w:tcBorders>
          </w:tcPr>
          <w:p>
            <w:pPr>
              <w:ind w:left="980"/>
              <w:spacing w:after="0"/>
              <w:rPr>
                <w:sz w:val="20"/>
                <w:szCs w:val="20"/>
                <w:color w:val="auto"/>
              </w:rPr>
            </w:pPr>
            <w:r>
              <w:rPr>
                <w:rFonts w:ascii="Arial" w:cs="Arial" w:eastAsia="Arial" w:hAnsi="Arial"/>
                <w:sz w:val="22"/>
                <w:szCs w:val="22"/>
                <w:color w:val="auto"/>
              </w:rPr>
              <w:t>13D</w:t>
            </w:r>
          </w:p>
        </w:tc>
        <w:tc>
          <w:tcPr>
            <w:tcW w:w="4560" w:type="dxa"/>
            <w:vAlign w:val="bottom"/>
            <w:tcBorders>
              <w:top w:val="single" w:sz="8" w:color="auto"/>
              <w:right w:val="single" w:sz="8" w:color="auto"/>
            </w:tcBorders>
          </w:tcPr>
          <w:p>
            <w:pPr>
              <w:ind w:left="1680"/>
              <w:spacing w:after="0"/>
              <w:rPr>
                <w:sz w:val="20"/>
                <w:szCs w:val="20"/>
                <w:color w:val="auto"/>
              </w:rPr>
            </w:pPr>
            <w:r>
              <w:rPr>
                <w:rFonts w:ascii="Arial" w:cs="Arial" w:eastAsia="Arial" w:hAnsi="Arial"/>
                <w:sz w:val="18"/>
                <w:szCs w:val="18"/>
                <w:color w:val="auto"/>
              </w:rPr>
              <w:t>Page 4 of 6 Pages</w:t>
            </w:r>
          </w:p>
        </w:tc>
      </w:tr>
      <w:tr>
        <w:trPr>
          <w:trHeight w:val="38"/>
        </w:trPr>
        <w:tc>
          <w:tcPr>
            <w:tcW w:w="4600" w:type="dxa"/>
            <w:vAlign w:val="bottom"/>
            <w:tcBorders>
              <w:left w:val="single" w:sz="8" w:color="auto"/>
              <w:bottom w:val="single" w:sz="8" w:color="auto"/>
              <w:right w:val="single" w:sz="8" w:color="auto"/>
            </w:tcBorders>
          </w:tcPr>
          <w:p>
            <w:pPr>
              <w:spacing w:after="0"/>
              <w:rPr>
                <w:sz w:val="3"/>
                <w:szCs w:val="3"/>
                <w:color w:val="auto"/>
              </w:rPr>
            </w:pPr>
          </w:p>
        </w:tc>
        <w:tc>
          <w:tcPr>
            <w:tcW w:w="2260" w:type="dxa"/>
            <w:vAlign w:val="bottom"/>
            <w:tcBorders>
              <w:right w:val="single" w:sz="8" w:color="auto"/>
            </w:tcBorders>
          </w:tcPr>
          <w:p>
            <w:pPr>
              <w:spacing w:after="0"/>
              <w:rPr>
                <w:sz w:val="3"/>
                <w:szCs w:val="3"/>
                <w:color w:val="auto"/>
              </w:rPr>
            </w:pPr>
          </w:p>
        </w:tc>
        <w:tc>
          <w:tcPr>
            <w:tcW w:w="4560" w:type="dxa"/>
            <w:vAlign w:val="bottom"/>
            <w:tcBorders>
              <w:bottom w:val="single" w:sz="8" w:color="auto"/>
              <w:right w:val="single" w:sz="8" w:color="auto"/>
            </w:tcBorders>
          </w:tcPr>
          <w:p>
            <w:pPr>
              <w:spacing w:after="0"/>
              <w:rPr>
                <w:sz w:val="3"/>
                <w:szCs w:val="3"/>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Security and Issuer.</w:t>
      </w:r>
    </w:p>
    <w:p>
      <w:pPr>
        <w:spacing w:after="0" w:line="229"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This Amendment No. 1 to Schedule 13D (“Amendment No. 1”) relates to the common stock, $0.01 par value per share (the “Common Stock”), of Eastman Kodak Company, a New Jersey corporation (the “Issuer”), and amends and supplements the initial statement on Schedule 13D filed on May 18, 2017 (the “Schedule 13D”). The purpose of this filing is to add Renee Karfunkel as a member of the Group and to report an acquisition of Common Stock. Except as specifically amended and supplemented by this Amendment No. 1, the Schedule 13D remains in full force and effect. Capitalized terms used but not defined in this Amendment No. 1 have the same meanings ascribed to them in the Schedule 13D.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Identity and Background</w:t>
      </w:r>
    </w:p>
    <w:p>
      <w:pPr>
        <w:spacing w:after="0" w:line="229" w:lineRule="exact"/>
        <w:rPr>
          <w:sz w:val="20"/>
          <w:szCs w:val="20"/>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This statement is filed by George Karfunkel and Renee Karfunkel (collectively, the “Group”).</w:t>
      </w:r>
    </w:p>
    <w:p>
      <w:pPr>
        <w:spacing w:after="0" w:line="205"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36"/>
          <w:szCs w:val="36"/>
          <w:color w:val="auto"/>
          <w:vertAlign w:val="superscript"/>
        </w:rPr>
      </w:pPr>
      <w:r>
        <w:rPr>
          <w:rFonts w:ascii="Arial" w:cs="Arial" w:eastAsia="Arial" w:hAnsi="Arial"/>
          <w:sz w:val="18"/>
          <w:szCs w:val="18"/>
          <w:color w:val="auto"/>
        </w:rPr>
        <w:t>The residence address for each member of the Group is 1671 52</w:t>
      </w:r>
      <w:r>
        <w:rPr>
          <w:rFonts w:ascii="Arial" w:cs="Arial" w:eastAsia="Arial" w:hAnsi="Arial"/>
          <w:sz w:val="30"/>
          <w:szCs w:val="30"/>
          <w:color w:val="auto"/>
          <w:vertAlign w:val="superscript"/>
        </w:rPr>
        <w:t>nd</w:t>
      </w:r>
      <w:r>
        <w:rPr>
          <w:rFonts w:ascii="Arial" w:cs="Arial" w:eastAsia="Arial" w:hAnsi="Arial"/>
          <w:sz w:val="18"/>
          <w:szCs w:val="18"/>
          <w:color w:val="auto"/>
        </w:rPr>
        <w:t xml:space="preserve"> Street, Brooklyn, New York 11204.</w:t>
      </w:r>
    </w:p>
    <w:p>
      <w:pPr>
        <w:spacing w:after="0" w:line="82" w:lineRule="exact"/>
        <w:rPr>
          <w:rFonts w:ascii="Arial" w:cs="Arial" w:eastAsia="Arial" w:hAnsi="Arial"/>
          <w:sz w:val="36"/>
          <w:szCs w:val="36"/>
          <w:color w:val="auto"/>
          <w:vertAlign w:val="superscript"/>
        </w:rPr>
      </w:pPr>
    </w:p>
    <w:p>
      <w:pPr>
        <w:ind w:left="980" w:right="160" w:hanging="324"/>
        <w:spacing w:after="0" w:line="197" w:lineRule="auto"/>
        <w:tabs>
          <w:tab w:leader="none" w:pos="980" w:val="left"/>
        </w:tabs>
        <w:numPr>
          <w:ilvl w:val="0"/>
          <w:numId w:val="2"/>
        </w:numPr>
        <w:rPr>
          <w:rFonts w:ascii="Arial" w:cs="Arial" w:eastAsia="Arial" w:hAnsi="Arial"/>
          <w:sz w:val="34"/>
          <w:szCs w:val="34"/>
          <w:color w:val="auto"/>
          <w:vertAlign w:val="superscript"/>
        </w:rPr>
      </w:pPr>
      <w:r>
        <w:rPr>
          <w:rFonts w:ascii="Arial" w:cs="Arial" w:eastAsia="Arial" w:hAnsi="Arial"/>
          <w:sz w:val="17"/>
          <w:szCs w:val="17"/>
          <w:color w:val="auto"/>
        </w:rPr>
        <w:t>George Karfunkel serves as Chairman of the Sabr Group, a consulting company. The address of Sabr Group is 140 Broadway, 39</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Floor, New York, New York 10005. Renee Karfunkel is George’s spouse and a private investor.</w:t>
      </w:r>
    </w:p>
    <w:p>
      <w:pPr>
        <w:spacing w:after="0" w:line="203" w:lineRule="exact"/>
        <w:rPr>
          <w:rFonts w:ascii="Arial" w:cs="Arial" w:eastAsia="Arial" w:hAnsi="Arial"/>
          <w:sz w:val="34"/>
          <w:szCs w:val="34"/>
          <w:color w:val="auto"/>
          <w:vertAlign w:val="superscript"/>
        </w:rPr>
      </w:pPr>
    </w:p>
    <w:p>
      <w:pPr>
        <w:ind w:left="980" w:right="44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None of the members of the Group have, during the last five years, been convicted in a criminal proceeding (excluding traffic violations or similar misdemeanors).</w:t>
      </w:r>
    </w:p>
    <w:p>
      <w:pPr>
        <w:spacing w:after="0" w:line="170" w:lineRule="exact"/>
        <w:rPr>
          <w:rFonts w:ascii="Arial" w:cs="Arial" w:eastAsia="Arial" w:hAnsi="Arial"/>
          <w:sz w:val="18"/>
          <w:szCs w:val="18"/>
          <w:color w:val="auto"/>
        </w:rPr>
      </w:pPr>
    </w:p>
    <w:p>
      <w:pPr>
        <w:ind w:left="980" w:right="120" w:hanging="324"/>
        <w:spacing w:after="0" w:line="312" w:lineRule="auto"/>
        <w:tabs>
          <w:tab w:leader="none" w:pos="980" w:val="left"/>
        </w:tabs>
        <w:numPr>
          <w:ilvl w:val="0"/>
          <w:numId w:val="2"/>
        </w:numPr>
        <w:rPr>
          <w:rFonts w:ascii="Arial" w:cs="Arial" w:eastAsia="Arial" w:hAnsi="Arial"/>
          <w:sz w:val="16"/>
          <w:szCs w:val="16"/>
          <w:color w:val="auto"/>
        </w:rPr>
      </w:pPr>
      <w:r>
        <w:rPr>
          <w:rFonts w:ascii="Arial" w:cs="Arial" w:eastAsia="Arial" w:hAnsi="Arial"/>
          <w:sz w:val="16"/>
          <w:szCs w:val="16"/>
          <w:color w:val="auto"/>
        </w:rPr>
        <w:t>None of the members of the Group have, during the last five years,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violations with respect to such laws.</w:t>
      </w:r>
    </w:p>
    <w:p>
      <w:pPr>
        <w:spacing w:after="0" w:line="146" w:lineRule="exact"/>
        <w:rPr>
          <w:rFonts w:ascii="Arial" w:cs="Arial" w:eastAsia="Arial" w:hAnsi="Arial"/>
          <w:sz w:val="16"/>
          <w:szCs w:val="16"/>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Each member of the Group is a citizen of the United States of America.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Source and Amount of Funds or Other Consideration.</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December 3, 2019, the members of the Group, as joint tenants, entered into a Purchase Agreement (the “Purchase Agreement”) with certain investment funds related to The Blackstone Group Inc. (the “GSO Funds”). Pursuant to the Purchase Agreement, the members of the Group, as joint tenants, agreed to purchase 4,437,605 shares of Common Stock (the “Purchased Shares”) from the GSO Funds for aggregate consideration of $11,094,012.50 (the “Purchase Price”). The Group paid the Purchase Price from their personal funds. The closing of such sale is scheduled to occur on or about December 9, 2019. Prior to the acquisition of the Purchased Shares, George Karfunkel, individually, owned 2,268,671 shares of Common Stock, 31,451 125% Warrants and 31,451 135% Warrants.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Purpose of Transaction.</w:t>
      </w:r>
    </w:p>
    <w:p>
      <w:pPr>
        <w:spacing w:after="0" w:line="229"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The Group acquired the Common Stock for investment purposes. George Karfunkel serves as a member of the Board of Directors of the Issuer. As such, he participates in the planning and decisions of the Board of Directors and management of the Issuer. The Group may from time to time develop plans respecting, or propose changes in, the management, composition of the Board of Directors, operations, capital structure or business of the Issuer. Depending upon market conditions and other factors that the Group deems material, they may purchase additional Common Stock or other securities of the Issuer in the open market, private transactions or from the Issuer, or may dispose of all or a portion of the Common Stock or other securities of the Issuer that they now own or may hereafter acquire. Except as described above, the Group does not have any present plans or proposals that relate to, or that would result in, any of the events described in paragraphs (a) to (j) of Item 4 of Schedule 13D. The Group reserves the right to formulate plans or make proposals, and to take any actions with respect to their investments in the Issuer, including any or all of the actions described in paragraphs (a) to (j) of Item 4 of Schedule 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321"/>
        </w:trPr>
        <w:tc>
          <w:tcPr>
            <w:tcW w:w="4600" w:type="dxa"/>
            <w:vAlign w:val="bottom"/>
            <w:tcBorders>
              <w:top w:val="single" w:sz="8" w:color="auto"/>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CUSIP No. 277461406</w:t>
            </w:r>
          </w:p>
        </w:tc>
        <w:tc>
          <w:tcPr>
            <w:tcW w:w="2260" w:type="dxa"/>
            <w:vAlign w:val="bottom"/>
            <w:tcBorders>
              <w:right w:val="single" w:sz="8" w:color="auto"/>
            </w:tcBorders>
          </w:tcPr>
          <w:p>
            <w:pPr>
              <w:ind w:left="980"/>
              <w:spacing w:after="0"/>
              <w:rPr>
                <w:sz w:val="20"/>
                <w:szCs w:val="20"/>
                <w:color w:val="auto"/>
              </w:rPr>
            </w:pPr>
            <w:r>
              <w:rPr>
                <w:rFonts w:ascii="Arial" w:cs="Arial" w:eastAsia="Arial" w:hAnsi="Arial"/>
                <w:sz w:val="22"/>
                <w:szCs w:val="22"/>
                <w:color w:val="auto"/>
              </w:rPr>
              <w:t>13D</w:t>
            </w:r>
          </w:p>
        </w:tc>
        <w:tc>
          <w:tcPr>
            <w:tcW w:w="4560" w:type="dxa"/>
            <w:vAlign w:val="bottom"/>
            <w:tcBorders>
              <w:top w:val="single" w:sz="8" w:color="auto"/>
              <w:right w:val="single" w:sz="8" w:color="auto"/>
            </w:tcBorders>
          </w:tcPr>
          <w:p>
            <w:pPr>
              <w:ind w:left="1680"/>
              <w:spacing w:after="0"/>
              <w:rPr>
                <w:sz w:val="20"/>
                <w:szCs w:val="20"/>
                <w:color w:val="auto"/>
              </w:rPr>
            </w:pPr>
            <w:r>
              <w:rPr>
                <w:rFonts w:ascii="Arial" w:cs="Arial" w:eastAsia="Arial" w:hAnsi="Arial"/>
                <w:sz w:val="18"/>
                <w:szCs w:val="18"/>
                <w:color w:val="auto"/>
              </w:rPr>
              <w:t>Page 5 of 6 Pages</w:t>
            </w:r>
          </w:p>
        </w:tc>
      </w:tr>
      <w:tr>
        <w:trPr>
          <w:trHeight w:val="38"/>
        </w:trPr>
        <w:tc>
          <w:tcPr>
            <w:tcW w:w="4600" w:type="dxa"/>
            <w:vAlign w:val="bottom"/>
            <w:tcBorders>
              <w:left w:val="single" w:sz="8" w:color="auto"/>
              <w:bottom w:val="single" w:sz="8" w:color="auto"/>
              <w:right w:val="single" w:sz="8" w:color="auto"/>
            </w:tcBorders>
          </w:tcPr>
          <w:p>
            <w:pPr>
              <w:spacing w:after="0"/>
              <w:rPr>
                <w:sz w:val="3"/>
                <w:szCs w:val="3"/>
                <w:color w:val="auto"/>
              </w:rPr>
            </w:pPr>
          </w:p>
        </w:tc>
        <w:tc>
          <w:tcPr>
            <w:tcW w:w="2260" w:type="dxa"/>
            <w:vAlign w:val="bottom"/>
            <w:tcBorders>
              <w:right w:val="single" w:sz="8" w:color="auto"/>
            </w:tcBorders>
          </w:tcPr>
          <w:p>
            <w:pPr>
              <w:spacing w:after="0"/>
              <w:rPr>
                <w:sz w:val="3"/>
                <w:szCs w:val="3"/>
                <w:color w:val="auto"/>
              </w:rPr>
            </w:pPr>
          </w:p>
        </w:tc>
        <w:tc>
          <w:tcPr>
            <w:tcW w:w="4560" w:type="dxa"/>
            <w:vAlign w:val="bottom"/>
            <w:tcBorders>
              <w:bottom w:val="single" w:sz="8" w:color="auto"/>
              <w:right w:val="single" w:sz="8" w:color="auto"/>
            </w:tcBorders>
          </w:tcPr>
          <w:p>
            <w:pPr>
              <w:spacing w:after="0"/>
              <w:rPr>
                <w:sz w:val="3"/>
                <w:szCs w:val="3"/>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 in Securities of the Issuer.</w:t>
      </w:r>
    </w:p>
    <w:p>
      <w:pPr>
        <w:spacing w:after="0" w:line="229" w:lineRule="exact"/>
        <w:rPr>
          <w:sz w:val="20"/>
          <w:szCs w:val="20"/>
          <w:color w:val="auto"/>
        </w:rPr>
      </w:pPr>
    </w:p>
    <w:p>
      <w:pPr>
        <w:ind w:left="500" w:right="20" w:hanging="492"/>
        <w:spacing w:after="0" w:line="259"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 of December 3, 2019, the Group is the beneficial owner of an aggregate of 6,706,276 shares of Common Stock, which represent 15.5% of the Issuer’s outstanding Common Stock, which amount includes 31,451 125% Warrants and 31,451 135% Warrants. All percentages set forth in this Schedule 13D are based on the Issuer’s 43,223,181 shares of Common Stock outstanding as of November 1, 2019, as reported on the Issuer’s Form 10-Q filed with the Securities and Exchange Commission on November 7, 2019.</w:t>
      </w:r>
    </w:p>
    <w:p>
      <w:pPr>
        <w:spacing w:after="0" w:line="186" w:lineRule="exact"/>
        <w:rPr>
          <w:rFonts w:ascii="Arial" w:cs="Arial" w:eastAsia="Arial" w:hAnsi="Arial"/>
          <w:sz w:val="18"/>
          <w:szCs w:val="18"/>
          <w:color w:val="auto"/>
        </w:rPr>
      </w:pPr>
    </w:p>
    <w:p>
      <w:pPr>
        <w:ind w:left="500" w:right="120" w:hanging="492"/>
        <w:spacing w:after="0" w:line="264"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George Karfunkel has sole power to vote or to direct the vote and sole power to dispose or to direct the disposition with respect to 2,268,671 shares of Common Stock. The Group has shared power to vote or to direct the vote and shared power to dispose or to direct the disposition with respect to 4,437,605 shares of Common Stock.</w:t>
      </w:r>
    </w:p>
    <w:p>
      <w:pPr>
        <w:spacing w:after="0" w:line="181" w:lineRule="exact"/>
        <w:rPr>
          <w:rFonts w:ascii="Arial" w:cs="Arial" w:eastAsia="Arial" w:hAnsi="Arial"/>
          <w:sz w:val="18"/>
          <w:szCs w:val="18"/>
          <w:color w:val="auto"/>
        </w:rPr>
      </w:pPr>
    </w:p>
    <w:p>
      <w:pPr>
        <w:ind w:left="500" w:right="340" w:hanging="492"/>
        <w:spacing w:after="0" w:line="277"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Except as described in Item 3, the Group has not effected any transaction in shares of Common Stock or Warrants during the 60 days preceding the date of this filing.</w:t>
      </w:r>
    </w:p>
    <w:p>
      <w:pPr>
        <w:spacing w:after="0" w:line="170" w:lineRule="exact"/>
        <w:rPr>
          <w:rFonts w:ascii="Arial" w:cs="Arial" w:eastAsia="Arial" w:hAnsi="Arial"/>
          <w:sz w:val="18"/>
          <w:szCs w:val="18"/>
          <w:color w:val="auto"/>
        </w:rPr>
      </w:pPr>
    </w:p>
    <w:p>
      <w:pPr>
        <w:ind w:left="500" w:hanging="49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auto"/>
        </w:rPr>
      </w:pPr>
    </w:p>
    <w:p>
      <w:pPr>
        <w:ind w:left="500" w:hanging="49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Material to Be Filed as Exhibits.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u w:val="single" w:color="auto"/>
          <w:color w:val="0000EE"/>
        </w:rPr>
        <w:t>Exhibit 99.1 — Purchase Agreement, dated as of December 3, 2019, by and among KF Investors LLC, the GSO Funds and the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Exhibit 99.2 – Joint Filing Agreement, dated December 6, 2019, by and between George Karfunkel and Renee Karfunkel.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321"/>
        </w:trPr>
        <w:tc>
          <w:tcPr>
            <w:tcW w:w="4600" w:type="dxa"/>
            <w:vAlign w:val="bottom"/>
            <w:tcBorders>
              <w:top w:val="single" w:sz="8" w:color="auto"/>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CUSIP No. 277461406</w:t>
            </w:r>
          </w:p>
        </w:tc>
        <w:tc>
          <w:tcPr>
            <w:tcW w:w="2260" w:type="dxa"/>
            <w:vAlign w:val="bottom"/>
            <w:tcBorders>
              <w:right w:val="single" w:sz="8" w:color="auto"/>
            </w:tcBorders>
          </w:tcPr>
          <w:p>
            <w:pPr>
              <w:ind w:left="980"/>
              <w:spacing w:after="0"/>
              <w:rPr>
                <w:sz w:val="20"/>
                <w:szCs w:val="20"/>
                <w:color w:val="auto"/>
              </w:rPr>
            </w:pPr>
            <w:r>
              <w:rPr>
                <w:rFonts w:ascii="Arial" w:cs="Arial" w:eastAsia="Arial" w:hAnsi="Arial"/>
                <w:sz w:val="22"/>
                <w:szCs w:val="22"/>
                <w:color w:val="auto"/>
              </w:rPr>
              <w:t>13D</w:t>
            </w:r>
          </w:p>
        </w:tc>
        <w:tc>
          <w:tcPr>
            <w:tcW w:w="4560" w:type="dxa"/>
            <w:vAlign w:val="bottom"/>
            <w:tcBorders>
              <w:top w:val="single" w:sz="8" w:color="auto"/>
              <w:right w:val="single" w:sz="8" w:color="auto"/>
            </w:tcBorders>
          </w:tcPr>
          <w:p>
            <w:pPr>
              <w:ind w:left="1680"/>
              <w:spacing w:after="0"/>
              <w:rPr>
                <w:sz w:val="20"/>
                <w:szCs w:val="20"/>
                <w:color w:val="auto"/>
              </w:rPr>
            </w:pPr>
            <w:r>
              <w:rPr>
                <w:rFonts w:ascii="Arial" w:cs="Arial" w:eastAsia="Arial" w:hAnsi="Arial"/>
                <w:sz w:val="18"/>
                <w:szCs w:val="18"/>
                <w:color w:val="auto"/>
              </w:rPr>
              <w:t>Page 6 of 6 Pages</w:t>
            </w:r>
          </w:p>
        </w:tc>
      </w:tr>
      <w:tr>
        <w:trPr>
          <w:trHeight w:val="38"/>
        </w:trPr>
        <w:tc>
          <w:tcPr>
            <w:tcW w:w="4600" w:type="dxa"/>
            <w:vAlign w:val="bottom"/>
            <w:tcBorders>
              <w:left w:val="single" w:sz="8" w:color="auto"/>
              <w:bottom w:val="single" w:sz="8" w:color="auto"/>
              <w:right w:val="single" w:sz="8" w:color="auto"/>
            </w:tcBorders>
          </w:tcPr>
          <w:p>
            <w:pPr>
              <w:spacing w:after="0"/>
              <w:rPr>
                <w:sz w:val="3"/>
                <w:szCs w:val="3"/>
                <w:color w:val="auto"/>
              </w:rPr>
            </w:pPr>
          </w:p>
        </w:tc>
        <w:tc>
          <w:tcPr>
            <w:tcW w:w="2260" w:type="dxa"/>
            <w:vAlign w:val="bottom"/>
            <w:tcBorders>
              <w:right w:val="single" w:sz="8" w:color="auto"/>
            </w:tcBorders>
          </w:tcPr>
          <w:p>
            <w:pPr>
              <w:spacing w:after="0"/>
              <w:rPr>
                <w:sz w:val="3"/>
                <w:szCs w:val="3"/>
                <w:color w:val="auto"/>
              </w:rPr>
            </w:pPr>
          </w:p>
        </w:tc>
        <w:tc>
          <w:tcPr>
            <w:tcW w:w="4560" w:type="dxa"/>
            <w:vAlign w:val="bottom"/>
            <w:tcBorders>
              <w:bottom w:val="single" w:sz="8" w:color="auto"/>
              <w:right w:val="single" w:sz="8" w:color="auto"/>
            </w:tcBorders>
          </w:tcPr>
          <w:p>
            <w:pPr>
              <w:spacing w:after="0"/>
              <w:rPr>
                <w:sz w:val="3"/>
                <w:szCs w:val="3"/>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December 6, 2019</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George Karfunkel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George Karfunkel</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Renee Karfunkel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Renee Karfunkel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6" w:name="page7"/>
    <w:bookmarkEnd w:id="6"/>
    <w:p>
      <w:pPr>
        <w:jc w:val="right"/>
        <w:spacing w:after="0"/>
        <w:rPr>
          <w:sz w:val="20"/>
          <w:szCs w:val="20"/>
          <w:color w:val="auto"/>
        </w:rPr>
      </w:pPr>
      <w:r>
        <w:rPr>
          <w:rFonts w:ascii="Arial" w:cs="Arial" w:eastAsia="Arial" w:hAnsi="Arial"/>
          <w:sz w:val="22"/>
          <w:szCs w:val="22"/>
          <w:b w:val="1"/>
          <w:bCs w:val="1"/>
          <w:color w:val="auto"/>
        </w:rPr>
        <w:t>Exhibit 99.1</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PURCHASE AGREEMENT</w:t>
      </w:r>
    </w:p>
    <w:p>
      <w:pPr>
        <w:spacing w:after="0" w:line="229"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THIS PURCHASE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dated as of December 3, 2019 by and among KF Investors LLC (“</w:t>
      </w:r>
      <w:r>
        <w:rPr>
          <w:rFonts w:ascii="Arial" w:cs="Arial" w:eastAsia="Arial" w:hAnsi="Arial"/>
          <w:sz w:val="18"/>
          <w:szCs w:val="18"/>
          <w:u w:val="single" w:color="auto"/>
          <w:color w:val="auto"/>
        </w:rPr>
        <w:t>KF</w:t>
      </w:r>
      <w:r>
        <w:rPr>
          <w:rFonts w:ascii="Arial" w:cs="Arial" w:eastAsia="Arial" w:hAnsi="Arial"/>
          <w:sz w:val="18"/>
          <w:szCs w:val="18"/>
          <w:color w:val="auto"/>
        </w:rPr>
        <w:t>”) and George and Renee Karfunkel JT TEN (“GK”; each of KF and GK are sometimes referred to individually as a “</w:t>
      </w:r>
      <w:r>
        <w:rPr>
          <w:rFonts w:ascii="Arial" w:cs="Arial" w:eastAsia="Arial" w:hAnsi="Arial"/>
          <w:sz w:val="18"/>
          <w:szCs w:val="18"/>
          <w:u w:val="single" w:color="auto"/>
          <w:color w:val="auto"/>
        </w:rPr>
        <w:t>Purchaser</w:t>
      </w:r>
      <w:r>
        <w:rPr>
          <w:rFonts w:ascii="Arial" w:cs="Arial" w:eastAsia="Arial" w:hAnsi="Arial"/>
          <w:sz w:val="18"/>
          <w:szCs w:val="18"/>
          <w:color w:val="auto"/>
        </w:rPr>
        <w:t>” and collectively as the “</w:t>
      </w:r>
      <w:r>
        <w:rPr>
          <w:rFonts w:ascii="Arial" w:cs="Arial" w:eastAsia="Arial" w:hAnsi="Arial"/>
          <w:sz w:val="18"/>
          <w:szCs w:val="18"/>
          <w:u w:val="single" w:color="auto"/>
          <w:color w:val="auto"/>
        </w:rPr>
        <w:t>Purchasers</w:t>
      </w:r>
      <w:r>
        <w:rPr>
          <w:rFonts w:ascii="Arial" w:cs="Arial" w:eastAsia="Arial" w:hAnsi="Arial"/>
          <w:sz w:val="18"/>
          <w:szCs w:val="18"/>
          <w:color w:val="auto"/>
        </w:rPr>
        <w:t xml:space="preserve">”), and each of the legal entities set forth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 (each, a “</w:t>
      </w:r>
      <w:r>
        <w:rPr>
          <w:rFonts w:ascii="Arial" w:cs="Arial" w:eastAsia="Arial" w:hAnsi="Arial"/>
          <w:sz w:val="18"/>
          <w:szCs w:val="18"/>
          <w:u w:val="single" w:color="auto"/>
          <w:color w:val="auto"/>
        </w:rPr>
        <w:t>Seller</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Sellers</w:t>
      </w:r>
      <w:r>
        <w:rPr>
          <w:rFonts w:ascii="Arial" w:cs="Arial" w:eastAsia="Arial" w:hAnsi="Arial"/>
          <w:sz w:val="18"/>
          <w:szCs w:val="18"/>
          <w:color w:val="auto"/>
        </w:rPr>
        <w: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ind w:right="420"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Sellers desire to sell the number of shares of common stock, $0.01 par value per share (“</w:t>
      </w:r>
      <w:r>
        <w:rPr>
          <w:rFonts w:ascii="Arial" w:cs="Arial" w:eastAsia="Arial" w:hAnsi="Arial"/>
          <w:sz w:val="18"/>
          <w:szCs w:val="18"/>
          <w:u w:val="single" w:color="auto"/>
          <w:color w:val="auto"/>
        </w:rPr>
        <w:t>Common Stock</w:t>
      </w:r>
      <w:r>
        <w:rPr>
          <w:rFonts w:ascii="Arial" w:cs="Arial" w:eastAsia="Arial" w:hAnsi="Arial"/>
          <w:sz w:val="18"/>
          <w:szCs w:val="18"/>
          <w:color w:val="auto"/>
        </w:rPr>
        <w:t>”), of Eastman Kodak</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 New Jersey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xml:space="preserve">”), set forth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 (collectively, the “</w:t>
      </w:r>
      <w:r>
        <w:rPr>
          <w:rFonts w:ascii="Arial" w:cs="Arial" w:eastAsia="Arial" w:hAnsi="Arial"/>
          <w:sz w:val="18"/>
          <w:szCs w:val="18"/>
          <w:u w:val="single" w:color="auto"/>
          <w:color w:val="auto"/>
        </w:rPr>
        <w:t>Shares</w:t>
      </w:r>
      <w:r>
        <w:rPr>
          <w:rFonts w:ascii="Arial" w:cs="Arial" w:eastAsia="Arial" w:hAnsi="Arial"/>
          <w:sz w:val="18"/>
          <w:szCs w:val="18"/>
          <w:color w:val="auto"/>
        </w:rPr>
        <w:t>”);</w:t>
      </w:r>
    </w:p>
    <w:p>
      <w:pPr>
        <w:spacing w:after="0" w:line="162" w:lineRule="exact"/>
        <w:rPr>
          <w:sz w:val="20"/>
          <w:szCs w:val="20"/>
          <w:color w:val="auto"/>
        </w:rPr>
      </w:pPr>
    </w:p>
    <w:p>
      <w:pPr>
        <w:ind w:right="160" w:firstLine="648"/>
        <w:spacing w:after="0" w:line="26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is subject to Section 13 or 15(d) of the Securities Exchange Act of 1934, as amended (the “</w:t>
      </w:r>
      <w:r>
        <w:rPr>
          <w:rFonts w:ascii="Arial" w:cs="Arial" w:eastAsia="Arial" w:hAnsi="Arial"/>
          <w:sz w:val="18"/>
          <w:szCs w:val="18"/>
          <w:u w:val="single" w:color="auto"/>
          <w:color w:val="auto"/>
        </w:rPr>
        <w:t>Exchange Act</w:t>
      </w:r>
      <w:r>
        <w:rPr>
          <w:rFonts w:ascii="Arial" w:cs="Arial" w:eastAsia="Arial" w:hAnsi="Arial"/>
          <w:sz w:val="18"/>
          <w:szCs w:val="18"/>
          <w:color w:val="auto"/>
        </w:rPr>
        <w:t>”) and is</w:t>
      </w:r>
      <w:r>
        <w:rPr>
          <w:rFonts w:ascii="Arial" w:cs="Arial" w:eastAsia="Arial" w:hAnsi="Arial"/>
          <w:sz w:val="18"/>
          <w:szCs w:val="18"/>
          <w:b w:val="1"/>
          <w:bCs w:val="1"/>
          <w:color w:val="auto"/>
        </w:rPr>
        <w:t xml:space="preserve"> </w:t>
      </w:r>
      <w:r>
        <w:rPr>
          <w:rFonts w:ascii="Arial" w:cs="Arial" w:eastAsia="Arial" w:hAnsi="Arial"/>
          <w:sz w:val="18"/>
          <w:szCs w:val="18"/>
          <w:color w:val="auto"/>
        </w:rPr>
        <w:t>engaged in business, is not in the organizational stage or in bankruptcy or receivership, and is not a blank check, blind pool, or shell company that has no specific business plan or purpose or has indicated that the Company’s primary business plan is to engage in a merger or combination of the business with, or an acquisition of, an unidentified person;</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Shares are securities of a class that has been authorized and outstanding for at least 90 days prior to the date of this Agreement;</w:t>
      </w:r>
    </w:p>
    <w:p>
      <w:pPr>
        <w:spacing w:after="0" w:line="248" w:lineRule="exact"/>
        <w:rPr>
          <w:sz w:val="20"/>
          <w:szCs w:val="20"/>
          <w:color w:val="auto"/>
        </w:rPr>
      </w:pPr>
    </w:p>
    <w:p>
      <w:pPr>
        <w:ind w:right="20"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Sellers and the Purchasers are executing and delivering this Agreement in reliance upon the exemption from securities registration</w:t>
      </w:r>
      <w:r>
        <w:rPr>
          <w:rFonts w:ascii="Arial" w:cs="Arial" w:eastAsia="Arial" w:hAnsi="Arial"/>
          <w:sz w:val="18"/>
          <w:szCs w:val="18"/>
          <w:b w:val="1"/>
          <w:bCs w:val="1"/>
          <w:color w:val="auto"/>
        </w:rPr>
        <w:t xml:space="preserve"> </w:t>
      </w:r>
      <w:r>
        <w:rPr>
          <w:rFonts w:ascii="Arial" w:cs="Arial" w:eastAsia="Arial" w:hAnsi="Arial"/>
          <w:sz w:val="18"/>
          <w:szCs w:val="18"/>
          <w:color w:val="auto"/>
        </w:rPr>
        <w:t>afforded by Section 4(a)(7) of the Securities Act of 1933, as amended (the “</w:t>
      </w:r>
      <w:r>
        <w:rPr>
          <w:rFonts w:ascii="Arial" w:cs="Arial" w:eastAsia="Arial" w:hAnsi="Arial"/>
          <w:sz w:val="18"/>
          <w:szCs w:val="18"/>
          <w:u w:val="single" w:color="auto"/>
          <w:color w:val="auto"/>
        </w:rPr>
        <w:t>Securities Act</w:t>
      </w:r>
      <w:r>
        <w:rPr>
          <w:rFonts w:ascii="Arial" w:cs="Arial" w:eastAsia="Arial" w:hAnsi="Arial"/>
          <w:sz w:val="18"/>
          <w:szCs w:val="18"/>
          <w:color w:val="auto"/>
        </w:rPr>
        <w:t>”), as promulgated by the Securities and Exchange Commission (the “</w:t>
      </w:r>
      <w:r>
        <w:rPr>
          <w:rFonts w:ascii="Arial" w:cs="Arial" w:eastAsia="Arial" w:hAnsi="Arial"/>
          <w:sz w:val="18"/>
          <w:szCs w:val="18"/>
          <w:u w:val="single" w:color="auto"/>
          <w:color w:val="auto"/>
        </w:rPr>
        <w:t>SEC</w:t>
      </w:r>
      <w:r>
        <w:rPr>
          <w:rFonts w:ascii="Arial" w:cs="Arial" w:eastAsia="Arial" w:hAnsi="Arial"/>
          <w:sz w:val="18"/>
          <w:szCs w:val="18"/>
          <w:color w:val="auto"/>
        </w:rPr>
        <w:t>”) under the Securities Act; and</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each Purchaser desires to purchase the number of Shares set forth on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Exhibit A</w:t>
      </w:r>
      <w:r>
        <w:rPr>
          <w:rFonts w:ascii="Arial" w:cs="Arial" w:eastAsia="Arial" w:hAnsi="Arial"/>
          <w:sz w:val="16"/>
          <w:szCs w:val="16"/>
          <w:b w:val="1"/>
          <w:bCs w:val="1"/>
          <w:color w:val="auto"/>
        </w:rPr>
        <w:t xml:space="preserve"> </w:t>
      </w:r>
      <w:r>
        <w:rPr>
          <w:rFonts w:ascii="Arial" w:cs="Arial" w:eastAsia="Arial" w:hAnsi="Arial"/>
          <w:sz w:val="16"/>
          <w:szCs w:val="16"/>
          <w:color w:val="auto"/>
        </w:rPr>
        <w:t>on the terms and subject to the conditions set forth</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herein.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225" w:lineRule="exact"/>
        <w:rPr>
          <w:sz w:val="20"/>
          <w:szCs w:val="20"/>
          <w:color w:val="auto"/>
        </w:rPr>
      </w:pPr>
    </w:p>
    <w:p>
      <w:pPr>
        <w:ind w:right="40" w:firstLine="648"/>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premises and of the representations, warranties, covenants and agreements set forth herein, the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agree as follows: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TRANSACTION; THE CLOSING</w:t>
      </w:r>
    </w:p>
    <w:p>
      <w:pPr>
        <w:spacing w:after="0" w:line="229" w:lineRule="exact"/>
        <w:rPr>
          <w:sz w:val="20"/>
          <w:szCs w:val="20"/>
          <w:color w:val="auto"/>
        </w:rPr>
      </w:pPr>
    </w:p>
    <w:p>
      <w:pPr>
        <w:ind w:right="100" w:firstLine="648"/>
        <w:spacing w:after="0" w:line="308" w:lineRule="auto"/>
        <w:rPr>
          <w:sz w:val="20"/>
          <w:szCs w:val="20"/>
          <w:color w:val="auto"/>
        </w:rPr>
      </w:pPr>
      <w:r>
        <w:rPr>
          <w:rFonts w:ascii="Arial" w:cs="Arial" w:eastAsia="Arial" w:hAnsi="Arial"/>
          <w:sz w:val="17"/>
          <w:szCs w:val="17"/>
          <w:color w:val="auto"/>
        </w:rPr>
        <w:t xml:space="preserve">Section 1.1 </w:t>
      </w:r>
      <w:r>
        <w:rPr>
          <w:rFonts w:ascii="Arial" w:cs="Arial" w:eastAsia="Arial" w:hAnsi="Arial"/>
          <w:sz w:val="17"/>
          <w:szCs w:val="17"/>
          <w:u w:val="single" w:color="auto"/>
          <w:color w:val="auto"/>
        </w:rPr>
        <w:t>The Transaction</w:t>
      </w:r>
      <w:r>
        <w:rPr>
          <w:rFonts w:ascii="Arial" w:cs="Arial" w:eastAsia="Arial" w:hAnsi="Arial"/>
          <w:sz w:val="17"/>
          <w:szCs w:val="17"/>
          <w:color w:val="auto"/>
        </w:rPr>
        <w:t>. On the terms and subject to the conditions set forth herein, each Seller agrees to sell, and each Purchaser, severally and not jointly, agrees to purchase, the Shares for the purchase price (the “</w:t>
      </w:r>
      <w:r>
        <w:rPr>
          <w:rFonts w:ascii="Arial" w:cs="Arial" w:eastAsia="Arial" w:hAnsi="Arial"/>
          <w:sz w:val="17"/>
          <w:szCs w:val="17"/>
          <w:u w:val="single" w:color="auto"/>
          <w:color w:val="auto"/>
        </w:rPr>
        <w:t>Purchase Price</w:t>
      </w:r>
      <w:r>
        <w:rPr>
          <w:rFonts w:ascii="Arial" w:cs="Arial" w:eastAsia="Arial" w:hAnsi="Arial"/>
          <w:sz w:val="17"/>
          <w:szCs w:val="17"/>
          <w:color w:val="auto"/>
        </w:rPr>
        <w:t xml:space="preserve">”) specified on such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7" w:name="page8"/>
    <w:bookmarkEnd w:id="7"/>
    <w:p>
      <w:pPr>
        <w:jc w:val="both"/>
        <w:ind w:right="100" w:firstLine="648"/>
        <w:spacing w:after="0" w:line="264"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The Closing</w:t>
      </w:r>
      <w:r>
        <w:rPr>
          <w:rFonts w:ascii="Arial" w:cs="Arial" w:eastAsia="Arial" w:hAnsi="Arial"/>
          <w:sz w:val="18"/>
          <w:szCs w:val="18"/>
          <w:color w:val="auto"/>
        </w:rPr>
        <w:t>. Unless otherwise mutually agreed in writing among the Purchasers and the Sellers, the closing of the purchase and sale of the Shares (the “</w:t>
      </w:r>
      <w:r>
        <w:rPr>
          <w:rFonts w:ascii="Arial" w:cs="Arial" w:eastAsia="Arial" w:hAnsi="Arial"/>
          <w:sz w:val="18"/>
          <w:szCs w:val="18"/>
          <w:u w:val="single" w:color="auto"/>
          <w:color w:val="auto"/>
        </w:rPr>
        <w:t>Closing</w:t>
      </w:r>
      <w:r>
        <w:rPr>
          <w:rFonts w:ascii="Arial" w:cs="Arial" w:eastAsia="Arial" w:hAnsi="Arial"/>
          <w:sz w:val="18"/>
          <w:szCs w:val="18"/>
          <w:color w:val="auto"/>
        </w:rPr>
        <w:t>”) shall take place at the offices of the Sellers, 345 Park Avenue, New York, New York 10154, or at such other place or through such other means as the parties may agree, on December [9], 2019 (the “</w:t>
      </w:r>
      <w:r>
        <w:rPr>
          <w:rFonts w:ascii="Arial" w:cs="Arial" w:eastAsia="Arial" w:hAnsi="Arial"/>
          <w:sz w:val="18"/>
          <w:szCs w:val="18"/>
          <w:u w:val="single" w:color="auto"/>
          <w:color w:val="auto"/>
        </w:rPr>
        <w:t>Closing Date”)</w:t>
      </w:r>
      <w:r>
        <w:rPr>
          <w:rFonts w:ascii="Arial" w:cs="Arial" w:eastAsia="Arial" w:hAnsi="Arial"/>
          <w:sz w:val="18"/>
          <w:szCs w:val="18"/>
          <w:color w:val="auto"/>
        </w:rPr>
        <w:t>.</w:t>
      </w:r>
    </w:p>
    <w:p>
      <w:pPr>
        <w:spacing w:after="0" w:line="18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Payment and Delivery</w:t>
      </w:r>
      <w:r>
        <w:rPr>
          <w:rFonts w:ascii="Arial" w:cs="Arial" w:eastAsia="Arial" w:hAnsi="Arial"/>
          <w:sz w:val="18"/>
          <w:szCs w:val="18"/>
          <w:color w:val="auto"/>
        </w:rPr>
        <w:t xml:space="preserve">. At the Closing, each Seller (severally and not jointly) shall deliver, or cause to be delivered, except as provided in the following sentence, to an electronic book-entry account in the name of each Purchaser with Computershare Shareowner Services as transfer agent for the Common Stock, the Shares against payment of the Purchase Price as set forth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 in immediately available funds by wire transfer to the Sellers’ bank accounts set forth on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of this Agreement; provided however that with respect to that certain number of Shares of one of the Sellers identified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 the delivery of such Shares shall occur as promptly as reasonably practicable after the Closing. If requested by a Purchaser prior to the Closing, such Seller shall deliver, or cause to be delivered, physical certificates evidencing such Shares registered in the name of such Purchaser promptly after the Closing.</w:t>
      </w:r>
    </w:p>
    <w:p>
      <w:pPr>
        <w:spacing w:after="0" w:line="189"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 xml:space="preserve">Section 1.4 </w:t>
      </w:r>
      <w:r>
        <w:rPr>
          <w:rFonts w:ascii="Arial" w:cs="Arial" w:eastAsia="Arial" w:hAnsi="Arial"/>
          <w:sz w:val="16"/>
          <w:szCs w:val="16"/>
          <w:u w:val="single" w:color="auto"/>
          <w:color w:val="auto"/>
        </w:rPr>
        <w:t>Condition to the Sellers’ Obligation to Sell</w:t>
      </w:r>
      <w:r>
        <w:rPr>
          <w:rFonts w:ascii="Arial" w:cs="Arial" w:eastAsia="Arial" w:hAnsi="Arial"/>
          <w:sz w:val="16"/>
          <w:szCs w:val="16"/>
          <w:color w:val="auto"/>
        </w:rPr>
        <w:t>. The obligation of the Sellers hereunder to sell and transfer the Shares to the Purchasers at the Closing is subject to the satisfaction, at or before the Closing Date, of the following condition, provided that the condition is for the Sellers’ sole benefit and may be waived by the Sellers at any time in their sole discretion by providing the Purchaser with prior written notice thereof: The representations and warranties of each of the Purchasers shall be true and correct in all material respects as of the date when made and as of the Closing Date as though made at that time and each of the Purchasers shall have performed, satisfied and complied in all material respects with the covenants, agreements and conditions required by this Agreement to be performed, satisfied or complied with by each of the Purchasers at or prior to the Closing Date.</w:t>
      </w:r>
    </w:p>
    <w:p>
      <w:pPr>
        <w:spacing w:after="0" w:line="165"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 xml:space="preserve">Section 1.5 </w:t>
      </w:r>
      <w:r>
        <w:rPr>
          <w:rFonts w:ascii="Arial" w:cs="Arial" w:eastAsia="Arial" w:hAnsi="Arial"/>
          <w:sz w:val="16"/>
          <w:szCs w:val="16"/>
          <w:u w:val="single" w:color="auto"/>
          <w:color w:val="auto"/>
        </w:rPr>
        <w:t>Condition to the Purchaser’s Obligation to Purchase</w:t>
      </w:r>
      <w:r>
        <w:rPr>
          <w:rFonts w:ascii="Arial" w:cs="Arial" w:eastAsia="Arial" w:hAnsi="Arial"/>
          <w:sz w:val="16"/>
          <w:szCs w:val="16"/>
          <w:color w:val="auto"/>
        </w:rPr>
        <w:t>. The obligation of the Purchasers hereunder to purchase the Shares at the Closing is subject to the satisfaction, at or before the Closing Date, of the following condition, provided that the condition is for the Purchasers’ sole benefit and may be waived by the Purchasers at any time in their sole discretion by providing the Sellers with prior written notice thereof: The representations and warranties of each and all of the Sellers shall be true and correct in all material respects as of the date when made and as of the Closing Date as though made at that time and each and all of the Sellers shall have performed, satisfied and complied in all material respects with the covenants, agreements and conditions required by this Agreement to be performed, satisfied or complied with by such Seller at or prior to the Closing Date.</w:t>
      </w: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8" w:name="page9"/>
    <w:bookmarkEnd w:id="8"/>
    <w:p>
      <w:pPr>
        <w:jc w:val="center"/>
        <w:ind w:right="-39"/>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PURCHASER’S REPRESENTATIONS AND WARRANTIES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Each of the Purchasers severally and not jointly represents and warrants to the Sellers, as of the date hereof and as of the Closing , that:</w:t>
      </w:r>
    </w:p>
    <w:p>
      <w:pPr>
        <w:spacing w:after="0" w:line="237" w:lineRule="exact"/>
        <w:rPr>
          <w:sz w:val="20"/>
          <w:szCs w:val="20"/>
          <w:color w:val="auto"/>
        </w:rPr>
      </w:pPr>
    </w:p>
    <w:p>
      <w:pPr>
        <w:ind w:right="340" w:firstLine="648"/>
        <w:spacing w:after="0" w:line="286" w:lineRule="auto"/>
        <w:rPr>
          <w:sz w:val="20"/>
          <w:szCs w:val="20"/>
          <w:color w:val="auto"/>
        </w:rPr>
      </w:pPr>
      <w:r>
        <w:rPr>
          <w:rFonts w:ascii="Arial" w:cs="Arial" w:eastAsia="Arial" w:hAnsi="Arial"/>
          <w:sz w:val="17"/>
          <w:szCs w:val="17"/>
          <w:color w:val="auto"/>
        </w:rPr>
        <w:t xml:space="preserve">Section 2.1 </w:t>
      </w:r>
      <w:r>
        <w:rPr>
          <w:rFonts w:ascii="Arial" w:cs="Arial" w:eastAsia="Arial" w:hAnsi="Arial"/>
          <w:sz w:val="17"/>
          <w:szCs w:val="17"/>
          <w:u w:val="single" w:color="auto"/>
          <w:color w:val="auto"/>
        </w:rPr>
        <w:t>No Sale or Distribution</w:t>
      </w:r>
      <w:r>
        <w:rPr>
          <w:rFonts w:ascii="Arial" w:cs="Arial" w:eastAsia="Arial" w:hAnsi="Arial"/>
          <w:sz w:val="17"/>
          <w:szCs w:val="17"/>
          <w:color w:val="auto"/>
        </w:rPr>
        <w:t>. Such Purchaser is acquiring the Shares for its own account and not with a view towards, or for resale in connection with, the public sale or distribution thereof, except pursuant to sales registered or exempted under the Securities Act. Such Purchaser does not presently have any agreement or understanding, directly or indirectly, with any person to distribute any of the Shares.</w:t>
      </w:r>
    </w:p>
    <w:p>
      <w:pPr>
        <w:spacing w:after="0" w:line="166" w:lineRule="exact"/>
        <w:rPr>
          <w:sz w:val="20"/>
          <w:szCs w:val="20"/>
          <w:color w:val="auto"/>
        </w:rPr>
      </w:pPr>
    </w:p>
    <w:p>
      <w:pPr>
        <w:ind w:right="900" w:firstLine="648"/>
        <w:spacing w:after="0" w:line="277" w:lineRule="auto"/>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Accredited Investor Status</w:t>
      </w:r>
      <w:r>
        <w:rPr>
          <w:rFonts w:ascii="Arial" w:cs="Arial" w:eastAsia="Arial" w:hAnsi="Arial"/>
          <w:sz w:val="18"/>
          <w:szCs w:val="18"/>
          <w:color w:val="auto"/>
        </w:rPr>
        <w:t>. Such Purchaser is an “accredited investor” as that term is defined in Rule 501(a) of Regulation D promulgated under the Securities Act (“</w:t>
      </w:r>
      <w:r>
        <w:rPr>
          <w:rFonts w:ascii="Arial" w:cs="Arial" w:eastAsia="Arial" w:hAnsi="Arial"/>
          <w:sz w:val="18"/>
          <w:szCs w:val="18"/>
          <w:u w:val="single" w:color="auto"/>
          <w:color w:val="auto"/>
        </w:rPr>
        <w:t>Regulation D</w:t>
      </w:r>
      <w:r>
        <w:rPr>
          <w:rFonts w:ascii="Arial" w:cs="Arial" w:eastAsia="Arial" w:hAnsi="Arial"/>
          <w:sz w:val="18"/>
          <w:szCs w:val="18"/>
          <w:color w:val="auto"/>
        </w:rPr>
        <w:t>”).</w:t>
      </w:r>
    </w:p>
    <w:p>
      <w:pPr>
        <w:spacing w:after="0" w:line="170"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 xml:space="preserve">Section 2.3 </w:t>
      </w:r>
      <w:r>
        <w:rPr>
          <w:rFonts w:ascii="Arial" w:cs="Arial" w:eastAsia="Arial" w:hAnsi="Arial"/>
          <w:sz w:val="17"/>
          <w:szCs w:val="17"/>
          <w:u w:val="single" w:color="auto"/>
          <w:color w:val="auto"/>
        </w:rPr>
        <w:t>Reliance on Exemptions</w:t>
      </w:r>
      <w:r>
        <w:rPr>
          <w:rFonts w:ascii="Arial" w:cs="Arial" w:eastAsia="Arial" w:hAnsi="Arial"/>
          <w:sz w:val="17"/>
          <w:szCs w:val="17"/>
          <w:color w:val="auto"/>
        </w:rPr>
        <w:t>. Such Purchaser understands that the Shares are being offered and sold to it in reliance on specific exemptions from the registration requirements of United States federal and state securities laws and that the Sellers are relying in part upon the truth and accuracy of, and such Purchaser’s compliance with, the representations, warranties, agreements, acknowledgments and understandings of such Purchaser set forth herein in order to determine the availability of such exemptions and the eligibility of such Purchaser to acquire the Shares.</w:t>
      </w:r>
    </w:p>
    <w:p>
      <w:pPr>
        <w:spacing w:after="0" w:line="171"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 xml:space="preserve">Section 2.4 </w:t>
      </w:r>
      <w:r>
        <w:rPr>
          <w:rFonts w:ascii="Arial" w:cs="Arial" w:eastAsia="Arial" w:hAnsi="Arial"/>
          <w:sz w:val="16"/>
          <w:szCs w:val="16"/>
          <w:u w:val="single" w:color="auto"/>
          <w:color w:val="auto"/>
        </w:rPr>
        <w:t>Information</w:t>
      </w:r>
      <w:r>
        <w:rPr>
          <w:rFonts w:ascii="Arial" w:cs="Arial" w:eastAsia="Arial" w:hAnsi="Arial"/>
          <w:sz w:val="16"/>
          <w:szCs w:val="16"/>
          <w:color w:val="auto"/>
        </w:rPr>
        <w:t>. Such Purchaser has not relied on the Sellers, GSO Capital Partners LP (“</w:t>
      </w:r>
      <w:r>
        <w:rPr>
          <w:rFonts w:ascii="Arial" w:cs="Arial" w:eastAsia="Arial" w:hAnsi="Arial"/>
          <w:sz w:val="16"/>
          <w:szCs w:val="16"/>
          <w:u w:val="single" w:color="auto"/>
          <w:color w:val="auto"/>
        </w:rPr>
        <w:t>GSO</w:t>
      </w:r>
      <w:r>
        <w:rPr>
          <w:rFonts w:ascii="Arial" w:cs="Arial" w:eastAsia="Arial" w:hAnsi="Arial"/>
          <w:sz w:val="16"/>
          <w:szCs w:val="16"/>
          <w:color w:val="auto"/>
        </w:rPr>
        <w:t>”), any other funds and accounts managed by GSO, any other affiliates of GSO or any of their respective current or former partners, shareholders, members, managers, officers, directors, employees, representatives and agents of any of the foregoing (collectively, the “</w:t>
      </w:r>
      <w:r>
        <w:rPr>
          <w:rFonts w:ascii="Arial" w:cs="Arial" w:eastAsia="Arial" w:hAnsi="Arial"/>
          <w:sz w:val="16"/>
          <w:szCs w:val="16"/>
          <w:u w:val="single" w:color="auto"/>
          <w:color w:val="auto"/>
        </w:rPr>
        <w:t>GSO Persons</w:t>
      </w:r>
      <w:r>
        <w:rPr>
          <w:rFonts w:ascii="Arial" w:cs="Arial" w:eastAsia="Arial" w:hAnsi="Arial"/>
          <w:sz w:val="16"/>
          <w:szCs w:val="16"/>
          <w:color w:val="auto"/>
        </w:rPr>
        <w:t>”) with respect to any legal, accounting or tax matters relating to the purchase of the Shares. Such Purchaser has sought such accounting, legal and tax advice as it has considered necessary to make an informed investment decision with respect to its acquisition of the Shares. Such Purchaser has, independently and without reliance on the Sellers or any GSO Person, and based on such information concerning the sale of the Shares and the Company as such Purchaser deemed appropriate, reliable and adequate, made its own investment analysis and decision to consummate the acquisition of the Shares. Such Purchaser understands that its investment in the Shares involves a high degree of risk and is able to afford a complete loss of such investment and such Purchaser believes that, by reason of its business and financial experience, it is capable of evaluating the merits and risks of the acquisition of the Shares and of protecting its own interests in connection with such acquisition.</w:t>
      </w:r>
    </w:p>
    <w:p>
      <w:pPr>
        <w:spacing w:after="0" w:line="167"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 xml:space="preserve">Section 2.5 </w:t>
      </w:r>
      <w:r>
        <w:rPr>
          <w:rFonts w:ascii="Arial" w:cs="Arial" w:eastAsia="Arial" w:hAnsi="Arial"/>
          <w:sz w:val="18"/>
          <w:szCs w:val="18"/>
          <w:u w:val="single" w:color="auto"/>
          <w:color w:val="auto"/>
        </w:rPr>
        <w:t>No Governmental Review</w:t>
      </w:r>
      <w:r>
        <w:rPr>
          <w:rFonts w:ascii="Arial" w:cs="Arial" w:eastAsia="Arial" w:hAnsi="Arial"/>
          <w:sz w:val="18"/>
          <w:szCs w:val="18"/>
          <w:color w:val="auto"/>
        </w:rPr>
        <w:t>. Such Purchaser understands that no United States federal or state agency or any other government or governmental agency has passed on or made any recommendation or endorsement of the Shares or the fairness or suitability of the investment in the Shares nor have such authorities passed upon or endorsed the merits of the offering of the Shares.</w:t>
      </w:r>
    </w:p>
    <w:p>
      <w:pPr>
        <w:spacing w:after="0" w:line="181" w:lineRule="exact"/>
        <w:rPr>
          <w:sz w:val="20"/>
          <w:szCs w:val="20"/>
          <w:color w:val="auto"/>
        </w:rPr>
      </w:pPr>
    </w:p>
    <w:p>
      <w:pPr>
        <w:ind w:right="140" w:firstLine="648"/>
        <w:spacing w:after="0" w:line="297" w:lineRule="auto"/>
        <w:rPr>
          <w:sz w:val="20"/>
          <w:szCs w:val="20"/>
          <w:color w:val="auto"/>
        </w:rPr>
      </w:pPr>
      <w:r>
        <w:rPr>
          <w:rFonts w:ascii="Arial" w:cs="Arial" w:eastAsia="Arial" w:hAnsi="Arial"/>
          <w:sz w:val="16"/>
          <w:szCs w:val="16"/>
          <w:color w:val="auto"/>
        </w:rPr>
        <w:t xml:space="preserve">Section 2.6 </w:t>
      </w:r>
      <w:r>
        <w:rPr>
          <w:rFonts w:ascii="Arial" w:cs="Arial" w:eastAsia="Arial" w:hAnsi="Arial"/>
          <w:sz w:val="16"/>
          <w:szCs w:val="16"/>
          <w:u w:val="single" w:color="auto"/>
          <w:color w:val="auto"/>
        </w:rPr>
        <w:t>Transfer or Resale</w:t>
      </w:r>
      <w:r>
        <w:rPr>
          <w:rFonts w:ascii="Arial" w:cs="Arial" w:eastAsia="Arial" w:hAnsi="Arial"/>
          <w:sz w:val="16"/>
          <w:szCs w:val="16"/>
          <w:color w:val="auto"/>
        </w:rPr>
        <w:t>. Such Purchaser understands that: (i) the Shares have not been and are not being registered under the Securities Act, and may not be offered for sale, sold, assigned or transferred unless (A) subsequently registered thereunder or (B) such Purchaser shall have delivered to the Company an opinion of counsel, in a form reasonably acceptable to the Company, to the effect that such Shares to be sold, assigned or transferred may be sold, assigned or transferred pursuant to an exemption from such registration; and (ii) neither the Company nor any other person is under any obligation to register the Shares under the Securities Act or any state securities laws or to comply with the terms and conditions of any exemption thereunder.</w:t>
      </w:r>
    </w:p>
    <w:p>
      <w:pPr>
        <w:spacing w:after="0" w:line="36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9" w:name="page10"/>
    <w:bookmarkEnd w:id="9"/>
    <w:p>
      <w:pPr>
        <w:ind w:right="480" w:firstLine="648"/>
        <w:spacing w:after="0" w:line="277" w:lineRule="auto"/>
        <w:rPr>
          <w:sz w:val="20"/>
          <w:szCs w:val="20"/>
          <w:color w:val="auto"/>
        </w:rPr>
      </w:pPr>
      <w:r>
        <w:rPr>
          <w:rFonts w:ascii="Arial" w:cs="Arial" w:eastAsia="Arial" w:hAnsi="Arial"/>
          <w:sz w:val="18"/>
          <w:szCs w:val="18"/>
          <w:color w:val="auto"/>
        </w:rPr>
        <w:t xml:space="preserve">Section 2.7 </w:t>
      </w:r>
      <w:r>
        <w:rPr>
          <w:rFonts w:ascii="Arial" w:cs="Arial" w:eastAsia="Arial" w:hAnsi="Arial"/>
          <w:sz w:val="18"/>
          <w:szCs w:val="18"/>
          <w:u w:val="single" w:color="auto"/>
          <w:color w:val="auto"/>
        </w:rPr>
        <w:t>Legends</w:t>
      </w:r>
      <w:r>
        <w:rPr>
          <w:rFonts w:ascii="Arial" w:cs="Arial" w:eastAsia="Arial" w:hAnsi="Arial"/>
          <w:sz w:val="18"/>
          <w:szCs w:val="18"/>
          <w:color w:val="auto"/>
        </w:rPr>
        <w:t>. Such Purchaser understands that the Shares shall bear a restrictive legend in substantially the following form (and a stop-transfer order may be placed against transfer of such Shares):</w:t>
      </w:r>
    </w:p>
    <w:p>
      <w:pPr>
        <w:spacing w:after="0" w:line="170" w:lineRule="exact"/>
        <w:rPr>
          <w:sz w:val="20"/>
          <w:szCs w:val="20"/>
          <w:color w:val="auto"/>
        </w:rPr>
      </w:pPr>
    </w:p>
    <w:p>
      <w:pPr>
        <w:ind w:left="660" w:right="160"/>
        <w:spacing w:after="0" w:line="272" w:lineRule="auto"/>
        <w:rPr>
          <w:sz w:val="20"/>
          <w:szCs w:val="20"/>
          <w:color w:val="auto"/>
        </w:rPr>
      </w:pPr>
      <w:r>
        <w:rPr>
          <w:rFonts w:ascii="Arial" w:cs="Arial" w:eastAsia="Arial" w:hAnsi="Arial"/>
          <w:sz w:val="17"/>
          <w:szCs w:val="17"/>
          <w:color w:val="auto"/>
        </w:rPr>
        <w:t>“THE SECURITIES REPRESENTED BY THIS BOOK-ENTRY HAVE NOT BEEN REGISTERED UNDER THE SECURITIES ACT OF 1933, AS AMENDED. NO TRANSFER, SALE, ASSIGNMENT, PLEDGE, HYPOTHECATION OR OTHER DISPOSITION OF THE SECURITIES REPRESENTED BY THIS BOOK-ENTRY MAY BE MADE EXCEPT PURSUANT TO (A) A REGISTRATION STATEMENT EFFECTIVE UNDER THE SECURITIES ACT OF 1933, AS AMENDED, OR (B) AN EXEMPTION FROM REGISTRATION THEREUNDER, IF THE COMPANY HAS BEEN FURNISHED WITH SUCH CERTIFICATIONS, LEGAL OPINIONS OR OTHER INFORMATION AS MAY REASONABLY BE REQUIRED BY THE COMPANY THAT SUCH TRANSFER, SALE, ASSIGNMENT, PLEDGE, HYPOTHECATION OR OTHER DISPOSITION IS NOT REQUIRED TO BE REGISTERED UNDER THE SECURITIES ACT.”</w:t>
      </w:r>
    </w:p>
    <w:p>
      <w:pPr>
        <w:spacing w:after="0" w:line="178" w:lineRule="exact"/>
        <w:rPr>
          <w:sz w:val="20"/>
          <w:szCs w:val="20"/>
          <w:color w:val="auto"/>
        </w:rPr>
      </w:pPr>
    </w:p>
    <w:p>
      <w:pPr>
        <w:ind w:right="260" w:firstLine="648"/>
        <w:spacing w:after="0" w:line="279" w:lineRule="auto"/>
        <w:rPr>
          <w:sz w:val="20"/>
          <w:szCs w:val="20"/>
          <w:color w:val="auto"/>
        </w:rPr>
      </w:pPr>
      <w:r>
        <w:rPr>
          <w:rFonts w:ascii="Arial" w:cs="Arial" w:eastAsia="Arial" w:hAnsi="Arial"/>
          <w:sz w:val="17"/>
          <w:szCs w:val="17"/>
          <w:color w:val="auto"/>
        </w:rPr>
        <w:t xml:space="preserve">Section 2.8 </w:t>
      </w:r>
      <w:r>
        <w:rPr>
          <w:rFonts w:ascii="Arial" w:cs="Arial" w:eastAsia="Arial" w:hAnsi="Arial"/>
          <w:sz w:val="17"/>
          <w:szCs w:val="17"/>
          <w:u w:val="single" w:color="auto"/>
          <w:color w:val="auto"/>
        </w:rPr>
        <w:t>Validity; Enforcement</w:t>
      </w:r>
      <w:r>
        <w:rPr>
          <w:rFonts w:ascii="Arial" w:cs="Arial" w:eastAsia="Arial" w:hAnsi="Arial"/>
          <w:sz w:val="17"/>
          <w:szCs w:val="17"/>
          <w:color w:val="auto"/>
        </w:rPr>
        <w:t>. This Agreement has been duly and validly authorized, executed and delivered on behalf of such Purchaser and shall constitute the legal, valid and binding obligations of such Purchaser enforceable against such Purchaser in accordance with its terms, except as such enforceability may be limited by general principles of equity or to applicable bankruptcy, insolvency, reorganization, moratorium, liquidation and other similar laws relating to, or affecting generally, the enforcement of applicable creditors’ rights and remedies.</w:t>
      </w:r>
    </w:p>
    <w:p>
      <w:pPr>
        <w:spacing w:after="0" w:line="17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Section 2.9 </w:t>
      </w:r>
      <w:r>
        <w:rPr>
          <w:rFonts w:ascii="Arial" w:cs="Arial" w:eastAsia="Arial" w:hAnsi="Arial"/>
          <w:sz w:val="18"/>
          <w:szCs w:val="18"/>
          <w:u w:val="single" w:color="auto"/>
          <w:color w:val="auto"/>
        </w:rPr>
        <w:t>No Violation or Conflict; Consent</w:t>
      </w:r>
      <w:r>
        <w:rPr>
          <w:rFonts w:ascii="Arial" w:cs="Arial" w:eastAsia="Arial" w:hAnsi="Arial"/>
          <w:sz w:val="18"/>
          <w:szCs w:val="18"/>
          <w:color w:val="auto"/>
        </w:rPr>
        <w:t>. The execution, delivery and performance by such Purchaser of this Agreement and consummation by such Purchaser of the transactions contemplated hereby do not and will not: (i) violate any decree or judgment of any court or other governmental authority applicable to or binding on such Purchaser or (ii) violate any contract to which such Purchaser is bound, or conflict with, or constitute a default (or an event which with notice or lapse of time or both would become a default) under, or give to others any rights of termination, amendment, acceleration or cancellation of, any agreement, indenture or instrument to which such Purchaser is a party, except for any such violation, conflict, default, termination, amendment, acceleration or cancellation that would not reasonably be expected to have, individually or in the aggregate, a material adverse effect on the business, financial condition or operations of such Purchaser.</w:t>
      </w:r>
    </w:p>
    <w:p>
      <w:pPr>
        <w:spacing w:after="0" w:line="189"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 xml:space="preserve">Section 2.10 </w:t>
      </w:r>
      <w:r>
        <w:rPr>
          <w:rFonts w:ascii="Arial" w:cs="Arial" w:eastAsia="Arial" w:hAnsi="Arial"/>
          <w:sz w:val="18"/>
          <w:szCs w:val="18"/>
          <w:u w:val="single" w:color="auto"/>
          <w:color w:val="auto"/>
        </w:rPr>
        <w:t>Non-Public Information</w:t>
      </w:r>
      <w:r>
        <w:rPr>
          <w:rFonts w:ascii="Arial" w:cs="Arial" w:eastAsia="Arial" w:hAnsi="Arial"/>
          <w:sz w:val="18"/>
          <w:szCs w:val="18"/>
          <w:color w:val="auto"/>
        </w:rPr>
        <w:t>. Such Purchaser acknowledges and agrees that: (A) the Sellers and GSO Persons may now possess and may hereafter possess certain non-public information (the “</w:t>
      </w:r>
      <w:r>
        <w:rPr>
          <w:rFonts w:ascii="Arial" w:cs="Arial" w:eastAsia="Arial" w:hAnsi="Arial"/>
          <w:sz w:val="18"/>
          <w:szCs w:val="18"/>
          <w:u w:val="single" w:color="auto"/>
          <w:color w:val="auto"/>
        </w:rPr>
        <w:t>Non-Public Information</w:t>
      </w:r>
      <w:r>
        <w:rPr>
          <w:rFonts w:ascii="Arial" w:cs="Arial" w:eastAsia="Arial" w:hAnsi="Arial"/>
          <w:sz w:val="18"/>
          <w:szCs w:val="18"/>
          <w:color w:val="auto"/>
        </w:rPr>
        <w:t>”) concerning the Company and/or the Shares that may or may not be independently known to such Purchaser and (B) such Purchaser has entered into this Agreement and agrees to consummate the transactions contemplated hereby notwithstanding that such Purchaser is aware that Non-Public Information may exist and that such Non-Public Information may not have been disclosed by the Company or the Sellers to such Purchaser, and such Purchaser confirms and acknowledges that neither the existence of any Non-Public Information, nor the substance of it, is material to such or to such Purchaser’s determination to enter into this Agreement and to consummate the transactions contemplated hereby.</w:t>
      </w:r>
    </w:p>
    <w:p>
      <w:pPr>
        <w:spacing w:after="0" w:line="189"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 xml:space="preserve">Section 2.11 </w:t>
      </w:r>
      <w:r>
        <w:rPr>
          <w:rFonts w:ascii="Arial" w:cs="Arial" w:eastAsia="Arial" w:hAnsi="Arial"/>
          <w:sz w:val="18"/>
          <w:szCs w:val="18"/>
          <w:u w:val="single" w:color="auto"/>
          <w:color w:val="auto"/>
        </w:rPr>
        <w:t>No Additional Seller Representations</w:t>
      </w:r>
      <w:r>
        <w:rPr>
          <w:rFonts w:ascii="Arial" w:cs="Arial" w:eastAsia="Arial" w:hAnsi="Arial"/>
          <w:sz w:val="18"/>
          <w:szCs w:val="18"/>
          <w:color w:val="auto"/>
        </w:rPr>
        <w:t>. Such Purchaser acknowledges and agrees that none of the Sellers or any GSO Persons has made and none of them does make any representation or warranty, whether express or implied, of any kind or character except as expressly set forth in this Agreement and none of the Sellers or any GSO Persons has any obligations to such Purchaser, whether express or implied, including fiduciary obligations, with respect to the transactions contemplated hereby.</w:t>
      </w: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10" w:name="page11"/>
    <w:bookmarkEnd w:id="10"/>
    <w:p>
      <w:pPr>
        <w:jc w:val="center"/>
        <w:ind w:right="-139"/>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SELLERS’ REPRESENTATIONS AND WARRANTIES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Each of the Sellers severally and not jointly represents and warrants to each Purchaser, as of the date hereof and as of the Closing , that:</w:t>
      </w:r>
    </w:p>
    <w:p>
      <w:pPr>
        <w:spacing w:after="0" w:line="237"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No General Solicitation or Advertising</w:t>
      </w:r>
      <w:r>
        <w:rPr>
          <w:rFonts w:ascii="Arial" w:cs="Arial" w:eastAsia="Arial" w:hAnsi="Arial"/>
          <w:sz w:val="18"/>
          <w:szCs w:val="18"/>
          <w:color w:val="auto"/>
        </w:rPr>
        <w:t>. Such Seller and no person acting on such Seller’s behalf offered or sold Shares using general solicitation or general advertising (within the meaning of Rule 502(c) of Regulation 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u w:val="single" w:color="auto"/>
          <w:color w:val="auto"/>
        </w:rPr>
        <w:t>Not an Issuer</w:t>
      </w:r>
      <w:r>
        <w:rPr>
          <w:rFonts w:ascii="Arial" w:cs="Arial" w:eastAsia="Arial" w:hAnsi="Arial"/>
          <w:sz w:val="18"/>
          <w:szCs w:val="18"/>
          <w:color w:val="auto"/>
        </w:rPr>
        <w:t>. Such Seller is not an issuer nor direct or indirect subsidiary of the Company.</w:t>
      </w:r>
    </w:p>
    <w:p>
      <w:pPr>
        <w:spacing w:after="0" w:line="225"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 xml:space="preserve">Section 3.3 </w:t>
      </w:r>
      <w:r>
        <w:rPr>
          <w:rFonts w:ascii="Arial" w:cs="Arial" w:eastAsia="Arial" w:hAnsi="Arial"/>
          <w:sz w:val="16"/>
          <w:szCs w:val="16"/>
          <w:u w:val="single" w:color="auto"/>
          <w:color w:val="auto"/>
        </w:rPr>
        <w:t>Underwriter Prohibition</w:t>
      </w:r>
      <w:r>
        <w:rPr>
          <w:rFonts w:ascii="Arial" w:cs="Arial" w:eastAsia="Arial" w:hAnsi="Arial"/>
          <w:sz w:val="16"/>
          <w:szCs w:val="16"/>
          <w:color w:val="auto"/>
        </w:rPr>
        <w:t>. The transaction contemplated by this Agreement is not with respect to a security that constitutes the whole or the part of an unsold allotment to, or a subscription or participation by, a broker or dealer as an underwriter of the security or a redistribution.</w:t>
      </w:r>
    </w:p>
    <w:p>
      <w:pPr>
        <w:spacing w:after="0" w:line="124"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Section 3.4 </w:t>
      </w:r>
      <w:r>
        <w:rPr>
          <w:rFonts w:ascii="Arial" w:cs="Arial" w:eastAsia="Arial" w:hAnsi="Arial"/>
          <w:sz w:val="18"/>
          <w:szCs w:val="18"/>
          <w:u w:val="single" w:color="auto"/>
          <w:color w:val="auto"/>
        </w:rPr>
        <w:t>Bad Actors Disqualified</w:t>
      </w:r>
      <w:r>
        <w:rPr>
          <w:rFonts w:ascii="Arial" w:cs="Arial" w:eastAsia="Arial" w:hAnsi="Arial"/>
          <w:sz w:val="18"/>
          <w:szCs w:val="18"/>
          <w:color w:val="auto"/>
        </w:rPr>
        <w:t>. Such Seller, and no person that has been or will be paid (directly or indirectly) remuneration or a commission for their participation in the offer or sale of the Shares to Purchasers, including solicitation of purchasers for such Seller, is subject to: (i) an event that would disqualify an issuer or other covered person under Rule 506(d)(1) under Regulation D; or (ii) a statutory disqualification under Section 3(a)(39) of the Exchange Act.</w:t>
      </w:r>
    </w:p>
    <w:p>
      <w:pPr>
        <w:spacing w:after="0" w:line="187"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 xml:space="preserve">Section 3.5 </w:t>
      </w:r>
      <w:r>
        <w:rPr>
          <w:rFonts w:ascii="Arial" w:cs="Arial" w:eastAsia="Arial" w:hAnsi="Arial"/>
          <w:sz w:val="18"/>
          <w:szCs w:val="18"/>
          <w:u w:val="single" w:color="auto"/>
          <w:color w:val="auto"/>
        </w:rPr>
        <w:t>No Violation or Conflict; Consent.</w:t>
      </w:r>
      <w:r>
        <w:rPr>
          <w:rFonts w:ascii="Arial" w:cs="Arial" w:eastAsia="Arial" w:hAnsi="Arial"/>
          <w:sz w:val="18"/>
          <w:szCs w:val="18"/>
          <w:color w:val="auto"/>
        </w:rPr>
        <w:t xml:space="preserve"> The execution, delivery and performance by such Seller of this Agreement and consummation by such Seller of the transactions contemplated hereby do not and will not: (i) violate any decree or judgment of any court or other governmental authority applicable to or binding on such Seller or (ii) violate any contract to which such Seller is bound, or conflict with, or constitute a default (or an event which with notice or lapse of time or both would become a default) under, or give to others any rights of termination, amendment, acceleration or cancellation of, any agreement, indenture or instrument to which such Seller is a party, except for any such violation, conflict, default, termination, amendment, acceleration or cancellation that would not reasonably be expected to have, individually or in the aggregate, a material adverse effect on the business, financial condition or operations of such Seller.</w:t>
      </w:r>
    </w:p>
    <w:p>
      <w:pPr>
        <w:spacing w:after="0" w:line="398"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80"/>
          </w:cols>
          <w:pgMar w:left="240" w:top="904" w:right="379" w:bottom="1440" w:gutter="0" w:footer="0" w:header="0"/>
        </w:sectPr>
      </w:pPr>
    </w:p>
    <w:bookmarkStart w:id="11" w:name="page12"/>
    <w:bookmarkEnd w:id="11"/>
    <w:p>
      <w:pPr>
        <w:ind w:firstLine="648"/>
        <w:spacing w:after="0" w:line="270" w:lineRule="auto"/>
        <w:rPr>
          <w:sz w:val="20"/>
          <w:szCs w:val="20"/>
          <w:color w:val="auto"/>
        </w:rPr>
      </w:pPr>
      <w:r>
        <w:rPr>
          <w:rFonts w:ascii="Arial" w:cs="Arial" w:eastAsia="Arial" w:hAnsi="Arial"/>
          <w:sz w:val="17"/>
          <w:szCs w:val="17"/>
          <w:color w:val="auto"/>
        </w:rPr>
        <w:t xml:space="preserve">Section 3.6 </w:t>
      </w:r>
      <w:r>
        <w:rPr>
          <w:rFonts w:ascii="Arial" w:cs="Arial" w:eastAsia="Arial" w:hAnsi="Arial"/>
          <w:sz w:val="17"/>
          <w:szCs w:val="17"/>
          <w:u w:val="single" w:color="auto"/>
          <w:color w:val="auto"/>
        </w:rPr>
        <w:t>Title.</w:t>
      </w:r>
      <w:r>
        <w:rPr>
          <w:rFonts w:ascii="Arial" w:cs="Arial" w:eastAsia="Arial" w:hAnsi="Arial"/>
          <w:sz w:val="17"/>
          <w:szCs w:val="17"/>
          <w:color w:val="auto"/>
        </w:rPr>
        <w:t xml:space="preserve"> (i) such Seller is the sole direct owner of the Shares, free and clear of any taxes and liens, security interests, adverse claims or other encumbrances of any character whatsoever (“Encumbrances”), other than restrictions on resales of the Shares or other restrictions that may exist under applicable securities laws; (ii) the Shares to be delivered are not and will not be as of the Closing Date subject to any transfer restriction, other than the restriction that the Shares have not been registered under the Securities Act and, therefore, cannot be resold unless it is registered under the Securities Act or in a transaction exempt from or not subject to the registration requirements of the Securities Act and whatever restrictions that may exist against either Purchaser or are otherwise disclosed in the Company’s public filings (“</w:t>
      </w:r>
      <w:r>
        <w:rPr>
          <w:rFonts w:ascii="Arial" w:cs="Arial" w:eastAsia="Arial" w:hAnsi="Arial"/>
          <w:sz w:val="17"/>
          <w:szCs w:val="17"/>
          <w:u w:val="single" w:color="auto"/>
          <w:color w:val="auto"/>
        </w:rPr>
        <w:t>Permitted Transfer Restriction</w:t>
      </w:r>
      <w:r>
        <w:rPr>
          <w:rFonts w:ascii="Arial" w:cs="Arial" w:eastAsia="Arial" w:hAnsi="Arial"/>
          <w:sz w:val="17"/>
          <w:szCs w:val="17"/>
          <w:color w:val="auto"/>
        </w:rPr>
        <w:t>”); (iii) upon the transfer of the Shares to each Purchaser, such Purchaser will acquire good and marketable title thereto, and will be the legal and beneficial owner of such the Shares, free and clear of any Encumbrances or transfer restrictions, other than the Permitted Transfer Restriction; and (iv) such Seller has not granted any person rights, options, subscriptions or other agreements or commitments obligating such Seller with respect to the Shares, and such Seller has not granted any person a proxy that has not expired or been validly withdrawn.</w:t>
      </w:r>
    </w:p>
    <w:p>
      <w:pPr>
        <w:spacing w:after="0" w:line="178"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 xml:space="preserve">Section 3.7 </w:t>
      </w:r>
      <w:r>
        <w:rPr>
          <w:rFonts w:ascii="Arial" w:cs="Arial" w:eastAsia="Arial" w:hAnsi="Arial"/>
          <w:sz w:val="17"/>
          <w:szCs w:val="17"/>
          <w:u w:val="single" w:color="auto"/>
          <w:color w:val="auto"/>
        </w:rPr>
        <w:t>Authorization; Enforcement; Validity</w:t>
      </w:r>
      <w:r>
        <w:rPr>
          <w:rFonts w:ascii="Arial" w:cs="Arial" w:eastAsia="Arial" w:hAnsi="Arial"/>
          <w:sz w:val="17"/>
          <w:szCs w:val="17"/>
          <w:color w:val="auto"/>
        </w:rPr>
        <w:t>. Such Seller has the requisite power and authority to enter into and perform its obligations under this Agreement and to transfer its Shares to the Purchasers in accordance with the terms hereof. This Agreement has been duly executed and delivered by such Seller, and constitutes the legal, valid and binding obligations of such Seller, enforceable against such Seller in accordance with its terms, except as such enforceability may be limited by general principles of equity or applicable bankruptcy, insolvency, reorganization, moratorium, liquidation or similar laws relating to, or affecting generally, the enforcement of applicable creditors’ rights and remedies.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3.8 </w:t>
      </w:r>
      <w:r>
        <w:rPr>
          <w:rFonts w:ascii="Arial" w:cs="Arial" w:eastAsia="Arial" w:hAnsi="Arial"/>
          <w:sz w:val="18"/>
          <w:szCs w:val="18"/>
          <w:u w:val="single" w:color="auto"/>
          <w:color w:val="auto"/>
        </w:rPr>
        <w:t>Accredited Investor Status</w:t>
      </w:r>
      <w:r>
        <w:rPr>
          <w:rFonts w:ascii="Arial" w:cs="Arial" w:eastAsia="Arial" w:hAnsi="Arial"/>
          <w:sz w:val="18"/>
          <w:szCs w:val="18"/>
          <w:color w:val="auto"/>
        </w:rPr>
        <w:t>. Such Seller is an “accredited investor” as that term is defined in Regulation D.</w:t>
      </w:r>
    </w:p>
    <w:p>
      <w:pPr>
        <w:spacing w:after="0" w:line="225"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 xml:space="preserve">Section 3.9 </w:t>
      </w:r>
      <w:r>
        <w:rPr>
          <w:rFonts w:ascii="Arial" w:cs="Arial" w:eastAsia="Arial" w:hAnsi="Arial"/>
          <w:sz w:val="17"/>
          <w:szCs w:val="17"/>
          <w:u w:val="single" w:color="auto"/>
          <w:color w:val="auto"/>
        </w:rPr>
        <w:t>Reliance on Exemptions</w:t>
      </w:r>
      <w:r>
        <w:rPr>
          <w:rFonts w:ascii="Arial" w:cs="Arial" w:eastAsia="Arial" w:hAnsi="Arial"/>
          <w:sz w:val="17"/>
          <w:szCs w:val="17"/>
          <w:color w:val="auto"/>
        </w:rPr>
        <w:t>. Such Seller understands that the Shares are being acquired from it in reliance on specific exemptions from the registration requirements of United States federal and state securities laws and that the Purchasers are relying in part upon the truth and accuracy of, and such Seller’s compliance with, the representations, warranties, agreements, acknowledgments and understandings of such Seller set forth herein in order to determine the availability of such exemptions and the eligibility of such Seller to sell the Shares.</w:t>
      </w:r>
    </w:p>
    <w:p>
      <w:pPr>
        <w:spacing w:after="0" w:line="171"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 xml:space="preserve">Section 3.10 </w:t>
      </w:r>
      <w:r>
        <w:rPr>
          <w:rFonts w:ascii="Arial" w:cs="Arial" w:eastAsia="Arial" w:hAnsi="Arial"/>
          <w:sz w:val="17"/>
          <w:szCs w:val="17"/>
          <w:u w:val="single" w:color="auto"/>
          <w:color w:val="auto"/>
        </w:rPr>
        <w:t>Information</w:t>
      </w:r>
      <w:r>
        <w:rPr>
          <w:rFonts w:ascii="Arial" w:cs="Arial" w:eastAsia="Arial" w:hAnsi="Arial"/>
          <w:sz w:val="17"/>
          <w:szCs w:val="17"/>
          <w:color w:val="auto"/>
        </w:rPr>
        <w:t>. Such Seller has not relied on either Purchaser, any other affiliates of thereof or any of their respective current or former partners, shareholders, members, managers, officers, directors, employees, representatives and agents of any of the foregoing (collectively, the “</w:t>
      </w:r>
      <w:r>
        <w:rPr>
          <w:rFonts w:ascii="Arial" w:cs="Arial" w:eastAsia="Arial" w:hAnsi="Arial"/>
          <w:sz w:val="17"/>
          <w:szCs w:val="17"/>
          <w:u w:val="single" w:color="auto"/>
          <w:color w:val="auto"/>
        </w:rPr>
        <w:t>Purchaser</w:t>
      </w:r>
      <w:r>
        <w:rPr>
          <w:rFonts w:ascii="Arial" w:cs="Arial" w:eastAsia="Arial" w:hAnsi="Arial"/>
          <w:sz w:val="17"/>
          <w:szCs w:val="17"/>
          <w:color w:val="auto"/>
        </w:rPr>
        <w:t xml:space="preserve"> </w:t>
      </w:r>
      <w:r>
        <w:rPr>
          <w:rFonts w:ascii="Arial" w:cs="Arial" w:eastAsia="Arial" w:hAnsi="Arial"/>
          <w:sz w:val="17"/>
          <w:szCs w:val="17"/>
          <w:u w:val="single" w:color="auto"/>
          <w:color w:val="auto"/>
        </w:rPr>
        <w:t>Persons</w:t>
      </w:r>
      <w:r>
        <w:rPr>
          <w:rFonts w:ascii="Arial" w:cs="Arial" w:eastAsia="Arial" w:hAnsi="Arial"/>
          <w:sz w:val="17"/>
          <w:szCs w:val="17"/>
          <w:color w:val="auto"/>
        </w:rPr>
        <w:t>”) with respect to any legal, accounting or tax matters relating to the sale of the Shares. Such Seller has sought such accounting, legal and tax advice as it has considered necessary to make an informed investment decision with respect to its sale of the Shares. Such Seller, independently and without reliance on the Purchasers or any Purchaser Persons, and based on such information concerning the sale of the Shares and the Company as such Seller deemed appropriate, reliable and adequate, made its own investment analysis and decision to consummate the sale of the Shares. Such Seller believes that, by reason of its business and financial experience, it is capable of evaluating the merits and risks of the sale of the Shares and of protecting its own interests in connection with such sale.</w:t>
      </w: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12" w:name="page13"/>
    <w:bookmarkEnd w:id="12"/>
    <w:p>
      <w:pPr>
        <w:ind w:right="240" w:firstLine="648"/>
        <w:spacing w:after="0" w:line="291" w:lineRule="auto"/>
        <w:rPr>
          <w:sz w:val="20"/>
          <w:szCs w:val="20"/>
          <w:color w:val="auto"/>
        </w:rPr>
      </w:pPr>
      <w:r>
        <w:rPr>
          <w:rFonts w:ascii="Arial" w:cs="Arial" w:eastAsia="Arial" w:hAnsi="Arial"/>
          <w:sz w:val="16"/>
          <w:szCs w:val="16"/>
          <w:color w:val="auto"/>
        </w:rPr>
        <w:t xml:space="preserve">Section 3.11 </w:t>
      </w:r>
      <w:r>
        <w:rPr>
          <w:rFonts w:ascii="Arial" w:cs="Arial" w:eastAsia="Arial" w:hAnsi="Arial"/>
          <w:sz w:val="16"/>
          <w:szCs w:val="16"/>
          <w:u w:val="single" w:color="auto"/>
          <w:color w:val="auto"/>
        </w:rPr>
        <w:t>Non-Public Information</w:t>
      </w:r>
      <w:r>
        <w:rPr>
          <w:rFonts w:ascii="Arial" w:cs="Arial" w:eastAsia="Arial" w:hAnsi="Arial"/>
          <w:sz w:val="16"/>
          <w:szCs w:val="16"/>
          <w:color w:val="auto"/>
        </w:rPr>
        <w:t>. Such Seller acknowledges and agrees that: (A) the Purchasers and Purchaser Persons may now possess and may hereafter possess Non-Public Information concerning the Company and/or the Shares that may or may not be independently known to such Seller and</w:t>
      </w:r>
    </w:p>
    <w:p>
      <w:pPr>
        <w:ind w:firstLine="8"/>
        <w:spacing w:after="0" w:line="273" w:lineRule="auto"/>
        <w:tabs>
          <w:tab w:leader="none" w:pos="285" w:val="left"/>
        </w:tabs>
        <w:numPr>
          <w:ilvl w:val="0"/>
          <w:numId w:val="4"/>
        </w:numPr>
        <w:rPr>
          <w:rFonts w:ascii="Arial" w:cs="Arial" w:eastAsia="Arial" w:hAnsi="Arial"/>
          <w:sz w:val="17"/>
          <w:szCs w:val="17"/>
          <w:color w:val="auto"/>
        </w:rPr>
      </w:pPr>
      <w:r>
        <w:rPr>
          <w:rFonts w:ascii="Arial" w:cs="Arial" w:eastAsia="Arial" w:hAnsi="Arial"/>
          <w:sz w:val="17"/>
          <w:szCs w:val="17"/>
          <w:color w:val="auto"/>
        </w:rPr>
        <w:t>such Seller has entered into this Agreement and agrees to consummate the transactions contemplated hereby notwithstanding that such Seller is aware that Non-Public Information may exist and that such Non-Public Information may not have been disclosed by the Company or the Purchasers to such Seller, and such Seller confirms and acknowledges that neither the existence of any Non-Public Information, nor the substance of it, is material to such Seller or to such Seller’s determination to enter into this Agreement and to consummate the transactions contemplated hereby.</w:t>
      </w:r>
    </w:p>
    <w:p>
      <w:pPr>
        <w:spacing w:after="0" w:line="177"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 xml:space="preserve">Section 3.12 </w:t>
      </w:r>
      <w:r>
        <w:rPr>
          <w:rFonts w:ascii="Arial" w:cs="Arial" w:eastAsia="Arial" w:hAnsi="Arial"/>
          <w:sz w:val="18"/>
          <w:szCs w:val="18"/>
          <w:u w:val="single" w:color="auto"/>
          <w:color w:val="auto"/>
        </w:rPr>
        <w:t>No Additional Purchaser Representations</w:t>
      </w:r>
      <w:r>
        <w:rPr>
          <w:rFonts w:ascii="Arial" w:cs="Arial" w:eastAsia="Arial" w:hAnsi="Arial"/>
          <w:sz w:val="18"/>
          <w:szCs w:val="18"/>
          <w:color w:val="auto"/>
        </w:rPr>
        <w:t>. Such Seller acknowledges and agrees that neither of the Purchasers nor any Purchaser Persons has made and none of them does make any representation or warranty, whether express or implied, of any kind or character except as expressly set forth in this Agreement and neither of the Purchasers nor any Purchaser Persons has any obligations to such Seller, whether express or implied, including fiduciary obligations, with respect to the transactions contemplated hereby.</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REGISTRATION RIGHTS</w:t>
      </w:r>
    </w:p>
    <w:p>
      <w:pPr>
        <w:spacing w:after="0" w:line="211"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 xml:space="preserve">Section 4.1 </w:t>
      </w:r>
      <w:r>
        <w:rPr>
          <w:rFonts w:ascii="Arial" w:cs="Arial" w:eastAsia="Arial" w:hAnsi="Arial"/>
          <w:sz w:val="16"/>
          <w:szCs w:val="16"/>
          <w:u w:val="single" w:color="auto"/>
          <w:color w:val="auto"/>
        </w:rPr>
        <w:t>Registration Rights</w:t>
      </w:r>
      <w:r>
        <w:rPr>
          <w:rFonts w:ascii="Arial" w:cs="Arial" w:eastAsia="Arial" w:hAnsi="Arial"/>
          <w:sz w:val="16"/>
          <w:szCs w:val="16"/>
          <w:color w:val="auto"/>
        </w:rPr>
        <w:t>. Effective as of the Closing, each Seller hereby assigns and transfers to the Purchasers all rights of such Seller under the Registration Rights Agreement (the “</w:t>
      </w:r>
      <w:r>
        <w:rPr>
          <w:rFonts w:ascii="Arial" w:cs="Arial" w:eastAsia="Arial" w:hAnsi="Arial"/>
          <w:sz w:val="16"/>
          <w:szCs w:val="16"/>
          <w:u w:val="single" w:color="auto"/>
          <w:color w:val="auto"/>
        </w:rPr>
        <w:t>Reg. Rights Agreement</w:t>
      </w:r>
      <w:r>
        <w:rPr>
          <w:rFonts w:ascii="Arial" w:cs="Arial" w:eastAsia="Arial" w:hAnsi="Arial"/>
          <w:sz w:val="16"/>
          <w:szCs w:val="16"/>
          <w:color w:val="auto"/>
        </w:rPr>
        <w:t xml:space="preserve">”), dated September 3, 2013, between the Company and the stockholders named therein, except for such rights that are not transferable thereunder, including such Seller’s rights under Section 6.6 of the Reg. Rights Agreement. The Sellers agree to send the notice, in the form attached as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hereto (the “</w:t>
      </w:r>
      <w:r>
        <w:rPr>
          <w:rFonts w:ascii="Arial" w:cs="Arial" w:eastAsia="Arial" w:hAnsi="Arial"/>
          <w:sz w:val="16"/>
          <w:szCs w:val="16"/>
          <w:u w:val="single" w:color="auto"/>
          <w:color w:val="auto"/>
        </w:rPr>
        <w:t>Transfer Notice</w:t>
      </w:r>
      <w:r>
        <w:rPr>
          <w:rFonts w:ascii="Arial" w:cs="Arial" w:eastAsia="Arial" w:hAnsi="Arial"/>
          <w:sz w:val="16"/>
          <w:szCs w:val="16"/>
          <w:color w:val="auto"/>
        </w:rPr>
        <w:t>”), to the Company promptly after the Closing. Effective as of the Closing, each Purchaser agrees to be bound by the Reg. Rights Agreement and agrees to execute the Transfer Notice as provided therein.</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13" w:name="page14"/>
    <w:bookmarkEnd w:id="13"/>
    <w:p>
      <w:pPr>
        <w:jc w:val="center"/>
        <w:ind w:right="-99"/>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MISCELLANEOUS</w:t>
      </w:r>
    </w:p>
    <w:p>
      <w:pPr>
        <w:spacing w:after="0" w:line="211"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 xml:space="preserve">Section 5.1 </w:t>
      </w:r>
      <w:r>
        <w:rPr>
          <w:rFonts w:ascii="Arial" w:cs="Arial" w:eastAsia="Arial" w:hAnsi="Arial"/>
          <w:sz w:val="16"/>
          <w:szCs w:val="16"/>
          <w:u w:val="single" w:color="auto"/>
          <w:color w:val="auto"/>
        </w:rPr>
        <w:t>Notices</w:t>
      </w:r>
      <w:r>
        <w:rPr>
          <w:rFonts w:ascii="Arial" w:cs="Arial" w:eastAsia="Arial" w:hAnsi="Arial"/>
          <w:sz w:val="16"/>
          <w:szCs w:val="16"/>
          <w:color w:val="auto"/>
        </w:rPr>
        <w:t>. All notices and other communications in connection with this Agreement shall be in writing and shall be considered given if given in the manner, and be deemed given at times, as follows: (x) on the date delivered, if personally delivered; (y) on the day of transmission if sent via facsimile transmission to the facsimile number given below, and telephonic confirmation of receipt is obtained promptly after completion of transmission; or</w:t>
      </w:r>
    </w:p>
    <w:p>
      <w:pPr>
        <w:ind w:right="180" w:firstLine="8"/>
        <w:spacing w:after="0" w:line="261" w:lineRule="auto"/>
        <w:tabs>
          <w:tab w:leader="none" w:pos="245" w:val="left"/>
        </w:tabs>
        <w:numPr>
          <w:ilvl w:val="0"/>
          <w:numId w:val="5"/>
        </w:numPr>
        <w:rPr>
          <w:rFonts w:ascii="Arial" w:cs="Arial" w:eastAsia="Arial" w:hAnsi="Arial"/>
          <w:sz w:val="18"/>
          <w:szCs w:val="18"/>
          <w:color w:val="auto"/>
        </w:rPr>
      </w:pPr>
      <w:r>
        <w:rPr>
          <w:rFonts w:ascii="Arial" w:cs="Arial" w:eastAsia="Arial" w:hAnsi="Arial"/>
          <w:sz w:val="18"/>
          <w:szCs w:val="18"/>
          <w:color w:val="auto"/>
        </w:rPr>
        <w:t>on the next business day after being sent by recognized overnight mail service specifying next business day delivery, in each case with delivery charges pre-paid and addressed to the following addresses:</w:t>
      </w:r>
    </w:p>
    <w:p>
      <w:pPr>
        <w:spacing w:after="0" w:line="183" w:lineRule="exact"/>
        <w:rPr>
          <w:rFonts w:ascii="Arial" w:cs="Arial" w:eastAsia="Arial" w:hAnsi="Arial"/>
          <w:sz w:val="18"/>
          <w:szCs w:val="18"/>
          <w:color w:val="auto"/>
        </w:rPr>
      </w:pPr>
    </w:p>
    <w:p>
      <w:pPr>
        <w:ind w:left="1960" w:hanging="655"/>
        <w:spacing w:after="0"/>
        <w:tabs>
          <w:tab w:leader="none" w:pos="1960" w:val="left"/>
        </w:tabs>
        <w:numPr>
          <w:ilvl w:val="1"/>
          <w:numId w:val="5"/>
        </w:numPr>
        <w:rPr>
          <w:rFonts w:ascii="Arial" w:cs="Arial" w:eastAsia="Arial" w:hAnsi="Arial"/>
          <w:sz w:val="18"/>
          <w:szCs w:val="18"/>
          <w:color w:val="auto"/>
        </w:rPr>
      </w:pPr>
      <w:r>
        <w:rPr>
          <w:rFonts w:ascii="Arial" w:cs="Arial" w:eastAsia="Arial" w:hAnsi="Arial"/>
          <w:sz w:val="18"/>
          <w:szCs w:val="18"/>
          <w:color w:val="auto"/>
        </w:rPr>
        <w:t>If to a Seller, to:</w:t>
      </w:r>
    </w:p>
    <w:p>
      <w:pPr>
        <w:spacing w:after="0" w:line="225"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c/o GSO Capital Partners LP</w:t>
      </w:r>
    </w:p>
    <w:p>
      <w:pPr>
        <w:spacing w:after="0" w:line="2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345 Park Avenue</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New York, New York 10154</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Attn: Marisa Beeney</w:t>
      </w:r>
    </w:p>
    <w:p>
      <w:pPr>
        <w:spacing w:after="0" w:line="9"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Grant Bokerman</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E-mail: gsoassetservicing@blackstone.com</w:t>
      </w:r>
    </w:p>
    <w:p>
      <w:pPr>
        <w:spacing w:after="0" w:line="9"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gsolegal@gsocap.com</w:t>
      </w:r>
    </w:p>
    <w:p>
      <w:pPr>
        <w:spacing w:after="0" w:line="211" w:lineRule="exact"/>
        <w:rPr>
          <w:sz w:val="20"/>
          <w:szCs w:val="20"/>
          <w:color w:val="auto"/>
        </w:rPr>
      </w:pPr>
    </w:p>
    <w:p>
      <w:pPr>
        <w:ind w:left="1960" w:hanging="655"/>
        <w:spacing w:after="0"/>
        <w:tabs>
          <w:tab w:leader="none" w:pos="1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to KF to:</w:t>
      </w:r>
    </w:p>
    <w:p>
      <w:pPr>
        <w:spacing w:after="0" w:line="225"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KF Investors LLC</w:t>
      </w:r>
    </w:p>
    <w:p>
      <w:pPr>
        <w:spacing w:after="0" w:line="2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160 Broadway</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New York, New York 10038</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Attn: Philippe Katz</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Email: uneq3@bloomberg.net</w:t>
      </w:r>
    </w:p>
    <w:p>
      <w:pPr>
        <w:spacing w:after="0" w:line="211" w:lineRule="exact"/>
        <w:rPr>
          <w:sz w:val="20"/>
          <w:szCs w:val="20"/>
          <w:color w:val="auto"/>
        </w:rPr>
      </w:pPr>
    </w:p>
    <w:p>
      <w:pPr>
        <w:ind w:left="1960" w:hanging="655"/>
        <w:spacing w:after="0"/>
        <w:tabs>
          <w:tab w:leader="none" w:pos="1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to GK:</w:t>
      </w:r>
    </w:p>
    <w:p>
      <w:pPr>
        <w:spacing w:after="0" w:line="225"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c/o Sabr Group</w:t>
      </w:r>
    </w:p>
    <w:p>
      <w:pPr>
        <w:spacing w:after="0" w:line="23" w:lineRule="exact"/>
        <w:rPr>
          <w:sz w:val="20"/>
          <w:szCs w:val="20"/>
          <w:color w:val="auto"/>
        </w:rPr>
      </w:pPr>
    </w:p>
    <w:p>
      <w:pPr>
        <w:ind w:left="2920" w:hanging="319"/>
        <w:spacing w:after="0"/>
        <w:tabs>
          <w:tab w:leader="none" w:pos="2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Broadway</w:t>
      </w:r>
    </w:p>
    <w:p>
      <w:pPr>
        <w:spacing w:after="0" w:line="9" w:lineRule="exact"/>
        <w:rPr>
          <w:rFonts w:ascii="Arial" w:cs="Arial" w:eastAsia="Arial" w:hAnsi="Arial"/>
          <w:sz w:val="18"/>
          <w:szCs w:val="18"/>
          <w:color w:val="auto"/>
        </w:rPr>
      </w:pPr>
    </w:p>
    <w:p>
      <w:pPr>
        <w:ind w:left="2600"/>
        <w:spacing w:after="0"/>
        <w:rPr>
          <w:rFonts w:ascii="Arial" w:cs="Arial" w:eastAsia="Arial" w:hAnsi="Arial"/>
          <w:sz w:val="18"/>
          <w:szCs w:val="18"/>
          <w:color w:val="auto"/>
        </w:rPr>
      </w:pPr>
      <w:r>
        <w:rPr>
          <w:rFonts w:ascii="Arial" w:cs="Arial" w:eastAsia="Arial" w:hAnsi="Arial"/>
          <w:sz w:val="18"/>
          <w:szCs w:val="18"/>
          <w:color w:val="auto"/>
        </w:rPr>
        <w:t>Suite 3930</w:t>
      </w:r>
    </w:p>
    <w:p>
      <w:pPr>
        <w:spacing w:after="0" w:line="9" w:lineRule="exact"/>
        <w:rPr>
          <w:rFonts w:ascii="Arial" w:cs="Arial" w:eastAsia="Arial" w:hAnsi="Arial"/>
          <w:sz w:val="18"/>
          <w:szCs w:val="18"/>
          <w:color w:val="auto"/>
        </w:rPr>
      </w:pPr>
    </w:p>
    <w:p>
      <w:pPr>
        <w:ind w:left="2600"/>
        <w:spacing w:after="0"/>
        <w:rPr>
          <w:rFonts w:ascii="Arial" w:cs="Arial" w:eastAsia="Arial" w:hAnsi="Arial"/>
          <w:sz w:val="18"/>
          <w:szCs w:val="18"/>
          <w:color w:val="auto"/>
        </w:rPr>
      </w:pPr>
      <w:r>
        <w:rPr>
          <w:rFonts w:ascii="Arial" w:cs="Arial" w:eastAsia="Arial" w:hAnsi="Arial"/>
          <w:sz w:val="18"/>
          <w:szCs w:val="18"/>
          <w:color w:val="auto"/>
        </w:rPr>
        <w:t>New York, New York 10005</w:t>
      </w:r>
    </w:p>
    <w:p>
      <w:pPr>
        <w:spacing w:after="0" w:line="211" w:lineRule="exact"/>
        <w:rPr>
          <w:sz w:val="20"/>
          <w:szCs w:val="20"/>
          <w:color w:val="auto"/>
        </w:rPr>
      </w:pPr>
    </w:p>
    <w:p>
      <w:pPr>
        <w:jc w:val="both"/>
        <w:ind w:right="100" w:firstLine="648"/>
        <w:spacing w:after="0" w:line="312" w:lineRule="auto"/>
        <w:rPr>
          <w:sz w:val="20"/>
          <w:szCs w:val="20"/>
          <w:color w:val="auto"/>
        </w:rPr>
      </w:pPr>
      <w:r>
        <w:rPr>
          <w:rFonts w:ascii="Arial" w:cs="Arial" w:eastAsia="Arial" w:hAnsi="Arial"/>
          <w:sz w:val="16"/>
          <w:szCs w:val="16"/>
          <w:color w:val="auto"/>
        </w:rPr>
        <w:t xml:space="preserve">Section 5.2 </w:t>
      </w:r>
      <w:r>
        <w:rPr>
          <w:rFonts w:ascii="Arial" w:cs="Arial" w:eastAsia="Arial" w:hAnsi="Arial"/>
          <w:sz w:val="16"/>
          <w:szCs w:val="16"/>
          <w:u w:val="single" w:color="auto"/>
          <w:color w:val="auto"/>
        </w:rPr>
        <w:t>Assignment; No Third Party Beneficiaries</w:t>
      </w:r>
      <w:r>
        <w:rPr>
          <w:rFonts w:ascii="Arial" w:cs="Arial" w:eastAsia="Arial" w:hAnsi="Arial"/>
          <w:sz w:val="16"/>
          <w:szCs w:val="16"/>
          <w:color w:val="auto"/>
        </w:rPr>
        <w:t>. Neither this Agreement nor any of the rights, interests or obligations under this Agreement may be assigned by any party without the prior written consent of each other party. This Agreement (including the documents and instruments referred to in this Agreement) is not intended to and does not confer upon any person other than the parties hereto any rights or remedies under this Agreement.</w:t>
      </w:r>
    </w:p>
    <w:p>
      <w:pPr>
        <w:spacing w:after="0" w:line="147"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 xml:space="preserve">Section 5.3 </w:t>
      </w:r>
      <w:r>
        <w:rPr>
          <w:rFonts w:ascii="Arial" w:cs="Arial" w:eastAsia="Arial" w:hAnsi="Arial"/>
          <w:sz w:val="18"/>
          <w:szCs w:val="18"/>
          <w:u w:val="single" w:color="auto"/>
          <w:color w:val="auto"/>
        </w:rPr>
        <w:t>Savings Clause</w:t>
      </w:r>
      <w:r>
        <w:rPr>
          <w:rFonts w:ascii="Arial" w:cs="Arial" w:eastAsia="Arial" w:hAnsi="Arial"/>
          <w:sz w:val="18"/>
          <w:szCs w:val="18"/>
          <w:color w:val="auto"/>
        </w:rPr>
        <w:t>. No provision of this Agreement shall be construed to require any party or its affiliates to take any action that would violate any applicable law (whether statutory or common), rule or regulation.</w:t>
      </w:r>
    </w:p>
    <w:p>
      <w:pPr>
        <w:spacing w:after="0" w:line="170" w:lineRule="exact"/>
        <w:rPr>
          <w:sz w:val="20"/>
          <w:szCs w:val="20"/>
          <w:color w:val="auto"/>
        </w:rPr>
      </w:pPr>
    </w:p>
    <w:p>
      <w:pPr>
        <w:jc w:val="both"/>
        <w:ind w:right="360" w:firstLine="648"/>
        <w:spacing w:after="0" w:line="286" w:lineRule="auto"/>
        <w:rPr>
          <w:sz w:val="20"/>
          <w:szCs w:val="20"/>
          <w:color w:val="auto"/>
        </w:rPr>
      </w:pPr>
      <w:r>
        <w:rPr>
          <w:rFonts w:ascii="Arial" w:cs="Arial" w:eastAsia="Arial" w:hAnsi="Arial"/>
          <w:sz w:val="17"/>
          <w:szCs w:val="17"/>
          <w:color w:val="auto"/>
        </w:rPr>
        <w:t xml:space="preserve">Section 5.4 </w:t>
      </w: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(including the exhibits hereto and the documents and instruments referred to in this Agreement) constitutes the entire agreement of the parties with respect to the subject matter of this Agreement and supersedes all prior agreements, arrangements or understandings, whether written or oral, between the parties with respect to the subject matter of this Agreement.</w:t>
      </w:r>
    </w:p>
    <w:p>
      <w:pPr>
        <w:spacing w:after="0" w:line="166"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Section 5.5 </w:t>
      </w:r>
      <w:r>
        <w:rPr>
          <w:rFonts w:ascii="Arial" w:cs="Arial" w:eastAsia="Arial" w:hAnsi="Arial"/>
          <w:sz w:val="18"/>
          <w:szCs w:val="18"/>
          <w:u w:val="single" w:color="auto"/>
          <w:color w:val="auto"/>
        </w:rPr>
        <w:t>Governing Law; Waiver of Jury Trial</w:t>
      </w:r>
      <w:r>
        <w:rPr>
          <w:rFonts w:ascii="Arial" w:cs="Arial" w:eastAsia="Arial" w:hAnsi="Arial"/>
          <w:sz w:val="18"/>
          <w:szCs w:val="18"/>
          <w:color w:val="auto"/>
        </w:rPr>
        <w:t>. THIS AGREEMENT AND ANY CLAIM, CONTROVERSY OR DISPUTE RELATING TO OR ARISING FROM THIS AGREEMENT SHALL BE GOVERNED BY AND CONSTRUED IN ACCORDANCE WITH THE LAWS OF THE STATE OF NEW YORK. EACH PARTY HERETO IRREVOCABLY WAIVES ANY AND ALL RIGHT TO TRIAL BY JURY IN ANY LEGAL PROCEEDING ARISING OUT OF OR RELATING TO THIS AGREEMENT OR THE PURCHASE AND SALE OF THE SHARES.</w:t>
      </w:r>
    </w:p>
    <w:p>
      <w:pPr>
        <w:spacing w:after="0" w:line="396"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904" w:right="319" w:bottom="1440" w:gutter="0" w:footer="0" w:header="0"/>
        </w:sectPr>
      </w:pPr>
    </w:p>
    <w:bookmarkStart w:id="14" w:name="page15"/>
    <w:bookmarkEnd w:id="14"/>
    <w:p>
      <w:pPr>
        <w:ind w:right="100" w:firstLine="648"/>
        <w:spacing w:after="0" w:line="259" w:lineRule="auto"/>
        <w:rPr>
          <w:sz w:val="20"/>
          <w:szCs w:val="20"/>
          <w:color w:val="auto"/>
        </w:rPr>
      </w:pPr>
      <w:r>
        <w:rPr>
          <w:rFonts w:ascii="Arial" w:cs="Arial" w:eastAsia="Arial" w:hAnsi="Arial"/>
          <w:sz w:val="18"/>
          <w:szCs w:val="18"/>
          <w:color w:val="auto"/>
        </w:rPr>
        <w:t xml:space="preserve">Section 5.6 </w:t>
      </w:r>
      <w:r>
        <w:rPr>
          <w:rFonts w:ascii="Arial" w:cs="Arial" w:eastAsia="Arial" w:hAnsi="Arial"/>
          <w:sz w:val="18"/>
          <w:szCs w:val="18"/>
          <w:u w:val="single" w:color="auto"/>
          <w:color w:val="auto"/>
        </w:rPr>
        <w:t>Further Assurances</w:t>
      </w:r>
      <w:r>
        <w:rPr>
          <w:rFonts w:ascii="Arial" w:cs="Arial" w:eastAsia="Arial" w:hAnsi="Arial"/>
          <w:sz w:val="18"/>
          <w:szCs w:val="18"/>
          <w:color w:val="auto"/>
        </w:rPr>
        <w:t>. Each of the parties hereto agrees that it shall from time to time on or after the date hereof do, execute, acknowledge and deliver, and will cause to be done, executed, acknowledged and delivered, all such further acts, deeds, certificates, bills of sale, assignments, transfers, conveyances, powers of attorney, assurances and other documents as may be reasonably requested by any party hereto in order to effectuate the transactions contemplated hereby.</w:t>
      </w:r>
    </w:p>
    <w:p>
      <w:pPr>
        <w:spacing w:after="0" w:line="187"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 xml:space="preserve">Section 5.7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any number of counterparts, all of which shall be considered one and the same agreement and shall become effective when counterparts have been signed by each of the parties and delivered to the other party (including via facsimile or other electronic transmission), it being understood that each party need not sign the same counterpart.</w:t>
      </w:r>
    </w:p>
    <w:p>
      <w:pPr>
        <w:spacing w:after="0" w:line="181" w:lineRule="exact"/>
        <w:rPr>
          <w:sz w:val="20"/>
          <w:szCs w:val="20"/>
          <w:color w:val="auto"/>
        </w:rPr>
      </w:pPr>
    </w:p>
    <w:p>
      <w:pPr>
        <w:jc w:val="both"/>
        <w:ind w:right="400" w:firstLine="648"/>
        <w:spacing w:after="0" w:line="264" w:lineRule="auto"/>
        <w:rPr>
          <w:sz w:val="20"/>
          <w:szCs w:val="20"/>
          <w:color w:val="auto"/>
        </w:rPr>
      </w:pPr>
      <w:r>
        <w:rPr>
          <w:rFonts w:ascii="Arial" w:cs="Arial" w:eastAsia="Arial" w:hAnsi="Arial"/>
          <w:sz w:val="18"/>
          <w:szCs w:val="18"/>
          <w:color w:val="auto"/>
        </w:rPr>
        <w:t xml:space="preserve">Section 5.8 </w:t>
      </w:r>
      <w:r>
        <w:rPr>
          <w:rFonts w:ascii="Arial" w:cs="Arial" w:eastAsia="Arial" w:hAnsi="Arial"/>
          <w:sz w:val="18"/>
          <w:szCs w:val="18"/>
          <w:u w:val="single" w:color="auto"/>
          <w:color w:val="auto"/>
        </w:rPr>
        <w:t>Expenses</w:t>
      </w:r>
      <w:r>
        <w:rPr>
          <w:rFonts w:ascii="Arial" w:cs="Arial" w:eastAsia="Arial" w:hAnsi="Arial"/>
          <w:sz w:val="18"/>
          <w:szCs w:val="18"/>
          <w:color w:val="auto"/>
        </w:rPr>
        <w:t>. Each party shall bear its own expenses incurred or to be incurred in connection with the negotiation and execution of this Agreement and each other agreement, document and instrument contemplated by this Agreement and the consummation of the purchase and sale of the Shares.</w:t>
      </w:r>
    </w:p>
    <w:p>
      <w:pPr>
        <w:spacing w:after="0" w:line="18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Section 5.9 </w:t>
      </w:r>
      <w:r>
        <w:rPr>
          <w:rFonts w:ascii="Arial" w:cs="Arial" w:eastAsia="Arial" w:hAnsi="Arial"/>
          <w:sz w:val="18"/>
          <w:szCs w:val="18"/>
          <w:u w:val="single" w:color="auto"/>
          <w:color w:val="auto"/>
        </w:rPr>
        <w:t>Waivers and Amendments</w:t>
      </w:r>
      <w:r>
        <w:rPr>
          <w:rFonts w:ascii="Arial" w:cs="Arial" w:eastAsia="Arial" w:hAnsi="Arial"/>
          <w:sz w:val="18"/>
          <w:szCs w:val="18"/>
          <w:color w:val="auto"/>
        </w:rPr>
        <w:t>. This Agreement may be amended, modified, superseded, cancelled, renewed or extended, and the terms and conditions of this Agreement may be waived, only by a written instrument signed by the parties or, in the case of a waiver, by the party waiving compliance. No delay on the part of any party in exercising any right, power or privilege pursuant to this Agreement shall operate as a waiver thereof, nor shall any waiver of the part of any party of any right, power or privilege pursuant to this Agreement, nor shall any single or partial exercise of any right, power or privilege pursuant to this Agreement, preclude any other or further exercise thereof or the exercise of any other right, power or privilege pursuant to this Agreement. The rights and remedies provided pursuant to this Agreement are cumulative and are not exclusive of any rights or remedies which any party otherwise may have at law or in equity.</w:t>
      </w:r>
    </w:p>
    <w:p>
      <w:pPr>
        <w:spacing w:after="0" w:line="189"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 xml:space="preserve">Section 5.10 </w:t>
      </w:r>
      <w:r>
        <w:rPr>
          <w:rFonts w:ascii="Arial" w:cs="Arial" w:eastAsia="Arial" w:hAnsi="Arial"/>
          <w:sz w:val="16"/>
          <w:szCs w:val="16"/>
          <w:u w:val="single" w:color="auto"/>
          <w:color w:val="auto"/>
        </w:rPr>
        <w:t>Interpretation</w:t>
      </w:r>
      <w:r>
        <w:rPr>
          <w:rFonts w:ascii="Arial" w:cs="Arial" w:eastAsia="Arial" w:hAnsi="Arial"/>
          <w:sz w:val="16"/>
          <w:szCs w:val="16"/>
          <w:color w:val="auto"/>
        </w:rPr>
        <w:t>. The headings contained in this Agreement are for reference purposes only and shall not affect in any way the meaning or interpretation of this Agreement. The words “hereof,” “herein” and “hereunder” and words of similar import when used in this Agreement shall refer to this Agreement as a whole and not to any particular provision of this Agreement, and Article and Section references are to this Agreement unless otherwise specified. The meanings given to terms defined herein shall be equally applicable to both the singular and plural forms of such terms. Whenever the words “include,” “includes” or “including” are used in this Agreement, they shall be deemed to be followed by the words “without limitation.” “</w:t>
      </w:r>
      <w:r>
        <w:rPr>
          <w:rFonts w:ascii="Arial" w:cs="Arial" w:eastAsia="Arial" w:hAnsi="Arial"/>
          <w:sz w:val="16"/>
          <w:szCs w:val="16"/>
          <w:u w:val="single" w:color="auto"/>
          <w:color w:val="auto"/>
        </w:rPr>
        <w:t>Business Day</w:t>
      </w:r>
      <w:r>
        <w:rPr>
          <w:rFonts w:ascii="Arial" w:cs="Arial" w:eastAsia="Arial" w:hAnsi="Arial"/>
          <w:sz w:val="16"/>
          <w:szCs w:val="16"/>
          <w:color w:val="auto"/>
        </w:rPr>
        <w:t>” means any day that is not a Saturday, Sunday or other day on which banks are required or authorized by law to be closed in New York, New York.</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Pages Follow</w:t>
      </w:r>
      <w:r>
        <w:rPr>
          <w:rFonts w:ascii="Arial" w:cs="Arial" w:eastAsia="Arial" w:hAnsi="Arial"/>
          <w:sz w:val="18"/>
          <w:szCs w:val="18"/>
          <w:color w:val="auto"/>
        </w:rPr>
        <w:t>]</w:t>
      </w: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15" w:name="page16"/>
    <w:bookmarkEnd w:id="15"/>
    <w:p>
      <w:pPr>
        <w:ind w:left="1300"/>
        <w:spacing w:after="0"/>
        <w:rPr>
          <w:sz w:val="20"/>
          <w:szCs w:val="20"/>
          <w:color w:val="auto"/>
        </w:rPr>
      </w:pPr>
      <w:r>
        <w:rPr>
          <w:rFonts w:ascii="Arial" w:cs="Arial" w:eastAsia="Arial" w:hAnsi="Arial"/>
          <w:sz w:val="18"/>
          <w:szCs w:val="18"/>
          <w:color w:val="auto"/>
        </w:rPr>
        <w:t>IN WITNESS WHEREOF, this Agreement is executed as of the day and year first above written.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SELLERS:</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GSO SPECIAL SITUATIONS MASTER FUND LP</w:t>
      </w:r>
    </w:p>
    <w:p>
      <w:pPr>
        <w:spacing w:after="0" w:line="225" w:lineRule="exact"/>
        <w:rPr>
          <w:sz w:val="20"/>
          <w:szCs w:val="20"/>
          <w:color w:val="auto"/>
        </w:rPr>
      </w:pPr>
    </w:p>
    <w:p>
      <w:pPr>
        <w:ind w:left="6860"/>
        <w:spacing w:after="0"/>
        <w:tabs>
          <w:tab w:leader="none" w:pos="7300" w:val="left"/>
        </w:tabs>
        <w:rPr>
          <w:sz w:val="20"/>
          <w:szCs w:val="20"/>
          <w:color w:val="auto"/>
        </w:rPr>
      </w:pPr>
      <w:r>
        <w:rPr>
          <w:rFonts w:ascii="Arial" w:cs="Arial" w:eastAsia="Arial" w:hAnsi="Arial"/>
          <w:sz w:val="16"/>
          <w:szCs w:val="16"/>
          <w:color w:val="auto"/>
        </w:rPr>
        <w:t>By:</w:t>
        <w:tab/>
        <w:t>GSO Capital Partners LP, its investment advisor</w:t>
      </w:r>
    </w:p>
    <w:p>
      <w:pPr>
        <w:spacing w:after="0" w:line="248" w:lineRule="exact"/>
        <w:rPr>
          <w:sz w:val="20"/>
          <w:szCs w:val="20"/>
          <w:color w:val="auto"/>
        </w:rPr>
      </w:pPr>
    </w:p>
    <w:p>
      <w:pPr>
        <w:ind w:left="6860"/>
        <w:spacing w:after="0"/>
        <w:tabs>
          <w:tab w:leader="none" w:pos="7300" w:val="left"/>
        </w:tabs>
        <w:rPr>
          <w:sz w:val="20"/>
          <w:szCs w:val="20"/>
          <w:color w:val="auto"/>
        </w:rPr>
      </w:pPr>
      <w:r>
        <w:rPr>
          <w:rFonts w:ascii="Arial" w:cs="Arial" w:eastAsia="Arial" w:hAnsi="Arial"/>
          <w:sz w:val="18"/>
          <w:szCs w:val="18"/>
          <w:color w:val="auto"/>
        </w:rPr>
        <w:t>By:</w:t>
        <w:tab/>
        <w:t>/s/ Marisa Beeney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14605</wp:posOffset>
            </wp:positionV>
            <wp:extent cx="260731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16"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Name: Marisa Beeney</w:t>
      </w:r>
    </w:p>
    <w:p>
      <w:pPr>
        <w:spacing w:after="0" w:line="2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GSO CREDIT-A PARTNERS LP</w:t>
      </w:r>
    </w:p>
    <w:p>
      <w:pPr>
        <w:spacing w:after="0" w:line="225" w:lineRule="exact"/>
        <w:rPr>
          <w:sz w:val="20"/>
          <w:szCs w:val="20"/>
          <w:color w:val="auto"/>
        </w:rPr>
      </w:pPr>
    </w:p>
    <w:p>
      <w:pPr>
        <w:ind w:left="6860"/>
        <w:spacing w:after="0"/>
        <w:tabs>
          <w:tab w:leader="none" w:pos="7300" w:val="left"/>
        </w:tabs>
        <w:rPr>
          <w:sz w:val="20"/>
          <w:szCs w:val="20"/>
          <w:color w:val="auto"/>
        </w:rPr>
      </w:pPr>
      <w:r>
        <w:rPr>
          <w:rFonts w:ascii="Arial" w:cs="Arial" w:eastAsia="Arial" w:hAnsi="Arial"/>
          <w:sz w:val="16"/>
          <w:szCs w:val="16"/>
          <w:color w:val="auto"/>
        </w:rPr>
        <w:t>By:</w:t>
        <w:tab/>
        <w:t>GSO Credit-A Associates LLC, its general partner</w:t>
      </w:r>
    </w:p>
    <w:p>
      <w:pPr>
        <w:spacing w:after="0" w:line="248" w:lineRule="exact"/>
        <w:rPr>
          <w:sz w:val="20"/>
          <w:szCs w:val="20"/>
          <w:color w:val="auto"/>
        </w:rPr>
      </w:pPr>
    </w:p>
    <w:p>
      <w:pPr>
        <w:ind w:left="6860"/>
        <w:spacing w:after="0"/>
        <w:tabs>
          <w:tab w:leader="none" w:pos="7300" w:val="left"/>
        </w:tabs>
        <w:rPr>
          <w:sz w:val="20"/>
          <w:szCs w:val="20"/>
          <w:color w:val="auto"/>
        </w:rPr>
      </w:pPr>
      <w:r>
        <w:rPr>
          <w:rFonts w:ascii="Arial" w:cs="Arial" w:eastAsia="Arial" w:hAnsi="Arial"/>
          <w:sz w:val="18"/>
          <w:szCs w:val="18"/>
          <w:color w:val="auto"/>
        </w:rPr>
        <w:t>By:</w:t>
        <w:tab/>
        <w:t>/s/ Marisa Beeney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14605</wp:posOffset>
            </wp:positionV>
            <wp:extent cx="260731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16"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Name: Marisa Beeney</w:t>
      </w:r>
    </w:p>
    <w:p>
      <w:pPr>
        <w:spacing w:after="0" w:line="2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GSO PALMETTO OPPORTUNISTIC INVESTMENT</w:t>
      </w:r>
    </w:p>
    <w:p>
      <w:pPr>
        <w:spacing w:after="0" w:line="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PARTNERS LP</w:t>
      </w:r>
    </w:p>
    <w:p>
      <w:pPr>
        <w:spacing w:after="0" w:line="211" w:lineRule="exact"/>
        <w:rPr>
          <w:sz w:val="20"/>
          <w:szCs w:val="20"/>
          <w:color w:val="auto"/>
        </w:rPr>
      </w:pPr>
    </w:p>
    <w:p>
      <w:pPr>
        <w:ind w:left="6860"/>
        <w:spacing w:after="0"/>
        <w:tabs>
          <w:tab w:leader="none" w:pos="7300" w:val="left"/>
        </w:tabs>
        <w:rPr>
          <w:sz w:val="20"/>
          <w:szCs w:val="20"/>
          <w:color w:val="auto"/>
        </w:rPr>
      </w:pPr>
      <w:r>
        <w:rPr>
          <w:rFonts w:ascii="Arial" w:cs="Arial" w:eastAsia="Arial" w:hAnsi="Arial"/>
          <w:sz w:val="16"/>
          <w:szCs w:val="16"/>
          <w:color w:val="auto"/>
        </w:rPr>
        <w:t>By:</w:t>
        <w:tab/>
        <w:t>GSO Palmetto Opportunistic Associates LLC, its</w:t>
      </w:r>
    </w:p>
    <w:p>
      <w:pPr>
        <w:spacing w:after="0" w:line="46"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general partner</w:t>
      </w:r>
    </w:p>
    <w:p>
      <w:pPr>
        <w:spacing w:after="0" w:line="211" w:lineRule="exact"/>
        <w:rPr>
          <w:sz w:val="20"/>
          <w:szCs w:val="20"/>
          <w:color w:val="auto"/>
        </w:rPr>
      </w:pPr>
    </w:p>
    <w:p>
      <w:pPr>
        <w:ind w:left="6860"/>
        <w:spacing w:after="0"/>
        <w:tabs>
          <w:tab w:leader="none" w:pos="7300" w:val="left"/>
        </w:tabs>
        <w:rPr>
          <w:sz w:val="20"/>
          <w:szCs w:val="20"/>
          <w:color w:val="auto"/>
        </w:rPr>
      </w:pPr>
      <w:r>
        <w:rPr>
          <w:rFonts w:ascii="Arial" w:cs="Arial" w:eastAsia="Arial" w:hAnsi="Arial"/>
          <w:sz w:val="18"/>
          <w:szCs w:val="18"/>
          <w:color w:val="auto"/>
        </w:rPr>
        <w:t>By:</w:t>
        <w:tab/>
        <w:t>/s/ Marisa Beeney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14605</wp:posOffset>
            </wp:positionV>
            <wp:extent cx="260731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16"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Name: Marisa Beeney</w:t>
      </w:r>
    </w:p>
    <w:p>
      <w:pPr>
        <w:spacing w:after="0" w:line="2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GSO CACTUS CREDIT OPPORTUNITIES FUND LP</w:t>
      </w:r>
    </w:p>
    <w:p>
      <w:pPr>
        <w:spacing w:after="0" w:line="237" w:lineRule="exact"/>
        <w:rPr>
          <w:sz w:val="20"/>
          <w:szCs w:val="20"/>
          <w:color w:val="auto"/>
        </w:rPr>
      </w:pPr>
    </w:p>
    <w:p>
      <w:pPr>
        <w:ind w:left="6860"/>
        <w:spacing w:after="0"/>
        <w:tabs>
          <w:tab w:leader="none" w:pos="7300" w:val="left"/>
        </w:tabs>
        <w:rPr>
          <w:sz w:val="20"/>
          <w:szCs w:val="20"/>
          <w:color w:val="auto"/>
        </w:rPr>
      </w:pPr>
      <w:r>
        <w:rPr>
          <w:rFonts w:ascii="Arial" w:cs="Arial" w:eastAsia="Arial" w:hAnsi="Arial"/>
          <w:sz w:val="16"/>
          <w:szCs w:val="16"/>
          <w:color w:val="auto"/>
        </w:rPr>
        <w:t>By:</w:t>
        <w:tab/>
        <w:t>GSO Capital Partners LP, its investment advisor</w:t>
      </w:r>
    </w:p>
    <w:p>
      <w:pPr>
        <w:spacing w:after="0" w:line="248" w:lineRule="exact"/>
        <w:rPr>
          <w:sz w:val="20"/>
          <w:szCs w:val="20"/>
          <w:color w:val="auto"/>
        </w:rPr>
      </w:pPr>
    </w:p>
    <w:p>
      <w:pPr>
        <w:ind w:left="6860"/>
        <w:spacing w:after="0"/>
        <w:tabs>
          <w:tab w:leader="none" w:pos="7300" w:val="left"/>
        </w:tabs>
        <w:rPr>
          <w:sz w:val="20"/>
          <w:szCs w:val="20"/>
          <w:color w:val="auto"/>
        </w:rPr>
      </w:pPr>
      <w:r>
        <w:rPr>
          <w:rFonts w:ascii="Arial" w:cs="Arial" w:eastAsia="Arial" w:hAnsi="Arial"/>
          <w:sz w:val="18"/>
          <w:szCs w:val="18"/>
          <w:color w:val="auto"/>
        </w:rPr>
        <w:t>By:</w:t>
        <w:tab/>
        <w:t>/a/ Marisa Beeney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14605</wp:posOffset>
            </wp:positionV>
            <wp:extent cx="260731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16"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Name: Marisa Beeney</w:t>
      </w:r>
    </w:p>
    <w:p>
      <w:pPr>
        <w:spacing w:after="0" w:line="2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GSO CREDIT ALPHA TRADING (CAYMAN) LP</w:t>
      </w:r>
    </w:p>
    <w:p>
      <w:pPr>
        <w:spacing w:after="0" w:line="225" w:lineRule="exact"/>
        <w:rPr>
          <w:sz w:val="20"/>
          <w:szCs w:val="20"/>
          <w:color w:val="auto"/>
        </w:rPr>
      </w:pPr>
    </w:p>
    <w:p>
      <w:pPr>
        <w:ind w:left="6860"/>
        <w:spacing w:after="0"/>
        <w:tabs>
          <w:tab w:leader="none" w:pos="7300" w:val="left"/>
        </w:tabs>
        <w:rPr>
          <w:sz w:val="20"/>
          <w:szCs w:val="20"/>
          <w:color w:val="auto"/>
        </w:rPr>
      </w:pPr>
      <w:r>
        <w:rPr>
          <w:rFonts w:ascii="Arial" w:cs="Arial" w:eastAsia="Arial" w:hAnsi="Arial"/>
          <w:sz w:val="16"/>
          <w:szCs w:val="16"/>
          <w:color w:val="auto"/>
        </w:rPr>
        <w:t>By:</w:t>
        <w:tab/>
        <w:t>GSO Capital Partners LP, its investment advisor</w:t>
      </w:r>
    </w:p>
    <w:p>
      <w:pPr>
        <w:spacing w:after="0" w:line="248" w:lineRule="exact"/>
        <w:rPr>
          <w:sz w:val="20"/>
          <w:szCs w:val="20"/>
          <w:color w:val="auto"/>
        </w:rPr>
      </w:pPr>
    </w:p>
    <w:p>
      <w:pPr>
        <w:ind w:left="6860"/>
        <w:spacing w:after="0"/>
        <w:tabs>
          <w:tab w:leader="none" w:pos="7300" w:val="left"/>
        </w:tabs>
        <w:rPr>
          <w:sz w:val="20"/>
          <w:szCs w:val="20"/>
          <w:color w:val="auto"/>
        </w:rPr>
      </w:pPr>
      <w:r>
        <w:rPr>
          <w:rFonts w:ascii="Arial" w:cs="Arial" w:eastAsia="Arial" w:hAnsi="Arial"/>
          <w:sz w:val="18"/>
          <w:szCs w:val="18"/>
          <w:color w:val="auto"/>
        </w:rPr>
        <w:t>By:</w:t>
        <w:tab/>
        <w:t>/s/ Marisa Beeney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14605</wp:posOffset>
            </wp:positionV>
            <wp:extent cx="260731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16"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Name: Marisa Beeney</w:t>
      </w:r>
    </w:p>
    <w:p>
      <w:pPr>
        <w:spacing w:after="0" w:line="2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Purchase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940"/>
          </w:cols>
          <w:pgMar w:left="240" w:top="908" w:right="71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PURCHASERS:</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KF INVESTORS LLC</w:t>
      </w:r>
    </w:p>
    <w:p>
      <w:pPr>
        <w:spacing w:after="0" w:line="225" w:lineRule="exact"/>
        <w:rPr>
          <w:sz w:val="20"/>
          <w:szCs w:val="20"/>
          <w:color w:val="auto"/>
        </w:rPr>
      </w:pPr>
    </w:p>
    <w:p>
      <w:pPr>
        <w:ind w:left="6860"/>
        <w:spacing w:after="0"/>
        <w:tabs>
          <w:tab w:leader="none" w:pos="7300" w:val="left"/>
        </w:tabs>
        <w:rPr>
          <w:sz w:val="20"/>
          <w:szCs w:val="20"/>
          <w:color w:val="auto"/>
        </w:rPr>
      </w:pPr>
      <w:r>
        <w:rPr>
          <w:rFonts w:ascii="Arial" w:cs="Arial" w:eastAsia="Arial" w:hAnsi="Arial"/>
          <w:sz w:val="18"/>
          <w:szCs w:val="18"/>
          <w:color w:val="auto"/>
        </w:rPr>
        <w:t>By:</w:t>
        <w:tab/>
        <w:t>/s/ Philippe D. Katz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14605</wp:posOffset>
            </wp:positionV>
            <wp:extent cx="260731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16" w:lineRule="exact"/>
        <w:rPr>
          <w:sz w:val="20"/>
          <w:szCs w:val="20"/>
          <w:color w:val="auto"/>
        </w:rPr>
      </w:pPr>
    </w:p>
    <w:p>
      <w:pPr>
        <w:jc w:val="right"/>
        <w:ind w:right="439"/>
        <w:spacing w:after="0"/>
        <w:rPr>
          <w:sz w:val="20"/>
          <w:szCs w:val="20"/>
          <w:color w:val="auto"/>
        </w:rPr>
      </w:pPr>
      <w:r>
        <w:rPr>
          <w:rFonts w:ascii="Arial" w:cs="Arial" w:eastAsia="Arial" w:hAnsi="Arial"/>
          <w:sz w:val="18"/>
          <w:szCs w:val="18"/>
          <w:color w:val="auto"/>
        </w:rPr>
        <w:t>Name: Philippe D. Katz, Manager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GEORGE KARFUNKEL</w:t>
      </w:r>
    </w:p>
    <w:p>
      <w:pPr>
        <w:spacing w:after="0" w:line="225" w:lineRule="exact"/>
        <w:rPr>
          <w:sz w:val="20"/>
          <w:szCs w:val="20"/>
          <w:color w:val="auto"/>
        </w:rPr>
      </w:pPr>
    </w:p>
    <w:p>
      <w:pPr>
        <w:ind w:left="6860"/>
        <w:spacing w:after="0"/>
        <w:tabs>
          <w:tab w:leader="none" w:pos="7300" w:val="left"/>
        </w:tabs>
        <w:rPr>
          <w:sz w:val="20"/>
          <w:szCs w:val="20"/>
          <w:color w:val="auto"/>
        </w:rPr>
      </w:pPr>
      <w:r>
        <w:rPr>
          <w:rFonts w:ascii="Arial" w:cs="Arial" w:eastAsia="Arial" w:hAnsi="Arial"/>
          <w:sz w:val="18"/>
          <w:szCs w:val="18"/>
          <w:color w:val="auto"/>
        </w:rPr>
        <w:t>By:</w:t>
        <w:tab/>
        <w:t>/s/ George Karfunkel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14605</wp:posOffset>
            </wp:positionV>
            <wp:extent cx="260731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16"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Name: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RENEE KARFUNKEL</w:t>
      </w:r>
    </w:p>
    <w:p>
      <w:pPr>
        <w:spacing w:after="0" w:line="225" w:lineRule="exact"/>
        <w:rPr>
          <w:sz w:val="20"/>
          <w:szCs w:val="20"/>
          <w:color w:val="auto"/>
        </w:rPr>
      </w:pPr>
    </w:p>
    <w:p>
      <w:pPr>
        <w:ind w:left="6860"/>
        <w:spacing w:after="0"/>
        <w:tabs>
          <w:tab w:leader="none" w:pos="7300" w:val="left"/>
        </w:tabs>
        <w:rPr>
          <w:sz w:val="20"/>
          <w:szCs w:val="20"/>
          <w:color w:val="auto"/>
        </w:rPr>
      </w:pPr>
      <w:r>
        <w:rPr>
          <w:rFonts w:ascii="Arial" w:cs="Arial" w:eastAsia="Arial" w:hAnsi="Arial"/>
          <w:sz w:val="18"/>
          <w:szCs w:val="18"/>
          <w:color w:val="auto"/>
        </w:rPr>
        <w:t>By:</w:t>
        <w:tab/>
        <w:t>/s/ Renee Karfunkel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14605</wp:posOffset>
            </wp:positionV>
            <wp:extent cx="260731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16"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Name:</w:t>
      </w:r>
    </w:p>
    <w:p>
      <w:pPr>
        <w:spacing w:after="0" w:line="225"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Purchase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904" w:right="1440" w:bottom="1440" w:gutter="0" w:footer="0" w:header="0"/>
        </w:sectPr>
      </w:pPr>
    </w:p>
    <w:bookmarkStart w:id="17" w:name="page18"/>
    <w:bookmarkEnd w:id="17"/>
    <w:p>
      <w:pPr>
        <w:ind w:left="10520"/>
        <w:spacing w:after="0"/>
        <w:rPr>
          <w:sz w:val="20"/>
          <w:szCs w:val="20"/>
          <w:color w:val="auto"/>
        </w:rPr>
      </w:pPr>
      <w:r>
        <w:rPr>
          <w:rFonts w:ascii="Arial" w:cs="Arial" w:eastAsia="Arial" w:hAnsi="Arial"/>
          <w:sz w:val="18"/>
          <w:szCs w:val="18"/>
          <w:color w:val="auto"/>
        </w:rPr>
        <w:t>EXHIBIT A</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SELLERS; SHARES; PURCHASE PRICE; PURCHASERS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Shares</w:t>
      </w:r>
      <w:r>
        <w:rPr>
          <w:rFonts w:ascii="Arial" w:cs="Arial" w:eastAsia="Arial" w:hAnsi="Arial"/>
          <w:sz w:val="18"/>
          <w:szCs w:val="18"/>
          <w:color w:val="auto"/>
        </w:rPr>
        <w:t>: 8,875,211 Shares in the aggregate.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 Share Purchase Price</w:t>
      </w:r>
      <w:r>
        <w:rPr>
          <w:rFonts w:ascii="Arial" w:cs="Arial" w:eastAsia="Arial" w:hAnsi="Arial"/>
          <w:sz w:val="18"/>
          <w:szCs w:val="18"/>
          <w:color w:val="auto"/>
        </w:rPr>
        <w:t>: $2.50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Aggregate Purchase Price</w:t>
      </w:r>
      <w:r>
        <w:rPr>
          <w:rFonts w:ascii="Arial" w:cs="Arial" w:eastAsia="Arial" w:hAnsi="Arial"/>
          <w:sz w:val="18"/>
          <w:szCs w:val="18"/>
          <w:color w:val="auto"/>
        </w:rPr>
        <w:t>: $22,188,027.50</w:t>
      </w:r>
    </w:p>
    <w:p>
      <w:pPr>
        <w:spacing w:after="0" w:line="224"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5720" w:type="dxa"/>
            <w:vAlign w:val="bottom"/>
            <w:tcBorders>
              <w:top w:val="single" w:sz="8" w:color="auto"/>
              <w:left w:val="single" w:sz="8" w:color="auto"/>
              <w:bottom w:val="single" w:sz="8" w:color="auto"/>
              <w:right w:val="single" w:sz="8" w:color="auto"/>
            </w:tcBorders>
            <w:gridSpan w:val="2"/>
            <w:shd w:val="clear" w:color="auto" w:fill="BFBFBF"/>
          </w:tcPr>
          <w:p>
            <w:pPr>
              <w:ind w:left="1460"/>
              <w:spacing w:after="0"/>
              <w:rPr>
                <w:sz w:val="20"/>
                <w:szCs w:val="20"/>
                <w:color w:val="auto"/>
              </w:rPr>
            </w:pPr>
            <w:r>
              <w:rPr>
                <w:rFonts w:ascii="Arial" w:cs="Arial" w:eastAsia="Arial" w:hAnsi="Arial"/>
                <w:sz w:val="18"/>
                <w:szCs w:val="18"/>
                <w:b w:val="1"/>
                <w:bCs w:val="1"/>
                <w:color w:val="auto"/>
              </w:rPr>
              <w:t>Aggregate Shares to Each Purchaser</w:t>
            </w:r>
          </w:p>
        </w:tc>
        <w:tc>
          <w:tcPr>
            <w:tcW w:w="260" w:type="dxa"/>
            <w:vAlign w:val="bottom"/>
            <w:tcBorders>
              <w:top w:val="single" w:sz="8" w:color="auto"/>
              <w:bottom w:val="single" w:sz="8" w:color="auto"/>
              <w:right w:val="single" w:sz="8" w:color="BFBFBF"/>
            </w:tcBorders>
            <w:shd w:val="clear" w:color="auto" w:fill="BFBFBF"/>
          </w:tcPr>
          <w:p>
            <w:pPr>
              <w:spacing w:after="0"/>
              <w:rPr>
                <w:sz w:val="19"/>
                <w:szCs w:val="19"/>
                <w:color w:val="auto"/>
              </w:rPr>
            </w:pPr>
          </w:p>
        </w:tc>
        <w:tc>
          <w:tcPr>
            <w:tcW w:w="5440" w:type="dxa"/>
            <w:vAlign w:val="bottom"/>
            <w:tcBorders>
              <w:top w:val="single" w:sz="8" w:color="auto"/>
              <w:bottom w:val="single" w:sz="8" w:color="auto"/>
              <w:right w:val="single" w:sz="8" w:color="auto"/>
            </w:tcBorders>
            <w:gridSpan w:val="2"/>
            <w:shd w:val="clear" w:color="auto" w:fill="BFBFBF"/>
          </w:tcPr>
          <w:p>
            <w:pPr>
              <w:ind w:left="640"/>
              <w:spacing w:after="0"/>
              <w:rPr>
                <w:sz w:val="20"/>
                <w:szCs w:val="20"/>
                <w:color w:val="auto"/>
              </w:rPr>
            </w:pPr>
            <w:r>
              <w:rPr>
                <w:rFonts w:ascii="Arial" w:cs="Arial" w:eastAsia="Arial" w:hAnsi="Arial"/>
                <w:sz w:val="18"/>
                <w:szCs w:val="18"/>
                <w:b w:val="1"/>
                <w:bCs w:val="1"/>
                <w:color w:val="auto"/>
              </w:rPr>
              <w:t>Aggregate Purchase Price Paid by Each Purchaser</w:t>
            </w:r>
          </w:p>
        </w:tc>
      </w:tr>
      <w:tr>
        <w:trPr>
          <w:trHeight w:val="210"/>
        </w:trPr>
        <w:tc>
          <w:tcPr>
            <w:tcW w:w="310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KF Investors LLC 4,437,606 Shares</w:t>
            </w:r>
          </w:p>
        </w:tc>
        <w:tc>
          <w:tcPr>
            <w:tcW w:w="2620" w:type="dxa"/>
            <w:vAlign w:val="bottom"/>
            <w:tcBorders>
              <w:bottom w:val="single" w:sz="8" w:color="auto"/>
              <w:right w:val="single" w:sz="8" w:color="auto"/>
            </w:tcBorders>
          </w:tcPr>
          <w:p>
            <w:pPr>
              <w:spacing w:after="0"/>
              <w:rPr>
                <w:sz w:val="18"/>
                <w:szCs w:val="18"/>
                <w:color w:val="auto"/>
              </w:rPr>
            </w:pPr>
          </w:p>
        </w:tc>
        <w:tc>
          <w:tcPr>
            <w:tcW w:w="298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$11,094,015</w:t>
            </w:r>
          </w:p>
        </w:tc>
        <w:tc>
          <w:tcPr>
            <w:tcW w:w="2720" w:type="dxa"/>
            <w:vAlign w:val="bottom"/>
            <w:tcBorders>
              <w:bottom w:val="single" w:sz="8" w:color="auto"/>
              <w:right w:val="single" w:sz="8" w:color="auto"/>
            </w:tcBorders>
          </w:tcPr>
          <w:p>
            <w:pPr>
              <w:spacing w:after="0"/>
              <w:rPr>
                <w:sz w:val="18"/>
                <w:szCs w:val="18"/>
                <w:color w:val="auto"/>
              </w:rPr>
            </w:pPr>
          </w:p>
        </w:tc>
      </w:tr>
      <w:tr>
        <w:trPr>
          <w:trHeight w:val="210"/>
        </w:trPr>
        <w:tc>
          <w:tcPr>
            <w:tcW w:w="5720" w:type="dxa"/>
            <w:vAlign w:val="bottom"/>
            <w:tcBorders>
              <w:left w:val="single" w:sz="8" w:color="auto"/>
              <w:bottom w:val="single" w:sz="8" w:color="auto"/>
              <w:right w:val="single" w:sz="8" w:color="auto"/>
            </w:tcBorders>
            <w:gridSpan w:val="2"/>
          </w:tcPr>
          <w:p>
            <w:pPr>
              <w:ind w:left="120"/>
              <w:spacing w:after="0"/>
              <w:rPr>
                <w:sz w:val="20"/>
                <w:szCs w:val="20"/>
                <w:color w:val="auto"/>
              </w:rPr>
            </w:pPr>
            <w:r>
              <w:rPr>
                <w:rFonts w:ascii="Arial" w:cs="Arial" w:eastAsia="Arial" w:hAnsi="Arial"/>
                <w:sz w:val="18"/>
                <w:szCs w:val="18"/>
                <w:color w:val="auto"/>
              </w:rPr>
              <w:t>George/Renee Karfunkel JT TEN - - 4,437,605 Shares</w:t>
            </w:r>
          </w:p>
        </w:tc>
        <w:tc>
          <w:tcPr>
            <w:tcW w:w="298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$11,094,012.50</w:t>
            </w:r>
          </w:p>
        </w:tc>
        <w:tc>
          <w:tcPr>
            <w:tcW w:w="2720" w:type="dxa"/>
            <w:vAlign w:val="bottom"/>
            <w:tcBorders>
              <w:bottom w:val="single" w:sz="8" w:color="auto"/>
              <w:right w:val="single" w:sz="8" w:color="auto"/>
            </w:tcBorders>
          </w:tcPr>
          <w:p>
            <w:pPr>
              <w:spacing w:after="0"/>
              <w:rPr>
                <w:sz w:val="18"/>
                <w:szCs w:val="18"/>
                <w:color w:val="auto"/>
              </w:rPr>
            </w:pPr>
          </w:p>
        </w:tc>
      </w:tr>
      <w:tr>
        <w:trPr>
          <w:trHeight w:val="210"/>
        </w:trPr>
        <w:tc>
          <w:tcPr>
            <w:tcW w:w="310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tcPr>
          <w:p>
            <w:pPr>
              <w:spacing w:after="0"/>
              <w:rPr>
                <w:sz w:val="18"/>
                <w:szCs w:val="18"/>
                <w:color w:val="auto"/>
              </w:rPr>
            </w:pPr>
          </w:p>
        </w:tc>
      </w:tr>
      <w:tr>
        <w:trPr>
          <w:trHeight w:val="210"/>
        </w:trPr>
        <w:tc>
          <w:tcPr>
            <w:tcW w:w="3100" w:type="dxa"/>
            <w:vAlign w:val="bottom"/>
            <w:tcBorders>
              <w:left w:val="single" w:sz="8" w:color="auto"/>
              <w:bottom w:val="single" w:sz="8" w:color="auto"/>
              <w:right w:val="single" w:sz="8" w:color="auto"/>
            </w:tcBorders>
            <w:shd w:val="clear" w:color="auto" w:fill="BFBFBF"/>
          </w:tcPr>
          <w:p>
            <w:pPr>
              <w:ind w:left="1300"/>
              <w:spacing w:after="0"/>
              <w:rPr>
                <w:sz w:val="20"/>
                <w:szCs w:val="20"/>
                <w:color w:val="auto"/>
              </w:rPr>
            </w:pPr>
            <w:r>
              <w:rPr>
                <w:rFonts w:ascii="Arial" w:cs="Arial" w:eastAsia="Arial" w:hAnsi="Arial"/>
                <w:sz w:val="18"/>
                <w:szCs w:val="18"/>
                <w:b w:val="1"/>
                <w:bCs w:val="1"/>
                <w:color w:val="auto"/>
              </w:rPr>
              <w:t>Sellers</w:t>
            </w:r>
          </w:p>
        </w:tc>
        <w:tc>
          <w:tcPr>
            <w:tcW w:w="2620" w:type="dxa"/>
            <w:vAlign w:val="bottom"/>
            <w:tcBorders>
              <w:bottom w:val="single" w:sz="8" w:color="auto"/>
              <w:right w:val="single" w:sz="8" w:color="BFBFBF"/>
            </w:tcBorders>
            <w:shd w:val="clear" w:color="auto" w:fill="BFBFBF"/>
          </w:tcPr>
          <w:p>
            <w:pPr>
              <w:ind w:left="1040"/>
              <w:spacing w:after="0"/>
              <w:rPr>
                <w:sz w:val="20"/>
                <w:szCs w:val="20"/>
                <w:color w:val="auto"/>
              </w:rPr>
            </w:pPr>
            <w:r>
              <w:rPr>
                <w:rFonts w:ascii="Arial" w:cs="Arial" w:eastAsia="Arial" w:hAnsi="Arial"/>
                <w:sz w:val="18"/>
                <w:szCs w:val="18"/>
                <w:b w:val="1"/>
                <w:bCs w:val="1"/>
                <w:color w:val="auto"/>
              </w:rPr>
              <w:t>Purchaser</w:t>
            </w:r>
          </w:p>
        </w:tc>
        <w:tc>
          <w:tcPr>
            <w:tcW w:w="260" w:type="dxa"/>
            <w:vAlign w:val="bottom"/>
            <w:tcBorders>
              <w:bottom w:val="single" w:sz="8" w:color="auto"/>
              <w:right w:val="single" w:sz="8" w:color="auto"/>
            </w:tcBorders>
            <w:shd w:val="clear" w:color="auto" w:fill="BFBFBF"/>
          </w:tcPr>
          <w:p>
            <w:pPr>
              <w:spacing w:after="0"/>
              <w:rPr>
                <w:sz w:val="18"/>
                <w:szCs w:val="18"/>
                <w:color w:val="auto"/>
              </w:rPr>
            </w:pPr>
          </w:p>
        </w:tc>
        <w:tc>
          <w:tcPr>
            <w:tcW w:w="2720" w:type="dxa"/>
            <w:vAlign w:val="bottom"/>
            <w:tcBorders>
              <w:bottom w:val="single" w:sz="8" w:color="auto"/>
              <w:right w:val="single" w:sz="8" w:color="auto"/>
            </w:tcBorders>
            <w:shd w:val="clear" w:color="auto" w:fill="BFBFBF"/>
          </w:tcPr>
          <w:p>
            <w:pPr>
              <w:ind w:left="180"/>
              <w:spacing w:after="0"/>
              <w:rPr>
                <w:sz w:val="20"/>
                <w:szCs w:val="20"/>
                <w:color w:val="auto"/>
              </w:rPr>
            </w:pPr>
            <w:r>
              <w:rPr>
                <w:rFonts w:ascii="Arial" w:cs="Arial" w:eastAsia="Arial" w:hAnsi="Arial"/>
                <w:sz w:val="18"/>
                <w:szCs w:val="18"/>
                <w:b w:val="1"/>
                <w:bCs w:val="1"/>
                <w:color w:val="auto"/>
                <w:w w:val="97"/>
              </w:rPr>
              <w:t>Number of Shares transferred</w:t>
            </w:r>
          </w:p>
        </w:tc>
        <w:tc>
          <w:tcPr>
            <w:tcW w:w="2720" w:type="dxa"/>
            <w:vAlign w:val="bottom"/>
            <w:tcBorders>
              <w:bottom w:val="single" w:sz="8" w:color="auto"/>
              <w:right w:val="single" w:sz="8" w:color="auto"/>
            </w:tcBorders>
            <w:shd w:val="clear" w:color="auto" w:fill="BFBFBF"/>
          </w:tcPr>
          <w:p>
            <w:pPr>
              <w:ind w:left="220"/>
              <w:spacing w:after="0"/>
              <w:rPr>
                <w:sz w:val="20"/>
                <w:szCs w:val="20"/>
                <w:color w:val="auto"/>
              </w:rPr>
            </w:pPr>
            <w:r>
              <w:rPr>
                <w:rFonts w:ascii="Arial" w:cs="Arial" w:eastAsia="Arial" w:hAnsi="Arial"/>
                <w:sz w:val="18"/>
                <w:szCs w:val="18"/>
                <w:b w:val="1"/>
                <w:bCs w:val="1"/>
                <w:color w:val="auto"/>
                <w:w w:val="97"/>
              </w:rPr>
              <w:t>Portion of the Purchase Price</w:t>
            </w:r>
          </w:p>
        </w:tc>
      </w:tr>
      <w:tr>
        <w:trPr>
          <w:trHeight w:val="195"/>
        </w:trPr>
        <w:tc>
          <w:tcPr>
            <w:tcW w:w="310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w w:val="99"/>
              </w:rPr>
              <w:t>GSO Special Situations Master Fund</w:t>
            </w:r>
          </w:p>
        </w:tc>
        <w:tc>
          <w:tcPr>
            <w:tcW w:w="2620" w:type="dxa"/>
            <w:vAlign w:val="bottom"/>
          </w:tcPr>
          <w:p>
            <w:pPr>
              <w:ind w:left="100"/>
              <w:spacing w:after="0" w:line="195" w:lineRule="exact"/>
              <w:rPr>
                <w:sz w:val="20"/>
                <w:szCs w:val="20"/>
                <w:color w:val="auto"/>
              </w:rPr>
            </w:pPr>
            <w:r>
              <w:rPr>
                <w:rFonts w:ascii="Arial" w:cs="Arial" w:eastAsia="Arial" w:hAnsi="Arial"/>
                <w:sz w:val="18"/>
                <w:szCs w:val="18"/>
                <w:color w:val="auto"/>
              </w:rPr>
              <w:t>KF Investors</w:t>
            </w:r>
          </w:p>
        </w:tc>
        <w:tc>
          <w:tcPr>
            <w:tcW w:w="260" w:type="dxa"/>
            <w:vAlign w:val="bottom"/>
            <w:tcBorders>
              <w:right w:val="single" w:sz="8" w:color="auto"/>
            </w:tcBorders>
          </w:tcPr>
          <w:p>
            <w:pPr>
              <w:spacing w:after="0"/>
              <w:rPr>
                <w:sz w:val="16"/>
                <w:szCs w:val="16"/>
                <w:color w:val="auto"/>
              </w:rPr>
            </w:pPr>
          </w:p>
        </w:tc>
        <w:tc>
          <w:tcPr>
            <w:tcW w:w="272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3,051,934</w:t>
            </w:r>
          </w:p>
        </w:tc>
        <w:tc>
          <w:tcPr>
            <w:tcW w:w="272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$7,629,835</w:t>
            </w:r>
          </w:p>
        </w:tc>
      </w:tr>
      <w:tr>
        <w:trPr>
          <w:trHeight w:val="230"/>
        </w:trPr>
        <w:tc>
          <w:tcPr>
            <w:tcW w:w="31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LP - 6,103,867</w:t>
            </w:r>
          </w:p>
        </w:tc>
        <w:tc>
          <w:tcPr>
            <w:tcW w:w="26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GK</w:t>
            </w:r>
          </w:p>
        </w:tc>
        <w:tc>
          <w:tcPr>
            <w:tcW w:w="260" w:type="dxa"/>
            <w:vAlign w:val="bottom"/>
            <w:tcBorders>
              <w:bottom w:val="single" w:sz="8" w:color="auto"/>
              <w:right w:val="single" w:sz="8" w:color="auto"/>
            </w:tcBorders>
          </w:tcPr>
          <w:p>
            <w:pPr>
              <w:spacing w:after="0"/>
              <w:rPr>
                <w:sz w:val="20"/>
                <w:szCs w:val="20"/>
                <w:color w:val="auto"/>
              </w:rPr>
            </w:pPr>
          </w:p>
        </w:tc>
        <w:tc>
          <w:tcPr>
            <w:tcW w:w="27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3,051,933</w:t>
            </w:r>
          </w:p>
        </w:tc>
        <w:tc>
          <w:tcPr>
            <w:tcW w:w="27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$7,629,832.50</w:t>
            </w:r>
          </w:p>
        </w:tc>
      </w:tr>
      <w:tr>
        <w:trPr>
          <w:trHeight w:val="195"/>
        </w:trPr>
        <w:tc>
          <w:tcPr>
            <w:tcW w:w="310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w w:val="95"/>
              </w:rPr>
              <w:t>GSO Credit-A Partners LP - 1,226,470</w:t>
            </w:r>
          </w:p>
        </w:tc>
        <w:tc>
          <w:tcPr>
            <w:tcW w:w="2620" w:type="dxa"/>
            <w:vAlign w:val="bottom"/>
          </w:tcPr>
          <w:p>
            <w:pPr>
              <w:ind w:left="100"/>
              <w:spacing w:after="0" w:line="195" w:lineRule="exact"/>
              <w:rPr>
                <w:sz w:val="20"/>
                <w:szCs w:val="20"/>
                <w:color w:val="auto"/>
              </w:rPr>
            </w:pPr>
            <w:r>
              <w:rPr>
                <w:rFonts w:ascii="Arial" w:cs="Arial" w:eastAsia="Arial" w:hAnsi="Arial"/>
                <w:sz w:val="18"/>
                <w:szCs w:val="18"/>
                <w:color w:val="auto"/>
              </w:rPr>
              <w:t>KF Investors</w:t>
            </w:r>
          </w:p>
        </w:tc>
        <w:tc>
          <w:tcPr>
            <w:tcW w:w="260" w:type="dxa"/>
            <w:vAlign w:val="bottom"/>
            <w:tcBorders>
              <w:right w:val="single" w:sz="8" w:color="auto"/>
            </w:tcBorders>
          </w:tcPr>
          <w:p>
            <w:pPr>
              <w:spacing w:after="0"/>
              <w:rPr>
                <w:sz w:val="16"/>
                <w:szCs w:val="16"/>
                <w:color w:val="auto"/>
              </w:rPr>
            </w:pPr>
          </w:p>
        </w:tc>
        <w:tc>
          <w:tcPr>
            <w:tcW w:w="272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613,235</w:t>
            </w:r>
          </w:p>
        </w:tc>
        <w:tc>
          <w:tcPr>
            <w:tcW w:w="272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$1,533,087.50</w:t>
            </w:r>
          </w:p>
        </w:tc>
      </w:tr>
      <w:tr>
        <w:trPr>
          <w:trHeight w:val="230"/>
        </w:trPr>
        <w:tc>
          <w:tcPr>
            <w:tcW w:w="3100" w:type="dxa"/>
            <w:vAlign w:val="bottom"/>
            <w:tcBorders>
              <w:left w:val="single" w:sz="8" w:color="auto"/>
              <w:bottom w:val="single" w:sz="8" w:color="auto"/>
              <w:right w:val="single" w:sz="8" w:color="auto"/>
            </w:tcBorders>
          </w:tcPr>
          <w:p>
            <w:pPr>
              <w:spacing w:after="0"/>
              <w:rPr>
                <w:sz w:val="20"/>
                <w:szCs w:val="20"/>
                <w:color w:val="auto"/>
              </w:rPr>
            </w:pPr>
          </w:p>
        </w:tc>
        <w:tc>
          <w:tcPr>
            <w:tcW w:w="26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GK</w:t>
            </w:r>
          </w:p>
        </w:tc>
        <w:tc>
          <w:tcPr>
            <w:tcW w:w="260" w:type="dxa"/>
            <w:vAlign w:val="bottom"/>
            <w:tcBorders>
              <w:bottom w:val="single" w:sz="8" w:color="auto"/>
              <w:right w:val="single" w:sz="8" w:color="auto"/>
            </w:tcBorders>
          </w:tcPr>
          <w:p>
            <w:pPr>
              <w:spacing w:after="0"/>
              <w:rPr>
                <w:sz w:val="20"/>
                <w:szCs w:val="20"/>
                <w:color w:val="auto"/>
              </w:rPr>
            </w:pPr>
          </w:p>
        </w:tc>
        <w:tc>
          <w:tcPr>
            <w:tcW w:w="27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613,235</w:t>
            </w:r>
          </w:p>
        </w:tc>
        <w:tc>
          <w:tcPr>
            <w:tcW w:w="27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$1,533,087.50</w:t>
            </w:r>
          </w:p>
        </w:tc>
      </w:tr>
      <w:tr>
        <w:trPr>
          <w:trHeight w:val="195"/>
        </w:trPr>
        <w:tc>
          <w:tcPr>
            <w:tcW w:w="310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GSO Palmetto Opportunistic</w:t>
            </w:r>
          </w:p>
        </w:tc>
        <w:tc>
          <w:tcPr>
            <w:tcW w:w="2620" w:type="dxa"/>
            <w:vAlign w:val="bottom"/>
          </w:tcPr>
          <w:p>
            <w:pPr>
              <w:ind w:left="100"/>
              <w:spacing w:after="0" w:line="195" w:lineRule="exact"/>
              <w:rPr>
                <w:sz w:val="20"/>
                <w:szCs w:val="20"/>
                <w:color w:val="auto"/>
              </w:rPr>
            </w:pPr>
            <w:r>
              <w:rPr>
                <w:rFonts w:ascii="Arial" w:cs="Arial" w:eastAsia="Arial" w:hAnsi="Arial"/>
                <w:sz w:val="18"/>
                <w:szCs w:val="18"/>
                <w:color w:val="auto"/>
              </w:rPr>
              <w:t>KF Investors</w:t>
            </w:r>
          </w:p>
        </w:tc>
        <w:tc>
          <w:tcPr>
            <w:tcW w:w="260" w:type="dxa"/>
            <w:vAlign w:val="bottom"/>
            <w:tcBorders>
              <w:right w:val="single" w:sz="8" w:color="auto"/>
            </w:tcBorders>
          </w:tcPr>
          <w:p>
            <w:pPr>
              <w:spacing w:after="0"/>
              <w:rPr>
                <w:sz w:val="16"/>
                <w:szCs w:val="16"/>
                <w:color w:val="auto"/>
              </w:rPr>
            </w:pPr>
          </w:p>
        </w:tc>
        <w:tc>
          <w:tcPr>
            <w:tcW w:w="272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493,118</w:t>
            </w:r>
          </w:p>
        </w:tc>
        <w:tc>
          <w:tcPr>
            <w:tcW w:w="272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$1,232,795</w:t>
            </w:r>
          </w:p>
        </w:tc>
      </w:tr>
      <w:tr>
        <w:trPr>
          <w:trHeight w:val="230"/>
        </w:trPr>
        <w:tc>
          <w:tcPr>
            <w:tcW w:w="31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Investment Partners LP - 986,236</w:t>
            </w:r>
          </w:p>
        </w:tc>
        <w:tc>
          <w:tcPr>
            <w:tcW w:w="26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GK</w:t>
            </w:r>
          </w:p>
        </w:tc>
        <w:tc>
          <w:tcPr>
            <w:tcW w:w="260" w:type="dxa"/>
            <w:vAlign w:val="bottom"/>
            <w:tcBorders>
              <w:bottom w:val="single" w:sz="8" w:color="auto"/>
              <w:right w:val="single" w:sz="8" w:color="auto"/>
            </w:tcBorders>
          </w:tcPr>
          <w:p>
            <w:pPr>
              <w:spacing w:after="0"/>
              <w:rPr>
                <w:sz w:val="20"/>
                <w:szCs w:val="20"/>
                <w:color w:val="auto"/>
              </w:rPr>
            </w:pPr>
          </w:p>
        </w:tc>
        <w:tc>
          <w:tcPr>
            <w:tcW w:w="27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493,118</w:t>
            </w:r>
          </w:p>
        </w:tc>
        <w:tc>
          <w:tcPr>
            <w:tcW w:w="27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$1,232,795</w:t>
            </w:r>
          </w:p>
        </w:tc>
      </w:tr>
      <w:tr>
        <w:trPr>
          <w:trHeight w:val="195"/>
        </w:trPr>
        <w:tc>
          <w:tcPr>
            <w:tcW w:w="310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w w:val="94"/>
              </w:rPr>
              <w:t>GSO Cactus Credit Opportunities Fund</w:t>
            </w:r>
          </w:p>
        </w:tc>
        <w:tc>
          <w:tcPr>
            <w:tcW w:w="2620" w:type="dxa"/>
            <w:vAlign w:val="bottom"/>
          </w:tcPr>
          <w:p>
            <w:pPr>
              <w:ind w:left="100"/>
              <w:spacing w:after="0" w:line="195" w:lineRule="exact"/>
              <w:rPr>
                <w:sz w:val="20"/>
                <w:szCs w:val="20"/>
                <w:color w:val="auto"/>
              </w:rPr>
            </w:pPr>
            <w:r>
              <w:rPr>
                <w:rFonts w:ascii="Arial" w:cs="Arial" w:eastAsia="Arial" w:hAnsi="Arial"/>
                <w:sz w:val="18"/>
                <w:szCs w:val="18"/>
                <w:color w:val="auto"/>
              </w:rPr>
              <w:t>KF Investors</w:t>
            </w:r>
          </w:p>
        </w:tc>
        <w:tc>
          <w:tcPr>
            <w:tcW w:w="260" w:type="dxa"/>
            <w:vAlign w:val="bottom"/>
            <w:tcBorders>
              <w:right w:val="single" w:sz="8" w:color="auto"/>
            </w:tcBorders>
          </w:tcPr>
          <w:p>
            <w:pPr>
              <w:spacing w:after="0"/>
              <w:rPr>
                <w:sz w:val="16"/>
                <w:szCs w:val="16"/>
                <w:color w:val="auto"/>
              </w:rPr>
            </w:pPr>
          </w:p>
        </w:tc>
        <w:tc>
          <w:tcPr>
            <w:tcW w:w="272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136, 435</w:t>
            </w:r>
          </w:p>
        </w:tc>
        <w:tc>
          <w:tcPr>
            <w:tcW w:w="272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$341,087.50</w:t>
            </w:r>
          </w:p>
        </w:tc>
      </w:tr>
      <w:tr>
        <w:trPr>
          <w:trHeight w:val="271"/>
        </w:trPr>
        <w:tc>
          <w:tcPr>
            <w:tcW w:w="3100" w:type="dxa"/>
            <w:vAlign w:val="bottom"/>
            <w:tcBorders>
              <w:left w:val="single" w:sz="8" w:color="auto"/>
              <w:bottom w:val="single" w:sz="8" w:color="auto"/>
              <w:right w:val="single" w:sz="8" w:color="auto"/>
            </w:tcBorders>
          </w:tcPr>
          <w:p>
            <w:pPr>
              <w:ind w:left="120"/>
              <w:spacing w:after="0" w:line="271" w:lineRule="exact"/>
              <w:rPr>
                <w:sz w:val="20"/>
                <w:szCs w:val="20"/>
                <w:color w:val="auto"/>
              </w:rPr>
            </w:pPr>
            <w:r>
              <w:rPr>
                <w:rFonts w:ascii="Arial" w:cs="Arial" w:eastAsia="Arial" w:hAnsi="Arial"/>
                <w:sz w:val="18"/>
                <w:szCs w:val="18"/>
                <w:color w:val="auto"/>
              </w:rPr>
              <w:t>LP – 272,869</w:t>
            </w:r>
            <w:r>
              <w:rPr>
                <w:rFonts w:ascii="Arial" w:cs="Arial" w:eastAsia="Arial" w:hAnsi="Arial"/>
                <w:sz w:val="30"/>
                <w:szCs w:val="30"/>
                <w:color w:val="auto"/>
                <w:vertAlign w:val="superscript"/>
              </w:rPr>
              <w:t>[1]</w:t>
            </w:r>
          </w:p>
        </w:tc>
        <w:tc>
          <w:tcPr>
            <w:tcW w:w="26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GK</w:t>
            </w:r>
          </w:p>
        </w:tc>
        <w:tc>
          <w:tcPr>
            <w:tcW w:w="260" w:type="dxa"/>
            <w:vAlign w:val="bottom"/>
            <w:tcBorders>
              <w:bottom w:val="single" w:sz="8" w:color="auto"/>
              <w:right w:val="single" w:sz="8" w:color="auto"/>
            </w:tcBorders>
          </w:tcPr>
          <w:p>
            <w:pPr>
              <w:spacing w:after="0"/>
              <w:rPr>
                <w:sz w:val="23"/>
                <w:szCs w:val="23"/>
                <w:color w:val="auto"/>
              </w:rPr>
            </w:pPr>
          </w:p>
        </w:tc>
        <w:tc>
          <w:tcPr>
            <w:tcW w:w="27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136,434</w:t>
            </w:r>
          </w:p>
        </w:tc>
        <w:tc>
          <w:tcPr>
            <w:tcW w:w="27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$341,085</w:t>
            </w:r>
          </w:p>
        </w:tc>
      </w:tr>
      <w:tr>
        <w:trPr>
          <w:trHeight w:val="195"/>
        </w:trPr>
        <w:tc>
          <w:tcPr>
            <w:tcW w:w="310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w w:val="99"/>
              </w:rPr>
              <w:t>GSO Credit Alpha Trading (Cayman)</w:t>
            </w:r>
          </w:p>
        </w:tc>
        <w:tc>
          <w:tcPr>
            <w:tcW w:w="2620" w:type="dxa"/>
            <w:vAlign w:val="bottom"/>
          </w:tcPr>
          <w:p>
            <w:pPr>
              <w:ind w:left="100"/>
              <w:spacing w:after="0" w:line="195" w:lineRule="exact"/>
              <w:rPr>
                <w:sz w:val="20"/>
                <w:szCs w:val="20"/>
                <w:color w:val="auto"/>
              </w:rPr>
            </w:pPr>
            <w:r>
              <w:rPr>
                <w:rFonts w:ascii="Arial" w:cs="Arial" w:eastAsia="Arial" w:hAnsi="Arial"/>
                <w:sz w:val="18"/>
                <w:szCs w:val="18"/>
                <w:color w:val="auto"/>
              </w:rPr>
              <w:t>KF Investors</w:t>
            </w:r>
          </w:p>
        </w:tc>
        <w:tc>
          <w:tcPr>
            <w:tcW w:w="260" w:type="dxa"/>
            <w:vAlign w:val="bottom"/>
            <w:tcBorders>
              <w:right w:val="single" w:sz="8" w:color="auto"/>
            </w:tcBorders>
          </w:tcPr>
          <w:p>
            <w:pPr>
              <w:spacing w:after="0"/>
              <w:rPr>
                <w:sz w:val="16"/>
                <w:szCs w:val="16"/>
                <w:color w:val="auto"/>
              </w:rPr>
            </w:pPr>
          </w:p>
        </w:tc>
        <w:tc>
          <w:tcPr>
            <w:tcW w:w="272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142,884</w:t>
            </w:r>
          </w:p>
        </w:tc>
        <w:tc>
          <w:tcPr>
            <w:tcW w:w="272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$357,210</w:t>
            </w:r>
          </w:p>
        </w:tc>
      </w:tr>
      <w:tr>
        <w:trPr>
          <w:trHeight w:val="230"/>
        </w:trPr>
        <w:tc>
          <w:tcPr>
            <w:tcW w:w="31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LP - 285,769</w:t>
            </w:r>
          </w:p>
        </w:tc>
        <w:tc>
          <w:tcPr>
            <w:tcW w:w="26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GK</w:t>
            </w:r>
          </w:p>
        </w:tc>
        <w:tc>
          <w:tcPr>
            <w:tcW w:w="260" w:type="dxa"/>
            <w:vAlign w:val="bottom"/>
            <w:tcBorders>
              <w:bottom w:val="single" w:sz="8" w:color="auto"/>
              <w:right w:val="single" w:sz="8" w:color="auto"/>
            </w:tcBorders>
          </w:tcPr>
          <w:p>
            <w:pPr>
              <w:spacing w:after="0"/>
              <w:rPr>
                <w:sz w:val="20"/>
                <w:szCs w:val="20"/>
                <w:color w:val="auto"/>
              </w:rPr>
            </w:pPr>
          </w:p>
        </w:tc>
        <w:tc>
          <w:tcPr>
            <w:tcW w:w="27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142,885</w:t>
            </w:r>
          </w:p>
        </w:tc>
        <w:tc>
          <w:tcPr>
            <w:tcW w:w="27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$357,212.50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180975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387" w:lineRule="exact"/>
        <w:rPr>
          <w:sz w:val="20"/>
          <w:szCs w:val="20"/>
          <w:color w:val="auto"/>
        </w:rPr>
      </w:pPr>
    </w:p>
    <w:p>
      <w:pPr>
        <w:ind w:left="120" w:hanging="112"/>
        <w:spacing w:after="0"/>
        <w:tabs>
          <w:tab w:leader="none" w:pos="120" w:val="left"/>
        </w:tabs>
        <w:numPr>
          <w:ilvl w:val="0"/>
          <w:numId w:val="9"/>
        </w:numPr>
        <w:rPr>
          <w:rFonts w:ascii="Arial" w:cs="Arial" w:eastAsia="Arial" w:hAnsi="Arial"/>
          <w:sz w:val="28"/>
          <w:szCs w:val="28"/>
          <w:color w:val="auto"/>
          <w:vertAlign w:val="superscript"/>
        </w:rPr>
      </w:pPr>
      <w:r>
        <w:rPr>
          <w:rFonts w:ascii="Arial" w:cs="Arial" w:eastAsia="Arial" w:hAnsi="Arial"/>
          <w:sz w:val="17"/>
          <w:szCs w:val="17"/>
          <w:color w:val="auto"/>
        </w:rPr>
        <w:t>1,688 Shares shall be delivered to the Purchasers (844 Shares to each Purchaser) after the Closing in accordance with Section 1.2 of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8" w:name="page19"/>
    <w:bookmarkEnd w:id="18"/>
    <w:p>
      <w:pPr>
        <w:jc w:val="right"/>
        <w:spacing w:after="0"/>
        <w:rPr>
          <w:sz w:val="20"/>
          <w:szCs w:val="20"/>
          <w:color w:val="auto"/>
        </w:rPr>
      </w:pPr>
      <w:r>
        <w:rPr>
          <w:rFonts w:ascii="Arial" w:cs="Arial" w:eastAsia="Arial" w:hAnsi="Arial"/>
          <w:sz w:val="18"/>
          <w:szCs w:val="18"/>
          <w:color w:val="auto"/>
        </w:rPr>
        <w:t>EXHIBIT B</w:t>
      </w:r>
    </w:p>
    <w:p>
      <w:pPr>
        <w:spacing w:after="0" w:line="225"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[Wiring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1953260</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19" w:name="page20"/>
    <w:bookmarkEnd w:id="19"/>
    <w:p>
      <w:pPr>
        <w:jc w:val="right"/>
        <w:spacing w:after="0"/>
        <w:rPr>
          <w:sz w:val="20"/>
          <w:szCs w:val="20"/>
          <w:color w:val="auto"/>
        </w:rPr>
      </w:pPr>
      <w:r>
        <w:rPr>
          <w:rFonts w:ascii="Arial" w:cs="Arial" w:eastAsia="Arial" w:hAnsi="Arial"/>
          <w:sz w:val="18"/>
          <w:szCs w:val="18"/>
          <w:color w:val="auto"/>
        </w:rPr>
        <w:t>EXHIBIT C</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December [●],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Eastman Kodak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343 State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Rochester, NY 14650-0128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Attention: Roger Byrd, General Counsel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VIA FACSIMILE</w:t>
      </w:r>
    </w:p>
    <w:p>
      <w:pPr>
        <w:spacing w:after="0" w:line="208"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460" w:type="dxa"/>
            <w:vAlign w:val="bottom"/>
          </w:tcPr>
          <w:p>
            <w:pPr>
              <w:spacing w:after="0"/>
              <w:rPr>
                <w:sz w:val="20"/>
                <w:szCs w:val="20"/>
                <w:color w:val="auto"/>
              </w:rPr>
            </w:pPr>
            <w:r>
              <w:rPr>
                <w:rFonts w:ascii="Arial" w:cs="Arial" w:eastAsia="Arial" w:hAnsi="Arial"/>
                <w:sz w:val="18"/>
                <w:szCs w:val="18"/>
                <w:b w:val="1"/>
                <w:bCs w:val="1"/>
                <w:color w:val="auto"/>
              </w:rPr>
              <w:t>Re:</w:t>
            </w:r>
          </w:p>
        </w:tc>
        <w:tc>
          <w:tcPr>
            <w:tcW w:w="10160" w:type="dxa"/>
            <w:vAlign w:val="bottom"/>
            <w:gridSpan w:val="5"/>
          </w:tcPr>
          <w:p>
            <w:pPr>
              <w:ind w:left="180"/>
              <w:spacing w:after="0"/>
              <w:rPr>
                <w:sz w:val="20"/>
                <w:szCs w:val="20"/>
                <w:color w:val="auto"/>
              </w:rPr>
            </w:pPr>
            <w:r>
              <w:rPr>
                <w:rFonts w:ascii="Arial" w:cs="Arial" w:eastAsia="Arial" w:hAnsi="Arial"/>
                <w:sz w:val="18"/>
                <w:szCs w:val="18"/>
                <w:b w:val="1"/>
                <w:bCs w:val="1"/>
                <w:color w:val="auto"/>
                <w:w w:val="89"/>
              </w:rPr>
              <w:t>Registration Rights Agreement (the “Reg. Rights Agreement”), dated as of September 3, 2013, between Eastman Kodak Company</w:t>
            </w:r>
          </w:p>
        </w:tc>
      </w:tr>
      <w:tr>
        <w:trPr>
          <w:trHeight w:val="20"/>
        </w:trPr>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0160" w:type="dxa"/>
            <w:vAlign w:val="bottom"/>
            <w:gridSpan w:val="5"/>
          </w:tcPr>
          <w:p>
            <w:pPr>
              <w:ind w:left="180"/>
              <w:spacing w:after="0" w:line="196" w:lineRule="exact"/>
              <w:rPr>
                <w:sz w:val="20"/>
                <w:szCs w:val="20"/>
                <w:color w:val="auto"/>
              </w:rPr>
            </w:pPr>
            <w:r>
              <w:rPr>
                <w:rFonts w:ascii="Arial" w:cs="Arial" w:eastAsia="Arial" w:hAnsi="Arial"/>
                <w:sz w:val="18"/>
                <w:szCs w:val="18"/>
                <w:b w:val="1"/>
                <w:bCs w:val="1"/>
                <w:color w:val="auto"/>
              </w:rPr>
              <w:t>(the “Company”) and the stockholders of the Company named therein</w:t>
            </w:r>
          </w:p>
        </w:tc>
      </w:tr>
      <w:tr>
        <w:trPr>
          <w:trHeight w:val="20"/>
        </w:trPr>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Dear Roger:</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Pursuant to Section 6.1(a) of the Reg. Rights Agreement, the undersigned stockholders of the Company (the “</w:t>
      </w:r>
      <w:r>
        <w:rPr>
          <w:rFonts w:ascii="Arial" w:cs="Arial" w:eastAsia="Arial" w:hAnsi="Arial"/>
          <w:sz w:val="18"/>
          <w:szCs w:val="18"/>
          <w:u w:val="single" w:color="auto"/>
          <w:color w:val="auto"/>
        </w:rPr>
        <w:t>Stockholders”</w:t>
      </w:r>
      <w:r>
        <w:rPr>
          <w:rFonts w:ascii="Arial" w:cs="Arial" w:eastAsia="Arial" w:hAnsi="Arial"/>
          <w:sz w:val="18"/>
          <w:szCs w:val="18"/>
          <w:color w:val="auto"/>
        </w:rPr>
        <w:t>) hereby notify the Company that each such Stockholder has (i) sold all of its respective Registrable Securities (as defined in the Reg. Rights Agreement), in the amounts set forth on Schedule I hereto, to the purchasers identified on Schedule II hereto (the “</w:t>
      </w:r>
      <w:r>
        <w:rPr>
          <w:rFonts w:ascii="Arial" w:cs="Arial" w:eastAsia="Arial" w:hAnsi="Arial"/>
          <w:sz w:val="18"/>
          <w:szCs w:val="18"/>
          <w:u w:val="single" w:color="auto"/>
          <w:color w:val="auto"/>
        </w:rPr>
        <w:t>Purchasers</w:t>
      </w:r>
      <w:r>
        <w:rPr>
          <w:rFonts w:ascii="Arial" w:cs="Arial" w:eastAsia="Arial" w:hAnsi="Arial"/>
          <w:sz w:val="18"/>
          <w:szCs w:val="18"/>
          <w:color w:val="auto"/>
        </w:rPr>
        <w:t>”) and (ii) transferred all of such Stockholder’s respective rights under the Reg. Rights Agreement (other than any rights under Section 6.6 of the Reg. Rights Agreement) to the Purchasers. The amount of Registrable Securities purchased by each Purchaser is also set forth on Schedule II.</w:t>
      </w:r>
    </w:p>
    <w:p>
      <w:pPr>
        <w:spacing w:after="0" w:line="188"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By signing this notice, the undersigned Purchasers hereby agree to be bound by the terms of the Reg. Rights Agreement. In addition, by signing this notice, the undersigned Purchasers and Stockholders each hereby severally agree that the Company may rely on their respective representations and warranties in the Purchase Agreement, dated as of December 3, 2019, among the Purchasers and the Stockholders that pertain to compliance with the exemption from securities registration afforded by Section 4(a)(7) of the Securities Act of 1933, as amended. A copy of the foregoing Purchase Agreement is being provided to you with this notice.</w:t>
      </w:r>
    </w:p>
    <w:p>
      <w:pPr>
        <w:spacing w:after="0" w:line="188"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Please sign below acknowledging receipt of this notice and agreement as to the transfer of the rights of the Stockholders under the Reg. Rights Agreement to the Purchasers.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0" w:name="page21"/>
    <w:bookmarkEnd w:id="20"/>
    <w:p>
      <w:pPr>
        <w:ind w:left="56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GSO SPECIAL SITUATIONS MASTER FUND LP</w:t>
      </w:r>
    </w:p>
    <w:p>
      <w:pPr>
        <w:spacing w:after="0" w:line="225" w:lineRule="exact"/>
        <w:rPr>
          <w:sz w:val="20"/>
          <w:szCs w:val="20"/>
          <w:color w:val="auto"/>
        </w:rPr>
      </w:pPr>
    </w:p>
    <w:p>
      <w:pPr>
        <w:ind w:left="5660"/>
        <w:spacing w:after="0"/>
        <w:tabs>
          <w:tab w:leader="none" w:pos="6100" w:val="left"/>
        </w:tabs>
        <w:rPr>
          <w:sz w:val="20"/>
          <w:szCs w:val="20"/>
          <w:color w:val="auto"/>
        </w:rPr>
      </w:pPr>
      <w:r>
        <w:rPr>
          <w:rFonts w:ascii="Arial" w:cs="Arial" w:eastAsia="Arial" w:hAnsi="Arial"/>
          <w:sz w:val="16"/>
          <w:szCs w:val="16"/>
          <w:color w:val="auto"/>
        </w:rPr>
        <w:t>By:</w:t>
        <w:tab/>
        <w:t>GSO Capital Partners LP, its investment advisor</w:t>
      </w:r>
    </w:p>
    <w:p>
      <w:pPr>
        <w:spacing w:after="0" w:line="24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3882390</wp:posOffset>
            </wp:positionH>
            <wp:positionV relativeFrom="paragraph">
              <wp:posOffset>14605</wp:posOffset>
            </wp:positionV>
            <wp:extent cx="260731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16"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Name: Marisa Beeney</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GSO CREDIT-A PARTNERS LP</w:t>
      </w:r>
    </w:p>
    <w:p>
      <w:pPr>
        <w:spacing w:after="0" w:line="225" w:lineRule="exact"/>
        <w:rPr>
          <w:sz w:val="20"/>
          <w:szCs w:val="20"/>
          <w:color w:val="auto"/>
        </w:rPr>
      </w:pPr>
    </w:p>
    <w:p>
      <w:pPr>
        <w:ind w:left="5660"/>
        <w:spacing w:after="0"/>
        <w:tabs>
          <w:tab w:leader="none" w:pos="6100" w:val="left"/>
        </w:tabs>
        <w:rPr>
          <w:sz w:val="20"/>
          <w:szCs w:val="20"/>
          <w:color w:val="auto"/>
        </w:rPr>
      </w:pPr>
      <w:r>
        <w:rPr>
          <w:rFonts w:ascii="Arial" w:cs="Arial" w:eastAsia="Arial" w:hAnsi="Arial"/>
          <w:sz w:val="16"/>
          <w:szCs w:val="16"/>
          <w:color w:val="auto"/>
        </w:rPr>
        <w:t>By:</w:t>
        <w:tab/>
        <w:t>GSO Credit-A Associates LLC, its general partner</w:t>
      </w:r>
    </w:p>
    <w:p>
      <w:pPr>
        <w:spacing w:after="0" w:line="24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3882390</wp:posOffset>
            </wp:positionH>
            <wp:positionV relativeFrom="paragraph">
              <wp:posOffset>14605</wp:posOffset>
            </wp:positionV>
            <wp:extent cx="260731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16"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Name: Marisa Beeney</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GSO PALMETTO OPPORTUNISTIC INVESTMENT</w:t>
      </w:r>
    </w:p>
    <w:p>
      <w:pPr>
        <w:spacing w:after="0" w:line="3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PARTNERS LP</w:t>
      </w:r>
    </w:p>
    <w:p>
      <w:pPr>
        <w:spacing w:after="0" w:line="211" w:lineRule="exact"/>
        <w:rPr>
          <w:sz w:val="20"/>
          <w:szCs w:val="20"/>
          <w:color w:val="auto"/>
        </w:rPr>
      </w:pPr>
    </w:p>
    <w:p>
      <w:pPr>
        <w:ind w:left="5660"/>
        <w:spacing w:after="0"/>
        <w:tabs>
          <w:tab w:leader="none" w:pos="6100" w:val="left"/>
        </w:tabs>
        <w:rPr>
          <w:sz w:val="20"/>
          <w:szCs w:val="20"/>
          <w:color w:val="auto"/>
        </w:rPr>
      </w:pPr>
      <w:r>
        <w:rPr>
          <w:rFonts w:ascii="Arial" w:cs="Arial" w:eastAsia="Arial" w:hAnsi="Arial"/>
          <w:sz w:val="16"/>
          <w:szCs w:val="16"/>
          <w:color w:val="auto"/>
        </w:rPr>
        <w:t>By:</w:t>
        <w:tab/>
        <w:t>GSO Palmetto Opportunistic Associates LLC, its</w:t>
      </w:r>
    </w:p>
    <w:p>
      <w:pPr>
        <w:spacing w:after="0" w:line="46"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general partner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3882390</wp:posOffset>
            </wp:positionH>
            <wp:positionV relativeFrom="paragraph">
              <wp:posOffset>14605</wp:posOffset>
            </wp:positionV>
            <wp:extent cx="260731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16"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Name: Marisa Beeney</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GSO CACTUS CREDIT OPPORTUNITIES FUND LP</w:t>
      </w:r>
    </w:p>
    <w:p>
      <w:pPr>
        <w:spacing w:after="0" w:line="237" w:lineRule="exact"/>
        <w:rPr>
          <w:sz w:val="20"/>
          <w:szCs w:val="20"/>
          <w:color w:val="auto"/>
        </w:rPr>
      </w:pPr>
    </w:p>
    <w:p>
      <w:pPr>
        <w:ind w:left="5660"/>
        <w:spacing w:after="0"/>
        <w:tabs>
          <w:tab w:leader="none" w:pos="6100" w:val="left"/>
        </w:tabs>
        <w:rPr>
          <w:sz w:val="20"/>
          <w:szCs w:val="20"/>
          <w:color w:val="auto"/>
        </w:rPr>
      </w:pPr>
      <w:r>
        <w:rPr>
          <w:rFonts w:ascii="Arial" w:cs="Arial" w:eastAsia="Arial" w:hAnsi="Arial"/>
          <w:sz w:val="16"/>
          <w:szCs w:val="16"/>
          <w:color w:val="auto"/>
        </w:rPr>
        <w:t>By:</w:t>
        <w:tab/>
        <w:t>GSO Capital Partners LP, its investment advisor</w:t>
      </w:r>
    </w:p>
    <w:p>
      <w:pPr>
        <w:spacing w:after="0" w:line="24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3882390</wp:posOffset>
            </wp:positionH>
            <wp:positionV relativeFrom="paragraph">
              <wp:posOffset>14605</wp:posOffset>
            </wp:positionV>
            <wp:extent cx="260731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16"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Name: Marisa Beeney</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GSO CREDIT ALPHA TRADING (CAYMAN) LP</w:t>
      </w:r>
    </w:p>
    <w:p>
      <w:pPr>
        <w:spacing w:after="0" w:line="225" w:lineRule="exact"/>
        <w:rPr>
          <w:sz w:val="20"/>
          <w:szCs w:val="20"/>
          <w:color w:val="auto"/>
        </w:rPr>
      </w:pPr>
    </w:p>
    <w:p>
      <w:pPr>
        <w:ind w:left="5660"/>
        <w:spacing w:after="0"/>
        <w:tabs>
          <w:tab w:leader="none" w:pos="6100" w:val="left"/>
        </w:tabs>
        <w:rPr>
          <w:sz w:val="20"/>
          <w:szCs w:val="20"/>
          <w:color w:val="auto"/>
        </w:rPr>
      </w:pPr>
      <w:r>
        <w:rPr>
          <w:rFonts w:ascii="Arial" w:cs="Arial" w:eastAsia="Arial" w:hAnsi="Arial"/>
          <w:sz w:val="16"/>
          <w:szCs w:val="16"/>
          <w:color w:val="auto"/>
        </w:rPr>
        <w:t>By:</w:t>
        <w:tab/>
        <w:t>GSO Capital Partners LP, its investment advisor</w:t>
      </w:r>
    </w:p>
    <w:p>
      <w:pPr>
        <w:spacing w:after="0" w:line="24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3882390</wp:posOffset>
            </wp:positionH>
            <wp:positionV relativeFrom="paragraph">
              <wp:posOffset>14605</wp:posOffset>
            </wp:positionV>
            <wp:extent cx="260731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16"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Name: Marisa Beeney</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Title: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434340</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740"/>
          </w:cols>
          <w:pgMar w:left="1440" w:top="908" w:right="719" w:bottom="1440" w:gutter="0" w:footer="0" w:header="0"/>
        </w:sectPr>
      </w:pPr>
    </w:p>
    <w:bookmarkStart w:id="21" w:name="page22"/>
    <w:bookmarkEnd w:id="21"/>
    <w:p>
      <w:pPr>
        <w:ind w:left="6860"/>
        <w:spacing w:after="0"/>
        <w:rPr>
          <w:sz w:val="20"/>
          <w:szCs w:val="20"/>
          <w:color w:val="auto"/>
        </w:rPr>
      </w:pPr>
      <w:r>
        <w:rPr>
          <w:rFonts w:ascii="Arial" w:cs="Arial" w:eastAsia="Arial" w:hAnsi="Arial"/>
          <w:sz w:val="16"/>
          <w:szCs w:val="16"/>
          <w:color w:val="auto"/>
        </w:rPr>
        <w:t>Acknowledged and Agreed:</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KF INVESTORS LLC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14605</wp:posOffset>
            </wp:positionV>
            <wp:extent cx="260731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16"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GEORGE KARFUNKEL</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14605</wp:posOffset>
            </wp:positionV>
            <wp:extent cx="260731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RENEE KARFUNKEL</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14605</wp:posOffset>
            </wp:positionV>
            <wp:extent cx="260731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Acknowledged and Agreed: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EASTMAN KODAK COMPANY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260731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908" w:right="1440" w:bottom="1440" w:gutter="0" w:footer="0" w:header="0"/>
        </w:sectPr>
      </w:pPr>
    </w:p>
    <w:bookmarkStart w:id="22" w:name="page23"/>
    <w:bookmarkEnd w:id="22"/>
    <w:p>
      <w:pPr>
        <w:jc w:val="center"/>
        <w:ind w:right="-1100"/>
        <w:spacing w:after="0"/>
        <w:rPr>
          <w:sz w:val="20"/>
          <w:szCs w:val="20"/>
          <w:color w:val="auto"/>
        </w:rPr>
      </w:pPr>
      <w:r>
        <w:rPr>
          <w:rFonts w:ascii="Arial" w:cs="Arial" w:eastAsia="Arial" w:hAnsi="Arial"/>
          <w:sz w:val="17"/>
          <w:szCs w:val="17"/>
          <w:b w:val="1"/>
          <w:bCs w:val="1"/>
          <w:color w:val="auto"/>
        </w:rPr>
        <w:t>STOCKHOLDERS; REGISTRABLE SECURITIES</w:t>
      </w:r>
    </w:p>
    <w:p>
      <w:pPr>
        <w:spacing w:after="0" w:line="250"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Sellers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-127635</wp:posOffset>
            </wp:positionV>
            <wp:extent cx="7246620" cy="8832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328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GSO Special Situations Master Fund LP; 6,103,867 Registrable Securities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GSO Credit-A Partners LP; 1,226,470 Registrable Securities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GSO Palmetto Opportunistic Investment Partners LP; 986,236 Registrable Securities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GSO Cactus Credit Opportunities Fund LP; 272,869 Registrable Securities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GSO Credit Alpha Trading (Cayman) LP; 285,769 Registrable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451485</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099"/>
          </w:cols>
          <w:pgMar w:left="360" w:top="904" w:right="1440" w:bottom="1440" w:gutter="0" w:footer="0" w:header="0"/>
        </w:sectPr>
      </w:pPr>
    </w:p>
    <w:bookmarkStart w:id="23" w:name="page24"/>
    <w:bookmarkEnd w:id="23"/>
    <w:p>
      <w:pPr>
        <w:jc w:val="center"/>
        <w:ind w:right="-1220"/>
        <w:spacing w:after="0"/>
        <w:rPr>
          <w:sz w:val="20"/>
          <w:szCs w:val="20"/>
          <w:color w:val="auto"/>
        </w:rPr>
      </w:pPr>
      <w:r>
        <w:rPr>
          <w:rFonts w:ascii="Arial" w:cs="Arial" w:eastAsia="Arial" w:hAnsi="Arial"/>
          <w:sz w:val="17"/>
          <w:szCs w:val="17"/>
          <w:b w:val="1"/>
          <w:bCs w:val="1"/>
          <w:color w:val="auto"/>
        </w:rPr>
        <w:t>PURCHASERS; REGISTRABLE SECURITIES</w:t>
      </w:r>
    </w:p>
    <w:p>
      <w:pPr>
        <w:spacing w:after="0" w:line="250"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Purchasers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44577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KF Investor LLC- 4,437,606 Registrable Securities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George and Renee Karfunkel- JT TEN 4,437,605 Registrable Securities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Addresses: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KF Investors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160 Broadway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10038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Philippe Katz</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uneq3@bloomberg.net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George and Renee Karfunkel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Sabr Group</w:t>
      </w:r>
    </w:p>
    <w:p>
      <w:pPr>
        <w:spacing w:after="0" w:line="9" w:lineRule="exact"/>
        <w:rPr>
          <w:sz w:val="20"/>
          <w:szCs w:val="20"/>
          <w:color w:val="auto"/>
        </w:rPr>
      </w:pPr>
    </w:p>
    <w:p>
      <w:pPr>
        <w:ind w:left="320" w:hanging="312"/>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Broadway</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Suite 3930</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New York, New York 10005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904" w:right="1440"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99.2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FILING AGREEMENT</w:t>
      </w:r>
    </w:p>
    <w:p>
      <w:pPr>
        <w:spacing w:after="0" w:line="229"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In accordance with Rule 13d-1(k) under the Securities Exchange Act of 1934, as amended, the undersigned agree to the joint filing on behalf of each of them of a Schedule 13D (including any and all amendments thereto) with respect to the Common Stock, par value $0.01 per share, of Eastman Kodak Company, and further agree that this Joint Filing Agreement shall be included as an Exhibit to such joint filings.</w:t>
      </w:r>
    </w:p>
    <w:p>
      <w:pPr>
        <w:spacing w:after="0" w:line="181" w:lineRule="exact"/>
        <w:rPr>
          <w:sz w:val="20"/>
          <w:szCs w:val="20"/>
          <w:color w:val="auto"/>
        </w:rPr>
      </w:pPr>
    </w:p>
    <w:p>
      <w:pPr>
        <w:ind w:right="40" w:firstLine="648"/>
        <w:spacing w:after="0" w:line="312" w:lineRule="auto"/>
        <w:rPr>
          <w:sz w:val="20"/>
          <w:szCs w:val="20"/>
          <w:color w:val="auto"/>
        </w:rPr>
      </w:pPr>
      <w:r>
        <w:rPr>
          <w:rFonts w:ascii="Arial" w:cs="Arial" w:eastAsia="Arial" w:hAnsi="Arial"/>
          <w:sz w:val="16"/>
          <w:szCs w:val="16"/>
          <w:color w:val="auto"/>
        </w:rPr>
        <w:t>The undersigned further agree that each party hereto is responsible for the timely filing of such Schedule 13D and any amendments thereto, and for the accuracy and completeness of the information concerning such party contained therein; provided, however, that no party is responsible for the accuracy or completeness of the information concerning any other party, unless such party knows or has reason to believe that such information is inaccurate.</w:t>
      </w:r>
    </w:p>
    <w:p>
      <w:pPr>
        <w:spacing w:after="0" w:line="147" w:lineRule="exact"/>
        <w:rPr>
          <w:sz w:val="20"/>
          <w:szCs w:val="20"/>
          <w:color w:val="auto"/>
        </w:rPr>
      </w:pPr>
    </w:p>
    <w:p>
      <w:pPr>
        <w:ind w:right="760" w:firstLine="648"/>
        <w:spacing w:after="0" w:line="277" w:lineRule="auto"/>
        <w:rPr>
          <w:sz w:val="20"/>
          <w:szCs w:val="20"/>
          <w:color w:val="auto"/>
        </w:rPr>
      </w:pPr>
      <w:r>
        <w:rPr>
          <w:rFonts w:ascii="Arial" w:cs="Arial" w:eastAsia="Arial" w:hAnsi="Arial"/>
          <w:sz w:val="18"/>
          <w:szCs w:val="18"/>
          <w:color w:val="auto"/>
        </w:rPr>
        <w:t>This Joint Filing Agreement may be signed in counterparts with the same effect as if the signature on each counterpart were upon the same instrument.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undersigned have executed this Agreement as of December 6, 2019.</w:t>
      </w:r>
    </w:p>
    <w:p>
      <w:pPr>
        <w:spacing w:after="0" w:line="225"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/s/ George</w:t>
      </w:r>
    </w:p>
    <w:p>
      <w:pPr>
        <w:spacing w:after="0" w:line="23"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Karfunkel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1463040</wp:posOffset>
            </wp:positionH>
            <wp:positionV relativeFrom="paragraph">
              <wp:posOffset>5715</wp:posOffset>
            </wp:positionV>
            <wp:extent cx="96075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960755" cy="17145"/>
                    </a:xfrm>
                    <a:prstGeom prst="rect">
                      <a:avLst/>
                    </a:prstGeom>
                    <a:noFill/>
                  </pic:spPr>
                </pic:pic>
              </a:graphicData>
            </a:graphic>
          </wp:anchor>
        </w:drawing>
      </w:r>
    </w:p>
    <w:p>
      <w:pPr>
        <w:spacing w:after="0" w:line="2"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George Karfunkel</w:t>
      </w:r>
    </w:p>
    <w:p>
      <w:pPr>
        <w:spacing w:after="0" w:line="225"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/s/ Renee Karfunkel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1463040</wp:posOffset>
            </wp:positionH>
            <wp:positionV relativeFrom="paragraph">
              <wp:posOffset>23495</wp:posOffset>
            </wp:positionV>
            <wp:extent cx="96075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960755" cy="17145"/>
                    </a:xfrm>
                    <a:prstGeom prst="rect">
                      <a:avLst/>
                    </a:prstGeom>
                    <a:noFill/>
                  </pic:spPr>
                </pic:pic>
              </a:graphicData>
            </a:graphic>
          </wp:anchor>
        </w:drawing>
      </w:r>
    </w:p>
    <w:p>
      <w:pPr>
        <w:spacing w:after="0" w:line="30"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Renee Karfunkel</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lowerLetter"/>
      <w:start w:val="1"/>
    </w:lvl>
  </w:abstractNum>
  <w:abstractNum w:abstractNumId="2">
    <w:nsid w:val="2EB141F2"/>
    <w:multiLevelType w:val="hybridMultilevel"/>
    <w:lvl w:ilvl="0">
      <w:lvlJc w:val="left"/>
      <w:lvlText w:val="(%1)"/>
      <w:numFmt w:val="lowerLetter"/>
      <w:start w:val="1"/>
    </w:lvl>
  </w:abstractNum>
  <w:abstractNum w:abstractNumId="3">
    <w:nsid w:val="41B71EFB"/>
    <w:multiLevelType w:val="hybridMultilevel"/>
    <w:lvl w:ilvl="0">
      <w:lvlJc w:val="left"/>
      <w:lvlText w:val="(%1)"/>
      <w:numFmt w:val="upperLetter"/>
      <w:start w:val="2"/>
    </w:lvl>
  </w:abstractNum>
  <w:abstractNum w:abstractNumId="4">
    <w:nsid w:val="79E2A9E3"/>
    <w:multiLevelType w:val="hybridMultilevel"/>
    <w:lvl w:ilvl="0">
      <w:lvlJc w:val="left"/>
      <w:lvlText w:val="(%1)"/>
      <w:numFmt w:val="lowerLetter"/>
      <w:start w:val="26"/>
    </w:lvl>
    <w:lvl w:ilvl="1">
      <w:lvlJc w:val="left"/>
      <w:lvlText w:val="(%2)"/>
      <w:numFmt w:val="lowerLetter"/>
      <w:start w:val="1"/>
    </w:lvl>
  </w:abstractNum>
  <w:abstractNum w:abstractNumId="5">
    <w:nsid w:val="7545E146"/>
    <w:multiLevelType w:val="hybridMultilevel"/>
    <w:lvl w:ilvl="0">
      <w:lvlJc w:val="left"/>
      <w:lvlText w:val="(%1)"/>
      <w:numFmt w:val="lowerLetter"/>
      <w:start w:val="2"/>
    </w:lvl>
  </w:abstractNum>
  <w:abstractNum w:abstractNumId="6">
    <w:nsid w:val="515F007C"/>
    <w:multiLevelType w:val="hybridMultilevel"/>
    <w:lvl w:ilvl="0">
      <w:lvlJc w:val="left"/>
      <w:lvlText w:val="(%1)"/>
      <w:numFmt w:val="lowerLetter"/>
      <w:start w:val="3"/>
    </w:lvl>
  </w:abstractNum>
  <w:abstractNum w:abstractNumId="7">
    <w:nsid w:val="5BD062C2"/>
    <w:multiLevelType w:val="hybridMultilevel"/>
    <w:lvl w:ilvl="0">
      <w:lvlJc w:val="left"/>
      <w:lvlText w:val="%1"/>
      <w:numFmt w:val="decimal"/>
      <w:start w:val="140"/>
    </w:lvl>
  </w:abstractNum>
  <w:abstractNum w:abstractNumId="8">
    <w:nsid w:val="12200854"/>
    <w:multiLevelType w:val="hybridMultilevel"/>
    <w:lvl w:ilvl="0">
      <w:lvlJc w:val="left"/>
      <w:lvlText w:val="1"/>
      <w:numFmt w:val="bullet"/>
      <w:start w:val="1"/>
    </w:lvl>
  </w:abstractNum>
  <w:abstractNum w:abstractNumId="9">
    <w:nsid w:val="4DB127F8"/>
    <w:multiLevelType w:val="hybridMultilevel"/>
    <w:lvl w:ilvl="0">
      <w:lvlJc w:val="left"/>
      <w:lvlText w:val="%1"/>
      <w:numFmt w:val="decimal"/>
      <w:start w:val="14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2019-12-06T16:59:34Z</dcterms:created>
  <dcterms:modified xsi:type="dcterms:W3CDTF">2019-12-06T16:59:34Z</dcterms:modified>
</cp:coreProperties>
</file>